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0001973705</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GrayMatters Consulting B.V.</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76567.00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12/31/2016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2300</w:t>
      </w:r>
      <w:r>
        <w:rPr>
          <w:sz w:val="20"/>
          <w:szCs w:val="20"/>
          <w:color w:val="auto"/>
        </w:rPr>
        <w:tab/>
      </w:r>
      <w:r>
        <w:rPr>
          <w:rFonts w:ascii="Times New Roman" w:cs="Times New Roman" w:eastAsia="Times New Roman" w:hAnsi="Times New Roman"/>
          <w:sz w:val="21"/>
          <w:szCs w:val="21"/>
          <w:color w:val="auto"/>
        </w:rPr>
        <w:t>12/31/2016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04/30/2026 21700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656550.86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04/30/2026 19200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580909.44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04/29/2026 3700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111280.46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04/29/2026 3700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111229.40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04/22/2026 7500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225361.90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04/22/2026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210357.70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360" w:space="300"/>
            <w:col w:w="7580"/>
          </w:cols>
          <w:pgMar w:left="320" w:top="108" w:right="33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08/27/2025</w:t>
            </w: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Simonne J. Lesage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2026-06-25T16:09:37Z</dcterms:created>
  <dcterms:modified xsi:type="dcterms:W3CDTF">2026-06-25T16:09:37Z</dcterms:modified>
</cp:coreProperties>
</file>