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206375</wp:posOffset>
            </wp:positionH>
            <wp:positionV relativeFrom="page">
              <wp:posOffset>288925</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306070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176530</wp:posOffset>
            </wp:positionV>
            <wp:extent cx="1026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172085</wp:posOffset>
            </wp:positionV>
            <wp:extent cx="10267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December 2022</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273685</wp:posOffset>
            </wp:positionV>
            <wp:extent cx="1026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Pharvaris N.V.</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151130</wp:posOffset>
            </wp:positionV>
            <wp:extent cx="1026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J.H. Oortweg 21</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2333 CH Leiden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152400</wp:posOffset>
            </wp:positionV>
            <wp:extent cx="1026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360" w:lineRule="exact"/>
        <w:rPr>
          <w:sz w:val="24"/>
          <w:szCs w:val="24"/>
          <w:color w:val="auto"/>
        </w:rPr>
      </w:pPr>
    </w:p>
    <w:p>
      <w:pPr>
        <w:ind w:right="76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47" w:lineRule="exact"/>
        <w:rPr>
          <w:sz w:val="24"/>
          <w:szCs w:val="24"/>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1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1" w:lineRule="exact"/>
        <w:rPr>
          <w:sz w:val="24"/>
          <w:szCs w:val="24"/>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760730</wp:posOffset>
            </wp:positionV>
            <wp:extent cx="717804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17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On December 8, 2022, Pharvaris N.V. issued (i) a press release announcing top-line data for its RAPIDe-1 Phase 2 study and (ii) a press release reporting financial results and other business updates for the third quarter of 2022. Copies of these press releases are attached hereto as Exhibits 99.1 and 99.2, respectively. Exhibit 99.2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Exhibits 99.1, 99.3 and 99.4 to this Report on Form 6-K shall be deemed to be incorporated by reference into the registration statements on Form F-3 (Registration Number 333-263198) and Form S-8 (Registration Numbers 333-252897) of Pharvaris N.V. and to be a part thereof from the date on which this report is filed, to the extent not superseded by documents or reports subsequently filed or furnished.</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361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u w:val="single" w:color="auto"/>
          <w:color w:val="0000EE"/>
        </w:rPr>
        <w:t>Press Release, dated December 8, 2022 (Clinical Study Results).</w:t>
      </w:r>
    </w:p>
    <w:p>
      <w:pPr>
        <w:spacing w:after="0" w:line="1"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6"/>
          <w:szCs w:val="16"/>
          <w:u w:val="single" w:color="auto"/>
          <w:color w:val="0000EE"/>
        </w:rPr>
        <w:t>Press Release, dated December 8, 2022 (Financial Results).</w:t>
      </w:r>
    </w:p>
    <w:p>
      <w:pPr>
        <w:spacing w:after="0" w:line="3" w:lineRule="exact"/>
        <w:rPr>
          <w:sz w:val="20"/>
          <w:szCs w:val="20"/>
          <w:color w:val="auto"/>
        </w:rPr>
      </w:pPr>
    </w:p>
    <w:p>
      <w:pPr>
        <w:ind w:left="1140" w:hanging="776"/>
        <w:spacing w:after="0" w:line="243" w:lineRule="auto"/>
        <w:tabs>
          <w:tab w:leader="none" w:pos="112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8"/>
          <w:szCs w:val="18"/>
          <w:u w:val="single" w:color="auto"/>
          <w:color w:val="0000EE"/>
        </w:rPr>
        <w:t>Management’s Discussion and Analysis of Financial Condition and Results of Operations as of and for the Three and Nine Months Ended September 30, 2022</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6"/>
          <w:szCs w:val="16"/>
          <w:u w:val="single" w:color="auto"/>
          <w:color w:val="0000EE"/>
        </w:rPr>
        <w:t>Unaudited Condensed Consolidated Interim Financial Statements as of and for the Three and Nine Months Ended September 30, 2022</w:t>
      </w:r>
      <w:r>
        <w:rPr>
          <w:rFonts w:ascii="Times New Roman" w:cs="Times New Roman" w:eastAsia="Times New Roman" w:hAnsi="Times New Roman"/>
          <w:sz w:val="16"/>
          <w:szCs w:val="16"/>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800"/>
          </w:cols>
          <w:pgMar w:left="320" w:top="553" w:right="7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PHARVARIS N.V.</w:t>
            </w:r>
          </w:p>
        </w:tc>
      </w:tr>
      <w:tr>
        <w:trPr>
          <w:trHeight w:val="42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8, 2022</w:t>
            </w:r>
          </w:p>
        </w:tc>
        <w:tc>
          <w:tcPr>
            <w:tcW w:w="374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Berndt Modig</w:t>
            </w:r>
          </w:p>
        </w:tc>
      </w:tr>
      <w:tr>
        <w:trPr>
          <w:trHeight w:val="186"/>
        </w:trPr>
        <w:tc>
          <w:tcPr>
            <w:tcW w:w="3640" w:type="dxa"/>
            <w:vAlign w:val="bottom"/>
          </w:tcPr>
          <w:p>
            <w:pPr>
              <w:spacing w:after="0"/>
              <w:rPr>
                <w:sz w:val="16"/>
                <w:szCs w:val="16"/>
                <w:color w:val="auto"/>
              </w:rPr>
            </w:pPr>
          </w:p>
        </w:tc>
        <w:tc>
          <w:tcPr>
            <w:tcW w:w="3740" w:type="dxa"/>
            <w:vAlign w:val="bottom"/>
          </w:tcPr>
          <w:p>
            <w:pPr>
              <w:ind w:left="3140"/>
              <w:spacing w:after="0" w:line="186"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Berndt Modig</w:t>
            </w:r>
          </w:p>
        </w:tc>
      </w:tr>
      <w:tr>
        <w:trPr>
          <w:trHeight w:val="228"/>
        </w:trPr>
        <w:tc>
          <w:tcPr>
            <w:tcW w:w="3640" w:type="dxa"/>
            <w:vAlign w:val="bottom"/>
          </w:tcPr>
          <w:p>
            <w:pPr>
              <w:spacing w:after="0"/>
              <w:rPr>
                <w:sz w:val="19"/>
                <w:szCs w:val="19"/>
                <w:color w:val="auto"/>
              </w:rPr>
            </w:pPr>
          </w:p>
        </w:tc>
        <w:tc>
          <w:tcPr>
            <w:tcW w:w="374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7"/>
        </w:trPr>
        <w:tc>
          <w:tcPr>
            <w:tcW w:w="3640" w:type="dxa"/>
            <w:vAlign w:val="bottom"/>
          </w:tcPr>
          <w:p>
            <w:pPr>
              <w:spacing w:after="0"/>
              <w:rPr>
                <w:sz w:val="24"/>
                <w:szCs w:val="24"/>
                <w:color w:val="auto"/>
              </w:rPr>
            </w:pPr>
          </w:p>
        </w:tc>
        <w:tc>
          <w:tcPr>
            <w:tcW w:w="3740" w:type="dxa"/>
            <w:vAlign w:val="bottom"/>
          </w:tcPr>
          <w:p>
            <w:pPr>
              <w:jc w:val="right"/>
              <w:ind w:right="1632"/>
              <w:spacing w:after="0"/>
              <w:rPr>
                <w:sz w:val="20"/>
                <w:szCs w:val="20"/>
                <w:color w:val="auto"/>
              </w:rPr>
            </w:pPr>
            <w:r>
              <w:rPr>
                <w:rFonts w:ascii="Times New Roman" w:cs="Times New Roman" w:eastAsia="Times New Roman" w:hAnsi="Times New Roman"/>
                <w:sz w:val="18"/>
                <w:szCs w:val="18"/>
                <w:color w:val="auto"/>
              </w:rPr>
              <w:t>3</w:t>
            </w:r>
          </w:p>
        </w:tc>
        <w:tc>
          <w:tcPr>
            <w:tcW w:w="386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4" w:name="page5"/>
    <w:bookmarkEnd w:id="4"/>
    <w:p>
      <w:pPr>
        <w:ind w:left="10280"/>
        <w:spacing w:after="0"/>
        <w:rPr>
          <w:sz w:val="20"/>
          <w:szCs w:val="20"/>
          <w:color w:val="auto"/>
        </w:rPr>
      </w:pPr>
      <w:r>
        <w:rPr>
          <w:rFonts w:ascii="Calibri" w:cs="Calibri" w:eastAsia="Calibri" w:hAnsi="Calibri"/>
          <w:sz w:val="19"/>
          <w:szCs w:val="19"/>
          <w:b w:val="1"/>
          <w:bCs w:val="1"/>
          <w:color w:val="auto"/>
        </w:rPr>
        <w:t>Exhibit 99.1</w:t>
      </w:r>
    </w:p>
    <w:p>
      <w:pPr>
        <w:spacing w:after="0" w:line="4" w:lineRule="exact"/>
        <w:rPr>
          <w:sz w:val="20"/>
          <w:szCs w:val="20"/>
          <w:color w:val="auto"/>
        </w:rPr>
      </w:pPr>
    </w:p>
    <w:p>
      <w:pPr>
        <w:jc w:val="center"/>
        <w:ind w:left="340" w:right="380"/>
        <w:spacing w:after="0" w:line="252" w:lineRule="auto"/>
        <w:rPr>
          <w:sz w:val="20"/>
          <w:szCs w:val="20"/>
          <w:color w:val="auto"/>
        </w:rPr>
      </w:pPr>
      <w:r>
        <w:rPr>
          <w:rFonts w:ascii="Times New Roman" w:cs="Times New Roman" w:eastAsia="Times New Roman" w:hAnsi="Times New Roman"/>
          <w:sz w:val="25"/>
          <w:szCs w:val="25"/>
          <w:b w:val="1"/>
          <w:bCs w:val="1"/>
          <w:color w:val="auto"/>
        </w:rPr>
        <w:t>Pharvaris Announces Positive Top-line Phase 2 Data from RAPIDe-1 Study of PHVS416 for the On-Demand Treatment of HAE Attacks</w:t>
      </w:r>
    </w:p>
    <w:p>
      <w:pPr>
        <w:spacing w:after="0" w:line="1" w:lineRule="exact"/>
        <w:rPr>
          <w:sz w:val="20"/>
          <w:szCs w:val="20"/>
          <w:color w:val="auto"/>
        </w:rPr>
      </w:pPr>
    </w:p>
    <w:p>
      <w:pPr>
        <w:ind w:left="840" w:hanging="414"/>
        <w:spacing w:after="0"/>
        <w:tabs>
          <w:tab w:leader="none" w:pos="84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Primary endpoint met, substantially reducing HAE attack symptoms</w:t>
      </w:r>
    </w:p>
    <w:p>
      <w:pPr>
        <w:spacing w:after="0" w:line="11" w:lineRule="exact"/>
        <w:rPr>
          <w:rFonts w:ascii="Times New Roman" w:cs="Times New Roman" w:eastAsia="Times New Roman" w:hAnsi="Times New Roman"/>
          <w:sz w:val="19"/>
          <w:szCs w:val="19"/>
          <w:color w:val="auto"/>
        </w:rPr>
      </w:pPr>
    </w:p>
    <w:p>
      <w:pPr>
        <w:ind w:left="840" w:hanging="414"/>
        <w:spacing w:after="0"/>
        <w:tabs>
          <w:tab w:leader="none" w:pos="84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secondary endpoints met</w:t>
      </w:r>
    </w:p>
    <w:p>
      <w:pPr>
        <w:spacing w:after="0" w:line="18" w:lineRule="exact"/>
        <w:rPr>
          <w:rFonts w:ascii="Times New Roman" w:cs="Times New Roman" w:eastAsia="Times New Roman" w:hAnsi="Times New Roman"/>
          <w:sz w:val="19"/>
          <w:szCs w:val="19"/>
          <w:color w:val="auto"/>
        </w:rPr>
      </w:pPr>
    </w:p>
    <w:p>
      <w:pPr>
        <w:ind w:left="840" w:hanging="414"/>
        <w:spacing w:after="0"/>
        <w:tabs>
          <w:tab w:leader="none" w:pos="84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PHVS416 was well tolerated at all dose levels</w:t>
      </w:r>
    </w:p>
    <w:p>
      <w:pPr>
        <w:spacing w:after="0" w:line="18" w:lineRule="exact"/>
        <w:rPr>
          <w:rFonts w:ascii="Times New Roman" w:cs="Times New Roman" w:eastAsia="Times New Roman" w:hAnsi="Times New Roman"/>
          <w:sz w:val="19"/>
          <w:szCs w:val="19"/>
          <w:color w:val="auto"/>
        </w:rPr>
      </w:pPr>
    </w:p>
    <w:p>
      <w:pPr>
        <w:ind w:left="840" w:hanging="414"/>
        <w:spacing w:after="0"/>
        <w:tabs>
          <w:tab w:leader="none" w:pos="84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Pharvaris to host a conference call today at 8:00 a.m. ET</w:t>
      </w:r>
    </w:p>
    <w:p>
      <w:pPr>
        <w:spacing w:after="0" w:line="22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ZUG, Switzerland, December 8, 2022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u w:val="single" w:color="auto"/>
          <w:color w:val="auto"/>
        </w:rPr>
        <w:t>Pharvaris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(Nasdaq: PHVS), a clinical-stage company developing novel, oral bradykinin-B2-receptor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antagonists to treat and prevent hereditary angioedema (HAE) attacks, today announced positive top-line data from the RAPIDe-1 Phase 2 clinical study, demonstrating statistically significant results of PHVS416 as an oral on-demand treatment for HAE attacks. Pharvaris plans to present data from the study at future medical meetings.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RAPIDe-1 Clinical Study Design and Results</w:t>
      </w:r>
    </w:p>
    <w:p>
      <w:pPr>
        <w:spacing w:after="0" w:line="3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auto"/>
        </w:rPr>
        <w:t xml:space="preserve">RAPIDe-1 is a Phase 2, double-blind, placebo-controlled, randomized, crossover, dose-ranging study of PHVS416 softgel capsule for the acute treatment of angioedema attacks in patients with Type I or II HAE. Seventy-four patients were enrolled across 13 countries and were randomized into one of three single dose levels of PHVS416 and placebo. The study compares symptom relief during HAE attacks and the safety of each dose of PHVS416 with placebo. In Part I of the study, participants in a non-attack state received the assigned single dose of PHVS416 at the study center to assess its pharmacokinetics and safety. In Part II, participants self-administer blinded study drug at home to treat three physician-confirmed HAE attacks with PHVS416 or placebo. Additional information on the study can be found at: </w:t>
      </w:r>
      <w:r>
        <w:rPr>
          <w:rFonts w:ascii="Times New Roman" w:cs="Times New Roman" w:eastAsia="Times New Roman" w:hAnsi="Times New Roman"/>
          <w:sz w:val="19"/>
          <w:szCs w:val="19"/>
          <w:u w:val="single" w:color="auto"/>
          <w:color w:val="auto"/>
        </w:rPr>
        <w:t>NCT04618211</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right="600"/>
        <w:spacing w:after="0" w:line="253" w:lineRule="auto"/>
        <w:rPr>
          <w:sz w:val="20"/>
          <w:szCs w:val="20"/>
          <w:color w:val="auto"/>
        </w:rPr>
      </w:pPr>
      <w:r>
        <w:rPr>
          <w:rFonts w:ascii="Times New Roman" w:cs="Times New Roman" w:eastAsia="Times New Roman" w:hAnsi="Times New Roman"/>
          <w:sz w:val="19"/>
          <w:szCs w:val="19"/>
          <w:color w:val="auto"/>
        </w:rPr>
        <w:t>The primary endpoint of the study (Table 1) is the change of a three-symptom composite (skin pain, skin swelling, abdominal pain) visual analogue scale (VAS-3) score from pre-treatment to four hours post-treatment, as captured electronically using numerically assisted input. Topline data from 147 attacks collected by 62 patients show that dose levels of PHVS416 significantly reduces attack symptoms.</w:t>
      </w:r>
    </w:p>
    <w:p>
      <w:pPr>
        <w:spacing w:after="0" w:line="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9"/>
          <w:szCs w:val="19"/>
          <w:color w:val="242424"/>
        </w:rPr>
        <w:t>The statistical tests for the primary and all key secondary endpoints followed a pre-specified multiple comparison procedure to assess statistical significance for PHVS416 20 mg and 30 mg, supported by a nominal statistical analysis for PHVS416 10 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591820</wp:posOffset>
            </wp:positionV>
            <wp:extent cx="71780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 w:name="page6"/>
    <w:bookmarkEnd w:id="5"/>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Table 1 Results of the Primary Endpoint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shd w:val="clear" w:color="auto" w:fill="D9D9D9"/>
          </w:tcPr>
          <w:p>
            <w:pPr>
              <w:spacing w:after="0"/>
              <w:rPr>
                <w:sz w:val="17"/>
                <w:szCs w:val="17"/>
                <w:color w:val="auto"/>
              </w:rPr>
            </w:pPr>
          </w:p>
        </w:tc>
        <w:tc>
          <w:tcPr>
            <w:tcW w:w="1880" w:type="dxa"/>
            <w:vAlign w:val="bottom"/>
            <w:vMerge w:val="restart"/>
            <w:shd w:val="clear" w:color="auto" w:fill="D9D9D9"/>
          </w:tcPr>
          <w:p>
            <w:pPr>
              <w:jc w:val="center"/>
              <w:ind w:left="112"/>
              <w:spacing w:after="0"/>
              <w:rPr>
                <w:sz w:val="20"/>
                <w:szCs w:val="20"/>
                <w:color w:val="auto"/>
              </w:rPr>
            </w:pPr>
            <w:r>
              <w:rPr>
                <w:rFonts w:ascii="Times New Roman" w:cs="Times New Roman" w:eastAsia="Times New Roman" w:hAnsi="Times New Roman"/>
                <w:sz w:val="18"/>
                <w:szCs w:val="18"/>
                <w:color w:val="auto"/>
                <w:w w:val="98"/>
              </w:rPr>
              <w:t>Placebo</w:t>
            </w:r>
          </w:p>
        </w:tc>
        <w:tc>
          <w:tcPr>
            <w:tcW w:w="18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PHVS416</w:t>
            </w:r>
          </w:p>
        </w:tc>
        <w:tc>
          <w:tcPr>
            <w:tcW w:w="17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PHVS416</w:t>
            </w:r>
          </w:p>
        </w:tc>
        <w:tc>
          <w:tcPr>
            <w:tcW w:w="17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PHVS416</w:t>
            </w:r>
          </w:p>
        </w:tc>
        <w:tc>
          <w:tcPr>
            <w:tcW w:w="1300" w:type="dxa"/>
            <w:vAlign w:val="bottom"/>
            <w:shd w:val="clear" w:color="auto" w:fill="D9D9D9"/>
          </w:tcPr>
          <w:p>
            <w:pPr>
              <w:ind w:left="480"/>
              <w:spacing w:after="0"/>
              <w:rPr>
                <w:sz w:val="20"/>
                <w:szCs w:val="20"/>
                <w:color w:val="auto"/>
              </w:rPr>
            </w:pPr>
            <w:r>
              <w:rPr>
                <w:rFonts w:ascii="Times New Roman" w:cs="Times New Roman" w:eastAsia="Times New Roman" w:hAnsi="Times New Roman"/>
                <w:sz w:val="18"/>
                <w:szCs w:val="18"/>
                <w:color w:val="auto"/>
              </w:rPr>
              <w:t>Combined</w:t>
            </w:r>
          </w:p>
        </w:tc>
        <w:tc>
          <w:tcPr>
            <w:tcW w:w="0" w:type="dxa"/>
            <w:vAlign w:val="bottom"/>
          </w:tcPr>
          <w:p>
            <w:pPr>
              <w:spacing w:after="0"/>
              <w:rPr>
                <w:sz w:val="1"/>
                <w:szCs w:val="1"/>
                <w:color w:val="auto"/>
              </w:rPr>
            </w:pPr>
          </w:p>
        </w:tc>
      </w:tr>
      <w:tr>
        <w:trPr>
          <w:trHeight w:val="105"/>
        </w:trPr>
        <w:tc>
          <w:tcPr>
            <w:tcW w:w="2840" w:type="dxa"/>
            <w:vAlign w:val="bottom"/>
            <w:shd w:val="clear" w:color="auto" w:fill="D9D9D9"/>
          </w:tcPr>
          <w:p>
            <w:pPr>
              <w:spacing w:after="0"/>
              <w:rPr>
                <w:sz w:val="9"/>
                <w:szCs w:val="9"/>
                <w:color w:val="auto"/>
              </w:rPr>
            </w:pPr>
          </w:p>
        </w:tc>
        <w:tc>
          <w:tcPr>
            <w:tcW w:w="1880" w:type="dxa"/>
            <w:vAlign w:val="bottom"/>
            <w:vMerge w:val="continue"/>
            <w:shd w:val="clear" w:color="auto" w:fill="D9D9D9"/>
          </w:tcPr>
          <w:p>
            <w:pPr>
              <w:spacing w:after="0"/>
              <w:rPr>
                <w:sz w:val="9"/>
                <w:szCs w:val="9"/>
                <w:color w:val="auto"/>
              </w:rPr>
            </w:pPr>
          </w:p>
        </w:tc>
        <w:tc>
          <w:tcPr>
            <w:tcW w:w="184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10 mg</w:t>
            </w:r>
          </w:p>
        </w:tc>
        <w:tc>
          <w:tcPr>
            <w:tcW w:w="178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20 mg</w:t>
            </w:r>
          </w:p>
        </w:tc>
        <w:tc>
          <w:tcPr>
            <w:tcW w:w="1700" w:type="dxa"/>
            <w:vAlign w:val="bottom"/>
            <w:vMerge w:val="restart"/>
            <w:shd w:val="clear" w:color="auto" w:fill="D9D9D9"/>
          </w:tcPr>
          <w:p>
            <w:pPr>
              <w:jc w:val="center"/>
              <w:ind w:left="12"/>
              <w:spacing w:after="0"/>
              <w:rPr>
                <w:sz w:val="20"/>
                <w:szCs w:val="20"/>
                <w:color w:val="auto"/>
              </w:rPr>
            </w:pPr>
            <w:r>
              <w:rPr>
                <w:rFonts w:ascii="Times New Roman" w:cs="Times New Roman" w:eastAsia="Times New Roman" w:hAnsi="Times New Roman"/>
                <w:sz w:val="18"/>
                <w:szCs w:val="18"/>
                <w:color w:val="auto"/>
                <w:w w:val="96"/>
              </w:rPr>
              <w:t>30 mg</w:t>
            </w:r>
          </w:p>
        </w:tc>
        <w:tc>
          <w:tcPr>
            <w:tcW w:w="1300" w:type="dxa"/>
            <w:vAlign w:val="bottom"/>
            <w:vMerge w:val="restart"/>
            <w:shd w:val="clear" w:color="auto" w:fill="D9D9D9"/>
          </w:tcPr>
          <w:p>
            <w:pPr>
              <w:jc w:val="center"/>
              <w:ind w:left="312"/>
              <w:spacing w:after="0"/>
              <w:rPr>
                <w:sz w:val="20"/>
                <w:szCs w:val="20"/>
                <w:color w:val="auto"/>
              </w:rPr>
            </w:pPr>
            <w:r>
              <w:rPr>
                <w:rFonts w:ascii="Times New Roman" w:cs="Times New Roman" w:eastAsia="Times New Roman" w:hAnsi="Times New Roman"/>
                <w:sz w:val="18"/>
                <w:szCs w:val="18"/>
                <w:color w:val="auto"/>
                <w:w w:val="95"/>
              </w:rPr>
              <w:t>PHVS416*</w:t>
            </w:r>
          </w:p>
        </w:tc>
        <w:tc>
          <w:tcPr>
            <w:tcW w:w="0" w:type="dxa"/>
            <w:vAlign w:val="bottom"/>
          </w:tcPr>
          <w:p>
            <w:pPr>
              <w:spacing w:after="0"/>
              <w:rPr>
                <w:sz w:val="1"/>
                <w:szCs w:val="1"/>
                <w:color w:val="auto"/>
              </w:rPr>
            </w:pPr>
          </w:p>
        </w:tc>
      </w:tr>
      <w:tr>
        <w:trPr>
          <w:trHeight w:val="105"/>
        </w:trPr>
        <w:tc>
          <w:tcPr>
            <w:tcW w:w="2840" w:type="dxa"/>
            <w:vAlign w:val="bottom"/>
            <w:shd w:val="clear" w:color="auto" w:fill="D9D9D9"/>
          </w:tcPr>
          <w:p>
            <w:pPr>
              <w:spacing w:after="0"/>
              <w:rPr>
                <w:sz w:val="9"/>
                <w:szCs w:val="9"/>
                <w:color w:val="auto"/>
              </w:rPr>
            </w:pPr>
          </w:p>
        </w:tc>
        <w:tc>
          <w:tcPr>
            <w:tcW w:w="1880" w:type="dxa"/>
            <w:vAlign w:val="bottom"/>
            <w:vMerge w:val="restart"/>
            <w:shd w:val="clear" w:color="auto" w:fill="D9D9D9"/>
          </w:tcPr>
          <w:p>
            <w:pPr>
              <w:jc w:val="center"/>
              <w:ind w:left="112"/>
              <w:spacing w:after="0"/>
              <w:rPr>
                <w:sz w:val="20"/>
                <w:szCs w:val="20"/>
                <w:color w:val="auto"/>
              </w:rPr>
            </w:pPr>
            <w:r>
              <w:rPr>
                <w:rFonts w:ascii="Times New Roman" w:cs="Times New Roman" w:eastAsia="Times New Roman" w:hAnsi="Times New Roman"/>
                <w:sz w:val="18"/>
                <w:szCs w:val="18"/>
                <w:color w:val="auto"/>
                <w:w w:val="97"/>
              </w:rPr>
              <w:t>N=51</w:t>
            </w:r>
          </w:p>
        </w:tc>
        <w:tc>
          <w:tcPr>
            <w:tcW w:w="1840" w:type="dxa"/>
            <w:vAlign w:val="bottom"/>
            <w:vMerge w:val="continue"/>
            <w:shd w:val="clear" w:color="auto" w:fill="D9D9D9"/>
          </w:tcPr>
          <w:p>
            <w:pPr>
              <w:spacing w:after="0"/>
              <w:rPr>
                <w:sz w:val="9"/>
                <w:szCs w:val="9"/>
                <w:color w:val="auto"/>
              </w:rPr>
            </w:pPr>
          </w:p>
        </w:tc>
        <w:tc>
          <w:tcPr>
            <w:tcW w:w="1780" w:type="dxa"/>
            <w:vAlign w:val="bottom"/>
            <w:vMerge w:val="continue"/>
            <w:shd w:val="clear" w:color="auto" w:fill="D9D9D9"/>
          </w:tcPr>
          <w:p>
            <w:pPr>
              <w:spacing w:after="0"/>
              <w:rPr>
                <w:sz w:val="9"/>
                <w:szCs w:val="9"/>
                <w:color w:val="auto"/>
              </w:rPr>
            </w:pPr>
          </w:p>
        </w:tc>
        <w:tc>
          <w:tcPr>
            <w:tcW w:w="1700" w:type="dxa"/>
            <w:vAlign w:val="bottom"/>
            <w:vMerge w:val="continue"/>
            <w:shd w:val="clear" w:color="auto" w:fill="D9D9D9"/>
          </w:tcPr>
          <w:p>
            <w:pPr>
              <w:spacing w:after="0"/>
              <w:rPr>
                <w:sz w:val="9"/>
                <w:szCs w:val="9"/>
                <w:color w:val="auto"/>
              </w:rPr>
            </w:pPr>
          </w:p>
        </w:tc>
        <w:tc>
          <w:tcPr>
            <w:tcW w:w="1300" w:type="dxa"/>
            <w:vAlign w:val="bottom"/>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40" w:type="dxa"/>
            <w:vAlign w:val="bottom"/>
            <w:shd w:val="clear" w:color="auto" w:fill="D9D9D9"/>
          </w:tcPr>
          <w:p>
            <w:pPr>
              <w:spacing w:after="0"/>
              <w:rPr>
                <w:sz w:val="10"/>
                <w:szCs w:val="10"/>
                <w:color w:val="auto"/>
              </w:rPr>
            </w:pPr>
          </w:p>
        </w:tc>
        <w:tc>
          <w:tcPr>
            <w:tcW w:w="1880" w:type="dxa"/>
            <w:vAlign w:val="bottom"/>
            <w:vMerge w:val="continue"/>
            <w:shd w:val="clear" w:color="auto" w:fill="D9D9D9"/>
          </w:tcPr>
          <w:p>
            <w:pPr>
              <w:spacing w:after="0"/>
              <w:rPr>
                <w:sz w:val="10"/>
                <w:szCs w:val="10"/>
                <w:color w:val="auto"/>
              </w:rPr>
            </w:pPr>
          </w:p>
        </w:tc>
        <w:tc>
          <w:tcPr>
            <w:tcW w:w="184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N=37</w:t>
            </w:r>
          </w:p>
        </w:tc>
        <w:tc>
          <w:tcPr>
            <w:tcW w:w="178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N=28</w:t>
            </w:r>
          </w:p>
        </w:tc>
        <w:tc>
          <w:tcPr>
            <w:tcW w:w="1700" w:type="dxa"/>
            <w:vAlign w:val="bottom"/>
            <w:vMerge w:val="restart"/>
            <w:shd w:val="clear" w:color="auto" w:fill="D9D9D9"/>
          </w:tcPr>
          <w:p>
            <w:pPr>
              <w:jc w:val="center"/>
              <w:ind w:left="12"/>
              <w:spacing w:after="0"/>
              <w:rPr>
                <w:sz w:val="20"/>
                <w:szCs w:val="20"/>
                <w:color w:val="auto"/>
              </w:rPr>
            </w:pPr>
            <w:r>
              <w:rPr>
                <w:rFonts w:ascii="Times New Roman" w:cs="Times New Roman" w:eastAsia="Times New Roman" w:hAnsi="Times New Roman"/>
                <w:sz w:val="18"/>
                <w:szCs w:val="18"/>
                <w:color w:val="auto"/>
                <w:w w:val="97"/>
              </w:rPr>
              <w:t>N=31</w:t>
            </w:r>
          </w:p>
        </w:tc>
        <w:tc>
          <w:tcPr>
            <w:tcW w:w="1300" w:type="dxa"/>
            <w:vAlign w:val="bottom"/>
            <w:vMerge w:val="restart"/>
            <w:shd w:val="clear" w:color="auto" w:fill="D9D9D9"/>
          </w:tcPr>
          <w:p>
            <w:pPr>
              <w:jc w:val="center"/>
              <w:ind w:left="312"/>
              <w:spacing w:after="0"/>
              <w:rPr>
                <w:sz w:val="20"/>
                <w:szCs w:val="20"/>
                <w:color w:val="auto"/>
              </w:rPr>
            </w:pPr>
            <w:r>
              <w:rPr>
                <w:rFonts w:ascii="Times New Roman" w:cs="Times New Roman" w:eastAsia="Times New Roman" w:hAnsi="Times New Roman"/>
                <w:sz w:val="18"/>
                <w:szCs w:val="18"/>
                <w:color w:val="auto"/>
              </w:rPr>
              <w:t>N=96</w:t>
            </w:r>
          </w:p>
        </w:tc>
        <w:tc>
          <w:tcPr>
            <w:tcW w:w="0" w:type="dxa"/>
            <w:vAlign w:val="bottom"/>
          </w:tcPr>
          <w:p>
            <w:pPr>
              <w:spacing w:after="0"/>
              <w:rPr>
                <w:sz w:val="1"/>
                <w:szCs w:val="1"/>
                <w:color w:val="auto"/>
              </w:rPr>
            </w:pPr>
          </w:p>
        </w:tc>
      </w:tr>
      <w:tr>
        <w:trPr>
          <w:trHeight w:val="106"/>
        </w:trPr>
        <w:tc>
          <w:tcPr>
            <w:tcW w:w="2840" w:type="dxa"/>
            <w:vAlign w:val="bottom"/>
            <w:shd w:val="clear" w:color="auto" w:fill="D9D9D9"/>
          </w:tcPr>
          <w:p>
            <w:pPr>
              <w:spacing w:after="0"/>
              <w:rPr>
                <w:sz w:val="9"/>
                <w:szCs w:val="9"/>
                <w:color w:val="auto"/>
              </w:rPr>
            </w:pPr>
          </w:p>
        </w:tc>
        <w:tc>
          <w:tcPr>
            <w:tcW w:w="1880" w:type="dxa"/>
            <w:vAlign w:val="bottom"/>
            <w:shd w:val="clear" w:color="auto" w:fill="D9D9D9"/>
          </w:tcPr>
          <w:p>
            <w:pPr>
              <w:spacing w:after="0"/>
              <w:rPr>
                <w:sz w:val="9"/>
                <w:szCs w:val="9"/>
                <w:color w:val="auto"/>
              </w:rPr>
            </w:pPr>
          </w:p>
        </w:tc>
        <w:tc>
          <w:tcPr>
            <w:tcW w:w="1840" w:type="dxa"/>
            <w:vAlign w:val="bottom"/>
            <w:vMerge w:val="continue"/>
            <w:shd w:val="clear" w:color="auto" w:fill="D9D9D9"/>
          </w:tcPr>
          <w:p>
            <w:pPr>
              <w:spacing w:after="0"/>
              <w:rPr>
                <w:sz w:val="9"/>
                <w:szCs w:val="9"/>
                <w:color w:val="auto"/>
              </w:rPr>
            </w:pPr>
          </w:p>
        </w:tc>
        <w:tc>
          <w:tcPr>
            <w:tcW w:w="1780" w:type="dxa"/>
            <w:vAlign w:val="bottom"/>
            <w:vMerge w:val="continue"/>
            <w:shd w:val="clear" w:color="auto" w:fill="D9D9D9"/>
          </w:tcPr>
          <w:p>
            <w:pPr>
              <w:spacing w:after="0"/>
              <w:rPr>
                <w:sz w:val="9"/>
                <w:szCs w:val="9"/>
                <w:color w:val="auto"/>
              </w:rPr>
            </w:pPr>
          </w:p>
        </w:tc>
        <w:tc>
          <w:tcPr>
            <w:tcW w:w="1700" w:type="dxa"/>
            <w:vAlign w:val="bottom"/>
            <w:vMerge w:val="continue"/>
            <w:shd w:val="clear" w:color="auto" w:fill="D9D9D9"/>
          </w:tcPr>
          <w:p>
            <w:pPr>
              <w:spacing w:after="0"/>
              <w:rPr>
                <w:sz w:val="9"/>
                <w:szCs w:val="9"/>
                <w:color w:val="auto"/>
              </w:rPr>
            </w:pPr>
          </w:p>
        </w:tc>
        <w:tc>
          <w:tcPr>
            <w:tcW w:w="1300" w:type="dxa"/>
            <w:vAlign w:val="bottom"/>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Mean VAS-3 at pre-treatment</w:t>
            </w:r>
          </w:p>
        </w:tc>
        <w:tc>
          <w:tcPr>
            <w:tcW w:w="18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27.76</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26.16</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25.46</w:t>
            </w:r>
          </w:p>
        </w:tc>
        <w:tc>
          <w:tcPr>
            <w:tcW w:w="17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29.73</w:t>
            </w:r>
          </w:p>
        </w:tc>
        <w:tc>
          <w:tcPr>
            <w:tcW w:w="13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3"/>
              </w:rPr>
              <w:t>27.11</w:t>
            </w:r>
          </w:p>
        </w:tc>
        <w:tc>
          <w:tcPr>
            <w:tcW w:w="0" w:type="dxa"/>
            <w:vAlign w:val="bottom"/>
          </w:tcPr>
          <w:p>
            <w:pPr>
              <w:spacing w:after="0"/>
              <w:rPr>
                <w:sz w:val="1"/>
                <w:szCs w:val="1"/>
                <w:color w:val="auto"/>
              </w:rPr>
            </w:pPr>
          </w:p>
        </w:tc>
      </w:tr>
      <w:tr>
        <w:trPr>
          <w:trHeight w:val="2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VAS-3 at 4 hours</w:t>
            </w:r>
          </w:p>
        </w:tc>
        <w:tc>
          <w:tcPr>
            <w:tcW w:w="1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LS mean difference:</w:t>
            </w:r>
          </w:p>
        </w:tc>
        <w:tc>
          <w:tcPr>
            <w:tcW w:w="1880" w:type="dxa"/>
            <w:vAlign w:val="bottom"/>
          </w:tcPr>
          <w:p>
            <w:pPr>
              <w:spacing w:after="0"/>
              <w:rPr>
                <w:sz w:val="18"/>
                <w:szCs w:val="18"/>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-16.75</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-15.02</w:t>
            </w:r>
          </w:p>
        </w:tc>
        <w:tc>
          <w:tcPr>
            <w:tcW w:w="1700" w:type="dxa"/>
            <w:vAlign w:val="bottom"/>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8"/>
              </w:rPr>
              <w:t>-16.28</w:t>
            </w:r>
          </w:p>
        </w:tc>
        <w:tc>
          <w:tcPr>
            <w:tcW w:w="1300" w:type="dxa"/>
            <w:vAlign w:val="bottom"/>
            <w:vMerge w:val="restart"/>
          </w:tcPr>
          <w:p>
            <w:pPr>
              <w:jc w:val="center"/>
              <w:ind w:left="312"/>
              <w:spacing w:after="0"/>
              <w:rPr>
                <w:sz w:val="20"/>
                <w:szCs w:val="20"/>
                <w:color w:val="auto"/>
              </w:rPr>
            </w:pPr>
            <w:r>
              <w:rPr>
                <w:rFonts w:ascii="Times New Roman" w:cs="Times New Roman" w:eastAsia="Times New Roman" w:hAnsi="Times New Roman"/>
                <w:sz w:val="18"/>
                <w:szCs w:val="18"/>
                <w:color w:val="auto"/>
                <w:w w:val="98"/>
              </w:rPr>
              <w:t>-16.08</w:t>
            </w:r>
          </w:p>
        </w:tc>
        <w:tc>
          <w:tcPr>
            <w:tcW w:w="0" w:type="dxa"/>
            <w:vAlign w:val="bottom"/>
          </w:tcPr>
          <w:p>
            <w:pPr>
              <w:spacing w:after="0"/>
              <w:rPr>
                <w:sz w:val="1"/>
                <w:szCs w:val="1"/>
                <w:color w:val="auto"/>
              </w:rPr>
            </w:pPr>
          </w:p>
        </w:tc>
      </w:tr>
      <w:tr>
        <w:trPr>
          <w:trHeight w:val="123"/>
        </w:trPr>
        <w:tc>
          <w:tcPr>
            <w:tcW w:w="28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PHVS416 - Placebo</w:t>
            </w:r>
          </w:p>
        </w:tc>
        <w:tc>
          <w:tcPr>
            <w:tcW w:w="18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84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&lt;0.0001</w:t>
            </w:r>
            <w:r>
              <w:rPr>
                <w:rFonts w:ascii="Times New Roman" w:cs="Times New Roman" w:eastAsia="Times New Roman" w:hAnsi="Times New Roman"/>
                <w:sz w:val="16"/>
                <w:szCs w:val="16"/>
                <w:color w:val="auto"/>
                <w:w w:val="97"/>
              </w:rPr>
              <w:t>†</w:t>
            </w:r>
          </w:p>
        </w:tc>
        <w:tc>
          <w:tcPr>
            <w:tcW w:w="17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p-value</w:t>
            </w:r>
          </w:p>
        </w:tc>
        <w:tc>
          <w:tcPr>
            <w:tcW w:w="188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&lt;0.0001</w:t>
            </w:r>
          </w:p>
        </w:tc>
        <w:tc>
          <w:tcPr>
            <w:tcW w:w="17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&lt;0.0001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205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59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 = The number of attacks included in the mITT analysis set</w:t>
      </w:r>
    </w:p>
    <w:p>
      <w:pPr>
        <w:spacing w:after="0" w:line="215" w:lineRule="auto"/>
        <w:rPr>
          <w:sz w:val="20"/>
          <w:szCs w:val="20"/>
          <w:color w:val="auto"/>
        </w:rPr>
      </w:pPr>
      <w:r>
        <w:rPr>
          <w:rFonts w:ascii="Times New Roman" w:cs="Times New Roman" w:eastAsia="Times New Roman" w:hAnsi="Times New Roman"/>
          <w:sz w:val="14"/>
          <w:szCs w:val="14"/>
          <w:color w:val="auto"/>
        </w:rPr>
        <w:t>p-values for PHVS416 20mg and PHVS416 30mg are based on statistical tests in the pre-specified multiple comparison procedure, and other p-values are nominal</w:t>
      </w:r>
    </w:p>
    <w:p>
      <w:pPr>
        <w:spacing w:after="0" w:line="216" w:lineRule="auto"/>
        <w:rPr>
          <w:sz w:val="20"/>
          <w:szCs w:val="20"/>
          <w:color w:val="auto"/>
        </w:rPr>
      </w:pPr>
      <w:r>
        <w:rPr>
          <w:rFonts w:ascii="Times New Roman" w:cs="Times New Roman" w:eastAsia="Times New Roman" w:hAnsi="Times New Roman"/>
          <w:sz w:val="14"/>
          <w:szCs w:val="14"/>
          <w:color w:val="auto"/>
        </w:rPr>
        <w:t>LS = Least squares. The LS mean differences and p-values are based on mixed model for repeated measures</w:t>
      </w:r>
    </w:p>
    <w:p>
      <w:pPr>
        <w:ind w:right="3080"/>
        <w:spacing w:after="0"/>
        <w:rPr>
          <w:sz w:val="20"/>
          <w:szCs w:val="20"/>
          <w:color w:val="auto"/>
        </w:rPr>
      </w:pPr>
      <w:r>
        <w:rPr>
          <w:rFonts w:ascii="Times New Roman" w:cs="Times New Roman" w:eastAsia="Times New Roman" w:hAnsi="Times New Roman"/>
          <w:sz w:val="14"/>
          <w:szCs w:val="14"/>
          <w:color w:val="auto"/>
        </w:rPr>
        <w:t xml:space="preserve">*The combined PHVS416 results are based on post-hoc analyses to provide a reference of the result by pooling all attacks treated with active doses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Nominal p-value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key secondary endpoints of the study (Table 2) were met, demonstrating that PHVS416 significantly:</w:t>
      </w:r>
    </w:p>
    <w:p>
      <w:pPr>
        <w:spacing w:after="0" w:line="27" w:lineRule="exact"/>
        <w:rPr>
          <w:sz w:val="20"/>
          <w:szCs w:val="20"/>
          <w:color w:val="auto"/>
        </w:rPr>
      </w:pPr>
    </w:p>
    <w:p>
      <w:pPr>
        <w:ind w:left="840" w:hanging="414"/>
        <w:spacing w:after="0"/>
        <w:tabs>
          <w:tab w:leader="none" w:pos="8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Shortens the time to onset of symptom relief by a ≥30% reduction in VAS-3 score from the pre-treatment score</w:t>
      </w:r>
    </w:p>
    <w:p>
      <w:pPr>
        <w:spacing w:after="0" w:line="11" w:lineRule="exact"/>
        <w:rPr>
          <w:rFonts w:ascii="Times New Roman" w:cs="Times New Roman" w:eastAsia="Times New Roman" w:hAnsi="Times New Roman"/>
          <w:sz w:val="19"/>
          <w:szCs w:val="19"/>
          <w:color w:val="auto"/>
        </w:rPr>
      </w:pPr>
    </w:p>
    <w:p>
      <w:pPr>
        <w:ind w:left="840" w:hanging="414"/>
        <w:spacing w:after="0"/>
        <w:tabs>
          <w:tab w:leader="none" w:pos="8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Decreases time to a ≥50% reduction in VAS-3 score from the pre-treatment score</w:t>
      </w:r>
    </w:p>
    <w:p>
      <w:pPr>
        <w:spacing w:after="0" w:line="18" w:lineRule="exact"/>
        <w:rPr>
          <w:rFonts w:ascii="Times New Roman" w:cs="Times New Roman" w:eastAsia="Times New Roman" w:hAnsi="Times New Roman"/>
          <w:sz w:val="19"/>
          <w:szCs w:val="19"/>
          <w:color w:val="auto"/>
        </w:rPr>
      </w:pPr>
    </w:p>
    <w:p>
      <w:pPr>
        <w:ind w:left="840" w:hanging="414"/>
        <w:spacing w:after="0"/>
        <w:tabs>
          <w:tab w:leader="none" w:pos="8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Reduces time to almost complete or complete symptom relief by VAS-3</w:t>
      </w:r>
    </w:p>
    <w:p>
      <w:pPr>
        <w:spacing w:after="0" w:line="18" w:lineRule="exact"/>
        <w:rPr>
          <w:rFonts w:ascii="Times New Roman" w:cs="Times New Roman" w:eastAsia="Times New Roman" w:hAnsi="Times New Roman"/>
          <w:sz w:val="19"/>
          <w:szCs w:val="19"/>
          <w:color w:val="auto"/>
        </w:rPr>
      </w:pPr>
    </w:p>
    <w:p>
      <w:pPr>
        <w:ind w:left="840" w:hanging="414"/>
        <w:spacing w:after="0"/>
        <w:tabs>
          <w:tab w:leader="none" w:pos="8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Reduces mean symptom complex severity (MSCS) score from pre-treatment to four hours post-treatment</w:t>
      </w:r>
    </w:p>
    <w:p>
      <w:pPr>
        <w:spacing w:after="0" w:line="18" w:lineRule="exact"/>
        <w:rPr>
          <w:rFonts w:ascii="Times New Roman" w:cs="Times New Roman" w:eastAsia="Times New Roman" w:hAnsi="Times New Roman"/>
          <w:sz w:val="19"/>
          <w:szCs w:val="19"/>
          <w:color w:val="auto"/>
        </w:rPr>
      </w:pPr>
    </w:p>
    <w:p>
      <w:pPr>
        <w:ind w:left="840" w:hanging="414"/>
        <w:spacing w:after="0"/>
        <w:tabs>
          <w:tab w:leader="none" w:pos="8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Improves treatment outcome score (TOS) at four hours post-treatment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479425</wp:posOffset>
            </wp:positionV>
            <wp:extent cx="71780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340"/>
          </w:cols>
          <w:pgMar w:left="320" w:top="770" w:right="239" w:bottom="1440" w:gutter="0" w:footer="0" w:header="0"/>
        </w:sectPr>
      </w:pPr>
    </w:p>
    <w:bookmarkStart w:id="6" w:name="page7"/>
    <w:bookmarkEnd w:id="6"/>
    <w:p>
      <w:pPr>
        <w:ind w:left="4080"/>
        <w:spacing w:after="0"/>
        <w:rPr>
          <w:sz w:val="20"/>
          <w:szCs w:val="20"/>
          <w:color w:val="auto"/>
        </w:rPr>
      </w:pPr>
      <w:r>
        <w:rPr>
          <w:rFonts w:ascii="Times New Roman" w:cs="Times New Roman" w:eastAsia="Times New Roman" w:hAnsi="Times New Roman"/>
          <w:sz w:val="19"/>
          <w:szCs w:val="19"/>
          <w:b w:val="1"/>
          <w:bCs w:val="1"/>
          <w:i w:val="1"/>
          <w:iCs w:val="1"/>
          <w:color w:val="auto"/>
        </w:rPr>
        <w:t>Table 2 Results of Key Secondary Endpoints</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3940" w:type="dxa"/>
            <w:vAlign w:val="bottom"/>
            <w:shd w:val="clear" w:color="auto" w:fill="D9D9D9"/>
          </w:tcPr>
          <w:p>
            <w:pPr>
              <w:spacing w:after="0"/>
              <w:rPr>
                <w:sz w:val="17"/>
                <w:szCs w:val="17"/>
                <w:color w:val="auto"/>
              </w:rPr>
            </w:pPr>
          </w:p>
        </w:tc>
        <w:tc>
          <w:tcPr>
            <w:tcW w:w="940" w:type="dxa"/>
            <w:vAlign w:val="bottom"/>
            <w:shd w:val="clear" w:color="auto" w:fill="D9D9D9"/>
          </w:tcPr>
          <w:p>
            <w:pPr>
              <w:ind w:left="200"/>
              <w:spacing w:after="0"/>
              <w:rPr>
                <w:sz w:val="20"/>
                <w:szCs w:val="20"/>
                <w:color w:val="auto"/>
              </w:rPr>
            </w:pPr>
            <w:r>
              <w:rPr>
                <w:rFonts w:ascii="Times New Roman" w:cs="Times New Roman" w:eastAsia="Times New Roman" w:hAnsi="Times New Roman"/>
                <w:sz w:val="18"/>
                <w:szCs w:val="18"/>
                <w:color w:val="auto"/>
              </w:rPr>
              <w:t>Placebo</w:t>
            </w:r>
          </w:p>
        </w:tc>
        <w:tc>
          <w:tcPr>
            <w:tcW w:w="12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PHVS416 10</w:t>
            </w:r>
          </w:p>
        </w:tc>
        <w:tc>
          <w:tcPr>
            <w:tcW w:w="11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PHVS416 20</w:t>
            </w:r>
          </w:p>
        </w:tc>
        <w:tc>
          <w:tcPr>
            <w:tcW w:w="1320" w:type="dxa"/>
            <w:vAlign w:val="bottom"/>
            <w:shd w:val="clear" w:color="auto" w:fill="D9D9D9"/>
          </w:tcPr>
          <w:p>
            <w:pPr>
              <w:jc w:val="center"/>
              <w:ind w:right="32"/>
              <w:spacing w:after="0"/>
              <w:rPr>
                <w:sz w:val="20"/>
                <w:szCs w:val="20"/>
                <w:color w:val="auto"/>
              </w:rPr>
            </w:pPr>
            <w:r>
              <w:rPr>
                <w:rFonts w:ascii="Times New Roman" w:cs="Times New Roman" w:eastAsia="Times New Roman" w:hAnsi="Times New Roman"/>
                <w:sz w:val="18"/>
                <w:szCs w:val="18"/>
                <w:color w:val="auto"/>
                <w:w w:val="96"/>
              </w:rPr>
              <w:t>PHVS416 30</w:t>
            </w:r>
          </w:p>
        </w:tc>
        <w:tc>
          <w:tcPr>
            <w:tcW w:w="13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Combined</w:t>
            </w:r>
          </w:p>
        </w:tc>
        <w:tc>
          <w:tcPr>
            <w:tcW w:w="0" w:type="dxa"/>
            <w:vAlign w:val="bottom"/>
          </w:tcPr>
          <w:p>
            <w:pPr>
              <w:spacing w:after="0"/>
              <w:rPr>
                <w:sz w:val="1"/>
                <w:szCs w:val="1"/>
                <w:color w:val="auto"/>
              </w:rPr>
            </w:pPr>
          </w:p>
        </w:tc>
      </w:tr>
      <w:tr>
        <w:trPr>
          <w:trHeight w:val="210"/>
        </w:trPr>
        <w:tc>
          <w:tcPr>
            <w:tcW w:w="3940" w:type="dxa"/>
            <w:vAlign w:val="bottom"/>
            <w:shd w:val="clear" w:color="auto" w:fill="D9D9D9"/>
          </w:tcPr>
          <w:p>
            <w:pPr>
              <w:spacing w:after="0"/>
              <w:rPr>
                <w:sz w:val="18"/>
                <w:szCs w:val="18"/>
                <w:color w:val="auto"/>
              </w:rPr>
            </w:pPr>
          </w:p>
        </w:tc>
        <w:tc>
          <w:tcPr>
            <w:tcW w:w="940" w:type="dxa"/>
            <w:vAlign w:val="bottom"/>
            <w:shd w:val="clear" w:color="auto" w:fill="D9D9D9"/>
          </w:tcPr>
          <w:p>
            <w:pPr>
              <w:spacing w:after="0"/>
              <w:rPr>
                <w:sz w:val="18"/>
                <w:szCs w:val="18"/>
                <w:color w:val="auto"/>
              </w:rPr>
            </w:pPr>
          </w:p>
        </w:tc>
        <w:tc>
          <w:tcPr>
            <w:tcW w:w="1240" w:type="dxa"/>
            <w:vAlign w:val="bottom"/>
            <w:shd w:val="clear" w:color="auto" w:fill="D9D9D9"/>
          </w:tcPr>
          <w:p>
            <w:pPr>
              <w:ind w:left="540"/>
              <w:spacing w:after="0"/>
              <w:rPr>
                <w:sz w:val="20"/>
                <w:szCs w:val="20"/>
                <w:color w:val="auto"/>
              </w:rPr>
            </w:pPr>
            <w:r>
              <w:rPr>
                <w:rFonts w:ascii="Times New Roman" w:cs="Times New Roman" w:eastAsia="Times New Roman" w:hAnsi="Times New Roman"/>
                <w:sz w:val="18"/>
                <w:szCs w:val="18"/>
                <w:color w:val="auto"/>
              </w:rPr>
              <w:t>mg</w:t>
            </w:r>
          </w:p>
        </w:tc>
        <w:tc>
          <w:tcPr>
            <w:tcW w:w="1180" w:type="dxa"/>
            <w:vAlign w:val="bottom"/>
            <w:shd w:val="clear" w:color="auto" w:fill="D9D9D9"/>
          </w:tcPr>
          <w:p>
            <w:pPr>
              <w:ind w:left="480"/>
              <w:spacing w:after="0"/>
              <w:rPr>
                <w:sz w:val="20"/>
                <w:szCs w:val="20"/>
                <w:color w:val="auto"/>
              </w:rPr>
            </w:pPr>
            <w:r>
              <w:rPr>
                <w:rFonts w:ascii="Times New Roman" w:cs="Times New Roman" w:eastAsia="Times New Roman" w:hAnsi="Times New Roman"/>
                <w:sz w:val="18"/>
                <w:szCs w:val="18"/>
                <w:color w:val="auto"/>
              </w:rPr>
              <w:t>mg</w:t>
            </w:r>
          </w:p>
        </w:tc>
        <w:tc>
          <w:tcPr>
            <w:tcW w:w="1320" w:type="dxa"/>
            <w:vAlign w:val="bottom"/>
            <w:shd w:val="clear" w:color="auto" w:fill="D9D9D9"/>
          </w:tcPr>
          <w:p>
            <w:pPr>
              <w:ind w:left="480"/>
              <w:spacing w:after="0"/>
              <w:rPr>
                <w:sz w:val="20"/>
                <w:szCs w:val="20"/>
                <w:color w:val="auto"/>
              </w:rPr>
            </w:pPr>
            <w:r>
              <w:rPr>
                <w:rFonts w:ascii="Times New Roman" w:cs="Times New Roman" w:eastAsia="Times New Roman" w:hAnsi="Times New Roman"/>
                <w:sz w:val="18"/>
                <w:szCs w:val="18"/>
                <w:color w:val="auto"/>
              </w:rPr>
              <w:t>mg</w:t>
            </w:r>
          </w:p>
        </w:tc>
        <w:tc>
          <w:tcPr>
            <w:tcW w:w="13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PHVS416*</w:t>
            </w:r>
          </w:p>
        </w:tc>
        <w:tc>
          <w:tcPr>
            <w:tcW w:w="0" w:type="dxa"/>
            <w:vAlign w:val="bottom"/>
          </w:tcPr>
          <w:p>
            <w:pPr>
              <w:spacing w:after="0"/>
              <w:rPr>
                <w:sz w:val="1"/>
                <w:szCs w:val="1"/>
                <w:color w:val="auto"/>
              </w:rPr>
            </w:pPr>
          </w:p>
        </w:tc>
      </w:tr>
      <w:tr>
        <w:trPr>
          <w:trHeight w:val="229"/>
        </w:trPr>
        <w:tc>
          <w:tcPr>
            <w:tcW w:w="3940" w:type="dxa"/>
            <w:vAlign w:val="bottom"/>
            <w:shd w:val="clear" w:color="auto" w:fill="D9D9D9"/>
          </w:tcPr>
          <w:p>
            <w:pPr>
              <w:spacing w:after="0"/>
              <w:rPr>
                <w:sz w:val="19"/>
                <w:szCs w:val="19"/>
                <w:color w:val="auto"/>
              </w:rPr>
            </w:pPr>
          </w:p>
        </w:tc>
        <w:tc>
          <w:tcPr>
            <w:tcW w:w="9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N=51</w:t>
            </w:r>
          </w:p>
        </w:tc>
        <w:tc>
          <w:tcPr>
            <w:tcW w:w="12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N=37</w:t>
            </w:r>
          </w:p>
        </w:tc>
        <w:tc>
          <w:tcPr>
            <w:tcW w:w="11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N=28</w:t>
            </w:r>
          </w:p>
        </w:tc>
        <w:tc>
          <w:tcPr>
            <w:tcW w:w="1320" w:type="dxa"/>
            <w:vAlign w:val="bottom"/>
            <w:shd w:val="clear" w:color="auto" w:fill="D9D9D9"/>
          </w:tcPr>
          <w:p>
            <w:pPr>
              <w:jc w:val="center"/>
              <w:ind w:right="32"/>
              <w:spacing w:after="0"/>
              <w:rPr>
                <w:sz w:val="20"/>
                <w:szCs w:val="20"/>
                <w:color w:val="auto"/>
              </w:rPr>
            </w:pPr>
            <w:r>
              <w:rPr>
                <w:rFonts w:ascii="Times New Roman" w:cs="Times New Roman" w:eastAsia="Times New Roman" w:hAnsi="Times New Roman"/>
                <w:sz w:val="18"/>
                <w:szCs w:val="18"/>
                <w:color w:val="auto"/>
                <w:w w:val="97"/>
              </w:rPr>
              <w:t>N=31</w:t>
            </w:r>
          </w:p>
        </w:tc>
        <w:tc>
          <w:tcPr>
            <w:tcW w:w="1360" w:type="dxa"/>
            <w:vAlign w:val="bottom"/>
            <w:shd w:val="clear" w:color="auto" w:fill="D9D9D9"/>
          </w:tcPr>
          <w:p>
            <w:pPr>
              <w:jc w:val="center"/>
              <w:ind w:right="72"/>
              <w:spacing w:after="0"/>
              <w:rPr>
                <w:sz w:val="20"/>
                <w:szCs w:val="20"/>
                <w:color w:val="auto"/>
              </w:rPr>
            </w:pPr>
            <w:r>
              <w:rPr>
                <w:rFonts w:ascii="Times New Roman" w:cs="Times New Roman" w:eastAsia="Times New Roman" w:hAnsi="Times New Roman"/>
                <w:sz w:val="18"/>
                <w:szCs w:val="18"/>
                <w:color w:val="auto"/>
                <w:w w:val="97"/>
              </w:rPr>
              <w:t>N=96</w:t>
            </w:r>
          </w:p>
        </w:tc>
        <w:tc>
          <w:tcPr>
            <w:tcW w:w="0" w:type="dxa"/>
            <w:vAlign w:val="bottom"/>
          </w:tcPr>
          <w:p>
            <w:pPr>
              <w:spacing w:after="0"/>
              <w:rPr>
                <w:sz w:val="1"/>
                <w:szCs w:val="1"/>
                <w:color w:val="auto"/>
              </w:rPr>
            </w:pPr>
          </w:p>
        </w:tc>
      </w:tr>
      <w:tr>
        <w:trPr>
          <w:trHeight w:val="205"/>
        </w:trPr>
        <w:tc>
          <w:tcPr>
            <w:tcW w:w="3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Time to onset of symptom relief by 30% reduction in</w:t>
            </w: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VAS-3</w:t>
            </w:r>
            <w:r>
              <w:rPr>
                <w:rFonts w:ascii="Times New Roman" w:cs="Times New Roman" w:eastAsia="Times New Roman" w:hAnsi="Times New Roman"/>
                <w:sz w:val="14"/>
                <w:szCs w:val="14"/>
                <w:color w:val="auto"/>
              </w:rPr>
              <w:t>a</w:t>
            </w: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Median time (hours)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2.5</w:t>
            </w:r>
          </w:p>
        </w:tc>
        <w:tc>
          <w:tcPr>
            <w:tcW w:w="13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2.4</w:t>
            </w:r>
          </w:p>
        </w:tc>
        <w:tc>
          <w:tcPr>
            <w:tcW w:w="0" w:type="dxa"/>
            <w:vAlign w:val="bottom"/>
          </w:tcPr>
          <w:p>
            <w:pPr>
              <w:spacing w:after="0"/>
              <w:rPr>
                <w:sz w:val="1"/>
                <w:szCs w:val="1"/>
                <w:color w:val="auto"/>
              </w:rPr>
            </w:pPr>
          </w:p>
        </w:tc>
      </w:tr>
      <w:tr>
        <w:trPr>
          <w:trHeight w:val="222"/>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Hazard ratio</w:t>
            </w:r>
          </w:p>
        </w:tc>
        <w:tc>
          <w:tcPr>
            <w:tcW w:w="9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3.81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3.08</w:t>
            </w: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5"/>
              </w:rPr>
              <w:t>3.61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000020"/>
            </w:tcBorders>
          </w:tcPr>
          <w:p>
            <w:pPr>
              <w:ind w:left="260"/>
              <w:spacing w:after="0"/>
              <w:rPr>
                <w:sz w:val="20"/>
                <w:szCs w:val="20"/>
                <w:color w:val="auto"/>
              </w:rPr>
            </w:pPr>
            <w:r>
              <w:rPr>
                <w:rFonts w:ascii="Times New Roman" w:cs="Times New Roman" w:eastAsia="Times New Roman" w:hAnsi="Times New Roman"/>
                <w:sz w:val="18"/>
                <w:szCs w:val="18"/>
                <w:color w:val="auto"/>
              </w:rPr>
              <w:t>p-value</w:t>
            </w:r>
          </w:p>
        </w:tc>
        <w:tc>
          <w:tcPr>
            <w:tcW w:w="940" w:type="dxa"/>
            <w:vAlign w:val="bottom"/>
            <w:tcBorders>
              <w:bottom w:val="single" w:sz="8" w:color="000020"/>
            </w:tcBorders>
          </w:tcPr>
          <w:p>
            <w:pPr>
              <w:spacing w:after="0"/>
              <w:rPr>
                <w:sz w:val="19"/>
                <w:szCs w:val="19"/>
                <w:color w:val="auto"/>
              </w:rPr>
            </w:pPr>
          </w:p>
        </w:tc>
        <w:tc>
          <w:tcPr>
            <w:tcW w:w="1240" w:type="dxa"/>
            <w:vAlign w:val="bottom"/>
            <w:tcBorders>
              <w:bottom w:val="single" w:sz="8" w:color="000020"/>
            </w:tcBorders>
          </w:tcPr>
          <w:p>
            <w:pPr>
              <w:jc w:val="center"/>
              <w:spacing w:after="0"/>
              <w:rPr>
                <w:sz w:val="20"/>
                <w:szCs w:val="20"/>
                <w:color w:val="auto"/>
              </w:rPr>
            </w:pPr>
            <w:r>
              <w:rPr>
                <w:rFonts w:ascii="Times New Roman" w:cs="Times New Roman" w:eastAsia="Times New Roman" w:hAnsi="Times New Roman"/>
                <w:sz w:val="18"/>
                <w:szCs w:val="18"/>
                <w:color w:val="auto"/>
                <w:w w:val="97"/>
              </w:rPr>
              <w:t>&lt;0.0001</w:t>
            </w:r>
            <w:r>
              <w:rPr>
                <w:rFonts w:ascii="Times New Roman" w:cs="Times New Roman" w:eastAsia="Times New Roman" w:hAnsi="Times New Roman"/>
                <w:sz w:val="16"/>
                <w:szCs w:val="16"/>
                <w:color w:val="auto"/>
                <w:w w:val="97"/>
              </w:rPr>
              <w:t>†</w:t>
            </w:r>
          </w:p>
        </w:tc>
        <w:tc>
          <w:tcPr>
            <w:tcW w:w="1180" w:type="dxa"/>
            <w:vAlign w:val="bottom"/>
            <w:tcBorders>
              <w:bottom w:val="single" w:sz="8" w:color="000020"/>
            </w:tcBorders>
          </w:tcPr>
          <w:p>
            <w:pPr>
              <w:jc w:val="center"/>
              <w:spacing w:after="0"/>
              <w:rPr>
                <w:sz w:val="20"/>
                <w:szCs w:val="20"/>
                <w:color w:val="auto"/>
              </w:rPr>
            </w:pPr>
            <w:r>
              <w:rPr>
                <w:rFonts w:ascii="Times New Roman" w:cs="Times New Roman" w:eastAsia="Times New Roman" w:hAnsi="Times New Roman"/>
                <w:sz w:val="18"/>
                <w:szCs w:val="18"/>
                <w:color w:val="auto"/>
                <w:w w:val="96"/>
              </w:rPr>
              <w:t>0.0021</w:t>
            </w:r>
          </w:p>
        </w:tc>
        <w:tc>
          <w:tcPr>
            <w:tcW w:w="1320" w:type="dxa"/>
            <w:vAlign w:val="bottom"/>
            <w:tcBorders>
              <w:bottom w:val="single" w:sz="8" w:color="00002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7"/>
              </w:rPr>
              <w:t>&lt;0.0001</w:t>
            </w:r>
          </w:p>
        </w:tc>
        <w:tc>
          <w:tcPr>
            <w:tcW w:w="1360" w:type="dxa"/>
            <w:vAlign w:val="bottom"/>
            <w:tcBorders>
              <w:bottom w:val="single" w:sz="8" w:color="000020"/>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Time to VAS-3 50% reduction</w:t>
            </w:r>
            <w:r>
              <w:rPr>
                <w:rFonts w:ascii="Times New Roman" w:cs="Times New Roman" w:eastAsia="Times New Roman" w:hAnsi="Times New Roman"/>
                <w:sz w:val="14"/>
                <w:szCs w:val="14"/>
                <w:color w:val="auto"/>
              </w:rPr>
              <w:t>a</w:t>
            </w: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Median time (hours)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4.0</w:t>
            </w:r>
          </w:p>
        </w:tc>
        <w:tc>
          <w:tcPr>
            <w:tcW w:w="13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3.9</w:t>
            </w:r>
          </w:p>
        </w:tc>
        <w:tc>
          <w:tcPr>
            <w:tcW w:w="0" w:type="dxa"/>
            <w:vAlign w:val="bottom"/>
          </w:tcPr>
          <w:p>
            <w:pPr>
              <w:spacing w:after="0"/>
              <w:rPr>
                <w:sz w:val="1"/>
                <w:szCs w:val="1"/>
                <w:color w:val="auto"/>
              </w:rPr>
            </w:pPr>
          </w:p>
        </w:tc>
      </w:tr>
      <w:tr>
        <w:trPr>
          <w:trHeight w:val="222"/>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Hazard ratio</w:t>
            </w:r>
          </w:p>
        </w:tc>
        <w:tc>
          <w:tcPr>
            <w:tcW w:w="9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4.55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3.65</w:t>
            </w: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5"/>
              </w:rPr>
              <w:t>3.87</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000020"/>
            </w:tcBorders>
          </w:tcPr>
          <w:p>
            <w:pPr>
              <w:ind w:left="260"/>
              <w:spacing w:after="0"/>
              <w:rPr>
                <w:sz w:val="20"/>
                <w:szCs w:val="20"/>
                <w:color w:val="auto"/>
              </w:rPr>
            </w:pPr>
            <w:r>
              <w:rPr>
                <w:rFonts w:ascii="Times New Roman" w:cs="Times New Roman" w:eastAsia="Times New Roman" w:hAnsi="Times New Roman"/>
                <w:sz w:val="18"/>
                <w:szCs w:val="18"/>
                <w:color w:val="auto"/>
              </w:rPr>
              <w:t>p-value</w:t>
            </w:r>
          </w:p>
        </w:tc>
        <w:tc>
          <w:tcPr>
            <w:tcW w:w="940" w:type="dxa"/>
            <w:vAlign w:val="bottom"/>
            <w:tcBorders>
              <w:bottom w:val="single" w:sz="8" w:color="000020"/>
            </w:tcBorders>
          </w:tcPr>
          <w:p>
            <w:pPr>
              <w:spacing w:after="0"/>
              <w:rPr>
                <w:sz w:val="19"/>
                <w:szCs w:val="19"/>
                <w:color w:val="auto"/>
              </w:rPr>
            </w:pPr>
          </w:p>
        </w:tc>
        <w:tc>
          <w:tcPr>
            <w:tcW w:w="1240" w:type="dxa"/>
            <w:vAlign w:val="bottom"/>
            <w:tcBorders>
              <w:bottom w:val="single" w:sz="8" w:color="000020"/>
            </w:tcBorders>
          </w:tcPr>
          <w:p>
            <w:pPr>
              <w:jc w:val="center"/>
              <w:spacing w:after="0"/>
              <w:rPr>
                <w:sz w:val="20"/>
                <w:szCs w:val="20"/>
                <w:color w:val="auto"/>
              </w:rPr>
            </w:pPr>
            <w:r>
              <w:rPr>
                <w:rFonts w:ascii="Times New Roman" w:cs="Times New Roman" w:eastAsia="Times New Roman" w:hAnsi="Times New Roman"/>
                <w:sz w:val="18"/>
                <w:szCs w:val="18"/>
                <w:color w:val="auto"/>
                <w:w w:val="97"/>
              </w:rPr>
              <w:t>&lt;0.0001</w:t>
            </w:r>
            <w:r>
              <w:rPr>
                <w:rFonts w:ascii="Times New Roman" w:cs="Times New Roman" w:eastAsia="Times New Roman" w:hAnsi="Times New Roman"/>
                <w:sz w:val="16"/>
                <w:szCs w:val="16"/>
                <w:color w:val="auto"/>
                <w:w w:val="97"/>
              </w:rPr>
              <w:t>†</w:t>
            </w:r>
          </w:p>
        </w:tc>
        <w:tc>
          <w:tcPr>
            <w:tcW w:w="1180" w:type="dxa"/>
            <w:vAlign w:val="bottom"/>
            <w:tcBorders>
              <w:bottom w:val="single" w:sz="8" w:color="000020"/>
            </w:tcBorders>
          </w:tcPr>
          <w:p>
            <w:pPr>
              <w:jc w:val="center"/>
              <w:spacing w:after="0"/>
              <w:rPr>
                <w:sz w:val="20"/>
                <w:szCs w:val="20"/>
                <w:color w:val="auto"/>
              </w:rPr>
            </w:pPr>
            <w:r>
              <w:rPr>
                <w:rFonts w:ascii="Times New Roman" w:cs="Times New Roman" w:eastAsia="Times New Roman" w:hAnsi="Times New Roman"/>
                <w:sz w:val="18"/>
                <w:szCs w:val="18"/>
                <w:color w:val="auto"/>
                <w:w w:val="96"/>
              </w:rPr>
              <w:t>0.0003</w:t>
            </w:r>
          </w:p>
        </w:tc>
        <w:tc>
          <w:tcPr>
            <w:tcW w:w="1320" w:type="dxa"/>
            <w:vAlign w:val="bottom"/>
            <w:tcBorders>
              <w:bottom w:val="single" w:sz="8" w:color="00002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7"/>
              </w:rPr>
              <w:t>&lt;0.0001</w:t>
            </w:r>
          </w:p>
        </w:tc>
        <w:tc>
          <w:tcPr>
            <w:tcW w:w="1360" w:type="dxa"/>
            <w:vAlign w:val="bottom"/>
            <w:tcBorders>
              <w:bottom w:val="single" w:sz="8" w:color="000020"/>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9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Time to almost complete or complete symptom relief</w:t>
            </w: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by VAS</w:t>
            </w:r>
            <w:r>
              <w:rPr>
                <w:rFonts w:ascii="Times New Roman" w:cs="Times New Roman" w:eastAsia="Times New Roman" w:hAnsi="Times New Roman"/>
                <w:sz w:val="14"/>
                <w:szCs w:val="14"/>
                <w:color w:val="auto"/>
              </w:rPr>
              <w:t>a</w:t>
            </w: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Median time in hours (95% CI)</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20</w:t>
            </w:r>
          </w:p>
        </w:tc>
        <w:tc>
          <w:tcPr>
            <w:tcW w:w="13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7.5</w:t>
            </w:r>
          </w:p>
        </w:tc>
        <w:tc>
          <w:tcPr>
            <w:tcW w:w="0" w:type="dxa"/>
            <w:vAlign w:val="bottom"/>
          </w:tcPr>
          <w:p>
            <w:pPr>
              <w:spacing w:after="0"/>
              <w:rPr>
                <w:sz w:val="1"/>
                <w:szCs w:val="1"/>
                <w:color w:val="auto"/>
              </w:rPr>
            </w:pPr>
          </w:p>
        </w:tc>
      </w:tr>
      <w:tr>
        <w:trPr>
          <w:trHeight w:val="222"/>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Hazard ratio</w:t>
            </w:r>
          </w:p>
        </w:tc>
        <w:tc>
          <w:tcPr>
            <w:tcW w:w="9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5.09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2.25</w:t>
            </w: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5"/>
              </w:rPr>
              <w:t>2.65</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000020"/>
            </w:tcBorders>
          </w:tcPr>
          <w:p>
            <w:pPr>
              <w:ind w:left="260"/>
              <w:spacing w:after="0"/>
              <w:rPr>
                <w:sz w:val="20"/>
                <w:szCs w:val="20"/>
                <w:color w:val="auto"/>
              </w:rPr>
            </w:pPr>
            <w:r>
              <w:rPr>
                <w:rFonts w:ascii="Times New Roman" w:cs="Times New Roman" w:eastAsia="Times New Roman" w:hAnsi="Times New Roman"/>
                <w:sz w:val="18"/>
                <w:szCs w:val="18"/>
                <w:color w:val="auto"/>
              </w:rPr>
              <w:t>p-value</w:t>
            </w:r>
          </w:p>
        </w:tc>
        <w:tc>
          <w:tcPr>
            <w:tcW w:w="940" w:type="dxa"/>
            <w:vAlign w:val="bottom"/>
            <w:tcBorders>
              <w:bottom w:val="single" w:sz="8" w:color="000020"/>
            </w:tcBorders>
          </w:tcPr>
          <w:p>
            <w:pPr>
              <w:spacing w:after="0"/>
              <w:rPr>
                <w:sz w:val="19"/>
                <w:szCs w:val="19"/>
                <w:color w:val="auto"/>
              </w:rPr>
            </w:pPr>
          </w:p>
        </w:tc>
        <w:tc>
          <w:tcPr>
            <w:tcW w:w="1240" w:type="dxa"/>
            <w:vAlign w:val="bottom"/>
            <w:tcBorders>
              <w:bottom w:val="single" w:sz="8" w:color="000020"/>
            </w:tcBorders>
          </w:tcPr>
          <w:p>
            <w:pPr>
              <w:jc w:val="center"/>
              <w:spacing w:after="0"/>
              <w:rPr>
                <w:sz w:val="20"/>
                <w:szCs w:val="20"/>
                <w:color w:val="auto"/>
              </w:rPr>
            </w:pPr>
            <w:r>
              <w:rPr>
                <w:rFonts w:ascii="Times New Roman" w:cs="Times New Roman" w:eastAsia="Times New Roman" w:hAnsi="Times New Roman"/>
                <w:sz w:val="18"/>
                <w:szCs w:val="18"/>
                <w:color w:val="auto"/>
                <w:w w:val="97"/>
              </w:rPr>
              <w:t>&lt;0.0001</w:t>
            </w:r>
            <w:r>
              <w:rPr>
                <w:rFonts w:ascii="Times New Roman" w:cs="Times New Roman" w:eastAsia="Times New Roman" w:hAnsi="Times New Roman"/>
                <w:sz w:val="16"/>
                <w:szCs w:val="16"/>
                <w:color w:val="auto"/>
                <w:w w:val="97"/>
              </w:rPr>
              <w:t>†</w:t>
            </w:r>
          </w:p>
        </w:tc>
        <w:tc>
          <w:tcPr>
            <w:tcW w:w="1180" w:type="dxa"/>
            <w:vAlign w:val="bottom"/>
            <w:tcBorders>
              <w:bottom w:val="single" w:sz="8" w:color="000020"/>
            </w:tcBorders>
          </w:tcPr>
          <w:p>
            <w:pPr>
              <w:jc w:val="center"/>
              <w:spacing w:after="0"/>
              <w:rPr>
                <w:sz w:val="20"/>
                <w:szCs w:val="20"/>
                <w:color w:val="auto"/>
              </w:rPr>
            </w:pPr>
            <w:r>
              <w:rPr>
                <w:rFonts w:ascii="Times New Roman" w:cs="Times New Roman" w:eastAsia="Times New Roman" w:hAnsi="Times New Roman"/>
                <w:sz w:val="18"/>
                <w:szCs w:val="18"/>
                <w:color w:val="auto"/>
                <w:w w:val="96"/>
              </w:rPr>
              <w:t>0.0127</w:t>
            </w:r>
          </w:p>
        </w:tc>
        <w:tc>
          <w:tcPr>
            <w:tcW w:w="1320" w:type="dxa"/>
            <w:vAlign w:val="bottom"/>
            <w:tcBorders>
              <w:bottom w:val="single" w:sz="8" w:color="000020"/>
            </w:tcBorders>
          </w:tcPr>
          <w:p>
            <w:pPr>
              <w:jc w:val="center"/>
              <w:ind w:right="32"/>
              <w:spacing w:after="0"/>
              <w:rPr>
                <w:sz w:val="20"/>
                <w:szCs w:val="20"/>
                <w:color w:val="auto"/>
              </w:rPr>
            </w:pPr>
            <w:r>
              <w:rPr>
                <w:rFonts w:ascii="Times New Roman" w:cs="Times New Roman" w:eastAsia="Times New Roman" w:hAnsi="Times New Roman"/>
                <w:sz w:val="18"/>
                <w:szCs w:val="18"/>
                <w:color w:val="auto"/>
                <w:w w:val="96"/>
              </w:rPr>
              <w:t>0.0001</w:t>
            </w:r>
          </w:p>
        </w:tc>
        <w:tc>
          <w:tcPr>
            <w:tcW w:w="1360" w:type="dxa"/>
            <w:vAlign w:val="bottom"/>
            <w:tcBorders>
              <w:bottom w:val="single" w:sz="8" w:color="000020"/>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Change in MSCS score at 4 hours</w:t>
            </w:r>
            <w:r>
              <w:rPr>
                <w:rFonts w:ascii="Times New Roman" w:cs="Times New Roman" w:eastAsia="Times New Roman" w:hAnsi="Times New Roman"/>
                <w:sz w:val="14"/>
                <w:szCs w:val="14"/>
                <w:color w:val="auto"/>
              </w:rPr>
              <w:t>b</w:t>
            </w: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LS mean difference:</w:t>
            </w:r>
          </w:p>
        </w:tc>
        <w:tc>
          <w:tcPr>
            <w:tcW w:w="94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-0.79</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-0.61</w:t>
            </w:r>
          </w:p>
        </w:tc>
        <w:tc>
          <w:tcPr>
            <w:tcW w:w="132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w w:val="95"/>
              </w:rPr>
              <w:t>-0.39</w:t>
            </w:r>
          </w:p>
        </w:tc>
        <w:tc>
          <w:tcPr>
            <w:tcW w:w="136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123"/>
        </w:trPr>
        <w:tc>
          <w:tcPr>
            <w:tcW w:w="3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PHVS416 - Placebo</w:t>
            </w:r>
          </w:p>
        </w:tc>
        <w:tc>
          <w:tcPr>
            <w:tcW w:w="9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9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&lt;0.0001</w:t>
            </w:r>
            <w:r>
              <w:rPr>
                <w:rFonts w:ascii="Times New Roman" w:cs="Times New Roman" w:eastAsia="Times New Roman" w:hAnsi="Times New Roman"/>
                <w:sz w:val="16"/>
                <w:szCs w:val="16"/>
                <w:color w:val="auto"/>
                <w:w w:val="97"/>
              </w:rPr>
              <w:t>†</w:t>
            </w:r>
          </w:p>
        </w:tc>
        <w:tc>
          <w:tcPr>
            <w:tcW w:w="1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940" w:type="dxa"/>
            <w:vAlign w:val="bottom"/>
            <w:tcBorders>
              <w:bottom w:val="single" w:sz="8" w:color="000020"/>
            </w:tcBorders>
          </w:tcPr>
          <w:p>
            <w:pPr>
              <w:ind w:left="260"/>
              <w:spacing w:after="0"/>
              <w:rPr>
                <w:sz w:val="20"/>
                <w:szCs w:val="20"/>
                <w:color w:val="auto"/>
              </w:rPr>
            </w:pPr>
            <w:r>
              <w:rPr>
                <w:rFonts w:ascii="Times New Roman" w:cs="Times New Roman" w:eastAsia="Times New Roman" w:hAnsi="Times New Roman"/>
                <w:sz w:val="18"/>
                <w:szCs w:val="18"/>
                <w:color w:val="auto"/>
              </w:rPr>
              <w:t>p-value</w:t>
            </w:r>
          </w:p>
        </w:tc>
        <w:tc>
          <w:tcPr>
            <w:tcW w:w="940" w:type="dxa"/>
            <w:vAlign w:val="bottom"/>
            <w:tcBorders>
              <w:bottom w:val="single" w:sz="8" w:color="000020"/>
            </w:tcBorders>
          </w:tcPr>
          <w:p>
            <w:pPr>
              <w:spacing w:after="0"/>
              <w:rPr>
                <w:sz w:val="19"/>
                <w:szCs w:val="19"/>
                <w:color w:val="auto"/>
              </w:rPr>
            </w:pPr>
          </w:p>
        </w:tc>
        <w:tc>
          <w:tcPr>
            <w:tcW w:w="1240" w:type="dxa"/>
            <w:vAlign w:val="bottom"/>
            <w:tcBorders>
              <w:bottom w:val="single" w:sz="8" w:color="000020"/>
            </w:tcBorders>
            <w:vMerge w:val="continue"/>
          </w:tcPr>
          <w:p>
            <w:pPr>
              <w:spacing w:after="0"/>
              <w:rPr>
                <w:sz w:val="19"/>
                <w:szCs w:val="19"/>
                <w:color w:val="auto"/>
              </w:rPr>
            </w:pPr>
          </w:p>
        </w:tc>
        <w:tc>
          <w:tcPr>
            <w:tcW w:w="1180" w:type="dxa"/>
            <w:vAlign w:val="bottom"/>
            <w:tcBorders>
              <w:bottom w:val="single" w:sz="8" w:color="000020"/>
            </w:tcBorders>
          </w:tcPr>
          <w:p>
            <w:pPr>
              <w:jc w:val="center"/>
              <w:spacing w:after="0"/>
              <w:rPr>
                <w:sz w:val="20"/>
                <w:szCs w:val="20"/>
                <w:color w:val="auto"/>
              </w:rPr>
            </w:pPr>
            <w:r>
              <w:rPr>
                <w:rFonts w:ascii="Times New Roman" w:cs="Times New Roman" w:eastAsia="Times New Roman" w:hAnsi="Times New Roman"/>
                <w:sz w:val="18"/>
                <w:szCs w:val="18"/>
                <w:color w:val="auto"/>
                <w:w w:val="96"/>
              </w:rPr>
              <w:t>0.0008</w:t>
            </w:r>
          </w:p>
        </w:tc>
        <w:tc>
          <w:tcPr>
            <w:tcW w:w="1320" w:type="dxa"/>
            <w:vAlign w:val="bottom"/>
            <w:tcBorders>
              <w:bottom w:val="single" w:sz="8" w:color="000020"/>
            </w:tcBorders>
          </w:tcPr>
          <w:p>
            <w:pPr>
              <w:jc w:val="center"/>
              <w:ind w:right="32"/>
              <w:spacing w:after="0"/>
              <w:rPr>
                <w:sz w:val="20"/>
                <w:szCs w:val="20"/>
                <w:color w:val="auto"/>
              </w:rPr>
            </w:pPr>
            <w:r>
              <w:rPr>
                <w:rFonts w:ascii="Times New Roman" w:cs="Times New Roman" w:eastAsia="Times New Roman" w:hAnsi="Times New Roman"/>
                <w:sz w:val="18"/>
                <w:szCs w:val="18"/>
                <w:color w:val="auto"/>
                <w:w w:val="96"/>
              </w:rPr>
              <w:t>0.0291</w:t>
            </w:r>
          </w:p>
        </w:tc>
        <w:tc>
          <w:tcPr>
            <w:tcW w:w="1360" w:type="dxa"/>
            <w:vAlign w:val="bottom"/>
            <w:tcBorders>
              <w:bottom w:val="single" w:sz="8" w:color="000020"/>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TOS at 4 hours</w:t>
            </w:r>
            <w:r>
              <w:rPr>
                <w:rFonts w:ascii="Times New Roman" w:cs="Times New Roman" w:eastAsia="Times New Roman" w:hAnsi="Times New Roman"/>
                <w:sz w:val="14"/>
                <w:szCs w:val="14"/>
                <w:color w:val="auto"/>
              </w:rPr>
              <w:t>b</w:t>
            </w: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LS mean difference:</w:t>
            </w:r>
          </w:p>
        </w:tc>
        <w:tc>
          <w:tcPr>
            <w:tcW w:w="94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64.13</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62.69</w:t>
            </w:r>
          </w:p>
        </w:tc>
        <w:tc>
          <w:tcPr>
            <w:tcW w:w="132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w w:val="98"/>
              </w:rPr>
              <w:t>71.06</w:t>
            </w:r>
          </w:p>
        </w:tc>
        <w:tc>
          <w:tcPr>
            <w:tcW w:w="136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color w:val="auto"/>
                <w:w w:val="93"/>
              </w:rPr>
              <w:t>66.05</w:t>
            </w:r>
          </w:p>
        </w:tc>
        <w:tc>
          <w:tcPr>
            <w:tcW w:w="0" w:type="dxa"/>
            <w:vAlign w:val="bottom"/>
          </w:tcPr>
          <w:p>
            <w:pPr>
              <w:spacing w:after="0"/>
              <w:rPr>
                <w:sz w:val="1"/>
                <w:szCs w:val="1"/>
                <w:color w:val="auto"/>
              </w:rPr>
            </w:pPr>
          </w:p>
        </w:tc>
      </w:tr>
      <w:tr>
        <w:trPr>
          <w:trHeight w:val="123"/>
        </w:trPr>
        <w:tc>
          <w:tcPr>
            <w:tcW w:w="3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PHVS416 - Placebo</w:t>
            </w:r>
          </w:p>
        </w:tc>
        <w:tc>
          <w:tcPr>
            <w:tcW w:w="9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9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&lt;0.0001</w:t>
            </w:r>
            <w:r>
              <w:rPr>
                <w:rFonts w:ascii="Times New Roman" w:cs="Times New Roman" w:eastAsia="Times New Roman" w:hAnsi="Times New Roman"/>
                <w:sz w:val="16"/>
                <w:szCs w:val="16"/>
                <w:color w:val="auto"/>
                <w:w w:val="97"/>
              </w:rPr>
              <w:t>†</w:t>
            </w:r>
          </w:p>
        </w:tc>
        <w:tc>
          <w:tcPr>
            <w:tcW w:w="1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p-value</w:t>
            </w:r>
          </w:p>
        </w:tc>
        <w:tc>
          <w:tcPr>
            <w:tcW w:w="9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&lt;0.0001</w:t>
            </w: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&lt;0.0001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635</wp:posOffset>
            </wp:positionV>
            <wp:extent cx="6334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4"/>
          <w:szCs w:val="14"/>
          <w:color w:val="auto"/>
        </w:rPr>
        <w:t>N = The number of attacks included in the mITT analysis set</w:t>
      </w:r>
    </w:p>
    <w:p>
      <w:pPr>
        <w:ind w:left="640"/>
        <w:spacing w:after="0" w:line="215" w:lineRule="auto"/>
        <w:rPr>
          <w:sz w:val="20"/>
          <w:szCs w:val="20"/>
          <w:color w:val="auto"/>
        </w:rPr>
      </w:pPr>
      <w:r>
        <w:rPr>
          <w:rFonts w:ascii="Times New Roman" w:cs="Times New Roman" w:eastAsia="Times New Roman" w:hAnsi="Times New Roman"/>
          <w:sz w:val="12"/>
          <w:szCs w:val="12"/>
          <w:color w:val="auto"/>
        </w:rPr>
        <w:t>a</w:t>
      </w:r>
      <w:r>
        <w:rPr>
          <w:rFonts w:ascii="Times New Roman" w:cs="Times New Roman" w:eastAsia="Times New Roman" w:hAnsi="Times New Roman"/>
          <w:sz w:val="14"/>
          <w:szCs w:val="14"/>
          <w:color w:val="auto"/>
        </w:rPr>
        <w:t>Hazard ratios and p-values are based on marginal Cox proportional hazards models</w:t>
      </w:r>
    </w:p>
    <w:p>
      <w:pPr>
        <w:ind w:left="640"/>
        <w:spacing w:after="0" w:line="216" w:lineRule="auto"/>
        <w:rPr>
          <w:sz w:val="20"/>
          <w:szCs w:val="20"/>
          <w:color w:val="auto"/>
        </w:rPr>
      </w:pPr>
      <w:r>
        <w:rPr>
          <w:rFonts w:ascii="Times New Roman" w:cs="Times New Roman" w:eastAsia="Times New Roman" w:hAnsi="Times New Roman"/>
          <w:sz w:val="12"/>
          <w:szCs w:val="12"/>
          <w:color w:val="auto"/>
        </w:rPr>
        <w:t>b</w:t>
      </w:r>
      <w:r>
        <w:rPr>
          <w:rFonts w:ascii="Times New Roman" w:cs="Times New Roman" w:eastAsia="Times New Roman" w:hAnsi="Times New Roman"/>
          <w:sz w:val="14"/>
          <w:szCs w:val="14"/>
          <w:color w:val="auto"/>
        </w:rPr>
        <w:t>p-values are based on mixed models for repeated measures</w:t>
      </w:r>
    </w:p>
    <w:p>
      <w:pPr>
        <w:ind w:left="640" w:right="2220"/>
        <w:spacing w:after="0"/>
        <w:rPr>
          <w:sz w:val="20"/>
          <w:szCs w:val="20"/>
          <w:color w:val="auto"/>
        </w:rPr>
      </w:pPr>
      <w:r>
        <w:rPr>
          <w:rFonts w:ascii="Times New Roman" w:cs="Times New Roman" w:eastAsia="Times New Roman" w:hAnsi="Times New Roman"/>
          <w:sz w:val="14"/>
          <w:szCs w:val="14"/>
          <w:color w:val="auto"/>
        </w:rPr>
        <w:t xml:space="preserve">*The combined PHVS416 results are based on post-hoc analyses to provide a reference of the result by pooling all attacks treated with active doses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Nominal p-value</w:t>
      </w:r>
    </w:p>
    <w:p>
      <w:pPr>
        <w:spacing w:after="0" w:line="200" w:lineRule="exact"/>
        <w:rPr>
          <w:sz w:val="20"/>
          <w:szCs w:val="20"/>
          <w:color w:val="auto"/>
        </w:rPr>
      </w:pPr>
    </w:p>
    <w:p>
      <w:pPr>
        <w:spacing w:after="0" w:line="214"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9"/>
          <w:szCs w:val="19"/>
          <w:color w:val="auto"/>
        </w:rPr>
        <w:t>All other secondary endpoints were met. Participants on PHVS416 also used substantially less rescue medication compared to placebo (10 mg=18.9%, p&lt;0.0001</w:t>
      </w:r>
      <w:r>
        <w:rPr>
          <w:rFonts w:ascii="Times New Roman" w:cs="Times New Roman" w:eastAsia="Times New Roman" w:hAnsi="Times New Roman"/>
          <w:sz w:val="16"/>
          <w:szCs w:val="16"/>
          <w:color w:val="auto"/>
        </w:rPr>
        <w:t>1</w:t>
      </w:r>
      <w:r>
        <w:rPr>
          <w:rFonts w:ascii="Times New Roman" w:cs="Times New Roman" w:eastAsia="Times New Roman" w:hAnsi="Times New Roman"/>
          <w:sz w:val="19"/>
          <w:szCs w:val="19"/>
          <w:color w:val="auto"/>
        </w:rPr>
        <w:t>; 20 mg=10.7%, p=0.0007</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30 mg=6.5%, p&lt;0.0001</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placebo=60.8%).</w:t>
      </w:r>
    </w:p>
    <w:p>
      <w:pPr>
        <w:spacing w:after="0" w:line="15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PHVS416 was generally well tolerated with no treatment-related serious adverse events and no adverse events leading to treatment discontinuation. In the non-attack phase, two treatment-related adverse events were experienced by two patients; in the attack treatment phase, three treatment-related adverse events were reported for one attack treated with PHVS416 30mg (2.8%) and one treatment-related adverse event was reported for one attack treated with placebo (1.9%).</w:t>
      </w:r>
    </w:p>
    <w:p>
      <w:pPr>
        <w:spacing w:after="0" w:line="339" w:lineRule="exact"/>
        <w:rPr>
          <w:sz w:val="20"/>
          <w:szCs w:val="20"/>
          <w:color w:val="auto"/>
        </w:rPr>
      </w:pPr>
    </w:p>
    <w:p>
      <w:pPr>
        <w:ind w:left="120" w:hanging="115"/>
        <w:spacing w:after="0"/>
        <w:tabs>
          <w:tab w:leader="none" w:pos="1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Nominal p-value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14274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748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325120</wp:posOffset>
            </wp:positionV>
            <wp:extent cx="717804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120"/>
          </w:cols>
          <w:pgMar w:left="320" w:top="336" w:right="459" w:bottom="1440" w:gutter="0" w:footer="0" w:header="0"/>
        </w:sectPr>
      </w:pPr>
    </w:p>
    <w:bookmarkStart w:id="7" w:name="page8"/>
    <w:bookmarkEnd w:id="7"/>
    <w:p>
      <w:pPr>
        <w:ind w:right="180"/>
        <w:spacing w:after="0" w:line="257" w:lineRule="auto"/>
        <w:rPr>
          <w:sz w:val="20"/>
          <w:szCs w:val="20"/>
          <w:color w:val="auto"/>
        </w:rPr>
      </w:pPr>
      <w:r>
        <w:rPr>
          <w:rFonts w:ascii="Times New Roman" w:cs="Times New Roman" w:eastAsia="Times New Roman" w:hAnsi="Times New Roman"/>
          <w:sz w:val="19"/>
          <w:szCs w:val="19"/>
          <w:color w:val="auto"/>
        </w:rPr>
        <w:t>Marcus Maurer, M.D., Professor of Dermatology and Allergy at the Charité – Universitätsmedizin Berlin, and principal investigator on the RAPIDe-1 study, commented, “The expectation of people living with HAE is that next-generation HAE therapies should achieve the same or better efficacy than current standard of care while offering an improved duration of effect and better convenience. Given the study design with physician-confirmed attacks, these data showing consistent results across all endpoints are an encouraging step in that direction for PHVS416.”</w:t>
      </w:r>
    </w:p>
    <w:p>
      <w:pPr>
        <w:spacing w:after="0" w:line="1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Peng Lu, M.D., Ph.D., Chief Medical Officer of Pharvaris, stated, “The data demonstrate rapid onset of action, symptom relief, and resolution of attacks, which support the further development of PHVS416 as a potential on-demand therapy for HAE. Further, study participants used substantially less rescue medication when taking PHVS416 to treat attacks versus when treating with placebo. The strength and durability of effect shown in the top-line data from RAPIDe-1, as well as the observed safety profile, has further enhanced our confidence in the clinical development strategy.”</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Berndt Modig, Chief Executive Office of Pharvaris, added, “Seven years ago, we embarked on our journey to bring novel, oral therapies to people living with HAE based on our deep insight into the biology of HAE and an experiment, the bradykinin challenge, that guided our trial design and dose selection. The results of the RAPIDe-1 study represent another step towards a potential new, oral on-demand HAE treatment. We sincerely thank the clinical trial participants and their families, the site investigators and staff, the HAE community, and the Pharvaris team for their contributions to the RAPIDe-1 study.”</w:t>
      </w:r>
    </w:p>
    <w:p>
      <w:pPr>
        <w:spacing w:after="0" w:line="185" w:lineRule="exact"/>
        <w:rPr>
          <w:sz w:val="20"/>
          <w:szCs w:val="20"/>
          <w:color w:val="auto"/>
        </w:rPr>
      </w:pPr>
    </w:p>
    <w:p>
      <w:pPr>
        <w:ind w:right="480"/>
        <w:spacing w:after="0" w:line="257" w:lineRule="auto"/>
        <w:rPr>
          <w:sz w:val="20"/>
          <w:szCs w:val="20"/>
          <w:color w:val="auto"/>
        </w:rPr>
      </w:pPr>
      <w:r>
        <w:rPr>
          <w:rFonts w:ascii="Times New Roman" w:cs="Times New Roman" w:eastAsia="Times New Roman" w:hAnsi="Times New Roman"/>
          <w:sz w:val="19"/>
          <w:szCs w:val="19"/>
          <w:color w:val="auto"/>
        </w:rPr>
        <w:t>In August 2022, the U.S. Food &amp; Drug Administration (FDA) placed clinical studies of PHA121 in the U.S., including RAPIDe-1, on hold. Pharvaris had previously announced the achievement of target enrollment across 33 sites in Canada, Europe, Israel, the UK, and the U.S. Subsequent to the clinical holds, the company continues to evaluate PHVS416 for the treatment of acute attacks for continuing participants enrolled outside the 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Conference Call</w:t>
      </w:r>
    </w:p>
    <w:p>
      <w:pPr>
        <w:spacing w:after="0" w:line="3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auto"/>
        </w:rPr>
        <w:t xml:space="preserve">Pharvaris will host a live conference call and webcast to discuss the RAPIDe-1 study top-line data in greater detail at 8:00 a.m. ET today. To access the conference call and webcast, you must first register through </w:t>
      </w:r>
      <w:r>
        <w:rPr>
          <w:rFonts w:ascii="Times New Roman" w:cs="Times New Roman" w:eastAsia="Times New Roman" w:hAnsi="Times New Roman"/>
          <w:sz w:val="19"/>
          <w:szCs w:val="19"/>
          <w:u w:val="single" w:color="auto"/>
          <w:color w:val="auto"/>
        </w:rPr>
        <w:t>this link</w:t>
      </w:r>
      <w:r>
        <w:rPr>
          <w:rFonts w:ascii="Times New Roman" w:cs="Times New Roman" w:eastAsia="Times New Roman" w:hAnsi="Times New Roman"/>
          <w:sz w:val="19"/>
          <w:szCs w:val="19"/>
          <w:color w:val="auto"/>
        </w:rPr>
        <w:t>. A live webcast of the conference call and presentation slides may be accessed on the “</w:t>
      </w:r>
      <w:r>
        <w:rPr>
          <w:rFonts w:ascii="Times New Roman" w:cs="Times New Roman" w:eastAsia="Times New Roman" w:hAnsi="Times New Roman"/>
          <w:sz w:val="19"/>
          <w:szCs w:val="19"/>
          <w:u w:val="single" w:color="auto"/>
          <w:color w:val="auto"/>
        </w:rPr>
        <w:t>Events and Presentations</w:t>
      </w:r>
      <w:r>
        <w:rPr>
          <w:rFonts w:ascii="Times New Roman" w:cs="Times New Roman" w:eastAsia="Times New Roman" w:hAnsi="Times New Roman"/>
          <w:sz w:val="19"/>
          <w:szCs w:val="19"/>
          <w:color w:val="auto"/>
        </w:rPr>
        <w:t>” page of the Pharvaris investor relations website. An archived replay will also be available on the website for 90 days following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313690</wp:posOffset>
            </wp:positionV>
            <wp:extent cx="717804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b w:val="1"/>
          <w:bCs w:val="1"/>
          <w:color w:val="auto"/>
        </w:rPr>
        <w:t>About PHVS416</w:t>
      </w:r>
    </w:p>
    <w:p>
      <w:pPr>
        <w:spacing w:after="0" w:line="3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PHVS416 is an investigational softgel capsule formulation containing PHA121, a highly potent, specific, and orally bioavailable competitive antagonist of the bradykinin B2 receptor. Pharvaris aims to develop this formulation to provide rapid and reliable symptom relief, through rapid exposure of attack-mitigating therapy in a convenient, small oral dosage form. PHVS416 is currently in Phase 2 clinical development outside the U.S. for the on-demand and proof-of-concept prophylactic treatment of HAE.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Pharvaris</w:t>
      </w:r>
    </w:p>
    <w:p>
      <w:pPr>
        <w:spacing w:after="0" w:line="3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 xml:space="preserve">Pharvaris is a clinical-stage company developing novel, oral bradykinin-B2-receptor antagonists to treat and prevent HAE attacks, building on its deep-seated roots in HAE. By directly targeting this clinically proven therapeutic target with novel small molecules, the Pharvaris team aspires to offer people with all sub-types of HAE safe, effective and convenient alternatives to treat attacks, for both on-demand and prophylactically. The company brings together the best talent in the industry with deep expertise in rare diseases and HAE. For more information, visit </w:t>
      </w:r>
      <w:r>
        <w:rPr>
          <w:rFonts w:ascii="Times New Roman" w:cs="Times New Roman" w:eastAsia="Times New Roman" w:hAnsi="Times New Roman"/>
          <w:sz w:val="19"/>
          <w:szCs w:val="19"/>
          <w:u w:val="single" w:color="auto"/>
          <w:color w:val="auto"/>
        </w:rPr>
        <w:t>https://pharvaris.com/</w:t>
      </w:r>
      <w:r>
        <w:rPr>
          <w:rFonts w:ascii="Times New Roman" w:cs="Times New Roman" w:eastAsia="Times New Roman" w:hAnsi="Times New Roman"/>
          <w:sz w:val="19"/>
          <w:szCs w:val="19"/>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3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9"/>
          <w:szCs w:val="19"/>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with respect to the clinical holds on PHA121 clinical trials in the U.S.; the expected timing, progress, or success of our clinical development programs, especially for PHVS416 and PHVS719, which are in mid-stage global clinical trials and are currently on hold in the U.S. as a result of the clinical holds; risks associated with the COVID-19 pandemic, which may adversely impact our business, nonclinical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317500</wp:posOffset>
            </wp:positionV>
            <wp:extent cx="717804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560" w:right="359" w:bottom="1440" w:gutter="0" w:footer="0" w:header="0"/>
        </w:sectPr>
      </w:pPr>
    </w:p>
    <w:bookmarkStart w:id="9" w:name="page10"/>
    <w:bookmarkEnd w:id="9"/>
    <w:p>
      <w:pPr>
        <w:ind w:right="40"/>
        <w:spacing w:after="0" w:line="250" w:lineRule="auto"/>
        <w:rPr>
          <w:sz w:val="20"/>
          <w:szCs w:val="20"/>
          <w:color w:val="auto"/>
        </w:rPr>
      </w:pPr>
      <w:r>
        <w:rPr>
          <w:rFonts w:ascii="Times New Roman" w:cs="Times New Roman" w:eastAsia="Times New Roman" w:hAnsi="Times New Roman"/>
          <w:sz w:val="19"/>
          <w:szCs w:val="19"/>
          <w:color w:val="auto"/>
        </w:rPr>
        <w:t>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changes in general market, political and economic conditions, including as a result of the current conflict between Russia and Ukraine; and the other factors described under the headings “Cautionary Statement Regarding Forward-Looking Statements” and “Item 3. Key Information—D. Risk Factors” in our Annual Report on Form 20-F and other periodic filings with the Securities and Exchange Commission.</w:t>
      </w:r>
    </w:p>
    <w:p>
      <w:pPr>
        <w:spacing w:after="0" w:line="200" w:lineRule="exact"/>
        <w:rPr>
          <w:sz w:val="20"/>
          <w:szCs w:val="20"/>
          <w:color w:val="auto"/>
        </w:rPr>
      </w:pPr>
    </w:p>
    <w:p>
      <w:pPr>
        <w:spacing w:after="0" w:line="2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Maryann Cimino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 of Corporate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maryann.cimino@pharvaris.com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+1-617-710-7305</w:t>
      </w:r>
    </w:p>
    <w:p>
      <w:pPr>
        <w:sectPr>
          <w:pgSz w:w="11900" w:h="16838" w:orient="portrait"/>
          <w:cols w:equalWidth="0" w:num="1">
            <w:col w:w="11240"/>
          </w:cols>
          <w:pgMar w:left="320" w:top="340" w:right="339" w:bottom="1440" w:gutter="0" w:footer="0" w:header="0"/>
        </w:sectPr>
      </w:pPr>
    </w:p>
    <w:bookmarkStart w:id="10" w:name="page11"/>
    <w:bookmarkEnd w:id="10"/>
    <w:p>
      <w:pPr>
        <w:jc w:val="right"/>
        <w:spacing w:after="0"/>
        <w:rPr>
          <w:sz w:val="20"/>
          <w:szCs w:val="20"/>
          <w:color w:val="auto"/>
        </w:rPr>
      </w:pPr>
      <w:r>
        <w:rPr>
          <w:rFonts w:ascii="Calibri" w:cs="Calibri" w:eastAsia="Calibri" w:hAnsi="Calibri"/>
          <w:sz w:val="19"/>
          <w:szCs w:val="19"/>
          <w:color w:val="auto"/>
        </w:rPr>
        <w:t>Exhibit 99.2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Reports Third Quarter 2022 Financial Results and Provides Business Update</w:t>
      </w:r>
    </w:p>
    <w:p>
      <w:pPr>
        <w:spacing w:after="0" w:line="28" w:lineRule="exact"/>
        <w:rPr>
          <w:sz w:val="20"/>
          <w:szCs w:val="20"/>
          <w:color w:val="auto"/>
        </w:rPr>
      </w:pPr>
    </w:p>
    <w:p>
      <w:pPr>
        <w:ind w:left="840" w:hanging="414"/>
        <w:spacing w:after="0"/>
        <w:tabs>
          <w:tab w:leader="none" w:pos="8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Announced positive top-line data for RAPIDe-1, a global Phase 2 study of PHVS416 for the on-demand treatment of HAE attacks</w:t>
      </w:r>
    </w:p>
    <w:p>
      <w:pPr>
        <w:spacing w:after="0" w:line="11" w:lineRule="exact"/>
        <w:rPr>
          <w:rFonts w:ascii="Times New Roman" w:cs="Times New Roman" w:eastAsia="Times New Roman" w:hAnsi="Times New Roman"/>
          <w:sz w:val="19"/>
          <w:szCs w:val="19"/>
          <w:color w:val="auto"/>
        </w:rPr>
      </w:pPr>
    </w:p>
    <w:p>
      <w:pPr>
        <w:ind w:left="840" w:right="340" w:hanging="414"/>
        <w:spacing w:after="0" w:line="249" w:lineRule="auto"/>
        <w:tabs>
          <w:tab w:leader="none" w:pos="8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Participated in a Type A meeting with the FDA regarding the previously announced holds on the clinical studies of PHA121 in the U.S.</w:t>
      </w:r>
    </w:p>
    <w:p>
      <w:pPr>
        <w:ind w:left="840" w:hanging="414"/>
        <w:spacing w:after="0"/>
        <w:tabs>
          <w:tab w:leader="none" w:pos="8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Top-line data from CHAPTER-1, a global proof-of-concept Phase 2 study of PHVS416, anticipated 2H2023</w:t>
      </w:r>
    </w:p>
    <w:p>
      <w:pPr>
        <w:spacing w:after="0" w:line="11" w:lineRule="exact"/>
        <w:rPr>
          <w:rFonts w:ascii="Times New Roman" w:cs="Times New Roman" w:eastAsia="Times New Roman" w:hAnsi="Times New Roman"/>
          <w:sz w:val="19"/>
          <w:szCs w:val="19"/>
          <w:color w:val="auto"/>
        </w:rPr>
      </w:pPr>
    </w:p>
    <w:p>
      <w:pPr>
        <w:ind w:left="840" w:hanging="414"/>
        <w:spacing w:after="0"/>
        <w:tabs>
          <w:tab w:leader="none" w:pos="8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Executing from a strong financial position with cash and cash equivalents of €198 million as of September 30, 2022</w:t>
      </w:r>
    </w:p>
    <w:p>
      <w:pPr>
        <w:spacing w:after="0" w:line="222"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ZUG, Switzerland, December 8, 2022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u w:val="single" w:color="auto"/>
          <w:color w:val="auto"/>
        </w:rPr>
        <w:t>Pharvaris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(Nasdaq: PHVS), a clinical-stage company developing novel, oral bradykinin-B2-receptor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antagonists to treat and prevent hereditary angioedema (HAE) attacks, today reported financial results for the third quarter ended September 30, 2022, and provided a business update.</w:t>
      </w:r>
    </w:p>
    <w:p>
      <w:pPr>
        <w:spacing w:after="0" w:line="17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9"/>
          <w:szCs w:val="19"/>
          <w:color w:val="auto"/>
        </w:rPr>
        <w:t>“The results of the RAPIDe-1 study affirm our confidence in our clinical development program in HAE,” said Berndt Modig, Chief Executive Officer of Pharvaris. “Pharvaris is fully committed to resolving the clinical holds on PHA121 in the U.S., and we appreciate the opportunity to meet with the FDA in the recent Type A meeting and to work with the agency on next steps. To date, the regulatory status for our studies outside the U.S. remains unchanged. Top-line data from CHAPTER-1, a proof-of-concept study of PHVS416 for the prophylactic treatment of HAE, is anticipated in the second half of 2023. Pharvaris has a strong financial position and will continue to operate with a disciplined approach as we aspire to bring best-in-class oral therapies to the HAE community.”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Business Updates</w:t>
      </w:r>
    </w:p>
    <w:p>
      <w:pPr>
        <w:spacing w:after="0" w:line="31" w:lineRule="exact"/>
        <w:rPr>
          <w:sz w:val="20"/>
          <w:szCs w:val="20"/>
          <w:color w:val="auto"/>
        </w:rPr>
      </w:pPr>
    </w:p>
    <w:p>
      <w:pPr>
        <w:ind w:left="840" w:right="100" w:hanging="414"/>
        <w:spacing w:after="0" w:line="245" w:lineRule="auto"/>
        <w:tabs>
          <w:tab w:leader="none" w:pos="8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Announcement of positive RAPIDe-1 data. </w:t>
      </w:r>
      <w:r>
        <w:rPr>
          <w:rFonts w:ascii="Times New Roman" w:cs="Times New Roman" w:eastAsia="Times New Roman" w:hAnsi="Times New Roman"/>
          <w:sz w:val="19"/>
          <w:szCs w:val="19"/>
          <w:color w:val="auto"/>
        </w:rPr>
        <w:t>Today Pharvaris announced top-line Phase 2 data demonstrating statistically significant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results of PHVS416 as an oral on-demand treatment for HAE attacks. Additional details can be found in the </w:t>
      </w:r>
      <w:r>
        <w:rPr>
          <w:rFonts w:ascii="Times New Roman" w:cs="Times New Roman" w:eastAsia="Times New Roman" w:hAnsi="Times New Roman"/>
          <w:sz w:val="19"/>
          <w:szCs w:val="19"/>
          <w:u w:val="single" w:color="auto"/>
          <w:color w:val="auto"/>
        </w:rPr>
        <w:t>news release</w:t>
      </w:r>
      <w:r>
        <w:rPr>
          <w:rFonts w:ascii="Times New Roman" w:cs="Times New Roman" w:eastAsia="Times New Roman" w:hAnsi="Times New Roman"/>
          <w:sz w:val="19"/>
          <w:szCs w:val="19"/>
          <w:color w:val="auto"/>
        </w:rPr>
        <w:t>.</w:t>
      </w:r>
    </w:p>
    <w:p>
      <w:pPr>
        <w:ind w:left="840" w:right="60" w:hanging="414"/>
        <w:spacing w:after="0" w:line="251" w:lineRule="auto"/>
        <w:tabs>
          <w:tab w:leader="none" w:pos="8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Pharvaris continues to engage with the FDA to resolve the holds on PHA121 clinical trials in the U.S. </w:t>
      </w:r>
      <w:r>
        <w:rPr>
          <w:rFonts w:ascii="Times New Roman" w:cs="Times New Roman" w:eastAsia="Times New Roman" w:hAnsi="Times New Roman"/>
          <w:sz w:val="19"/>
          <w:szCs w:val="19"/>
          <w:color w:val="auto"/>
        </w:rPr>
        <w:t>Following the previously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announced receipt of the formal letters regarding the holds on PHA121 clinical trials in the U.S., Pharvaris attended a Type A meeting with the U.S. Food and Drug Administration (FDA). During the meeting, Pharvaris proposed potential paths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311785</wp:posOffset>
            </wp:positionV>
            <wp:extent cx="717804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1" w:name="page12"/>
    <w:bookmarkEnd w:id="11"/>
    <w:p>
      <w:pPr>
        <w:ind w:left="840" w:right="320"/>
        <w:spacing w:after="0" w:line="257" w:lineRule="auto"/>
        <w:rPr>
          <w:sz w:val="20"/>
          <w:szCs w:val="20"/>
          <w:color w:val="auto"/>
        </w:rPr>
      </w:pPr>
      <w:r>
        <w:rPr>
          <w:rFonts w:ascii="Times New Roman" w:cs="Times New Roman" w:eastAsia="Times New Roman" w:hAnsi="Times New Roman"/>
          <w:sz w:val="19"/>
          <w:szCs w:val="19"/>
          <w:color w:val="auto"/>
        </w:rPr>
        <w:t>resolve the clinical holds for each of the on-demand and prophylactic programs. The company will provide additional information following receipt of the formal meeting minutes.</w:t>
      </w:r>
    </w:p>
    <w:p>
      <w:pPr>
        <w:spacing w:after="0" w:line="1" w:lineRule="exact"/>
        <w:rPr>
          <w:sz w:val="20"/>
          <w:szCs w:val="20"/>
          <w:color w:val="auto"/>
        </w:rPr>
      </w:pPr>
    </w:p>
    <w:p>
      <w:pPr>
        <w:ind w:left="840" w:right="60" w:hanging="414"/>
        <w:spacing w:after="0" w:line="245" w:lineRule="auto"/>
        <w:tabs>
          <w:tab w:leader="none" w:pos="84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CHAPTER-1, a global Phase 2 study of PHVS416 for the prophylactic treatment of HAE attacks, top-line data is anticipated 2H2023. </w:t>
      </w:r>
      <w:r>
        <w:rPr>
          <w:rFonts w:ascii="Times New Roman" w:cs="Times New Roman" w:eastAsia="Times New Roman" w:hAnsi="Times New Roman"/>
          <w:sz w:val="19"/>
          <w:szCs w:val="19"/>
          <w:color w:val="auto"/>
        </w:rPr>
        <w:t>All active sites outside of the U.S. continue to enroll participants in the CHAPTER-1 clinical study. After being notified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clinical holds in the U.S., Pharvaris notified country-specific regulatory authorities in Canada, Europe, Israel, and the UK regarding the clinical holds in the U.S. To date, the regulatory status of the CHAPTER-1 study outside the U.S. remains unchanged. Based on our current assumptions regarding ex-U.S. regulatory status and enrollment, Pharvaris anticipates announcing top-line data from the CHAPTER-1 trial in 2H2023. The study is designed to enroll 30 patients globally with a goal of evaluating proof of concept of PHVS416 as an oral prophylaxis against HAE attacks. The safety and efficacy of two doses and placebo will be evaluated by comparing the number of investigator-confirmed attacks during participants’ 12-week treatment period. Data from this proof-of-concept study is expected to inform design of an anticipated Phase 3 study utilizing PHVS719, an extended-release formulation of PHA121.</w:t>
      </w:r>
    </w:p>
    <w:p>
      <w:pPr>
        <w:spacing w:after="0" w:line="4" w:lineRule="exact"/>
        <w:rPr>
          <w:rFonts w:ascii="Times New Roman" w:cs="Times New Roman" w:eastAsia="Times New Roman" w:hAnsi="Times New Roman"/>
          <w:sz w:val="19"/>
          <w:szCs w:val="19"/>
          <w:color w:val="auto"/>
        </w:rPr>
      </w:pPr>
    </w:p>
    <w:p>
      <w:pPr>
        <w:ind w:left="840" w:hanging="414"/>
        <w:spacing w:after="0" w:line="245" w:lineRule="auto"/>
        <w:tabs>
          <w:tab w:leader="none" w:pos="84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Presentations of preclinical and clinical data supporting development of PH121 at industry meetings. </w:t>
      </w:r>
      <w:r>
        <w:rPr>
          <w:rFonts w:ascii="Times New Roman" w:cs="Times New Roman" w:eastAsia="Times New Roman" w:hAnsi="Times New Roman"/>
          <w:sz w:val="19"/>
          <w:szCs w:val="19"/>
          <w:color w:val="auto"/>
        </w:rPr>
        <w:t>Data detailing PHA121’s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pharmacokinetic (PK), pharmacodynamic (PD) and safety profile, as well as initial bioavailability and absorption data for the softgel capsule formulation, PHVS416, and extended-release tablet formulation, PHVS719, were presented at the Bradykinin Symposium in September, the HAEi Global Leadership Workshop in October, and the American College of Allergy, Asthma and Immunology (ACAAI) Annual Scientific Meeting in November. In healthy volunteer clinical studies, PHA121 was shown to be well-tolerated with a favorable PK/PD profile up to the highest dose tested. PHVS416 has been shown to achieve a rapid onset of exposure in humans, which is desirable for the on-demand treatment of HAE. PHVS719 has been shown to sustain therapeutic exposure, which supports its use in the prophylactic treatment of HAE.</w:t>
      </w:r>
    </w:p>
    <w:p>
      <w:pPr>
        <w:spacing w:after="0" w:line="3" w:lineRule="exact"/>
        <w:rPr>
          <w:rFonts w:ascii="Times New Roman" w:cs="Times New Roman" w:eastAsia="Times New Roman" w:hAnsi="Times New Roman"/>
          <w:sz w:val="19"/>
          <w:szCs w:val="19"/>
          <w:color w:val="auto"/>
        </w:rPr>
      </w:pPr>
    </w:p>
    <w:p>
      <w:pPr>
        <w:ind w:left="840" w:right="20" w:hanging="414"/>
        <w:spacing w:after="0" w:line="249" w:lineRule="auto"/>
        <w:tabs>
          <w:tab w:leader="none" w:pos="84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Strengthened Executive Committee. </w:t>
      </w:r>
      <w:r>
        <w:rPr>
          <w:rFonts w:ascii="Times New Roman" w:cs="Times New Roman" w:eastAsia="Times New Roman" w:hAnsi="Times New Roman"/>
          <w:sz w:val="19"/>
          <w:szCs w:val="19"/>
          <w:color w:val="auto"/>
        </w:rPr>
        <w:t>With the promotion of Annick Deschoolmeester to Chief Human Resources Officer, Pharvaris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continues to strengthen its Executive Committee. Since joining Pharvaris as the Head of Human Resources in September 2021, Ms. Deschoolmeester has had a substantial impact on the organization and has been instrumental in positioning Pharvaris for its next stage in scale and impact.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Third Quarter 2022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341630</wp:posOffset>
            </wp:positionV>
            <wp:extent cx="717804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12" w:name="page13"/>
    <w:bookmarkEnd w:id="12"/>
    <w:p>
      <w:pPr>
        <w:ind w:left="840" w:right="680" w:hanging="414"/>
        <w:spacing w:after="0" w:line="259" w:lineRule="auto"/>
        <w:tabs>
          <w:tab w:leader="none" w:pos="84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Liquidity Position. </w:t>
      </w:r>
      <w:r>
        <w:rPr>
          <w:rFonts w:ascii="Times New Roman" w:cs="Times New Roman" w:eastAsia="Times New Roman" w:hAnsi="Times New Roman"/>
          <w:sz w:val="19"/>
          <w:szCs w:val="19"/>
          <w:color w:val="auto"/>
        </w:rPr>
        <w:t>Cash and cash equivalents were €198 million as of September 30, 2022, compared to €209 million as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December 31, 2021. The net cash position reflects increased operating expenses, offset by favorable foreign exchange effects.</w:t>
      </w:r>
    </w:p>
    <w:p>
      <w:pPr>
        <w:spacing w:after="0" w:line="1" w:lineRule="exact"/>
        <w:rPr>
          <w:rFonts w:ascii="Times New Roman" w:cs="Times New Roman" w:eastAsia="Times New Roman" w:hAnsi="Times New Roman"/>
          <w:sz w:val="19"/>
          <w:szCs w:val="19"/>
          <w:color w:val="auto"/>
        </w:rPr>
      </w:pPr>
    </w:p>
    <w:p>
      <w:pPr>
        <w:ind w:left="840" w:right="640" w:hanging="414"/>
        <w:spacing w:after="0" w:line="245" w:lineRule="auto"/>
        <w:tabs>
          <w:tab w:leader="none" w:pos="84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Research and Development (R&amp;D) Expenses. </w:t>
      </w:r>
      <w:r>
        <w:rPr>
          <w:rFonts w:ascii="Times New Roman" w:cs="Times New Roman" w:eastAsia="Times New Roman" w:hAnsi="Times New Roman"/>
          <w:sz w:val="19"/>
          <w:szCs w:val="19"/>
          <w:color w:val="auto"/>
        </w:rPr>
        <w:t>R&amp;D expenses were €14.1 million for the quarter ended September 30, 2022,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compared to €9.0 million for the quarter ended September 30, 2021.</w:t>
      </w:r>
    </w:p>
    <w:p>
      <w:pPr>
        <w:ind w:left="840" w:right="640" w:hanging="414"/>
        <w:spacing w:after="0" w:line="245" w:lineRule="auto"/>
        <w:tabs>
          <w:tab w:leader="none" w:pos="84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General and Administrative (G&amp;A) Expenses. </w:t>
      </w:r>
      <w:r>
        <w:rPr>
          <w:rFonts w:ascii="Times New Roman" w:cs="Times New Roman" w:eastAsia="Times New Roman" w:hAnsi="Times New Roman"/>
          <w:sz w:val="19"/>
          <w:szCs w:val="19"/>
          <w:color w:val="auto"/>
        </w:rPr>
        <w:t>G&amp;A expenses were €8.3 million for the quarter ended September 30, 2022,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compared to €4.4 million for the quarter ended September 30, 2021.</w:t>
      </w:r>
    </w:p>
    <w:p>
      <w:pPr>
        <w:ind w:left="840" w:right="320" w:hanging="414"/>
        <w:spacing w:after="0" w:line="257" w:lineRule="auto"/>
        <w:tabs>
          <w:tab w:leader="none" w:pos="84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Loss for the period. </w:t>
      </w:r>
      <w:r>
        <w:rPr>
          <w:rFonts w:ascii="Times New Roman" w:cs="Times New Roman" w:eastAsia="Times New Roman" w:hAnsi="Times New Roman"/>
          <w:sz w:val="19"/>
          <w:szCs w:val="19"/>
          <w:color w:val="auto"/>
        </w:rPr>
        <w:t>Loss for the quarter ended September 30, 2022, was €8.5million, or basic and diluted loss per share of €0.25,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compared to €9.1 million, or basic and diluted loss per share of €0.28, for the quarter ended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on International Financial Reporting Standards (IFRS)</w:t>
      </w:r>
    </w:p>
    <w:p>
      <w:pPr>
        <w:spacing w:after="0" w:line="31"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9"/>
          <w:szCs w:val="19"/>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PHVS416</w:t>
      </w:r>
    </w:p>
    <w:p>
      <w:pPr>
        <w:spacing w:after="0" w:line="3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PHVS416 is an investigational softgel capsule formulation containing PHA121, a highly potent, specific, and orally bioavailable competitive antagonist of the bradykinin B2 receptor. Pharvaris aims to develop this formulation to provide rapid and reliable symptom relief, through rapid exposure of attack-mitigating therapy in a convenient, small oral dosage form. PHVS416 is currently in Phase 2 clinical development outside the U.S. for the on-demand and proof-of-concept prophylactic treatment of HAE.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PHVS719</w:t>
      </w:r>
    </w:p>
    <w:p>
      <w:pPr>
        <w:spacing w:after="0" w:line="3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PHVS719 is an investigational extended-release tablet formulation containing PHA121, a highly potent, specific, and orally bioavailable competitive antagonist of the bradykinin B2 receptor. Pharvaris is developing this formulation to provide an easy way to prevent attacks with sustained exposure of attack-preventing medicine in a convenient, small oral dosage form. PHVS719 is currently in Phase 1 clinical development for the prophylactic treatment of HAE. In healthy volunteers, a single dose of PHVS719 was well tolerated with an extended-release profile supporting once-daily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614680</wp:posOffset>
            </wp:positionV>
            <wp:extent cx="71780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b w:val="1"/>
          <w:bCs w:val="1"/>
          <w:color w:val="auto"/>
        </w:rPr>
        <w:t>About Pharvaris</w:t>
      </w:r>
    </w:p>
    <w:p>
      <w:pPr>
        <w:spacing w:after="0" w:line="3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 xml:space="preserve">Pharvaris is a clinical-stage company developing novel, oral bradykinin-B2-receptor antagonists to treat and prevent HAE attacks, building on its deep-seated roots in HAE. By directly targeting this clinically proven therapeutic target with novel small molecules, the Pharvaris team aspires to offer people with all sub-types of HAE safe, effective and convenient alternatives to treat attacks, for both on-demand and prophylactically. The company brings together the best talent in the industry with deep expertise in rare diseases and HAE. For more information, visit </w:t>
      </w:r>
      <w:r>
        <w:rPr>
          <w:rFonts w:ascii="Times New Roman" w:cs="Times New Roman" w:eastAsia="Times New Roman" w:hAnsi="Times New Roman"/>
          <w:sz w:val="19"/>
          <w:szCs w:val="19"/>
          <w:u w:val="single" w:color="auto"/>
          <w:color w:val="auto"/>
        </w:rPr>
        <w:t>https://pharvaris.com/</w:t>
      </w:r>
      <w:r>
        <w:rPr>
          <w:rFonts w:ascii="Times New Roman" w:cs="Times New Roman" w:eastAsia="Times New Roman" w:hAnsi="Times New Roman"/>
          <w:sz w:val="19"/>
          <w:szCs w:val="19"/>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3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with respect to the clinical holds on PHA121 clinical trials in the U.S.; the expected timing, progress, or success of our clinical development programs, especially for PHVS416 and PHVS719, which are in mid-stage global clinical trials and are currently on hold in the U.S. as a result of the clinical holds; risks associated with the COVID-19 pandemic, which may adversely impact our business, nonclinical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316230</wp:posOffset>
            </wp:positionV>
            <wp:extent cx="717804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546" w:right="359" w:bottom="1440" w:gutter="0" w:footer="0" w:header="0"/>
        </w:sectPr>
      </w:pPr>
    </w:p>
    <w:bookmarkStart w:id="14" w:name="page15"/>
    <w:bookmarkEnd w:id="14"/>
    <w:p>
      <w:pPr>
        <w:ind w:right="80"/>
        <w:spacing w:after="0" w:line="257" w:lineRule="auto"/>
        <w:rPr>
          <w:sz w:val="20"/>
          <w:szCs w:val="20"/>
          <w:color w:val="auto"/>
        </w:rPr>
      </w:pPr>
      <w:r>
        <w:rPr>
          <w:rFonts w:ascii="Times New Roman" w:cs="Times New Roman" w:eastAsia="Times New Roman" w:hAnsi="Times New Roman"/>
          <w:sz w:val="19"/>
          <w:szCs w:val="19"/>
          <w:color w:val="auto"/>
        </w:rPr>
        <w:t>maintain an effective system of internal control over financial reporting; changes in general market, political and economic conditions, including as a result of the current conflict between Russia and Ukraine; and the other factors described under the headings “Cautionary Statement Regarding Forward-Looking Statements” and “Item 3. Key Information—D. Risk Factors” in our Annual Report on Form 20-F and other periodic filings with the Securities and Exchange Commission.</w:t>
      </w:r>
    </w:p>
    <w:p>
      <w:pPr>
        <w:spacing w:after="0" w:line="200" w:lineRule="exact"/>
        <w:rPr>
          <w:sz w:val="20"/>
          <w:szCs w:val="20"/>
          <w:color w:val="auto"/>
        </w:rPr>
      </w:pPr>
    </w:p>
    <w:p>
      <w:pPr>
        <w:spacing w:after="0" w:line="2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Maryann Cimino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 of Corporate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maryann.cimino@pharvaris.com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+1-617-710-7305</w:t>
      </w:r>
    </w:p>
    <w:p>
      <w:pPr>
        <w:sectPr>
          <w:pgSz w:w="11900" w:h="16838" w:orient="portrait"/>
          <w:cols w:equalWidth="0" w:num="1">
            <w:col w:w="11240"/>
          </w:cols>
          <w:pgMar w:left="320" w:top="340"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16" w:lineRule="exact"/>
        <w:rPr>
          <w:sz w:val="20"/>
          <w:szCs w:val="20"/>
          <w:color w:val="auto"/>
        </w:rPr>
      </w:pPr>
    </w:p>
    <w:p>
      <w:pPr>
        <w:ind w:right="60" w:firstLine="546"/>
        <w:spacing w:after="0" w:line="247" w:lineRule="auto"/>
        <w:rPr>
          <w:sz w:val="20"/>
          <w:szCs w:val="20"/>
          <w:color w:val="auto"/>
        </w:rPr>
      </w:pPr>
      <w:r>
        <w:rPr>
          <w:rFonts w:ascii="Times New Roman" w:cs="Times New Roman" w:eastAsia="Times New Roman" w:hAnsi="Times New Roman"/>
          <w:sz w:val="18"/>
          <w:szCs w:val="18"/>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and nine months ended September 30, 2022 and 2021 included as Exhibit 99.4 to the Report on Form 6-K to which this discussion is attached as Exhibit 99.3. We also recommend that you read “Item 4. Information on the Company”, “Item 5. Operating and Financial Review and Prospects” and our audited consolidated financial statements for fiscal year 2021, and the notes thereto, which appear in our Annual Report on Form 20-F for the year ended December 31, 2021 (the “Annual Report”) filed with the U.S. Securities and Exchange Commission (the “SEC”). In addition, we recommend that you read any public announcements made from time to time by Pharvaris N.V.</w:t>
      </w:r>
    </w:p>
    <w:p>
      <w:pPr>
        <w:spacing w:after="0" w:line="191" w:lineRule="exact"/>
        <w:rPr>
          <w:sz w:val="20"/>
          <w:szCs w:val="20"/>
          <w:color w:val="auto"/>
        </w:rPr>
      </w:pPr>
    </w:p>
    <w:p>
      <w:pPr>
        <w:ind w:right="20" w:firstLine="546"/>
        <w:spacing w:after="0" w:line="252" w:lineRule="auto"/>
        <w:rPr>
          <w:sz w:val="20"/>
          <w:szCs w:val="20"/>
          <w:color w:val="auto"/>
        </w:rPr>
      </w:pPr>
      <w:r>
        <w:rPr>
          <w:rFonts w:ascii="Times New Roman" w:cs="Times New Roman" w:eastAsia="Times New Roman" w:hAnsi="Times New Roman"/>
          <w:sz w:val="18"/>
          <w:szCs w:val="18"/>
          <w:color w:val="auto"/>
        </w:rPr>
        <w:t>The following discussion is based on our financial information prepared in accordance with the International Financial Reporting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182" w:lineRule="exact"/>
        <w:rPr>
          <w:sz w:val="20"/>
          <w:szCs w:val="20"/>
          <w:color w:val="auto"/>
        </w:rPr>
      </w:pPr>
    </w:p>
    <w:p>
      <w:pPr>
        <w:ind w:right="20" w:firstLine="546"/>
        <w:spacing w:after="0" w:line="256" w:lineRule="auto"/>
        <w:rPr>
          <w:sz w:val="20"/>
          <w:szCs w:val="20"/>
          <w:color w:val="auto"/>
        </w:rPr>
      </w:pPr>
      <w:r>
        <w:rPr>
          <w:rFonts w:ascii="Times New Roman" w:cs="Times New Roman" w:eastAsia="Times New Roman" w:hAnsi="Times New Roman"/>
          <w:sz w:val="18"/>
          <w:szCs w:val="18"/>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w:t>
      </w:r>
    </w:p>
    <w:p>
      <w:pPr>
        <w:spacing w:after="0" w:line="179" w:lineRule="exact"/>
        <w:rPr>
          <w:sz w:val="20"/>
          <w:szCs w:val="20"/>
          <w:color w:val="auto"/>
        </w:rPr>
      </w:pPr>
    </w:p>
    <w:p>
      <w:pPr>
        <w:ind w:right="20" w:firstLine="546"/>
        <w:spacing w:after="0" w:line="268"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to “Pharvaris” or the “Company,” “we,” “our,” “ours,” “us”, or similar terms refer to Pharvaris N.V. and its subsidiaries.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ind w:right="40" w:firstLine="546"/>
        <w:spacing w:after="0" w:line="24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w:t>
      </w:r>
    </w:p>
    <w:p>
      <w:pPr>
        <w:spacing w:after="0" w:line="190" w:lineRule="exact"/>
        <w:rPr>
          <w:sz w:val="20"/>
          <w:szCs w:val="20"/>
          <w:color w:val="auto"/>
        </w:rPr>
      </w:pPr>
    </w:p>
    <w:p>
      <w:pPr>
        <w:ind w:right="120" w:firstLine="546"/>
        <w:spacing w:after="0" w:line="248" w:lineRule="auto"/>
        <w:rPr>
          <w:sz w:val="20"/>
          <w:szCs w:val="20"/>
          <w:color w:val="auto"/>
        </w:rPr>
      </w:pPr>
      <w:r>
        <w:rPr>
          <w:rFonts w:ascii="Times New Roman" w:cs="Times New Roman" w:eastAsia="Times New Roman" w:hAnsi="Times New Roman"/>
          <w:sz w:val="18"/>
          <w:szCs w:val="18"/>
          <w:color w:val="auto"/>
        </w:rPr>
        <w:t>In our completed Phase 1 trials to-date, we have observed that PHA121 was orally bioavailable and well tolerated at all doses studied, with approximately dose-proportional exposure. We also have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in comparison with that of icatibant, but we do not yet have data from a PHA121 Phase 2 study. We plan to progress PHA121 through clinical development for on-demand and prophylactic use with our on-demand product candidate, PHVS416, and extended-release product candidate, PHVS719, respectively.</w:t>
      </w:r>
    </w:p>
    <w:p>
      <w:pPr>
        <w:spacing w:after="0" w:line="189" w:lineRule="exact"/>
        <w:rPr>
          <w:sz w:val="20"/>
          <w:szCs w:val="20"/>
          <w:color w:val="auto"/>
        </w:rPr>
      </w:pPr>
    </w:p>
    <w:p>
      <w:pPr>
        <w:ind w:firstLine="546"/>
        <w:spacing w:after="0" w:line="249" w:lineRule="auto"/>
        <w:rPr>
          <w:sz w:val="20"/>
          <w:szCs w:val="20"/>
          <w:color w:val="auto"/>
        </w:rPr>
      </w:pPr>
      <w:r>
        <w:rPr>
          <w:rFonts w:ascii="Times New Roman" w:cs="Times New Roman" w:eastAsia="Times New Roman" w:hAnsi="Times New Roman"/>
          <w:sz w:val="18"/>
          <w:szCs w:val="18"/>
          <w:color w:val="auto"/>
        </w:rPr>
        <w:t>We commenced our RAPIDe-1 Phase 2 clinical trial of PHVS416 in February 2021. We also commenced CHAPTER-1, a Phase 2 clinical trial for prophylaxis in 2021 using twice-daily dosing of the PHVS416 softgel capsules. Our primary objective with CHAPTER-1 is to assess the safety profile of PHVS416 dose regimens for prophylactic treatments in HAE patients. Please see “Recent Announcements” for an update regarding these clinical trials. We also initiated a Phase 1 clinical trial with PHVS719 in 2021 to assess pharmacokinetics of the extended-release formulation and reported results in the first quarter of 2022. In healthy volunteers, a single dose of PHVS719 was well tolerated with an extended-release profile supporting once-daily dosing.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ind w:right="40" w:firstLine="546"/>
        <w:spacing w:after="0" w:line="281" w:lineRule="auto"/>
        <w:rPr>
          <w:sz w:val="20"/>
          <w:szCs w:val="20"/>
          <w:color w:val="auto"/>
        </w:rPr>
      </w:pPr>
      <w:r>
        <w:rPr>
          <w:rFonts w:ascii="Times New Roman" w:cs="Times New Roman" w:eastAsia="Times New Roman" w:hAnsi="Times New Roman"/>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While the impact of COVID-19 on the Company’s operations and financial performance has so far been limited, the extent to which COVID-19 may impact our financial condition or results of operations in the future is uncertain. For instance, the ongoing spread of variants of the COVID-19 virus may continue to interrupt, or delay, our clinical trial activities, regulatory reviews, manufacturing activities and supply chain.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including among other things, the effectiveness and outreach of COVID-19 vaccines.</w:t>
      </w:r>
    </w:p>
    <w:p>
      <w:pPr>
        <w:spacing w:after="0" w:line="375" w:lineRule="exact"/>
        <w:rPr>
          <w:sz w:val="20"/>
          <w:szCs w:val="20"/>
          <w:color w:val="auto"/>
        </w:rPr>
      </w:pPr>
    </w:p>
    <w:p>
      <w:pPr>
        <w:ind w:right="40" w:firstLine="546"/>
        <w:spacing w:after="0" w:line="248" w:lineRule="auto"/>
        <w:rPr>
          <w:sz w:val="20"/>
          <w:szCs w:val="20"/>
          <w:color w:val="auto"/>
        </w:rPr>
      </w:pPr>
      <w:r>
        <w:rPr>
          <w:rFonts w:ascii="Times New Roman" w:cs="Times New Roman" w:eastAsia="Times New Roman" w:hAnsi="Times New Roman"/>
          <w:sz w:val="18"/>
          <w:szCs w:val="18"/>
          <w:color w:val="auto"/>
        </w:rPr>
        <w:t>In addition, the invasion of Ukraine and the retaliatory measures that have been taken, or could be taken in the future, by the United States, NATO, and other countries have created global security concerns that could result in a regional conflict and also adversely affect our ability to conduct ongoing and future clinical trials of our product candidates. For example, our RAPIDe-1 study includes a significant number of patients in Germany, Poland, and Bulgaria.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6" w:lineRule="exact"/>
        <w:rPr>
          <w:sz w:val="20"/>
          <w:szCs w:val="20"/>
          <w:color w:val="auto"/>
        </w:rPr>
      </w:pPr>
    </w:p>
    <w:p>
      <w:pPr>
        <w:ind w:right="140" w:firstLine="546"/>
        <w:spacing w:after="0" w:line="268" w:lineRule="auto"/>
        <w:rPr>
          <w:sz w:val="20"/>
          <w:szCs w:val="20"/>
          <w:color w:val="auto"/>
        </w:rPr>
      </w:pPr>
      <w:r>
        <w:rPr>
          <w:rFonts w:ascii="Times New Roman" w:cs="Times New Roman" w:eastAsia="Times New Roman" w:hAnsi="Times New Roman"/>
          <w:sz w:val="18"/>
          <w:szCs w:val="18"/>
          <w:color w:val="auto"/>
        </w:rPr>
        <w:t>In August 2022, we announced that the U.S. Food and Drug Administration (the “FDA”) had placed a clinical hold on the clinical trials of PHA121 in the United States (the “clinical hold”).</w:t>
      </w:r>
    </w:p>
    <w:p>
      <w:pPr>
        <w:spacing w:after="0" w:line="169" w:lineRule="exact"/>
        <w:rPr>
          <w:sz w:val="20"/>
          <w:szCs w:val="20"/>
          <w:color w:val="auto"/>
        </w:rPr>
      </w:pPr>
    </w:p>
    <w:p>
      <w:pPr>
        <w:ind w:right="80" w:firstLine="546"/>
        <w:spacing w:after="0" w:line="252" w:lineRule="auto"/>
        <w:rPr>
          <w:sz w:val="20"/>
          <w:szCs w:val="20"/>
          <w:color w:val="auto"/>
        </w:rPr>
      </w:pPr>
      <w:r>
        <w:rPr>
          <w:rFonts w:ascii="Times New Roman" w:cs="Times New Roman" w:eastAsia="Times New Roman" w:hAnsi="Times New Roman"/>
          <w:sz w:val="18"/>
          <w:szCs w:val="18"/>
          <w:color w:val="auto"/>
        </w:rPr>
        <w:t>The clinical hold letters stated that the nonclinical observations are unlikely due to B2 receptor antagonism, the primary mechanism of action of our compound. The FDA has requested that we conduct an additional long-term rodent toxicology study and update the Investigator’s Brochure. Pharvaris conducted a Type A meeting with the FDA. During the meeting, Pharvaris proposed potential paths to resolve the clinical holds for each of the on-demand and prophylactic programs. We will provide additional information following receipt of the formal meeting minutes.</w:t>
      </w:r>
    </w:p>
    <w:p>
      <w:pPr>
        <w:spacing w:after="0" w:line="182" w:lineRule="exact"/>
        <w:rPr>
          <w:sz w:val="20"/>
          <w:szCs w:val="20"/>
          <w:color w:val="auto"/>
        </w:rPr>
      </w:pPr>
    </w:p>
    <w:p>
      <w:pPr>
        <w:ind w:right="100" w:firstLine="546"/>
        <w:spacing w:after="0" w:line="331" w:lineRule="auto"/>
        <w:rPr>
          <w:sz w:val="20"/>
          <w:szCs w:val="20"/>
          <w:color w:val="auto"/>
        </w:rPr>
      </w:pPr>
      <w:r>
        <w:rPr>
          <w:rFonts w:ascii="Times New Roman" w:cs="Times New Roman" w:eastAsia="Times New Roman" w:hAnsi="Times New Roman"/>
          <w:sz w:val="16"/>
          <w:szCs w:val="16"/>
          <w:color w:val="auto"/>
        </w:rPr>
        <w:t>In the RAPIDe-1 study, Pharvaris announced top-line Phase 2 data on December 8, 2022, demonstrating statistically significant results of PHVS416 as an oral on-demand treatment for HAE attacks. Additional details can be found in the news release included as Exhibit 99.1 to this Report on Form 6-K.</w:t>
      </w:r>
    </w:p>
    <w:p>
      <w:pPr>
        <w:spacing w:after="0" w:line="123" w:lineRule="exact"/>
        <w:rPr>
          <w:sz w:val="20"/>
          <w:szCs w:val="20"/>
          <w:color w:val="auto"/>
        </w:rPr>
      </w:pPr>
    </w:p>
    <w:p>
      <w:pPr>
        <w:ind w:firstLine="546"/>
        <w:spacing w:after="0" w:line="252" w:lineRule="auto"/>
        <w:rPr>
          <w:sz w:val="20"/>
          <w:szCs w:val="20"/>
          <w:color w:val="auto"/>
        </w:rPr>
      </w:pPr>
      <w:r>
        <w:rPr>
          <w:rFonts w:ascii="Times New Roman" w:cs="Times New Roman" w:eastAsia="Times New Roman" w:hAnsi="Times New Roman"/>
          <w:sz w:val="18"/>
          <w:szCs w:val="18"/>
          <w:color w:val="auto"/>
        </w:rPr>
        <w:t>All active sites outside of the U.S. continue to enroll participants in the CHAPTER-1 clinical study. After being notified of the clinical holds in the U.S., Pharvaris notified country-specific regulatory authorities in Canada, Europe, Israel, and the UK regarding the clinical holds in the U.S. To date, the regulatory status of the CHAPTER-1 study outside the U.S. remains unchanged. Pharvaris anticipates announcing top-line data from the CHAPTER-1 trial in the second half of 2023.</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On September 30, 2022, we announced the appointment of Annick Deschoolmeester to the newly created position of Chief Human Resources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2" w:lineRule="exact"/>
        <w:rPr>
          <w:sz w:val="20"/>
          <w:szCs w:val="20"/>
          <w:color w:val="auto"/>
        </w:rPr>
      </w:pPr>
    </w:p>
    <w:p>
      <w:pPr>
        <w:ind w:right="40" w:firstLine="546"/>
        <w:spacing w:after="0" w:line="268" w:lineRule="auto"/>
        <w:rPr>
          <w:sz w:val="20"/>
          <w:szCs w:val="20"/>
          <w:color w:val="auto"/>
        </w:rPr>
      </w:pPr>
      <w:r>
        <w:rPr>
          <w:rFonts w:ascii="Times New Roman" w:cs="Times New Roman" w:eastAsia="Times New Roman" w:hAnsi="Times New Roman"/>
          <w:sz w:val="18"/>
          <w:szCs w:val="18"/>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2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2" w:lineRule="exact"/>
        <w:rPr>
          <w:sz w:val="20"/>
          <w:szCs w:val="20"/>
          <w:color w:val="auto"/>
        </w:rPr>
      </w:pPr>
    </w:p>
    <w:p>
      <w:pPr>
        <w:ind w:right="340" w:firstLine="546"/>
        <w:spacing w:after="0" w:line="256" w:lineRule="auto"/>
        <w:rPr>
          <w:sz w:val="20"/>
          <w:szCs w:val="20"/>
          <w:color w:val="auto"/>
        </w:rPr>
      </w:pPr>
      <w:r>
        <w:rPr>
          <w:rFonts w:ascii="Times New Roman" w:cs="Times New Roman" w:eastAsia="Times New Roman" w:hAnsi="Times New Roman"/>
          <w:sz w:val="18"/>
          <w:szCs w:val="18"/>
          <w:color w:val="auto"/>
        </w:rPr>
        <w:t>We are focused on the clinical development of PHA121. Since our inception, we have devoted substantially all our resources to research and development efforts relating to the development of PHA121 and our product candidates PHVS416 and PHVS719. We expect that we will continue to incur significant research and development expenses as we seek to</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17" w:name="page18"/>
    <w:bookmarkEnd w:id="17"/>
    <w:p>
      <w:pPr>
        <w:ind w:right="160"/>
        <w:spacing w:after="0" w:line="268" w:lineRule="auto"/>
        <w:rPr>
          <w:sz w:val="20"/>
          <w:szCs w:val="20"/>
          <w:color w:val="auto"/>
        </w:rPr>
      </w:pPr>
      <w:r>
        <w:rPr>
          <w:rFonts w:ascii="Times New Roman" w:cs="Times New Roman" w:eastAsia="Times New Roman" w:hAnsi="Times New Roman"/>
          <w:sz w:val="18"/>
          <w:szCs w:val="18"/>
          <w:color w:val="auto"/>
        </w:rPr>
        <w:t>complete the clinical development of, and achieve regulatory approval for, our product candidates PHVS416 and PHVS719, and in connection with discovery and development of any additional product candidates.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 expenses consist of the following:</w:t>
      </w:r>
    </w:p>
    <w:p>
      <w:pPr>
        <w:spacing w:after="0" w:line="108" w:lineRule="exact"/>
        <w:rPr>
          <w:sz w:val="20"/>
          <w:szCs w:val="20"/>
          <w:color w:val="auto"/>
        </w:rPr>
      </w:pPr>
    </w:p>
    <w:p>
      <w:pPr>
        <w:ind w:left="1220" w:right="260" w:hanging="400"/>
        <w:spacing w:after="0" w:line="268"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expenses, which includes salaries, pensions, share-based compensation expenses, bonus plans and other related costs for research and development staff;</w:t>
      </w:r>
    </w:p>
    <w:p>
      <w:pPr>
        <w:spacing w:after="0" w:line="63"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expenses, which include costs of our outsourced discovery and nonclinical development studies;</w:t>
      </w:r>
    </w:p>
    <w:p>
      <w:pPr>
        <w:spacing w:after="0" w:line="134" w:lineRule="exact"/>
        <w:rPr>
          <w:rFonts w:ascii="Times New Roman" w:cs="Times New Roman" w:eastAsia="Times New Roman" w:hAnsi="Times New Roman"/>
          <w:sz w:val="18"/>
          <w:szCs w:val="18"/>
          <w:color w:val="auto"/>
        </w:rPr>
      </w:pPr>
    </w:p>
    <w:p>
      <w:pPr>
        <w:ind w:left="1220" w:right="120" w:hanging="400"/>
        <w:spacing w:after="0" w:line="268"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expenses, which includes costs of conducting and managing our sponsored clinical trials, including clinical investigator cost, costs of clinical sites, and costs for Contract Research Organizations (“CRO”) assisting with our clinical development programs;</w:t>
      </w:r>
    </w:p>
    <w:p>
      <w:pPr>
        <w:spacing w:after="0" w:line="63" w:lineRule="exact"/>
        <w:rPr>
          <w:rFonts w:ascii="Times New Roman" w:cs="Times New Roman" w:eastAsia="Times New Roman" w:hAnsi="Times New Roman"/>
          <w:sz w:val="18"/>
          <w:szCs w:val="18"/>
          <w:color w:val="auto"/>
        </w:rPr>
      </w:pPr>
    </w:p>
    <w:p>
      <w:pPr>
        <w:ind w:left="1220" w:right="40" w:hanging="400"/>
        <w:spacing w:after="0" w:line="268"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expenses, which include costs related to manufacturing of active pharmaceutical ingredients and manufacturing of the products used in our clinical trials and research and development activities;</w:t>
      </w:r>
    </w:p>
    <w:p>
      <w:pPr>
        <w:spacing w:after="0" w:line="63" w:lineRule="exact"/>
        <w:rPr>
          <w:rFonts w:ascii="Times New Roman" w:cs="Times New Roman" w:eastAsia="Times New Roman" w:hAnsi="Times New Roman"/>
          <w:sz w:val="18"/>
          <w:szCs w:val="18"/>
          <w:color w:val="auto"/>
        </w:rPr>
      </w:pPr>
    </w:p>
    <w:p>
      <w:pPr>
        <w:ind w:left="1220" w:right="280" w:hanging="400"/>
        <w:spacing w:after="0" w:line="268"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63"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connection with investigator-sponsored clinical trials and evaluations;</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advisers’ fees, including discovery, nonclinical, clinical, chemistry, manufacturing, and controls- related and other consulting services;</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costs, which includes costs associated with obtaining and maintaining patents and other intellectual property; and</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costs.</w:t>
      </w:r>
    </w:p>
    <w:p>
      <w:pPr>
        <w:spacing w:after="0" w:line="240" w:lineRule="exact"/>
        <w:rPr>
          <w:sz w:val="20"/>
          <w:szCs w:val="20"/>
          <w:color w:val="auto"/>
        </w:rPr>
      </w:pPr>
    </w:p>
    <w:p>
      <w:pPr>
        <w:jc w:val="both"/>
        <w:ind w:right="180" w:firstLine="546"/>
        <w:spacing w:after="0" w:line="268" w:lineRule="auto"/>
        <w:rPr>
          <w:sz w:val="20"/>
          <w:szCs w:val="20"/>
          <w:color w:val="auto"/>
        </w:rPr>
      </w:pPr>
      <w:r>
        <w:rPr>
          <w:rFonts w:ascii="Times New Roman" w:cs="Times New Roman" w:eastAsia="Times New Roman" w:hAnsi="Times New Roman"/>
          <w:sz w:val="18"/>
          <w:szCs w:val="18"/>
          <w:color w:val="auto"/>
        </w:rPr>
        <w:t>We anticipate that our total research and development expenses will continue to increase as we continue to progress PHVS416 and PHVS719 through clinical development.</w:t>
      </w:r>
    </w:p>
    <w:p>
      <w:pPr>
        <w:spacing w:after="0" w:line="169" w:lineRule="exact"/>
        <w:rPr>
          <w:sz w:val="20"/>
          <w:szCs w:val="20"/>
          <w:color w:val="auto"/>
        </w:rPr>
      </w:pPr>
    </w:p>
    <w:p>
      <w:pPr>
        <w:jc w:val="both"/>
        <w:ind w:right="200" w:firstLine="546"/>
        <w:spacing w:after="0" w:line="256" w:lineRule="auto"/>
        <w:rPr>
          <w:sz w:val="20"/>
          <w:szCs w:val="20"/>
          <w:color w:val="auto"/>
        </w:rPr>
      </w:pPr>
      <w:r>
        <w:rPr>
          <w:rFonts w:ascii="Times New Roman" w:cs="Times New Roman" w:eastAsia="Times New Roman" w:hAnsi="Times New Roman"/>
          <w:sz w:val="18"/>
          <w:szCs w:val="18"/>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79" w:lineRule="exact"/>
        <w:rPr>
          <w:sz w:val="20"/>
          <w:szCs w:val="20"/>
          <w:color w:val="auto"/>
        </w:rPr>
      </w:pPr>
    </w:p>
    <w:p>
      <w:pPr>
        <w:ind w:firstLine="546"/>
        <w:spacing w:after="0" w:line="256" w:lineRule="auto"/>
        <w:rPr>
          <w:sz w:val="20"/>
          <w:szCs w:val="20"/>
          <w:color w:val="auto"/>
        </w:rPr>
      </w:pPr>
      <w:r>
        <w:rPr>
          <w:rFonts w:ascii="Times New Roman" w:cs="Times New Roman" w:eastAsia="Times New Roman" w:hAnsi="Times New Roman"/>
          <w:sz w:val="18"/>
          <w:szCs w:val="18"/>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w:t>
      </w:r>
    </w:p>
    <w:p>
      <w:pPr>
        <w:spacing w:after="0" w:line="179" w:lineRule="exact"/>
        <w:rPr>
          <w:sz w:val="20"/>
          <w:szCs w:val="20"/>
          <w:color w:val="auto"/>
        </w:rPr>
      </w:pPr>
    </w:p>
    <w:p>
      <w:pPr>
        <w:ind w:right="280" w:firstLine="546"/>
        <w:spacing w:after="0" w:line="256" w:lineRule="auto"/>
        <w:rPr>
          <w:sz w:val="20"/>
          <w:szCs w:val="20"/>
          <w:color w:val="auto"/>
        </w:rPr>
      </w:pPr>
      <w:r>
        <w:rPr>
          <w:rFonts w:ascii="Times New Roman" w:cs="Times New Roman" w:eastAsia="Times New Roman" w:hAnsi="Times New Roman"/>
          <w:sz w:val="18"/>
          <w:szCs w:val="18"/>
          <w:color w:val="auto"/>
        </w:rPr>
        <w:t>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for a discussion of these risks and uncertainties.</w:t>
      </w:r>
    </w:p>
    <w:p>
      <w:pPr>
        <w:spacing w:after="0" w:line="2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 expenses</w:t>
      </w:r>
    </w:p>
    <w:p>
      <w:pPr>
        <w:spacing w:after="0" w:line="112" w:lineRule="exact"/>
        <w:rPr>
          <w:sz w:val="20"/>
          <w:szCs w:val="20"/>
          <w:color w:val="auto"/>
        </w:rPr>
      </w:pPr>
    </w:p>
    <w:p>
      <w:pPr>
        <w:ind w:right="240" w:firstLine="546"/>
        <w:spacing w:after="0" w:line="256" w:lineRule="auto"/>
        <w:rPr>
          <w:sz w:val="20"/>
          <w:szCs w:val="20"/>
          <w:color w:val="auto"/>
        </w:rPr>
      </w:pPr>
      <w:r>
        <w:rPr>
          <w:rFonts w:ascii="Times New Roman" w:cs="Times New Roman" w:eastAsia="Times New Roman" w:hAnsi="Times New Roman"/>
          <w:sz w:val="18"/>
          <w:szCs w:val="18"/>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2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consist of the following:</w:t>
      </w:r>
    </w:p>
    <w:p>
      <w:pPr>
        <w:spacing w:after="0" w:line="91" w:lineRule="exact"/>
        <w:rPr>
          <w:sz w:val="20"/>
          <w:szCs w:val="20"/>
          <w:color w:val="auto"/>
        </w:rPr>
      </w:pPr>
    </w:p>
    <w:p>
      <w:pPr>
        <w:ind w:left="1220" w:right="680" w:hanging="400"/>
        <w:spacing w:after="0" w:line="268" w:lineRule="auto"/>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including salaries, pensions, share-based compensation expenses, bonus plans and other related costs for staff and independent contractors in executive and operational functions;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ind w:left="1220" w:hanging="400"/>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auditors’ and advisers’ fees, including accounting, tax, legal, and other consulting services;</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expenses, facilities and IT expenses, and other general expenses relating to our operations; and</w:t>
      </w:r>
    </w:p>
    <w:p>
      <w:pPr>
        <w:spacing w:after="0" w:line="134" w:lineRule="exact"/>
        <w:rPr>
          <w:rFonts w:ascii="Times New Roman" w:cs="Times New Roman" w:eastAsia="Times New Roman" w:hAnsi="Times New Roman"/>
          <w:sz w:val="18"/>
          <w:szCs w:val="18"/>
          <w:color w:val="auto"/>
        </w:rPr>
      </w:pPr>
    </w:p>
    <w:p>
      <w:pPr>
        <w:ind w:left="1220" w:right="200" w:hanging="400"/>
        <w:spacing w:after="0" w:line="268" w:lineRule="auto"/>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build-out of our commercial organization, including assessments of the HAE market landscape, pricing research, and congress attendance.</w:t>
      </w:r>
    </w:p>
    <w:p>
      <w:pPr>
        <w:spacing w:after="0" w:line="169" w:lineRule="exact"/>
        <w:rPr>
          <w:sz w:val="20"/>
          <w:szCs w:val="20"/>
          <w:color w:val="auto"/>
        </w:rPr>
      </w:pPr>
    </w:p>
    <w:p>
      <w:pPr>
        <w:ind w:right="40" w:firstLine="546"/>
        <w:spacing w:after="0" w:line="256" w:lineRule="auto"/>
        <w:rPr>
          <w:sz w:val="20"/>
          <w:szCs w:val="20"/>
          <w:color w:val="auto"/>
        </w:rPr>
      </w:pPr>
      <w:r>
        <w:rPr>
          <w:rFonts w:ascii="Times New Roman" w:cs="Times New Roman" w:eastAsia="Times New Roman" w:hAnsi="Times New Roman"/>
          <w:sz w:val="18"/>
          <w:szCs w:val="18"/>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2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expenses</w:t>
      </w:r>
    </w:p>
    <w:p>
      <w:pPr>
        <w:spacing w:after="0" w:line="112" w:lineRule="exact"/>
        <w:rPr>
          <w:sz w:val="20"/>
          <w:szCs w:val="20"/>
          <w:color w:val="auto"/>
        </w:rPr>
      </w:pPr>
    </w:p>
    <w:p>
      <w:pPr>
        <w:ind w:right="120" w:firstLine="546"/>
        <w:spacing w:after="0" w:line="247" w:lineRule="auto"/>
        <w:rPr>
          <w:sz w:val="20"/>
          <w:szCs w:val="20"/>
          <w:color w:val="auto"/>
        </w:rPr>
      </w:pPr>
      <w:r>
        <w:rPr>
          <w:rFonts w:ascii="Times New Roman" w:cs="Times New Roman" w:eastAsia="Times New Roman" w:hAnsi="Times New Roman"/>
          <w:sz w:val="18"/>
          <w:szCs w:val="18"/>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p>
      <w:pPr>
        <w:spacing w:after="0" w:line="110" w:lineRule="exact"/>
        <w:rPr>
          <w:sz w:val="20"/>
          <w:szCs w:val="20"/>
          <w:color w:val="auto"/>
        </w:rPr>
      </w:pPr>
    </w:p>
    <w:p>
      <w:pPr>
        <w:ind w:right="420" w:firstLine="546"/>
        <w:spacing w:after="0" w:line="256" w:lineRule="auto"/>
        <w:rPr>
          <w:sz w:val="20"/>
          <w:szCs w:val="20"/>
          <w:color w:val="auto"/>
        </w:rPr>
      </w:pPr>
      <w:r>
        <w:rPr>
          <w:rFonts w:ascii="Times New Roman" w:cs="Times New Roman" w:eastAsia="Times New Roman" w:hAnsi="Times New Roman"/>
          <w:sz w:val="18"/>
          <w:szCs w:val="18"/>
          <w:color w:val="auto"/>
        </w:rPr>
        <w:t>The financial information shown below was derived from our unaudited condensed consolidated interim financial statements for the three and nine months ended September 30, 2022 and 2021 included as Exhibit 99.4 to this Report on Form 6-K. The discussion below should be read along with these condensed consolidated interim financial statements.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September 30, 2022 and 2021</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0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60" w:type="dxa"/>
            <w:vAlign w:val="bottom"/>
            <w:tcBorders>
              <w:bottom w:val="single" w:sz="8" w:color="auto"/>
            </w:tcBorders>
          </w:tcPr>
          <w:p>
            <w:pPr>
              <w:jc w:val="right"/>
              <w:ind w:right="490"/>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1660" w:type="dxa"/>
            <w:vAlign w:val="bottom"/>
            <w:tcBorders>
              <w:bottom w:val="single" w:sz="8" w:color="auto"/>
            </w:tcBorders>
          </w:tcPr>
          <w:p>
            <w:pPr>
              <w:jc w:val="right"/>
              <w:ind w:right="777"/>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1340" w:type="dxa"/>
            <w:vAlign w:val="bottom"/>
            <w:tcBorders>
              <w:bottom w:val="single" w:sz="8" w:color="auto"/>
            </w:tcBorders>
          </w:tcPr>
          <w:p>
            <w:pPr>
              <w:jc w:val="right"/>
              <w:ind w:right="654"/>
              <w:spacing w:after="0" w:line="151" w:lineRule="exact"/>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jc w:val="right"/>
              <w:ind w:right="414"/>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40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60" w:type="dxa"/>
            <w:vAlign w:val="bottom"/>
          </w:tcPr>
          <w:p>
            <w:pPr>
              <w:jc w:val="right"/>
              <w:ind w:right="77"/>
              <w:spacing w:after="0" w:line="151" w:lineRule="exact"/>
              <w:rPr>
                <w:sz w:val="20"/>
                <w:szCs w:val="20"/>
                <w:color w:val="auto"/>
              </w:rPr>
            </w:pPr>
            <w:r>
              <w:rPr>
                <w:rFonts w:ascii="Times New Roman" w:cs="Times New Roman" w:eastAsia="Times New Roman" w:hAnsi="Times New Roman"/>
                <w:sz w:val="14"/>
                <w:szCs w:val="14"/>
                <w:color w:val="auto"/>
              </w:rPr>
              <w:t>(in €)</w:t>
            </w:r>
          </w:p>
        </w:tc>
        <w:tc>
          <w:tcPr>
            <w:tcW w:w="1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(14,088,845)</w:t>
            </w:r>
          </w:p>
        </w:tc>
        <w:tc>
          <w:tcPr>
            <w:tcW w:w="166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8"/>
                <w:szCs w:val="18"/>
                <w:color w:val="auto"/>
              </w:rPr>
              <w:t>(8,956,174)</w:t>
            </w:r>
          </w:p>
        </w:tc>
        <w:tc>
          <w:tcPr>
            <w:tcW w:w="134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8"/>
                <w:szCs w:val="18"/>
                <w:color w:val="auto"/>
              </w:rPr>
              <w:t>(5,132,671)</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(8,297,822)</w:t>
            </w:r>
          </w:p>
        </w:tc>
        <w:tc>
          <w:tcPr>
            <w:tcW w:w="166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(4,374,081)</w:t>
            </w:r>
          </w:p>
        </w:tc>
        <w:tc>
          <w:tcPr>
            <w:tcW w:w="13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(3,923,741)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(22,386,667)</w:t>
            </w:r>
          </w:p>
        </w:tc>
        <w:tc>
          <w:tcPr>
            <w:tcW w:w="166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8"/>
                <w:szCs w:val="18"/>
                <w:b w:val="1"/>
                <w:bCs w:val="1"/>
                <w:color w:val="auto"/>
              </w:rPr>
              <w:t>(13,330,255)</w:t>
            </w:r>
          </w:p>
        </w:tc>
        <w:tc>
          <w:tcPr>
            <w:tcW w:w="134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(9,056,412)</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68%</w:t>
            </w:r>
          </w:p>
        </w:tc>
        <w:tc>
          <w:tcPr>
            <w:tcW w:w="20" w:type="dxa"/>
            <w:vAlign w:val="bottom"/>
          </w:tcPr>
          <w:p>
            <w:pPr>
              <w:spacing w:after="0"/>
              <w:rPr>
                <w:sz w:val="19"/>
                <w:szCs w:val="19"/>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(22,386,667)</w:t>
            </w:r>
          </w:p>
        </w:tc>
        <w:tc>
          <w:tcPr>
            <w:tcW w:w="1660" w:type="dxa"/>
            <w:vAlign w:val="bottom"/>
          </w:tcPr>
          <w:p>
            <w:pPr>
              <w:jc w:val="right"/>
              <w:ind w:right="277"/>
              <w:spacing w:after="0"/>
              <w:rPr>
                <w:sz w:val="20"/>
                <w:szCs w:val="20"/>
                <w:color w:val="auto"/>
              </w:rPr>
            </w:pPr>
            <w:r>
              <w:rPr>
                <w:rFonts w:ascii="Times New Roman" w:cs="Times New Roman" w:eastAsia="Times New Roman" w:hAnsi="Times New Roman"/>
                <w:sz w:val="18"/>
                <w:szCs w:val="18"/>
                <w:b w:val="1"/>
                <w:bCs w:val="1"/>
                <w:color w:val="auto"/>
              </w:rPr>
              <w:t>(13,330,255)</w:t>
            </w:r>
          </w:p>
        </w:tc>
        <w:tc>
          <w:tcPr>
            <w:tcW w:w="134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(9,056,412)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68%</w:t>
            </w:r>
          </w:p>
        </w:tc>
        <w:tc>
          <w:tcPr>
            <w:tcW w:w="20" w:type="dxa"/>
            <w:vAlign w:val="bottom"/>
          </w:tcPr>
          <w:p>
            <w:pPr>
              <w:spacing w:after="0"/>
              <w:rPr>
                <w:sz w:val="19"/>
                <w:szCs w:val="19"/>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 net</w:t>
            </w:r>
          </w:p>
        </w:tc>
        <w:tc>
          <w:tcPr>
            <w:tcW w:w="29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11,494,934</w:t>
            </w:r>
          </w:p>
        </w:tc>
        <w:tc>
          <w:tcPr>
            <w:tcW w:w="1660" w:type="dxa"/>
            <w:vAlign w:val="bottom"/>
            <w:shd w:val="clear" w:color="auto" w:fill="CFF0FC"/>
          </w:tcPr>
          <w:p>
            <w:pPr>
              <w:jc w:val="right"/>
              <w:ind w:right="357"/>
              <w:spacing w:after="0"/>
              <w:rPr>
                <w:sz w:val="20"/>
                <w:szCs w:val="20"/>
                <w:color w:val="auto"/>
              </w:rPr>
            </w:pPr>
            <w:r>
              <w:rPr>
                <w:rFonts w:ascii="Times New Roman" w:cs="Times New Roman" w:eastAsia="Times New Roman" w:hAnsi="Times New Roman"/>
                <w:sz w:val="18"/>
                <w:szCs w:val="18"/>
                <w:color w:val="auto"/>
              </w:rPr>
              <w:t>4,254,526</w:t>
            </w:r>
          </w:p>
        </w:tc>
        <w:tc>
          <w:tcPr>
            <w:tcW w:w="134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8"/>
                <w:szCs w:val="18"/>
                <w:color w:val="auto"/>
              </w:rPr>
              <w:t>7,240,408</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170%</w:t>
            </w:r>
          </w:p>
        </w:tc>
        <w:tc>
          <w:tcPr>
            <w:tcW w:w="20" w:type="dxa"/>
            <w:vAlign w:val="bottom"/>
          </w:tcPr>
          <w:p>
            <w:pPr>
              <w:spacing w:after="0"/>
              <w:rPr>
                <w:sz w:val="19"/>
                <w:szCs w:val="19"/>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(10,891,733)</w:t>
            </w:r>
          </w:p>
        </w:tc>
        <w:tc>
          <w:tcPr>
            <w:tcW w:w="1660" w:type="dxa"/>
            <w:vAlign w:val="bottom"/>
          </w:tcPr>
          <w:p>
            <w:pPr>
              <w:jc w:val="right"/>
              <w:ind w:right="277"/>
              <w:spacing w:after="0"/>
              <w:rPr>
                <w:sz w:val="20"/>
                <w:szCs w:val="20"/>
                <w:color w:val="auto"/>
              </w:rPr>
            </w:pPr>
            <w:r>
              <w:rPr>
                <w:rFonts w:ascii="Times New Roman" w:cs="Times New Roman" w:eastAsia="Times New Roman" w:hAnsi="Times New Roman"/>
                <w:sz w:val="18"/>
                <w:szCs w:val="18"/>
                <w:b w:val="1"/>
                <w:bCs w:val="1"/>
                <w:color w:val="auto"/>
              </w:rPr>
              <w:t>(9,075,729)</w:t>
            </w:r>
          </w:p>
        </w:tc>
        <w:tc>
          <w:tcPr>
            <w:tcW w:w="134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(1,816,004)</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9"/>
                <w:szCs w:val="19"/>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9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2,403,929</w:t>
            </w:r>
          </w:p>
        </w:tc>
        <w:tc>
          <w:tcPr>
            <w:tcW w:w="166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8"/>
                <w:szCs w:val="18"/>
                <w:color w:val="auto"/>
              </w:rPr>
              <w:t>(68,190)</w:t>
            </w:r>
          </w:p>
        </w:tc>
        <w:tc>
          <w:tcPr>
            <w:tcW w:w="134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8"/>
                <w:szCs w:val="18"/>
                <w:color w:val="auto"/>
              </w:rPr>
              <w:t>2,472,119</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(3625)%</w:t>
            </w:r>
          </w:p>
        </w:tc>
        <w:tc>
          <w:tcPr>
            <w:tcW w:w="20" w:type="dxa"/>
            <w:vAlign w:val="bottom"/>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(8,487,804)</w:t>
            </w:r>
          </w:p>
        </w:tc>
        <w:tc>
          <w:tcPr>
            <w:tcW w:w="1660" w:type="dxa"/>
            <w:vAlign w:val="bottom"/>
          </w:tcPr>
          <w:p>
            <w:pPr>
              <w:jc w:val="right"/>
              <w:ind w:right="277"/>
              <w:spacing w:after="0"/>
              <w:rPr>
                <w:sz w:val="20"/>
                <w:szCs w:val="20"/>
                <w:color w:val="auto"/>
              </w:rPr>
            </w:pPr>
            <w:r>
              <w:rPr>
                <w:rFonts w:ascii="Times New Roman" w:cs="Times New Roman" w:eastAsia="Times New Roman" w:hAnsi="Times New Roman"/>
                <w:sz w:val="18"/>
                <w:szCs w:val="18"/>
                <w:b w:val="1"/>
                <w:bCs w:val="1"/>
                <w:color w:val="auto"/>
              </w:rPr>
              <w:t>(9,143,919)</w:t>
            </w:r>
          </w:p>
        </w:tc>
        <w:tc>
          <w:tcPr>
            <w:tcW w:w="1340" w:type="dxa"/>
            <w:vAlign w:val="bottom"/>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656,115</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20"/>
                <w:szCs w:val="20"/>
                <w:color w:val="auto"/>
              </w:rPr>
            </w:pPr>
          </w:p>
        </w:tc>
      </w:tr>
      <w:tr>
        <w:trPr>
          <w:trHeight w:val="650"/>
        </w:trPr>
        <w:tc>
          <w:tcPr>
            <w:tcW w:w="4080" w:type="dxa"/>
            <w:vAlign w:val="bottom"/>
          </w:tcPr>
          <w:p>
            <w:pPr>
              <w:spacing w:after="0"/>
              <w:rPr>
                <w:sz w:val="24"/>
                <w:szCs w:val="24"/>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 w:name="page20"/>
    <w:bookmarkEnd w:id="19"/>
    <w:p>
      <w:pPr>
        <w:ind w:left="5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did not generate any revenues for the three months ended September 30, 2022 and 2021.</w:t>
      </w:r>
    </w:p>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September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80" w:type="dxa"/>
            <w:vAlign w:val="bottom"/>
          </w:tcPr>
          <w:p>
            <w:pPr>
              <w:spacing w:after="0"/>
              <w:rPr>
                <w:sz w:val="13"/>
                <w:szCs w:val="13"/>
                <w:color w:val="auto"/>
              </w:rPr>
            </w:pPr>
          </w:p>
        </w:tc>
        <w:tc>
          <w:tcPr>
            <w:tcW w:w="1140" w:type="dxa"/>
            <w:vAlign w:val="bottom"/>
            <w:tcBorders>
              <w:bottom w:val="single" w:sz="8" w:color="auto"/>
            </w:tcBorders>
          </w:tcPr>
          <w:p>
            <w:pPr>
              <w:jc w:val="right"/>
              <w:ind w:right="355"/>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341"/>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560"/>
              <w:spacing w:after="0" w:line="15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jc w:val="right"/>
              <w:ind w:right="415"/>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left="861"/>
              <w:spacing w:after="0" w:line="151" w:lineRule="exact"/>
              <w:rPr>
                <w:sz w:val="20"/>
                <w:szCs w:val="20"/>
                <w:color w:val="auto"/>
              </w:rPr>
            </w:pPr>
            <w:r>
              <w:rPr>
                <w:rFonts w:ascii="Times New Roman" w:cs="Times New Roman" w:eastAsia="Times New Roman" w:hAnsi="Times New Roman"/>
                <w:sz w:val="14"/>
                <w:szCs w:val="14"/>
                <w:color w:val="auto"/>
              </w:rPr>
              <w:t>(in €)</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(3,692,003)</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(2,382,973)</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(1,309,030)</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(8,037,012)</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(4,568,346)</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(3,468,666)</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Nonclinical expenses</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(862,643)</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(924,636)</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61,993</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costs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(1,437,370)</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(1,052,191)</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(385,179)</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(59,817)</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(28,028)</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(31,789)</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1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(14,088,845)</w:t>
            </w: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(8,956,174)</w:t>
            </w:r>
          </w:p>
        </w:tc>
        <w:tc>
          <w:tcPr>
            <w:tcW w:w="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(5,132,671)</w:t>
            </w:r>
          </w:p>
        </w:tc>
        <w:tc>
          <w:tcPr>
            <w:tcW w:w="220" w:type="dxa"/>
            <w:vAlign w:val="bottom"/>
            <w:vMerge w:val="continue"/>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Research and development expenses increased from €8,956,174 for the three months ended September 30, 2021 to €14,088,845 for the three months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2022. The increase in the research and development expenses is mainly driven by the progress made in the PHVS416 and PHVS719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development programs in the three months ended September 30, 2022. Clinical expenses increased by €3,468,666 for the three months ended September 30,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2022 compared to the three months ended September 30, 2021 due to the progress on and expansion of the on-demand and prophylactic programs. Nonclinical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expenses decreased by €61,993 for the three months ended September 30, 2022 compared to the three months ended September 30, 2021 due to completion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nonclinical studies supporting the PHVS416 and PHVS719 clinical trial programs. Manufacturing costs relating to the Active Pharmaceutical Ingredient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(“API”) and pharmaceutical development of PHVS416 and PHVS719 increased by €385,179 for the three months ended September 30, 2022 compared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September 30, 2021 due to supply costs associated with both clinical programs, the post-Phase 3 nonclinical study package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preparations for commercial supply. In the personnel expenses for the three months ended September 30, 2022 and 2021, an amount of €1,433,123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€1,004,956, respectively, was included which related to share-based payments. The increase in the share-based payments for the three months ended September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2022, relates to the new grants awarded in the period after September 30, 2021 up to and including September 30, 2022. The remaining increase 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expenses is driven by the growth of our organization resulting in additional employees hired, and yearly merit adjustments.</w:t>
      </w:r>
    </w:p>
    <w:p>
      <w:pPr>
        <w:spacing w:after="0" w:line="2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September 30,</w:t>
            </w:r>
          </w:p>
        </w:tc>
        <w:tc>
          <w:tcPr>
            <w:tcW w:w="1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20" w:type="dxa"/>
            <w:vAlign w:val="bottom"/>
          </w:tcPr>
          <w:p>
            <w:pPr>
              <w:spacing w:after="0"/>
              <w:rPr>
                <w:sz w:val="13"/>
                <w:szCs w:val="13"/>
                <w:color w:val="auto"/>
              </w:rPr>
            </w:pPr>
          </w:p>
        </w:tc>
        <w:tc>
          <w:tcPr>
            <w:tcW w:w="1120" w:type="dxa"/>
            <w:vAlign w:val="bottom"/>
            <w:tcBorders>
              <w:bottom w:val="single" w:sz="8" w:color="auto"/>
            </w:tcBorders>
          </w:tcPr>
          <w:p>
            <w:pPr>
              <w:jc w:val="right"/>
              <w:ind w:right="334"/>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361"/>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580"/>
              <w:spacing w:after="0" w:line="15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Borders>
              <w:bottom w:val="single" w:sz="8" w:color="auto"/>
            </w:tcBorders>
          </w:tcPr>
          <w:p>
            <w:pPr>
              <w:jc w:val="right"/>
              <w:ind w:right="414"/>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left="881"/>
              <w:spacing w:after="0" w:line="151" w:lineRule="exact"/>
              <w:rPr>
                <w:sz w:val="20"/>
                <w:szCs w:val="20"/>
                <w:color w:val="auto"/>
              </w:rPr>
            </w:pPr>
            <w:r>
              <w:rPr>
                <w:rFonts w:ascii="Times New Roman" w:cs="Times New Roman" w:eastAsia="Times New Roman" w:hAnsi="Times New Roman"/>
                <w:sz w:val="14"/>
                <w:szCs w:val="14"/>
                <w:color w:val="auto"/>
                <w:w w:val="97"/>
              </w:rPr>
              <w:t>(in €)</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(3,537,264)</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(1,982,190)</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(1,555,074)</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(246,269)</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(207,461)</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(38,808)</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(1,379,416)</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(349,575)</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(1,029,841)</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Accounting, tax and auditing fees</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(444,057)</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(230,113)</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(213,944)</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communication and office expenses</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(1,807,806)</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(1,550,713)</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(257,093)</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(379,369)</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(6,760)</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(372,609)</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5512%</w:t>
            </w: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(503,641)</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(47,269)</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(456,372)</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1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(8,297,822)</w:t>
            </w: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(4,374,081)</w:t>
            </w:r>
          </w:p>
        </w:tc>
        <w:tc>
          <w:tcPr>
            <w:tcW w:w="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(3,923,741)</w:t>
            </w:r>
          </w:p>
        </w:tc>
        <w:tc>
          <w:tcPr>
            <w:tcW w:w="240" w:type="dxa"/>
            <w:vAlign w:val="bottom"/>
            <w:vMerge w:val="continue"/>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80" w:firstLine="546"/>
        <w:spacing w:after="0" w:line="285" w:lineRule="auto"/>
        <w:rPr>
          <w:sz w:val="20"/>
          <w:szCs w:val="20"/>
          <w:color w:val="auto"/>
        </w:rPr>
      </w:pPr>
      <w:r>
        <w:rPr>
          <w:rFonts w:ascii="Times New Roman" w:cs="Times New Roman" w:eastAsia="Times New Roman" w:hAnsi="Times New Roman"/>
          <w:sz w:val="16"/>
          <w:szCs w:val="16"/>
          <w:color w:val="auto"/>
        </w:rPr>
        <w:t>General and administrative expenses increased from €4,374,081 for the three months ended September 30, 2021 to €8,297,822 for the three months ended September 30, 2022. The increase in general and administrative expenses was mainly driven by the growth of the Company and increasing costs related to our commercial buildout. In the personnel expenses for the three months ended September 30, 2022 and 2021 an amount of €1,610,688 and €1,333,004 respectively, was included which related to share-based compensation arrangements. The increase in the share-based payments for the three months ended September 30, 2022, relates to the new grants awarded in the period after September 30, 2021 up to and including September 30, 2022. The remaining increase in personnel expenses is driven by the growth of our organization resulting in additional employees hired, and yearly merit adjustments.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20" w:name="page21"/>
    <w:bookmarkEnd w:id="20"/>
    <w:p>
      <w:pPr>
        <w:ind w:left="560"/>
        <w:spacing w:after="0"/>
        <w:rPr>
          <w:sz w:val="20"/>
          <w:szCs w:val="20"/>
          <w:color w:val="auto"/>
        </w:rPr>
      </w:pPr>
      <w:r>
        <w:rPr>
          <w:rFonts w:ascii="Times New Roman" w:cs="Times New Roman" w:eastAsia="Times New Roman" w:hAnsi="Times New Roman"/>
          <w:sz w:val="18"/>
          <w:szCs w:val="18"/>
          <w:i w:val="1"/>
          <w:iCs w:val="1"/>
          <w:color w:val="auto"/>
        </w:rPr>
        <w:t>Finance income - net</w:t>
      </w:r>
    </w:p>
    <w:p>
      <w:pPr>
        <w:spacing w:after="0" w:line="108" w:lineRule="exact"/>
        <w:rPr>
          <w:sz w:val="20"/>
          <w:szCs w:val="20"/>
          <w:color w:val="auto"/>
        </w:rPr>
      </w:pPr>
    </w:p>
    <w:p>
      <w:pPr>
        <w:ind w:right="80" w:firstLine="546"/>
        <w:spacing w:after="0" w:line="257" w:lineRule="auto"/>
        <w:rPr>
          <w:sz w:val="20"/>
          <w:szCs w:val="20"/>
          <w:color w:val="auto"/>
        </w:rPr>
      </w:pPr>
      <w:r>
        <w:rPr>
          <w:rFonts w:ascii="Times New Roman" w:cs="Times New Roman" w:eastAsia="Times New Roman" w:hAnsi="Times New Roman"/>
          <w:sz w:val="18"/>
          <w:szCs w:val="18"/>
          <w:color w:val="auto"/>
        </w:rPr>
        <w:t xml:space="preserve">Finance income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net for the three months ended September 30, 2022 and 2021 were €11,494,934 and €4,254,526 respectively, a change of €7,240,408. The amount mainly relates to unrealized foreign exchange income, which is the result of translating the Company’s bank balances held in USD to EUR. The foreign exchange rates changed in favor of the Company in the third quarter of 2022.</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0" w:lineRule="exact"/>
        <w:rPr>
          <w:sz w:val="20"/>
          <w:szCs w:val="20"/>
          <w:color w:val="auto"/>
        </w:rPr>
      </w:pPr>
    </w:p>
    <w:p>
      <w:pPr>
        <w:ind w:firstLine="546"/>
        <w:spacing w:after="0" w:line="248" w:lineRule="auto"/>
        <w:rPr>
          <w:sz w:val="20"/>
          <w:szCs w:val="20"/>
          <w:color w:val="auto"/>
        </w:rPr>
      </w:pPr>
      <w:r>
        <w:rPr>
          <w:rFonts w:ascii="Times New Roman" w:cs="Times New Roman" w:eastAsia="Times New Roman" w:hAnsi="Times New Roman"/>
          <w:sz w:val="18"/>
          <w:szCs w:val="18"/>
          <w:color w:val="auto"/>
        </w:rPr>
        <w:t>The tax expenses over the three months ended September 30, 2022 relate to the Company's U.S. and Dutch subsidiaries. Following discussions with the Dutch tax authorities in November 2022, the Company concluded that foreign exchange results should be allocated to the principal Company in Switzerland. As a result, the estimated tax expense for the Dutch fiscal unity is lower than estimated in the previous quarter resulting in a tax benefit of €2.6 million for the three months ended September 30, 2022. The tax benefit is partly offset by estimated tax expenses for the Company’s U.S. and Dutch subsidiaries as the result of a cost-plus agreement between the U.S. and Dutch entities and the Company’s principal entity resulting in an estimated taxable profit in the U.S. and the Netherlands.</w:t>
      </w:r>
    </w:p>
    <w:p>
      <w:pPr>
        <w:spacing w:after="0" w:line="84" w:lineRule="exact"/>
        <w:rPr>
          <w:sz w:val="20"/>
          <w:szCs w:val="20"/>
          <w:color w:val="auto"/>
        </w:rPr>
      </w:pPr>
    </w:p>
    <w:p>
      <w:pPr>
        <w:ind w:right="220" w:firstLine="546"/>
        <w:spacing w:after="0" w:line="252" w:lineRule="auto"/>
        <w:rPr>
          <w:sz w:val="20"/>
          <w:szCs w:val="20"/>
          <w:color w:val="auto"/>
        </w:rPr>
      </w:pPr>
      <w:r>
        <w:rPr>
          <w:rFonts w:ascii="Times New Roman" w:cs="Times New Roman" w:eastAsia="Times New Roman" w:hAnsi="Times New Roman"/>
          <w:sz w:val="18"/>
          <w:szCs w:val="18"/>
          <w:color w:val="auto"/>
        </w:rPr>
        <w:t>The tax expenses over the three months ended September 30, 2021 only related to the Company’s U.S. entity. In the Netherlands a new tax law came into force on January 1, 2022. Under the new tax law, profits in a given year can be offset against tax loss carry forwards for an unlimited period of time. However, the amount of the offset will be limited to 50% of taxable income (in excess of €1 million). An estimated tax expense for the Dutch fiscal unity has been calculated, since it estimated a taxable income in excess of €1 million.</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2022 and 2021</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2"/>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1"/>
        </w:trPr>
        <w:tc>
          <w:tcPr>
            <w:tcW w:w="5820" w:type="dxa"/>
            <w:vAlign w:val="bottom"/>
          </w:tcPr>
          <w:p>
            <w:pPr>
              <w:spacing w:after="0"/>
              <w:rPr>
                <w:sz w:val="13"/>
                <w:szCs w:val="13"/>
                <w:color w:val="auto"/>
              </w:rPr>
            </w:pPr>
          </w:p>
        </w:tc>
        <w:tc>
          <w:tcPr>
            <w:tcW w:w="1280" w:type="dxa"/>
            <w:vAlign w:val="bottom"/>
            <w:tcBorders>
              <w:bottom w:val="single" w:sz="8" w:color="auto"/>
            </w:tcBorders>
          </w:tcPr>
          <w:p>
            <w:pPr>
              <w:jc w:val="right"/>
              <w:ind w:right="494"/>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0" w:type="dxa"/>
            <w:vAlign w:val="bottom"/>
            <w:tcBorders>
              <w:bottom w:val="single" w:sz="8" w:color="auto"/>
            </w:tcBorders>
          </w:tcPr>
          <w:p>
            <w:pPr>
              <w:jc w:val="right"/>
              <w:ind w:right="737"/>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1380" w:type="dxa"/>
            <w:vAlign w:val="bottom"/>
            <w:tcBorders>
              <w:bottom w:val="single" w:sz="8" w:color="auto"/>
            </w:tcBorders>
          </w:tcPr>
          <w:p>
            <w:pPr>
              <w:jc w:val="right"/>
              <w:ind w:right="654"/>
              <w:spacing w:after="0" w:line="151" w:lineRule="exact"/>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jc w:val="right"/>
              <w:ind w:right="414"/>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r>
      <w:tr>
        <w:trPr>
          <w:trHeight w:val="151"/>
        </w:trPr>
        <w:tc>
          <w:tcPr>
            <w:tcW w:w="5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0" w:type="dxa"/>
            <w:vAlign w:val="bottom"/>
          </w:tcPr>
          <w:p>
            <w:pPr>
              <w:jc w:val="right"/>
              <w:ind w:right="37"/>
              <w:spacing w:after="0" w:line="151" w:lineRule="exact"/>
              <w:rPr>
                <w:sz w:val="20"/>
                <w:szCs w:val="20"/>
                <w:color w:val="auto"/>
              </w:rPr>
            </w:pPr>
            <w:r>
              <w:rPr>
                <w:rFonts w:ascii="Times New Roman" w:cs="Times New Roman" w:eastAsia="Times New Roman" w:hAnsi="Times New Roman"/>
                <w:sz w:val="14"/>
                <w:szCs w:val="14"/>
                <w:color w:val="auto"/>
              </w:rPr>
              <w:t>(in €)</w:t>
            </w: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(41,324,971)</w:t>
            </w:r>
          </w:p>
        </w:tc>
        <w:tc>
          <w:tcPr>
            <w:tcW w:w="160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8"/>
                <w:szCs w:val="18"/>
                <w:color w:val="auto"/>
              </w:rPr>
              <w:t>(25,088,223)</w:t>
            </w:r>
          </w:p>
        </w:tc>
        <w:tc>
          <w:tcPr>
            <w:tcW w:w="138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8"/>
                <w:szCs w:val="18"/>
                <w:color w:val="auto"/>
              </w:rPr>
              <w:t>(16,236,748)</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(21,822,960)</w:t>
            </w:r>
          </w:p>
        </w:tc>
        <w:tc>
          <w:tcPr>
            <w:tcW w:w="160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(12,810,500)</w:t>
            </w: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(9,012,460)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(63,147,931)</w:t>
            </w:r>
          </w:p>
        </w:tc>
        <w:tc>
          <w:tcPr>
            <w:tcW w:w="160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(37,898,723)</w:t>
            </w:r>
          </w:p>
        </w:tc>
        <w:tc>
          <w:tcPr>
            <w:tcW w:w="138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(25,249,208)</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(63,147,931)</w:t>
            </w:r>
          </w:p>
        </w:tc>
        <w:tc>
          <w:tcPr>
            <w:tcW w:w="1600" w:type="dxa"/>
            <w:vAlign w:val="bottom"/>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(37,898,723)</w:t>
            </w: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(25,249,208)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 net</w:t>
            </w: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26,387,917</w:t>
            </w:r>
          </w:p>
        </w:tc>
        <w:tc>
          <w:tcPr>
            <w:tcW w:w="160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8"/>
                <w:szCs w:val="18"/>
                <w:color w:val="auto"/>
              </w:rPr>
              <w:t>7,598,899</w:t>
            </w:r>
          </w:p>
        </w:tc>
        <w:tc>
          <w:tcPr>
            <w:tcW w:w="138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8"/>
                <w:szCs w:val="18"/>
                <w:color w:val="auto"/>
              </w:rPr>
              <w:t>18,789,018</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(36,760,014)</w:t>
            </w:r>
          </w:p>
        </w:tc>
        <w:tc>
          <w:tcPr>
            <w:tcW w:w="1600" w:type="dxa"/>
            <w:vAlign w:val="bottom"/>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(30,299,824)</w:t>
            </w: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(6,460,190)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(375,888)</w:t>
            </w:r>
          </w:p>
        </w:tc>
        <w:tc>
          <w:tcPr>
            <w:tcW w:w="160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8"/>
                <w:szCs w:val="18"/>
                <w:color w:val="auto"/>
              </w:rPr>
              <w:t>(89,744)</w:t>
            </w:r>
          </w:p>
        </w:tc>
        <w:tc>
          <w:tcPr>
            <w:tcW w:w="138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8"/>
                <w:szCs w:val="18"/>
                <w:color w:val="auto"/>
              </w:rPr>
              <w:t>(286,144)</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(37,135,902)</w:t>
            </w:r>
          </w:p>
        </w:tc>
        <w:tc>
          <w:tcPr>
            <w:tcW w:w="1600" w:type="dxa"/>
            <w:vAlign w:val="bottom"/>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(30,389,568)</w:t>
            </w: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(6,746,334)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w:t>
            </w: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did not generate any revenues for the nine months ended September 30, 2022 and 2021.</w:t>
      </w:r>
    </w:p>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80" w:type="dxa"/>
            <w:vAlign w:val="bottom"/>
          </w:tcPr>
          <w:p>
            <w:pPr>
              <w:spacing w:after="0"/>
              <w:rPr>
                <w:sz w:val="13"/>
                <w:szCs w:val="13"/>
                <w:color w:val="auto"/>
              </w:rPr>
            </w:pPr>
          </w:p>
        </w:tc>
        <w:tc>
          <w:tcPr>
            <w:tcW w:w="1140" w:type="dxa"/>
            <w:vAlign w:val="bottom"/>
            <w:tcBorders>
              <w:bottom w:val="single" w:sz="8" w:color="auto"/>
            </w:tcBorders>
          </w:tcPr>
          <w:p>
            <w:pPr>
              <w:jc w:val="right"/>
              <w:ind w:right="355"/>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341"/>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560"/>
              <w:spacing w:after="0" w:line="15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jc w:val="right"/>
              <w:ind w:right="415"/>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tcPr>
          <w:p>
            <w:pPr>
              <w:jc w:val="center"/>
              <w:ind w:left="881"/>
              <w:spacing w:after="0" w:line="151" w:lineRule="exact"/>
              <w:rPr>
                <w:sz w:val="20"/>
                <w:szCs w:val="20"/>
                <w:color w:val="auto"/>
              </w:rPr>
            </w:pPr>
            <w:r>
              <w:rPr>
                <w:rFonts w:ascii="Times New Roman" w:cs="Times New Roman" w:eastAsia="Times New Roman" w:hAnsi="Times New Roman"/>
                <w:sz w:val="14"/>
                <w:szCs w:val="14"/>
                <w:color w:val="auto"/>
              </w:rPr>
              <w:t>(in €)</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(9,282,210)</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(6,151,138)</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(3,131,072)</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(21,778,622)</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(11,330,269)</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(10,448,353)</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Nonclinical expenses</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(2,695,561)</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(3,068,349)</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372,788</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costs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(7,321,038)</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(3,972,363)</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(3,348,675)</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costs</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(247,540)</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(66,104)</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(181,436)</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1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vMerge w:val="continue"/>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(41,324,971)</w:t>
            </w:r>
          </w:p>
        </w:tc>
        <w:tc>
          <w:tcPr>
            <w:tcW w:w="14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(25,088,223)</w:t>
            </w:r>
          </w:p>
        </w:tc>
        <w:tc>
          <w:tcPr>
            <w:tcW w:w="24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(16,236,748)</w:t>
            </w:r>
          </w:p>
        </w:tc>
        <w:tc>
          <w:tcPr>
            <w:tcW w:w="220" w:type="dxa"/>
            <w:vAlign w:val="bottom"/>
            <w:vMerge w:val="continue"/>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80" w:firstLine="54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from €25,088,223 for the nine months ended September 30, 2021 to €41,324,971 for the nine months ended September 30, 2022. The increase in the research and development expenses is mainly driven by the progress made in the PHVS416 and PHVS719 development programs in the first nine months of 2022.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1" w:name="page22"/>
    <w:bookmarkEnd w:id="21"/>
    <w:p>
      <w:pPr>
        <w:spacing w:after="0" w:line="281" w:lineRule="auto"/>
        <w:rPr>
          <w:sz w:val="20"/>
          <w:szCs w:val="20"/>
          <w:color w:val="auto"/>
        </w:rPr>
      </w:pPr>
      <w:r>
        <w:rPr>
          <w:rFonts w:ascii="Times New Roman" w:cs="Times New Roman" w:eastAsia="Times New Roman" w:hAnsi="Times New Roman"/>
          <w:sz w:val="16"/>
          <w:szCs w:val="16"/>
          <w:color w:val="auto"/>
        </w:rPr>
        <w:t>Clinical expenses increased by €10,448,353 for the nine months ended September 30, 2022 compared to the nine months ended September 30, 2021 due to the progress on and expansion of the on-demand and prophylactic programs. Nonclinical expenses decreased by €372,788 for the nine months ended September 30, 2022 compared to the nine months ended September 30, 2021 due to completion of certain nonclinical studies supporting the PHVS416 and PHVS719 clinical trial programs. Manufacturing costs relating to the API and pharmaceutical development of PHVS416 and PHVS719 increased by €3,348,675 for the nine months ended September 30, 2022 compared to the nine months ended September 30, 2021 due to supply costs for both clinical programs, the post-Phase 3 nonclinical study package and preparations for commercial supply. For the nine months ended September 30, 2021 license costs reflected a milestone payment of €500,000 that was paid to AnalytiCon upon the start of the clinical Phase 2. In the personnel expenses for the nine months ended September 30, 2022 and 2021 an amount of €3,829,551 and €3,057,742, respectively, was included related to share-based payments. The increase in the share-based payments for the nine months ended September 30, 2022, relates to the new grants awarded in the period after September 30, 2021 up to and including September 30, 2022. The remaining increase in personnel expenses was driven by the growth of our organization and yearly merit adjustments.</w:t>
      </w:r>
    </w:p>
    <w:p>
      <w:pPr>
        <w:spacing w:after="0" w:line="200" w:lineRule="exact"/>
        <w:rPr>
          <w:sz w:val="20"/>
          <w:szCs w:val="20"/>
          <w:color w:val="auto"/>
        </w:rPr>
      </w:pP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1"/>
        </w:trPr>
        <w:tc>
          <w:tcPr>
            <w:tcW w:w="5780" w:type="dxa"/>
            <w:vAlign w:val="bottom"/>
          </w:tcPr>
          <w:p>
            <w:pPr>
              <w:spacing w:after="0"/>
              <w:rPr>
                <w:sz w:val="13"/>
                <w:szCs w:val="13"/>
                <w:color w:val="auto"/>
              </w:rPr>
            </w:pPr>
          </w:p>
        </w:tc>
        <w:tc>
          <w:tcPr>
            <w:tcW w:w="1140" w:type="dxa"/>
            <w:vAlign w:val="bottom"/>
            <w:tcBorders>
              <w:bottom w:val="single" w:sz="8" w:color="auto"/>
            </w:tcBorders>
          </w:tcPr>
          <w:p>
            <w:pPr>
              <w:jc w:val="right"/>
              <w:ind w:right="354"/>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341"/>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720"/>
              <w:spacing w:after="0" w:line="151" w:lineRule="exact"/>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jc w:val="right"/>
              <w:ind w:right="414"/>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r>
      <w:tr>
        <w:trPr>
          <w:trHeight w:val="151"/>
        </w:trPr>
        <w:tc>
          <w:tcPr>
            <w:tcW w:w="5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left="861"/>
              <w:spacing w:after="0" w:line="151" w:lineRule="exact"/>
              <w:rPr>
                <w:sz w:val="20"/>
                <w:szCs w:val="20"/>
                <w:color w:val="auto"/>
              </w:rPr>
            </w:pPr>
            <w:r>
              <w:rPr>
                <w:rFonts w:ascii="Times New Roman" w:cs="Times New Roman" w:eastAsia="Times New Roman" w:hAnsi="Times New Roman"/>
                <w:sz w:val="14"/>
                <w:szCs w:val="14"/>
                <w:color w:val="auto"/>
              </w:rPr>
              <w:t>(in €)</w:t>
            </w: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(9,807,298)</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(5,018,977)</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(4,788,321)</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(679,080)</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(598,337)</w:t>
            </w:r>
          </w:p>
        </w:tc>
        <w:tc>
          <w:tcPr>
            <w:tcW w:w="1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(80,743)</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(3,174,586)</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(1,482,281)</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(1,692,305)</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Accounting, tax and auditing fees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(1,038,714)</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(1,316,869)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278,155</w:t>
            </w:r>
          </w:p>
        </w:tc>
        <w:tc>
          <w:tcPr>
            <w:tcW w:w="3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communication and office expenses</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(5,054,636)</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(4,012,860)</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(1,041,776)</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(783,569)</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(10,117)</w:t>
            </w:r>
          </w:p>
        </w:tc>
        <w:tc>
          <w:tcPr>
            <w:tcW w:w="1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(773,452)</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7645%</w:t>
            </w: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(1,285,077)</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(371,059)</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(914,018)</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r>
      <w:tr>
        <w:trPr>
          <w:trHeight w:val="217"/>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(21,822,960)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(12,810,500)</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(9,012,460)</w:t>
            </w:r>
          </w:p>
        </w:tc>
        <w:tc>
          <w:tcPr>
            <w:tcW w:w="3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5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80" w:firstLine="546"/>
        <w:spacing w:after="0" w:line="248" w:lineRule="auto"/>
        <w:rPr>
          <w:sz w:val="20"/>
          <w:szCs w:val="20"/>
          <w:color w:val="auto"/>
        </w:rPr>
      </w:pPr>
      <w:r>
        <w:rPr>
          <w:rFonts w:ascii="Times New Roman" w:cs="Times New Roman" w:eastAsia="Times New Roman" w:hAnsi="Times New Roman"/>
          <w:sz w:val="18"/>
          <w:szCs w:val="18"/>
          <w:color w:val="auto"/>
        </w:rPr>
        <w:t>General and administrative expenses increased from €12,810,500 for the nine months ended September 30, 2021 to €21,822,960 for the nine months ended September 30, 2022. This is mainly driven by the growth of our organization and increasing costs related to our commercial buildout. In the personnel expenses for the nine months ended September 30, 2022 and 2021 an amount of €4,304,037 and €3,149,566 respectively, was included which related to share-based compensation arrangements. The increase in the share-based payments for the nine months ended September 30, 2022, relates to the new grants awarded in the period after September 30, 2021 up to and including September 30, 2022. The remaining increase in personnel expenses is driven by the growth of our organization resulting in additional employees hired, and yearly merit adjustments.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Finance income - net</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Finance income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net, for the nine months ended September 30, 2022 and 2021 were €26,387,917 and €7,598,899 respectively, a change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€18,789,018. The amount mainly relates to unrealized foreign exchange income, which is the result of translating the group’s bank balances held in USD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 The EUR/USD exchange rate has changed to our favor for the nine months ended September 30, 2022.</w:t>
      </w:r>
    </w:p>
    <w:p>
      <w:pPr>
        <w:spacing w:after="0" w:line="2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0" w:lineRule="exact"/>
        <w:rPr>
          <w:sz w:val="20"/>
          <w:szCs w:val="20"/>
          <w:color w:val="auto"/>
        </w:rPr>
      </w:pPr>
    </w:p>
    <w:p>
      <w:pPr>
        <w:ind w:right="140" w:firstLine="546"/>
        <w:spacing w:after="0" w:line="248" w:lineRule="auto"/>
        <w:rPr>
          <w:sz w:val="20"/>
          <w:szCs w:val="20"/>
          <w:color w:val="auto"/>
        </w:rPr>
      </w:pPr>
      <w:r>
        <w:rPr>
          <w:rFonts w:ascii="Times New Roman" w:cs="Times New Roman" w:eastAsia="Times New Roman" w:hAnsi="Times New Roman"/>
          <w:sz w:val="18"/>
          <w:szCs w:val="18"/>
          <w:color w:val="auto"/>
        </w:rPr>
        <w:t>The tax expense over the nine months ended September 30, 2022 relates to the Company's U.S. (€0.3 million) and Dutch subsidiaries (€0.1 million) as the result of a cost-plus agreement between the U.S. and Dutch entities and the Company’s principal entity, resulting in an estimated taxable profit in the U.S. and the Netherlands, where the tax expenses over the nine months ended September 30, 2021 only related to the Company’s U.S. entity. In the Netherlands a new tax law came into force on January 1, 2022. Under the new tax law, profits in a given year can be offset against tax loss carry forwards for an unlimited period of time. However, the amount of the offset will be limited to 50% of taxable income (in excess of €1 million). An estimated tax expense for the Dutch fiscal unity has been calculated since it estimated a taxable income in excess of €1 million.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inception, we have incurred significant operating losses. For the nine months ended September 30, 2022 and 2021 we incurred losses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€37,135,902 and €30,389,568 respectively. Since inception, we have not generated any revenues or net cash flows from sales. We will not receive any revenues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net cash flows from sales of our product candidate until it has been approved by regulatory authorities and we have commercialized it. There is no assurance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we will be able to do so.</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To date, we have relied solely on the issuance of equity securities to finance our operations and internal growth. On March 1, 2022, we entered into 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agreement with SVB Securities LLC, or SVB Securities, pursuant to which we may sell ordinary shares having an aggregate offering price of up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$75 million from time to time through SVB Securities. During the nine months ended September 30, 2022, we sold a total of 588,100 ordinary shares in two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different transactions under the sales agreement generating total net proceeds of $9,698,504, after deducting $299,954 which was payable to SVB Securities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in respect of such sales. As of September 30, 2022 we had cash and cash equivalents of €197.7 million. Our cash and cash equivalents consist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of cash at bank.</w:t>
      </w:r>
    </w:p>
    <w:p>
      <w:pPr>
        <w:spacing w:after="0" w:line="196" w:lineRule="exact"/>
        <w:rPr>
          <w:sz w:val="20"/>
          <w:szCs w:val="20"/>
          <w:color w:val="auto"/>
        </w:rPr>
      </w:pPr>
    </w:p>
    <w:p>
      <w:pPr>
        <w:ind w:right="420" w:firstLine="546"/>
        <w:spacing w:after="0" w:line="249" w:lineRule="auto"/>
        <w:rPr>
          <w:sz w:val="20"/>
          <w:szCs w:val="20"/>
          <w:color w:val="auto"/>
        </w:rPr>
      </w:pPr>
      <w:r>
        <w:rPr>
          <w:rFonts w:ascii="Times New Roman" w:cs="Times New Roman" w:eastAsia="Times New Roman" w:hAnsi="Times New Roman"/>
          <w:sz w:val="18"/>
          <w:szCs w:val="18"/>
          <w:color w:val="auto"/>
        </w:rPr>
        <w:t>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our unaudited condensed consolidated interim financial statements for the three and nine months ended September 30, 2022 and 2021. Accordingly, the unaudited condensed consolidated interim financial statements have been prepared on a going concern basis.</w:t>
      </w:r>
    </w:p>
    <w:p>
      <w:pPr>
        <w:spacing w:after="0" w:line="188" w:lineRule="exact"/>
        <w:rPr>
          <w:sz w:val="20"/>
          <w:szCs w:val="20"/>
          <w:color w:val="auto"/>
        </w:rPr>
      </w:pPr>
    </w:p>
    <w:p>
      <w:pPr>
        <w:ind w:right="40" w:firstLine="546"/>
        <w:spacing w:after="0" w:line="248" w:lineRule="auto"/>
        <w:rPr>
          <w:sz w:val="20"/>
          <w:szCs w:val="20"/>
          <w:color w:val="auto"/>
        </w:rPr>
      </w:pPr>
      <w:r>
        <w:rPr>
          <w:rFonts w:ascii="Times New Roman" w:cs="Times New Roman" w:eastAsia="Times New Roman" w:hAnsi="Times New Roman"/>
          <w:sz w:val="18"/>
          <w:szCs w:val="18"/>
          <w:color w:val="auto"/>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spacing w:after="0" w:line="189" w:lineRule="exact"/>
        <w:rPr>
          <w:sz w:val="20"/>
          <w:szCs w:val="20"/>
          <w:color w:val="auto"/>
        </w:rPr>
      </w:pPr>
    </w:p>
    <w:p>
      <w:pPr>
        <w:ind w:right="560" w:firstLine="546"/>
        <w:spacing w:after="0" w:line="268" w:lineRule="auto"/>
        <w:rPr>
          <w:sz w:val="20"/>
          <w:szCs w:val="20"/>
          <w:color w:val="auto"/>
        </w:rPr>
      </w:pPr>
      <w:r>
        <w:rPr>
          <w:rFonts w:ascii="Times New Roman" w:cs="Times New Roman" w:eastAsia="Times New Roman" w:hAnsi="Times New Roman"/>
          <w:sz w:val="18"/>
          <w:szCs w:val="18"/>
          <w:color w:val="auto"/>
        </w:rPr>
        <w:t>Our contractual obligations and commitments as of September 30, 2022 amounted to €27 million, primarily related to research and development commitments.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Comparison for the nine months ended September 30, 2022 and 2021</w:t>
      </w:r>
    </w:p>
    <w:p>
      <w:pPr>
        <w:spacing w:after="0" w:line="2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primary sources and uses of our cash and cash equivalents for each of the periods set forth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4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2"/>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1"/>
        </w:trPr>
        <w:tc>
          <w:tcPr>
            <w:tcW w:w="5140" w:type="dxa"/>
            <w:vAlign w:val="bottom"/>
          </w:tcPr>
          <w:p>
            <w:pPr>
              <w:spacing w:after="0"/>
              <w:rPr>
                <w:sz w:val="13"/>
                <w:szCs w:val="13"/>
                <w:color w:val="auto"/>
              </w:rPr>
            </w:pPr>
          </w:p>
        </w:tc>
        <w:tc>
          <w:tcPr>
            <w:tcW w:w="1520" w:type="dxa"/>
            <w:vAlign w:val="bottom"/>
            <w:tcBorders>
              <w:bottom w:val="single" w:sz="8" w:color="auto"/>
            </w:tcBorders>
          </w:tcPr>
          <w:p>
            <w:pPr>
              <w:jc w:val="right"/>
              <w:ind w:right="655"/>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1720" w:type="dxa"/>
            <w:vAlign w:val="bottom"/>
            <w:tcBorders>
              <w:bottom w:val="single" w:sz="8" w:color="auto"/>
            </w:tcBorders>
          </w:tcPr>
          <w:p>
            <w:pPr>
              <w:jc w:val="right"/>
              <w:ind w:right="858"/>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1540" w:type="dxa"/>
            <w:vAlign w:val="bottom"/>
            <w:tcBorders>
              <w:bottom w:val="single" w:sz="8" w:color="auto"/>
            </w:tcBorders>
          </w:tcPr>
          <w:p>
            <w:pPr>
              <w:jc w:val="right"/>
              <w:ind w:right="775"/>
              <w:spacing w:after="0" w:line="15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jc w:val="right"/>
              <w:ind w:right="495"/>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1"/>
        </w:trPr>
        <w:tc>
          <w:tcPr>
            <w:tcW w:w="5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20" w:type="dxa"/>
            <w:vAlign w:val="bottom"/>
          </w:tcPr>
          <w:p>
            <w:pPr>
              <w:jc w:val="right"/>
              <w:ind w:right="78"/>
              <w:spacing w:after="0" w:line="151" w:lineRule="exact"/>
              <w:rPr>
                <w:sz w:val="20"/>
                <w:szCs w:val="20"/>
                <w:color w:val="auto"/>
              </w:rPr>
            </w:pPr>
            <w:r>
              <w:rPr>
                <w:rFonts w:ascii="Times New Roman" w:cs="Times New Roman" w:eastAsia="Times New Roman" w:hAnsi="Times New Roman"/>
                <w:sz w:val="14"/>
                <w:szCs w:val="14"/>
                <w:color w:val="auto"/>
              </w:rPr>
              <w:t>(in €)</w:t>
            </w:r>
          </w:p>
        </w:tc>
        <w:tc>
          <w:tcPr>
            <w:tcW w:w="1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(46,749,661)</w:t>
            </w:r>
          </w:p>
        </w:tc>
        <w:tc>
          <w:tcPr>
            <w:tcW w:w="1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18"/>
                <w:szCs w:val="18"/>
                <w:color w:val="auto"/>
              </w:rPr>
              <w:t>(32,096,567)</w:t>
            </w:r>
          </w:p>
        </w:tc>
        <w:tc>
          <w:tcPr>
            <w:tcW w:w="154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(14,653,094)</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5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(100,657)</w:t>
            </w:r>
          </w:p>
        </w:tc>
        <w:tc>
          <w:tcPr>
            <w:tcW w:w="1720" w:type="dxa"/>
            <w:vAlign w:val="bottom"/>
          </w:tcPr>
          <w:p>
            <w:pPr>
              <w:jc w:val="right"/>
              <w:ind w:right="278"/>
              <w:spacing w:after="0"/>
              <w:rPr>
                <w:sz w:val="20"/>
                <w:szCs w:val="20"/>
                <w:color w:val="auto"/>
              </w:rPr>
            </w:pPr>
            <w:r>
              <w:rPr>
                <w:rFonts w:ascii="Times New Roman" w:cs="Times New Roman" w:eastAsia="Times New Roman" w:hAnsi="Times New Roman"/>
                <w:sz w:val="18"/>
                <w:szCs w:val="18"/>
                <w:color w:val="auto"/>
              </w:rPr>
              <w:t>(61,494)</w:t>
            </w:r>
          </w:p>
        </w:tc>
        <w:tc>
          <w:tcPr>
            <w:tcW w:w="15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(39,163)</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5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8,810,178</w:t>
            </w:r>
          </w:p>
        </w:tc>
        <w:tc>
          <w:tcPr>
            <w:tcW w:w="1720" w:type="dxa"/>
            <w:vAlign w:val="bottom"/>
            <w:shd w:val="clear" w:color="auto" w:fill="CFF0FC"/>
          </w:tcPr>
          <w:p>
            <w:pPr>
              <w:jc w:val="right"/>
              <w:ind w:right="358"/>
              <w:spacing w:after="0"/>
              <w:rPr>
                <w:sz w:val="20"/>
                <w:szCs w:val="20"/>
                <w:color w:val="auto"/>
              </w:rPr>
            </w:pPr>
            <w:r>
              <w:rPr>
                <w:rFonts w:ascii="Times New Roman" w:cs="Times New Roman" w:eastAsia="Times New Roman" w:hAnsi="Times New Roman"/>
                <w:sz w:val="18"/>
                <w:szCs w:val="18"/>
                <w:color w:val="auto"/>
              </w:rPr>
              <w:t>144,290,697</w:t>
            </w:r>
          </w:p>
        </w:tc>
        <w:tc>
          <w:tcPr>
            <w:tcW w:w="154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(135,480,519)</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52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(38,040,140)</w:t>
            </w:r>
          </w:p>
        </w:tc>
        <w:tc>
          <w:tcPr>
            <w:tcW w:w="1720" w:type="dxa"/>
            <w:vAlign w:val="bottom"/>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112,132,636</w:t>
            </w:r>
          </w:p>
        </w:tc>
        <w:tc>
          <w:tcPr>
            <w:tcW w:w="154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(150,172,776)</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15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209,353,132</w:t>
            </w:r>
          </w:p>
        </w:tc>
        <w:tc>
          <w:tcPr>
            <w:tcW w:w="1720" w:type="dxa"/>
            <w:vAlign w:val="bottom"/>
            <w:shd w:val="clear" w:color="auto" w:fill="CFF0FC"/>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98,628,871</w:t>
            </w:r>
          </w:p>
        </w:tc>
        <w:tc>
          <w:tcPr>
            <w:tcW w:w="154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110,724,261</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26,416,455</w:t>
            </w:r>
          </w:p>
        </w:tc>
        <w:tc>
          <w:tcPr>
            <w:tcW w:w="172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7,834,271</w:t>
            </w:r>
          </w:p>
        </w:tc>
        <w:tc>
          <w:tcPr>
            <w:tcW w:w="15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18,582,184</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5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197,729,447</w:t>
            </w:r>
          </w:p>
        </w:tc>
        <w:tc>
          <w:tcPr>
            <w:tcW w:w="1720" w:type="dxa"/>
            <w:vAlign w:val="bottom"/>
            <w:shd w:val="clear" w:color="auto" w:fill="CFF0FC"/>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218,595,778</w:t>
            </w:r>
          </w:p>
        </w:tc>
        <w:tc>
          <w:tcPr>
            <w:tcW w:w="154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(20,866,331)</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bl>
    <w:p>
      <w:pPr>
        <w:spacing w:after="0" w:line="3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2" w:lineRule="exact"/>
        <w:rPr>
          <w:sz w:val="20"/>
          <w:szCs w:val="20"/>
          <w:color w:val="auto"/>
        </w:rPr>
      </w:pPr>
    </w:p>
    <w:p>
      <w:pPr>
        <w:ind w:right="60" w:firstLine="546"/>
        <w:spacing w:after="0" w:line="268" w:lineRule="auto"/>
        <w:rPr>
          <w:sz w:val="20"/>
          <w:szCs w:val="20"/>
          <w:color w:val="auto"/>
        </w:rPr>
      </w:pPr>
      <w:r>
        <w:rPr>
          <w:rFonts w:ascii="Times New Roman" w:cs="Times New Roman" w:eastAsia="Times New Roman" w:hAnsi="Times New Roman"/>
          <w:sz w:val="18"/>
          <w:szCs w:val="18"/>
          <w:color w:val="auto"/>
        </w:rPr>
        <w:t>Net cash flows used in operating activities reflects our results for the period adjusted for, among other things, depreciation, unrealized foreign exchange results, share-based compensation expenses, changes in working capital and interest accruals and payments.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3" w:name="page24"/>
    <w:bookmarkEnd w:id="23"/>
    <w:p>
      <w:pPr>
        <w:ind w:right="200" w:firstLine="546"/>
        <w:spacing w:after="0" w:line="303" w:lineRule="auto"/>
        <w:rPr>
          <w:sz w:val="20"/>
          <w:szCs w:val="20"/>
          <w:color w:val="auto"/>
        </w:rPr>
      </w:pPr>
      <w:r>
        <w:rPr>
          <w:rFonts w:ascii="Times New Roman" w:cs="Times New Roman" w:eastAsia="Times New Roman" w:hAnsi="Times New Roman"/>
          <w:sz w:val="16"/>
          <w:szCs w:val="16"/>
          <w:color w:val="auto"/>
        </w:rPr>
        <w:t>Net cash flows used in operating activities was €46,749,661 for the nine months ended September 30, 2022, an increase of €14,653,094, compared to €32,096,567 for the nine months ended September 30, 2021, primarily reflecting the increase in research and development expenses and other operating expenses, due to progression made in the PHVS416 and PHVS719 development programs and the growth of our organization in 2021 and 2022.</w:t>
      </w:r>
    </w:p>
    <w:p>
      <w:pPr>
        <w:spacing w:after="0" w:line="2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2" w:lineRule="exact"/>
        <w:rPr>
          <w:sz w:val="20"/>
          <w:szCs w:val="20"/>
          <w:color w:val="auto"/>
        </w:rPr>
      </w:pPr>
    </w:p>
    <w:p>
      <w:pPr>
        <w:ind w:right="140" w:firstLine="546"/>
        <w:spacing w:after="0" w:line="268" w:lineRule="auto"/>
        <w:rPr>
          <w:sz w:val="20"/>
          <w:szCs w:val="20"/>
          <w:color w:val="auto"/>
        </w:rPr>
      </w:pPr>
      <w:r>
        <w:rPr>
          <w:rFonts w:ascii="Times New Roman" w:cs="Times New Roman" w:eastAsia="Times New Roman" w:hAnsi="Times New Roman"/>
          <w:sz w:val="18"/>
          <w:szCs w:val="18"/>
          <w:color w:val="auto"/>
        </w:rPr>
        <w:t>Net cash flows used in investing activities increased by €39,163 from €61,494 for the nine months ended September 30, 2021 to €100,657 for the nine months ended September 30, 2022, primarily as a result of capital expenditure related to office equipment in 2022.</w:t>
      </w:r>
    </w:p>
    <w:p>
      <w:pPr>
        <w:spacing w:after="0" w:line="2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2" w:lineRule="exact"/>
        <w:rPr>
          <w:sz w:val="20"/>
          <w:szCs w:val="20"/>
          <w:color w:val="auto"/>
        </w:rPr>
      </w:pPr>
    </w:p>
    <w:p>
      <w:pPr>
        <w:jc w:val="both"/>
        <w:ind w:right="500" w:firstLine="546"/>
        <w:spacing w:after="0" w:line="252" w:lineRule="auto"/>
        <w:rPr>
          <w:sz w:val="20"/>
          <w:szCs w:val="20"/>
          <w:color w:val="auto"/>
        </w:rPr>
      </w:pPr>
      <w:r>
        <w:rPr>
          <w:rFonts w:ascii="Times New Roman" w:cs="Times New Roman" w:eastAsia="Times New Roman" w:hAnsi="Times New Roman"/>
          <w:sz w:val="18"/>
          <w:szCs w:val="18"/>
          <w:color w:val="auto"/>
        </w:rPr>
        <w:t>Net cash flows provided by financing activities decreased by €135,480,519 from €144,290,697 for the nine months ended September 30, 2021 to €8,810,178 for the nine months ended September 30, 2022. The net cash inflow in 2021 was the result of the proceeds from the IPO net of underwriting discount and other transaction costs. The cash inflow in nine months ended September 30, 2022 relates to the sale of the ordinary shares under the sales agreement with SVB Securities offset by cash flows related to financial lease and transaction costs.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2022, we did not have any off-balance sheet arrangements other than the disclosed commitments.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ind w:right="160" w:firstLine="546"/>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2022, there were no significant changes to our quantitative and qualitative disclosures about market risk from those reported in “Item 11. Quantitative and Qualitative Disclosures About Market Risk” in the Annual Report.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Judgments</w:t>
      </w:r>
    </w:p>
    <w:p>
      <w:pPr>
        <w:spacing w:after="0" w:line="110" w:lineRule="exact"/>
        <w:rPr>
          <w:sz w:val="20"/>
          <w:szCs w:val="20"/>
          <w:color w:val="auto"/>
        </w:rPr>
      </w:pPr>
    </w:p>
    <w:p>
      <w:pPr>
        <w:ind w:firstLine="546"/>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and estimates described in Note 2.19 to our consolidated financial statements in the Annual Report.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0" w:lineRule="exact"/>
        <w:rPr>
          <w:sz w:val="20"/>
          <w:szCs w:val="20"/>
          <w:color w:val="auto"/>
        </w:rPr>
      </w:pPr>
    </w:p>
    <w:p>
      <w:pPr>
        <w:ind w:right="20" w:firstLine="546"/>
        <w:spacing w:after="0" w:line="246" w:lineRule="auto"/>
        <w:rPr>
          <w:sz w:val="20"/>
          <w:szCs w:val="20"/>
          <w:color w:val="auto"/>
        </w:rPr>
      </w:pPr>
      <w:r>
        <w:rPr>
          <w:rFonts w:ascii="Times New Roman" w:cs="Times New Roman" w:eastAsia="Times New Roman" w:hAnsi="Times New Roman"/>
          <w:sz w:val="18"/>
          <w:szCs w:val="18"/>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88" w:lineRule="exact"/>
        <w:rPr>
          <w:sz w:val="20"/>
          <w:szCs w:val="20"/>
          <w:color w:val="auto"/>
        </w:rPr>
      </w:pPr>
    </w:p>
    <w:p>
      <w:pPr>
        <w:ind w:left="1220" w:right="360" w:hanging="400"/>
        <w:spacing w:after="0" w:line="268" w:lineRule="auto"/>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outcome of our interactions with regulatory authorities, including the FDA with respect to the clinical hold on PHA121 clinical trials in the U.S.;</w:t>
      </w:r>
    </w:p>
    <w:p>
      <w:pPr>
        <w:spacing w:after="0" w:line="63" w:lineRule="exact"/>
        <w:rPr>
          <w:rFonts w:ascii="Times New Roman" w:cs="Times New Roman" w:eastAsia="Times New Roman" w:hAnsi="Times New Roman"/>
          <w:sz w:val="18"/>
          <w:szCs w:val="18"/>
          <w:color w:val="auto"/>
        </w:rPr>
      </w:pPr>
    </w:p>
    <w:p>
      <w:pPr>
        <w:ind w:left="1220" w:right="280" w:hanging="400"/>
        <w:spacing w:after="0" w:line="268" w:lineRule="auto"/>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or success of our clinical development programs, especially for PHVS416 and PHVS719, which are in mid-stage global clinical trials and are currently on hold in the U.S. as a result of the clinical hold;</w:t>
      </w:r>
    </w:p>
    <w:p>
      <w:pPr>
        <w:spacing w:after="0" w:line="63" w:lineRule="exact"/>
        <w:rPr>
          <w:rFonts w:ascii="Times New Roman" w:cs="Times New Roman" w:eastAsia="Times New Roman" w:hAnsi="Times New Roman"/>
          <w:sz w:val="18"/>
          <w:szCs w:val="18"/>
          <w:color w:val="auto"/>
        </w:rPr>
      </w:pPr>
    </w:p>
    <w:p>
      <w:pPr>
        <w:ind w:left="1220" w:right="80" w:hanging="400"/>
        <w:spacing w:after="0" w:line="268" w:lineRule="auto"/>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COVID-19 pandemic, which may adversely impact our business, nonclinical studies and clinical trials, the timing of regulatory approvals and the value of our ordinary shares;</w:t>
      </w:r>
    </w:p>
    <w:p>
      <w:pPr>
        <w:spacing w:after="0" w:line="63" w:lineRule="exact"/>
        <w:rPr>
          <w:rFonts w:ascii="Times New Roman" w:cs="Times New Roman" w:eastAsia="Times New Roman" w:hAnsi="Times New Roman"/>
          <w:sz w:val="18"/>
          <w:szCs w:val="18"/>
          <w:color w:val="auto"/>
        </w:rPr>
      </w:pPr>
    </w:p>
    <w:p>
      <w:pPr>
        <w:ind w:left="1220" w:right="200" w:hanging="400"/>
        <w:spacing w:after="0" w:line="268" w:lineRule="auto"/>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and other limitations involved in obtaining regulatory approval for our product candidates PHVS416 and PHVS719 or any other product candidate that we may develop in the future;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24" w:name="page25"/>
    <w:bookmarkEnd w:id="24"/>
    <w:p>
      <w:pPr>
        <w:ind w:left="1220" w:right="180" w:hanging="400"/>
        <w:spacing w:after="0" w:line="268"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63"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commercial capabilities or enter into agreements with third parties to market, sell and distribute our product candidates;</w:t>
      </w:r>
    </w:p>
    <w:p>
      <w:pPr>
        <w:spacing w:after="0" w:line="157" w:lineRule="exact"/>
        <w:rPr>
          <w:rFonts w:ascii="Times New Roman" w:cs="Times New Roman" w:eastAsia="Times New Roman" w:hAnsi="Times New Roman"/>
          <w:sz w:val="16"/>
          <w:szCs w:val="16"/>
          <w:color w:val="auto"/>
        </w:rPr>
      </w:pPr>
    </w:p>
    <w:p>
      <w:pPr>
        <w:ind w:left="1220" w:right="260" w:hanging="400"/>
        <w:spacing w:after="0" w:line="268"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to perform critical activities related to the research, nonclinical safety and toxicology studies, development and manufacturing of our product candidates;</w:t>
      </w:r>
    </w:p>
    <w:p>
      <w:pPr>
        <w:spacing w:after="0" w:line="63"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w:t>
      </w:r>
    </w:p>
    <w:p>
      <w:pPr>
        <w:spacing w:after="0" w:line="134" w:lineRule="exact"/>
        <w:rPr>
          <w:rFonts w:ascii="Times New Roman" w:cs="Times New Roman" w:eastAsia="Times New Roman" w:hAnsi="Times New Roman"/>
          <w:sz w:val="18"/>
          <w:szCs w:val="18"/>
          <w:color w:val="auto"/>
        </w:rPr>
      </w:pPr>
    </w:p>
    <w:p>
      <w:pPr>
        <w:ind w:left="1220" w:hanging="400"/>
        <w:spacing w:after="0" w:line="268"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63"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and on acceptable terms;</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any new licensing agreements or to maintain any licensing agreements with respect to our product candidates;</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collaboration partners and licensees, whose actions we cannot control;</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private insurers and other payors to provide reimbursement for our products;</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European Union and other jurisdictions;</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timing of price negotiations with governmental authorities;</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pharmaceutical industry and with competitive generic products;</w:t>
      </w:r>
    </w:p>
    <w:p>
      <w:pPr>
        <w:spacing w:after="0" w:line="134" w:lineRule="exact"/>
        <w:rPr>
          <w:rFonts w:ascii="Times New Roman" w:cs="Times New Roman" w:eastAsia="Times New Roman" w:hAnsi="Times New Roman"/>
          <w:sz w:val="18"/>
          <w:szCs w:val="18"/>
          <w:color w:val="auto"/>
        </w:rPr>
      </w:pPr>
    </w:p>
    <w:p>
      <w:pPr>
        <w:ind w:left="1220" w:right="280" w:hanging="400"/>
        <w:spacing w:after="0" w:line="268"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know-how and operate our business without infringing the intellectual property rights or regulatory exclusivity of others;</w:t>
      </w:r>
    </w:p>
    <w:p>
      <w:pPr>
        <w:spacing w:after="0" w:line="63"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or adverse events associated with the use of our product candidates;</w:t>
      </w:r>
    </w:p>
    <w:p>
      <w:pPr>
        <w:spacing w:after="0" w:line="134" w:lineRule="exact"/>
        <w:rPr>
          <w:rFonts w:ascii="Times New Roman" w:cs="Times New Roman" w:eastAsia="Times New Roman" w:hAnsi="Times New Roman"/>
          <w:sz w:val="18"/>
          <w:szCs w:val="18"/>
          <w:color w:val="auto"/>
        </w:rPr>
      </w:pPr>
    </w:p>
    <w:p>
      <w:pPr>
        <w:ind w:left="1220" w:right="520" w:hanging="400"/>
        <w:spacing w:after="0" w:line="268"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costly and damaging liability claims resulting from the testing of our product candidates in the clinic or, if, approved, any commercial sales;</w:t>
      </w:r>
    </w:p>
    <w:p>
      <w:pPr>
        <w:spacing w:after="0" w:line="63"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sizes and anticipated uses of our product candidates;</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performance;</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regarding anticipated operating losses, future revenues, expenses, capital requirements and our needs for additional financing;</w:t>
      </w:r>
    </w:p>
    <w:p>
      <w:pPr>
        <w:spacing w:after="0" w:line="157" w:lineRule="exact"/>
        <w:rPr>
          <w:rFonts w:ascii="Times New Roman" w:cs="Times New Roman" w:eastAsia="Times New Roman" w:hAnsi="Times New Roman"/>
          <w:sz w:val="16"/>
          <w:szCs w:val="16"/>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or future laws and regulations in a cost-efficient manner;</w:t>
      </w:r>
    </w:p>
    <w:p>
      <w:pPr>
        <w:spacing w:after="0" w:line="134" w:lineRule="exact"/>
        <w:rPr>
          <w:rFonts w:ascii="Times New Roman" w:cs="Times New Roman" w:eastAsia="Times New Roman" w:hAnsi="Times New Roman"/>
          <w:sz w:val="18"/>
          <w:szCs w:val="18"/>
          <w:color w:val="auto"/>
        </w:rPr>
      </w:pPr>
    </w:p>
    <w:p>
      <w:pPr>
        <w:ind w:left="1220" w:hanging="400"/>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negative consequences from changes in applicable laws and regulations, including tax laws;</w:t>
      </w:r>
    </w:p>
    <w:p>
      <w:pPr>
        <w:spacing w:after="0" w:line="134" w:lineRule="exact"/>
        <w:rPr>
          <w:rFonts w:ascii="Times New Roman" w:cs="Times New Roman" w:eastAsia="Times New Roman" w:hAnsi="Times New Roman"/>
          <w:sz w:val="18"/>
          <w:szCs w:val="18"/>
          <w:color w:val="auto"/>
        </w:rPr>
      </w:pPr>
    </w:p>
    <w:p>
      <w:pPr>
        <w:ind w:left="1220" w:right="440" w:hanging="400"/>
        <w:spacing w:after="0" w:line="268"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remediate the material weaknesses in our internal control over financial reporting and to maintain an effective system of internal control over financial reporting;</w:t>
      </w:r>
    </w:p>
    <w:p>
      <w:pPr>
        <w:spacing w:after="0" w:line="63" w:lineRule="exact"/>
        <w:rPr>
          <w:rFonts w:ascii="Times New Roman" w:cs="Times New Roman" w:eastAsia="Times New Roman" w:hAnsi="Times New Roman"/>
          <w:sz w:val="18"/>
          <w:szCs w:val="18"/>
          <w:color w:val="auto"/>
        </w:rPr>
      </w:pPr>
    </w:p>
    <w:p>
      <w:pPr>
        <w:ind w:left="1220" w:hanging="400"/>
        <w:spacing w:after="0" w:line="268"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or a foreign private issuer; and</w:t>
      </w:r>
    </w:p>
    <w:p>
      <w:pPr>
        <w:spacing w:after="0" w:line="63" w:lineRule="exact"/>
        <w:rPr>
          <w:rFonts w:ascii="Times New Roman" w:cs="Times New Roman" w:eastAsia="Times New Roman" w:hAnsi="Times New Roman"/>
          <w:sz w:val="18"/>
          <w:szCs w:val="18"/>
          <w:color w:val="auto"/>
        </w:rPr>
      </w:pPr>
    </w:p>
    <w:p>
      <w:pPr>
        <w:ind w:left="1220" w:right="280" w:hanging="400"/>
        <w:spacing w:after="0" w:line="268"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political and economic conditions, including as a result of inflation and the current conflict between Russia and Ukraine.</w:t>
      </w:r>
    </w:p>
    <w:p>
      <w:pPr>
        <w:spacing w:after="0" w:line="169"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You should refer to “ITEM 3. Key information—D. Risk factors.” section of our Annual Report for a discussion of important factors that may cause our actual results to differ materially from those expressed or implied by our forward-looking statements. As a result of these factors, we cannot assure you that the forward-looking statements in this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ind w:right="80"/>
        <w:spacing w:after="0" w:line="268" w:lineRule="auto"/>
        <w:rPr>
          <w:sz w:val="20"/>
          <w:szCs w:val="20"/>
          <w:color w:val="auto"/>
        </w:rPr>
      </w:pPr>
      <w:r>
        <w:rPr>
          <w:rFonts w:ascii="Times New Roman" w:cs="Times New Roman" w:eastAsia="Times New Roman" w:hAnsi="Times New Roman"/>
          <w:sz w:val="18"/>
          <w:szCs w:val="18"/>
          <w:color w:val="auto"/>
        </w:rPr>
        <w:t>management’s discussion and analysis will prove to be accurate. Furthermore, if our forward-looking statements prove to be inaccurate, the inaccuracy may be material.</w:t>
      </w:r>
    </w:p>
    <w:p>
      <w:pPr>
        <w:spacing w:after="0" w:line="169" w:lineRule="exact"/>
        <w:rPr>
          <w:sz w:val="20"/>
          <w:szCs w:val="20"/>
          <w:color w:val="auto"/>
        </w:rPr>
      </w:pPr>
    </w:p>
    <w:p>
      <w:pPr>
        <w:ind w:firstLine="546"/>
        <w:spacing w:after="0" w:line="268" w:lineRule="auto"/>
        <w:rPr>
          <w:sz w:val="20"/>
          <w:szCs w:val="20"/>
          <w:color w:val="auto"/>
        </w:rPr>
      </w:pPr>
      <w:r>
        <w:rPr>
          <w:rFonts w:ascii="Times New Roman" w:cs="Times New Roman" w:eastAsia="Times New Roman" w:hAnsi="Times New Roman"/>
          <w:sz w:val="18"/>
          <w:szCs w:val="18"/>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69" w:lineRule="exact"/>
        <w:rPr>
          <w:sz w:val="20"/>
          <w:szCs w:val="20"/>
          <w:color w:val="auto"/>
        </w:rPr>
      </w:pPr>
    </w:p>
    <w:p>
      <w:pPr>
        <w:ind w:right="400" w:firstLine="546"/>
        <w:spacing w:after="0" w:line="268"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statements, whether as a result of new information, future events or otherwise, except as required by law.</w:t>
      </w:r>
    </w:p>
    <w:p>
      <w:pPr>
        <w:spacing w:after="0" w:line="169" w:lineRule="exact"/>
        <w:rPr>
          <w:sz w:val="20"/>
          <w:szCs w:val="20"/>
          <w:color w:val="auto"/>
        </w:rPr>
      </w:pPr>
    </w:p>
    <w:p>
      <w:pPr>
        <w:ind w:right="40" w:firstLine="546"/>
        <w:spacing w:after="0" w:line="249" w:lineRule="auto"/>
        <w:rPr>
          <w:sz w:val="20"/>
          <w:szCs w:val="20"/>
          <w:color w:val="auto"/>
        </w:rPr>
      </w:pPr>
      <w:r>
        <w:rPr>
          <w:rFonts w:ascii="Times New Roman" w:cs="Times New Roman" w:eastAsia="Times New Roman" w:hAnsi="Times New Roman"/>
          <w:sz w:val="18"/>
          <w:szCs w:val="18"/>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331"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tc>
      </w:tr>
      <w:tr>
        <w:trPr>
          <w:trHeight w:val="421"/>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Pharvaris N.V.</w:t>
            </w:r>
          </w:p>
        </w:tc>
        <w:tc>
          <w:tcPr>
            <w:tcW w:w="3260" w:type="dxa"/>
            <w:vAlign w:val="bottom"/>
          </w:tcPr>
          <w:p>
            <w:pPr>
              <w:spacing w:after="0"/>
              <w:rPr>
                <w:sz w:val="24"/>
                <w:szCs w:val="24"/>
                <w:color w:val="auto"/>
              </w:rPr>
            </w:pPr>
          </w:p>
        </w:tc>
      </w:tr>
      <w:tr>
        <w:trPr>
          <w:trHeight w:val="315"/>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Financial Statements</w:t>
            </w:r>
          </w:p>
        </w:tc>
        <w:tc>
          <w:tcPr>
            <w:tcW w:w="3260" w:type="dxa"/>
            <w:vAlign w:val="bottom"/>
          </w:tcPr>
          <w:p>
            <w:pPr>
              <w:spacing w:after="0"/>
              <w:rPr>
                <w:sz w:val="24"/>
                <w:szCs w:val="24"/>
                <w:color w:val="auto"/>
              </w:rPr>
            </w:pPr>
          </w:p>
        </w:tc>
      </w:tr>
      <w:tr>
        <w:trPr>
          <w:trHeight w:val="315"/>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As of and for the three and nine months ended September 30, 2022</w:t>
            </w:r>
          </w:p>
        </w:tc>
        <w:tc>
          <w:tcPr>
            <w:tcW w:w="3260" w:type="dxa"/>
            <w:vAlign w:val="bottom"/>
          </w:tcPr>
          <w:p>
            <w:pPr>
              <w:spacing w:after="0"/>
              <w:rPr>
                <w:sz w:val="24"/>
                <w:szCs w:val="24"/>
                <w:color w:val="auto"/>
              </w:rPr>
            </w:pPr>
          </w:p>
        </w:tc>
      </w:tr>
      <w:tr>
        <w:trPr>
          <w:trHeight w:val="289"/>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3260" w:type="dxa"/>
            <w:vAlign w:val="bottom"/>
          </w:tcPr>
          <w:p>
            <w:pPr>
              <w:jc w:val="right"/>
              <w:ind w:right="2472"/>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08"/>
        </w:trPr>
        <w:tc>
          <w:tcPr>
            <w:tcW w:w="7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7"/>
              </w:rPr>
              <w:t>Unaudited condensed consolidated statements of profit or loss and other comprehensive income or loss</w:t>
            </w:r>
          </w:p>
        </w:tc>
        <w:tc>
          <w:tcPr>
            <w:tcW w:w="340" w:type="dxa"/>
            <w:vAlign w:val="bottom"/>
          </w:tcPr>
          <w:p>
            <w:pPr>
              <w:spacing w:after="0"/>
              <w:rPr>
                <w:sz w:val="24"/>
                <w:szCs w:val="24"/>
                <w:color w:val="auto"/>
              </w:rPr>
            </w:pPr>
          </w:p>
        </w:tc>
        <w:tc>
          <w:tcPr>
            <w:tcW w:w="32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4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Unaudited condensed consolidated statements of financial position</w:t>
            </w:r>
          </w:p>
        </w:tc>
        <w:tc>
          <w:tcPr>
            <w:tcW w:w="3040" w:type="dxa"/>
            <w:vAlign w:val="bottom"/>
            <w:gridSpan w:val="3"/>
          </w:tcPr>
          <w:p>
            <w:pPr>
              <w:spacing w:after="0"/>
              <w:rPr>
                <w:sz w:val="24"/>
                <w:szCs w:val="24"/>
                <w:color w:val="auto"/>
              </w:rPr>
            </w:pPr>
          </w:p>
        </w:tc>
        <w:tc>
          <w:tcPr>
            <w:tcW w:w="32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Unaudited condensed consolidated statements of changes in equity</w:t>
            </w:r>
          </w:p>
        </w:tc>
        <w:tc>
          <w:tcPr>
            <w:tcW w:w="32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w:t>
            </w:r>
          </w:p>
        </w:tc>
      </w:tr>
      <w:tr>
        <w:trPr>
          <w:trHeight w:val="414"/>
        </w:trPr>
        <w:tc>
          <w:tcPr>
            <w:tcW w:w="44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Unaudited condensed consolidated statements of cash flows</w:t>
            </w:r>
          </w:p>
        </w:tc>
        <w:tc>
          <w:tcPr>
            <w:tcW w:w="520" w:type="dxa"/>
            <w:vAlign w:val="bottom"/>
            <w:tcBorders>
              <w:top w:val="single" w:sz="8" w:color="0000EE"/>
            </w:tcBorders>
          </w:tcPr>
          <w:p>
            <w:pPr>
              <w:spacing w:after="0"/>
              <w:rPr>
                <w:sz w:val="24"/>
                <w:szCs w:val="24"/>
                <w:color w:val="auto"/>
              </w:rPr>
            </w:pPr>
          </w:p>
        </w:tc>
        <w:tc>
          <w:tcPr>
            <w:tcW w:w="3040" w:type="dxa"/>
            <w:vAlign w:val="bottom"/>
            <w:gridSpan w:val="3"/>
          </w:tcPr>
          <w:p>
            <w:pPr>
              <w:spacing w:after="0"/>
              <w:rPr>
                <w:sz w:val="24"/>
                <w:szCs w:val="24"/>
                <w:color w:val="auto"/>
              </w:rPr>
            </w:pPr>
          </w:p>
        </w:tc>
        <w:tc>
          <w:tcPr>
            <w:tcW w:w="32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5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7"/>
              </w:rPr>
              <w:t>Notes to the unaudited condensed consolidated interim financial statements</w:t>
            </w:r>
          </w:p>
        </w:tc>
        <w:tc>
          <w:tcPr>
            <w:tcW w:w="2360" w:type="dxa"/>
            <w:vAlign w:val="bottom"/>
            <w:gridSpan w:val="2"/>
          </w:tcPr>
          <w:p>
            <w:pPr>
              <w:spacing w:after="0"/>
              <w:rPr>
                <w:sz w:val="24"/>
                <w:szCs w:val="24"/>
                <w:color w:val="auto"/>
              </w:rPr>
            </w:pPr>
          </w:p>
        </w:tc>
        <w:tc>
          <w:tcPr>
            <w:tcW w:w="32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w:t>
            </w:r>
          </w:p>
        </w:tc>
      </w:tr>
      <w:tr>
        <w:trPr>
          <w:trHeight w:val="913"/>
        </w:trPr>
        <w:tc>
          <w:tcPr>
            <w:tcW w:w="7660" w:type="dxa"/>
            <w:vAlign w:val="bottom"/>
            <w:gridSpan w:val="4"/>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12"/>
        </w:trPr>
        <w:tc>
          <w:tcPr>
            <w:tcW w:w="44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19"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profit or loss and other comprehensive income or loss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1"/>
        </w:trPr>
        <w:tc>
          <w:tcPr>
            <w:tcW w:w="5220" w:type="dxa"/>
            <w:vAlign w:val="bottom"/>
          </w:tcPr>
          <w:p>
            <w:pPr>
              <w:spacing w:after="0"/>
              <w:rPr>
                <w:sz w:val="13"/>
                <w:szCs w:val="13"/>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40" w:type="dxa"/>
            <w:vAlign w:val="bottom"/>
            <w:tcBorders>
              <w:top w:val="single" w:sz="8" w:color="auto"/>
              <w:bottom w:val="single" w:sz="8" w:color="auto"/>
            </w:tcBorders>
          </w:tcPr>
          <w:p>
            <w:pPr>
              <w:jc w:val="right"/>
              <w:ind w:right="295"/>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4"/>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295"/>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2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(14,088,845)</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(8,956,174)</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(41,324,971)</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(25,088,223)</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(8,297,822)</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(4,374,081)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(21,822,960)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(12,810,500)</w:t>
            </w:r>
          </w:p>
        </w:tc>
        <w:tc>
          <w:tcPr>
            <w:tcW w:w="0" w:type="dxa"/>
            <w:vAlign w:val="bottom"/>
          </w:tcPr>
          <w:p>
            <w:pPr>
              <w:spacing w:after="0"/>
              <w:rPr>
                <w:sz w:val="1"/>
                <w:szCs w:val="1"/>
                <w:color w:val="auto"/>
              </w:rPr>
            </w:pPr>
          </w:p>
        </w:tc>
      </w:tr>
      <w:tr>
        <w:trPr>
          <w:trHeight w:val="217"/>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(22,386,667)</w:t>
            </w: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(13,330,255)</w:t>
            </w: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(63,147,931)</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(37,898,723)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Finance income - net</w:t>
            </w:r>
          </w:p>
        </w:tc>
        <w:tc>
          <w:tcPr>
            <w:tcW w:w="1060" w:type="dxa"/>
            <w:vAlign w:val="bottom"/>
            <w:tcBorders>
              <w:bottom w:val="single" w:sz="8" w:color="CFF0FC"/>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11,494,934</w:t>
            </w:r>
          </w:p>
        </w:tc>
        <w:tc>
          <w:tcPr>
            <w:tcW w:w="2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4,254,526</w:t>
            </w:r>
          </w:p>
        </w:tc>
        <w:tc>
          <w:tcPr>
            <w:tcW w:w="24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26,387,917</w:t>
            </w:r>
          </w:p>
        </w:tc>
        <w:tc>
          <w:tcPr>
            <w:tcW w:w="2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7,598,899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06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(10,891,733)</w:t>
            </w:r>
          </w:p>
        </w:tc>
        <w:tc>
          <w:tcPr>
            <w:tcW w:w="22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(9,075,729)</w:t>
            </w:r>
          </w:p>
        </w:tc>
        <w:tc>
          <w:tcPr>
            <w:tcW w:w="24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(36,760,014)</w:t>
            </w:r>
          </w:p>
        </w:tc>
        <w:tc>
          <w:tcPr>
            <w:tcW w:w="22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(30,299,824)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60" w:type="dxa"/>
            <w:vAlign w:val="bottom"/>
            <w:tcBorders>
              <w:bottom w:val="single" w:sz="8" w:color="CFF0FC"/>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2,403,929</w:t>
            </w:r>
          </w:p>
        </w:tc>
        <w:tc>
          <w:tcPr>
            <w:tcW w:w="2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(68,190)</w:t>
            </w:r>
          </w:p>
        </w:tc>
        <w:tc>
          <w:tcPr>
            <w:tcW w:w="24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(375,888)</w:t>
            </w:r>
          </w:p>
        </w:tc>
        <w:tc>
          <w:tcPr>
            <w:tcW w:w="2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0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(8,487,804)</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(9,143,919)</w:t>
            </w: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(37,135,902)</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(30,389,568)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gains arising on translation of foreign operations</w:t>
            </w:r>
          </w:p>
        </w:tc>
        <w:tc>
          <w:tcPr>
            <w:tcW w:w="10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208,615</w:t>
            </w: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128,204</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w:t>
            </w:r>
          </w:p>
        </w:tc>
        <w:tc>
          <w:tcPr>
            <w:tcW w:w="1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holders of the Company</w:t>
            </w:r>
          </w:p>
        </w:tc>
        <w:tc>
          <w:tcPr>
            <w:tcW w:w="10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(8,279,189)</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(9,142,674)</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(37,007,698)</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(30,386,648)</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Loss per share attributable to the equity holders of the Company during</w:t>
            </w:r>
          </w:p>
        </w:tc>
        <w:tc>
          <w:tcPr>
            <w:tcW w:w="10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22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the periods</w:t>
            </w: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106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(0.28)</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60" w:type="dxa"/>
            <w:vAlign w:val="bottom"/>
          </w:tcPr>
          <w:p>
            <w:pPr>
              <w:spacing w:after="0"/>
              <w:rPr>
                <w:sz w:val="14"/>
                <w:szCs w:val="14"/>
                <w:color w:val="auto"/>
              </w:rPr>
            </w:pPr>
          </w:p>
        </w:tc>
        <w:tc>
          <w:tcPr>
            <w:tcW w:w="302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174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6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2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8"/>
                <w:szCs w:val="18"/>
                <w:color w:val="auto"/>
              </w:rPr>
              <w:t>8</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182,026</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3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195,922</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239,432</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02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8"/>
                <w:szCs w:val="18"/>
                <w:color w:val="auto"/>
              </w:rPr>
              <w:t>10</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404,155</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4,231,283</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2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8"/>
                <w:szCs w:val="18"/>
                <w:color w:val="auto"/>
              </w:rPr>
              <w:t>12</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197,729,447</w:t>
            </w:r>
          </w:p>
        </w:tc>
        <w:tc>
          <w:tcPr>
            <w:tcW w:w="260" w:type="dxa"/>
            <w:vAlign w:val="bottom"/>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209,353,132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20" w:type="dxa"/>
            <w:vAlign w:val="bottom"/>
            <w:tcBorders>
              <w:bottom w:val="single" w:sz="8" w:color="CFF0FC"/>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202,982,265</w:t>
            </w:r>
          </w:p>
        </w:tc>
        <w:tc>
          <w:tcPr>
            <w:tcW w:w="260" w:type="dxa"/>
            <w:vAlign w:val="bottom"/>
            <w:tcBorders>
              <w:bottom w:val="single" w:sz="8" w:color="CFF0FC"/>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212,090,064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30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02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8"/>
                <w:szCs w:val="18"/>
                <w:color w:val="auto"/>
              </w:rPr>
              <w:t>13</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4,054,529</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3,978,226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30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288,461,572</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278,742,900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0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17,415,183</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9,774,416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reserve</w:t>
            </w:r>
          </w:p>
        </w:tc>
        <w:tc>
          <w:tcPr>
            <w:tcW w:w="30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154,132</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loss</w:t>
            </w:r>
          </w:p>
        </w:tc>
        <w:tc>
          <w:tcPr>
            <w:tcW w:w="302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(124,913,939)</w:t>
            </w: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(87,568,401)</w:t>
            </w:r>
          </w:p>
        </w:tc>
        <w:tc>
          <w:tcPr>
            <w:tcW w:w="0" w:type="dxa"/>
            <w:vAlign w:val="bottom"/>
          </w:tcPr>
          <w:p>
            <w:pPr>
              <w:spacing w:after="0"/>
              <w:rPr>
                <w:sz w:val="1"/>
                <w:szCs w:val="1"/>
                <w:color w:val="auto"/>
              </w:rPr>
            </w:pPr>
          </w:p>
        </w:tc>
      </w:tr>
      <w:tr>
        <w:trPr>
          <w:trHeight w:val="257"/>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20" w:type="dxa"/>
            <w:vAlign w:val="bottom"/>
            <w:tcBorders>
              <w:bottom w:val="single" w:sz="8" w:color="CFF0FC"/>
            </w:tcBorders>
          </w:tcPr>
          <w:p>
            <w:pPr>
              <w:spacing w:after="0"/>
              <w:rPr>
                <w:sz w:val="22"/>
                <w:szCs w:val="2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185,171,477</w:t>
            </w:r>
          </w:p>
        </w:tc>
        <w:tc>
          <w:tcPr>
            <w:tcW w:w="260" w:type="dxa"/>
            <w:vAlign w:val="bottom"/>
            <w:tcBorders>
              <w:bottom w:val="single" w:sz="8" w:color="CFF0FC"/>
            </w:tcBorders>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204,953,069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Long term liabilities</w:t>
            </w:r>
          </w:p>
        </w:tc>
        <w:tc>
          <w:tcPr>
            <w:tcW w:w="30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3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86,534</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3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7,095,858</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02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8"/>
                <w:szCs w:val="18"/>
                <w:color w:val="auto"/>
              </w:rPr>
              <w:t>15</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10,131,060</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4,270,082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3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112,287</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liability</w:t>
            </w:r>
          </w:p>
        </w:tc>
        <w:tc>
          <w:tcPr>
            <w:tcW w:w="302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385,049</w:t>
            </w:r>
          </w:p>
        </w:tc>
        <w:tc>
          <w:tcPr>
            <w:tcW w:w="260" w:type="dxa"/>
            <w:vAlign w:val="bottom"/>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20" w:type="dxa"/>
            <w:vAlign w:val="bottom"/>
            <w:tcBorders>
              <w:bottom w:val="single" w:sz="8" w:color="CFF0FC"/>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17,810,788</w:t>
            </w:r>
          </w:p>
        </w:tc>
        <w:tc>
          <w:tcPr>
            <w:tcW w:w="260" w:type="dxa"/>
            <w:vAlign w:val="bottom"/>
            <w:tcBorders>
              <w:bottom w:val="single" w:sz="8" w:color="CFF0FC"/>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7,136,995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02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202,982,265</w:t>
            </w:r>
          </w:p>
        </w:tc>
        <w:tc>
          <w:tcPr>
            <w:tcW w:w="260" w:type="dxa"/>
            <w:vAlign w:val="bottom"/>
            <w:tcBorders>
              <w:bottom w:val="single" w:sz="8" w:color="CFF0FC"/>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212,090,064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equity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300" w:type="dxa"/>
            <w:vAlign w:val="bottom"/>
            <w:gridSpan w:val="2"/>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5"/>
        </w:trPr>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3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80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300" w:type="dxa"/>
            <w:vAlign w:val="bottom"/>
            <w:gridSpan w:val="2"/>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30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8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235,693</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138,034,580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1,979,875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(4,365)</w:t>
            </w:r>
          </w:p>
        </w:tc>
        <w:tc>
          <w:tcPr>
            <w:tcW w:w="13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(44,459,954)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95,785,829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(30,386,648)</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(30,386,648)</w:t>
            </w:r>
          </w:p>
        </w:tc>
        <w:tc>
          <w:tcPr>
            <w:tcW w:w="0" w:type="dxa"/>
            <w:vAlign w:val="bottom"/>
          </w:tcPr>
          <w:p>
            <w:pPr>
              <w:spacing w:after="0"/>
              <w:rPr>
                <w:sz w:val="1"/>
                <w:szCs w:val="1"/>
                <w:color w:val="auto"/>
              </w:rPr>
            </w:pPr>
          </w:p>
        </w:tc>
      </w:tr>
      <w:tr>
        <w:trPr>
          <w:trHeight w:val="22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par value</w:t>
            </w:r>
          </w:p>
        </w:tc>
        <w:tc>
          <w:tcPr>
            <w:tcW w:w="8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2,592,621</w:t>
            </w:r>
          </w:p>
        </w:tc>
        <w:tc>
          <w:tcPr>
            <w:tcW w:w="1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(2,592,621)</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Issue of share capital</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1,141,329</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156,014,570</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157,155,899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 on issue of shares</w:t>
            </w:r>
          </w:p>
        </w:tc>
        <w:tc>
          <w:tcPr>
            <w:tcW w:w="8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(13,154,360)</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(13,154,360)</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reserve</w:t>
            </w:r>
          </w:p>
        </w:tc>
        <w:tc>
          <w:tcPr>
            <w:tcW w:w="8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20" w:type="dxa"/>
            <w:vAlign w:val="bottom"/>
          </w:tcPr>
          <w:p>
            <w:pPr>
              <w:spacing w:after="0"/>
              <w:rPr>
                <w:sz w:val="19"/>
                <w:szCs w:val="19"/>
                <w:color w:val="auto"/>
              </w:rPr>
            </w:pPr>
          </w:p>
        </w:tc>
        <w:tc>
          <w:tcPr>
            <w:tcW w:w="13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Shares issued upon exercise of options or</w:t>
            </w:r>
          </w:p>
        </w:tc>
        <w:tc>
          <w:tcPr>
            <w:tcW w:w="8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8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133,360</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(91,681)</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(231,803)</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(184,335)</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6,207,308</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8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3,975,432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278,435,529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8,095,502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(75,078,405)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215,426,613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3,978,226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278,742,900</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9,774,416</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25,928</w:t>
            </w:r>
          </w:p>
        </w:tc>
        <w:tc>
          <w:tcPr>
            <w:tcW w:w="220" w:type="dxa"/>
            <w:vAlign w:val="bottom"/>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(87,568,401)</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204,953,069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(37,135,902)</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(37,135,902)</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Issue of share capital</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70,572</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9,464,901</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 on issue of shares</w:t>
            </w:r>
          </w:p>
        </w:tc>
        <w:tc>
          <w:tcPr>
            <w:tcW w:w="8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(307,710)</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(307,710)</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reserve</w:t>
            </w:r>
          </w:p>
        </w:tc>
        <w:tc>
          <w:tcPr>
            <w:tcW w:w="8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128,204</w:t>
            </w:r>
          </w:p>
        </w:tc>
        <w:tc>
          <w:tcPr>
            <w:tcW w:w="220" w:type="dxa"/>
            <w:vAlign w:val="bottom"/>
          </w:tcPr>
          <w:p>
            <w:pPr>
              <w:spacing w:after="0"/>
              <w:rPr>
                <w:sz w:val="19"/>
                <w:szCs w:val="19"/>
                <w:color w:val="auto"/>
              </w:rPr>
            </w:pPr>
          </w:p>
        </w:tc>
        <w:tc>
          <w:tcPr>
            <w:tcW w:w="13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8,133,588</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8,133,588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share-based payments</w:t>
            </w:r>
          </w:p>
        </w:tc>
        <w:tc>
          <w:tcPr>
            <w:tcW w:w="8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561,481</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(492,821)</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(209,636)</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(135,245)</w:t>
            </w:r>
          </w:p>
        </w:tc>
        <w:tc>
          <w:tcPr>
            <w:tcW w:w="0" w:type="dxa"/>
            <w:vAlign w:val="bottom"/>
          </w:tcPr>
          <w:p>
            <w:pPr>
              <w:spacing w:after="0"/>
              <w:rPr>
                <w:sz w:val="1"/>
                <w:szCs w:val="1"/>
                <w:color w:val="auto"/>
              </w:rPr>
            </w:pPr>
          </w:p>
        </w:tc>
      </w:tr>
      <w:tr>
        <w:trPr>
          <w:trHeight w:val="217"/>
        </w:trPr>
        <w:tc>
          <w:tcPr>
            <w:tcW w:w="3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8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4,054,529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288,461,572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17,415,183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154,132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(124,913,939</w:t>
            </w:r>
          </w:p>
        </w:tc>
        <w:tc>
          <w:tcPr>
            <w:tcW w:w="220" w:type="dxa"/>
            <w:vAlign w:val="bottom"/>
            <w:tcBorders>
              <w:top w:val="single" w:sz="8" w:color="CFF0FC"/>
              <w:bottom w:val="single" w:sz="8" w:color="CFF0FC"/>
            </w:tcBorders>
            <w:shd w:val="clear" w:color="auto" w:fill="CFF0FC"/>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185,171,477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148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14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5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4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(36,760,014)</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(30,299,824)</w:t>
            </w: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Non-cash adjustments to reconcile loss before tax to net cash flows from operations:</w:t>
            </w:r>
          </w:p>
        </w:tc>
        <w:tc>
          <w:tcPr>
            <w:tcW w:w="14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8,133,588</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4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106,767</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w:t>
            </w: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(26,492,975)</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(7,837,250)</w:t>
            </w: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4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105,058</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1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Decrease/(Increase) in receivables</w:t>
            </w:r>
          </w:p>
        </w:tc>
        <w:tc>
          <w:tcPr>
            <w:tcW w:w="14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295,924</w:t>
            </w:r>
          </w:p>
        </w:tc>
        <w:tc>
          <w:tcPr>
            <w:tcW w:w="2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(62,789)</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4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(2,192,198)</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(3,067,974)</w:t>
            </w: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trade and other payables</w:t>
            </w:r>
          </w:p>
        </w:tc>
        <w:tc>
          <w:tcPr>
            <w:tcW w:w="14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4,605,286</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accrued liabilities</w:t>
            </w:r>
          </w:p>
        </w:tc>
        <w:tc>
          <w:tcPr>
            <w:tcW w:w="1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5,787,859</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 interest</w:t>
            </w:r>
          </w:p>
        </w:tc>
        <w:tc>
          <w:tcPr>
            <w:tcW w:w="14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(138,915)</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(177,640)</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4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(200,041)</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(28,157)</w:t>
            </w:r>
          </w:p>
        </w:tc>
        <w:tc>
          <w:tcPr>
            <w:tcW w:w="0" w:type="dxa"/>
            <w:vAlign w:val="bottom"/>
          </w:tcPr>
          <w:p>
            <w:pPr>
              <w:spacing w:after="0"/>
              <w:rPr>
                <w:sz w:val="1"/>
                <w:szCs w:val="1"/>
                <w:color w:val="auto"/>
              </w:rPr>
            </w:pPr>
          </w:p>
        </w:tc>
      </w:tr>
      <w:tr>
        <w:trPr>
          <w:trHeight w:val="217"/>
        </w:trPr>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480" w:type="dxa"/>
            <w:vAlign w:val="bottom"/>
            <w:tcBorders>
              <w:top w:val="single" w:sz="8" w:color="CFF0FC"/>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(46,749,661)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(32,096,567)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4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8</w:t>
            </w: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(100,657)</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(61,494)</w:t>
            </w:r>
          </w:p>
        </w:tc>
        <w:tc>
          <w:tcPr>
            <w:tcW w:w="0" w:type="dxa"/>
            <w:vAlign w:val="bottom"/>
          </w:tcPr>
          <w:p>
            <w:pPr>
              <w:spacing w:after="0"/>
              <w:rPr>
                <w:sz w:val="1"/>
                <w:szCs w:val="1"/>
                <w:color w:val="auto"/>
              </w:rPr>
            </w:pPr>
          </w:p>
        </w:tc>
      </w:tr>
      <w:tr>
        <w:trPr>
          <w:trHeight w:val="257"/>
        </w:trPr>
        <w:tc>
          <w:tcPr>
            <w:tcW w:w="6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480" w:type="dxa"/>
            <w:vAlign w:val="bottom"/>
            <w:tcBorders>
              <w:bottom w:val="single" w:sz="8" w:color="CFF0FC"/>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(100,657)</w:t>
            </w:r>
          </w:p>
        </w:tc>
        <w:tc>
          <w:tcPr>
            <w:tcW w:w="260" w:type="dxa"/>
            <w:vAlign w:val="bottom"/>
            <w:tcBorders>
              <w:bottom w:val="single" w:sz="8" w:color="CFF0FC"/>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4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 of shares</w:t>
            </w: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9,609,865</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157,236,819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4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(726,367)</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(12,925,547)</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financial liability</w:t>
            </w:r>
          </w:p>
        </w:tc>
        <w:tc>
          <w:tcPr>
            <w:tcW w:w="14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(73,320)</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(20,575)</w:t>
            </w:r>
          </w:p>
        </w:tc>
        <w:tc>
          <w:tcPr>
            <w:tcW w:w="0" w:type="dxa"/>
            <w:vAlign w:val="bottom"/>
          </w:tcPr>
          <w:p>
            <w:pPr>
              <w:spacing w:after="0"/>
              <w:rPr>
                <w:sz w:val="1"/>
                <w:szCs w:val="1"/>
                <w:color w:val="auto"/>
              </w:rPr>
            </w:pPr>
          </w:p>
        </w:tc>
      </w:tr>
      <w:tr>
        <w:trPr>
          <w:trHeight w:val="217"/>
        </w:trPr>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financing activities</w:t>
            </w:r>
          </w:p>
        </w:tc>
        <w:tc>
          <w:tcPr>
            <w:tcW w:w="1480" w:type="dxa"/>
            <w:vAlign w:val="bottom"/>
            <w:tcBorders>
              <w:top w:val="single" w:sz="8" w:color="CFF0FC"/>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8,810,178</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144,290,697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(38,040,140)</w:t>
            </w:r>
          </w:p>
        </w:tc>
        <w:tc>
          <w:tcPr>
            <w:tcW w:w="260" w:type="dxa"/>
            <w:vAlign w:val="bottom"/>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112,132,636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4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209,353,132</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98,628,871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48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26,416,455</w:t>
            </w:r>
          </w:p>
        </w:tc>
        <w:tc>
          <w:tcPr>
            <w:tcW w:w="26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7,834,271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480" w:type="dxa"/>
            <w:vAlign w:val="bottom"/>
            <w:tcBorders>
              <w:bottom w:val="single" w:sz="8" w:color="CFF0FC"/>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197,729,447</w:t>
            </w:r>
          </w:p>
        </w:tc>
        <w:tc>
          <w:tcPr>
            <w:tcW w:w="2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218,595,778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interim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Corporate and Group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provides general corporate and group information about Pharvaris N.V. and its subsidiaries.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Corporate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Pharvaris N.V. was incorporated on September 30, 2015 and is based in Leiden, the Netherlands.</w:t>
      </w:r>
    </w:p>
    <w:p>
      <w:pPr>
        <w:spacing w:after="0" w:line="21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The address of its registered office is J.H. Oortweg 21, Leiden. The Company’s registered office is located at J.H. Oortweg 21, Leiden. It has been registered at the Chamber of Commerce under file number 64239411.</w:t>
      </w:r>
    </w:p>
    <w:p>
      <w:pPr>
        <w:spacing w:after="0" w:line="169"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1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of Pharvaris N.V. (the “Company” or “Pharvaris”) and its subsidiaries (collectively, “The Group”) as of September 30, 2022 and December 31, 2021, and for the three and nine months ended September 30, 2022 and 2021 were authorized for issue in accordance with a resolution of the directors on December 8, 2022.</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Group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consolidated interim financial statements of the Group include: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3"/>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3"/>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7"/>
              </w:rPr>
              <w:t>equity interest as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2160" w:type="dxa"/>
            <w:vAlign w:val="bottom"/>
            <w:tcBorders>
              <w:bottom w:val="single" w:sz="8" w:color="auto"/>
            </w:tcBorders>
            <w:gridSpan w:val="3"/>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51"/>
        </w:trPr>
        <w:tc>
          <w:tcPr>
            <w:tcW w:w="3900" w:type="dxa"/>
            <w:vAlign w:val="bottom"/>
            <w:tcBorders>
              <w:bottom w:val="single" w:sz="8" w:color="CFF0FC"/>
            </w:tcBorders>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tcBorders>
              <w:bottom w:val="single" w:sz="8" w:color="auto"/>
            </w:tcBorders>
          </w:tcPr>
          <w:p>
            <w:pPr>
              <w:ind w:left="440"/>
              <w:spacing w:after="0" w:line="151" w:lineRule="exact"/>
              <w:rPr>
                <w:sz w:val="20"/>
                <w:szCs w:val="20"/>
                <w:color w:val="auto"/>
              </w:rPr>
            </w:pPr>
            <w:r>
              <w:rPr>
                <w:rFonts w:ascii="Times New Roman" w:cs="Times New Roman" w:eastAsia="Times New Roman" w:hAnsi="Times New Roman"/>
                <w:sz w:val="14"/>
                <w:szCs w:val="14"/>
                <w:b w:val="1"/>
                <w:bCs w:val="1"/>
                <w:color w:val="auto"/>
              </w:rPr>
              <w:t>Legal seat</w:t>
            </w:r>
          </w:p>
        </w:tc>
        <w:tc>
          <w:tcPr>
            <w:tcW w:w="160" w:type="dxa"/>
            <w:vAlign w:val="bottom"/>
            <w:tcBorders>
              <w:bottom w:val="single" w:sz="8" w:color="CFF0FC"/>
            </w:tcBorders>
          </w:tcPr>
          <w:p>
            <w:pPr>
              <w:spacing w:after="0"/>
              <w:rPr>
                <w:sz w:val="13"/>
                <w:szCs w:val="13"/>
                <w:color w:val="auto"/>
              </w:rPr>
            </w:pPr>
          </w:p>
        </w:tc>
        <w:tc>
          <w:tcPr>
            <w:tcW w:w="2380" w:type="dxa"/>
            <w:vAlign w:val="bottom"/>
            <w:tcBorders>
              <w:bottom w:val="single" w:sz="8" w:color="auto"/>
            </w:tcBorders>
          </w:tcPr>
          <w:p>
            <w:pPr>
              <w:ind w:left="780"/>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6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55"/>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6"/>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r>
      <w:tr>
        <w:trPr>
          <w:trHeight w:val="21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Pharvaris Holdings B.V.</w:t>
            </w: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Leiden</w:t>
            </w:r>
          </w:p>
        </w:tc>
        <w:tc>
          <w:tcPr>
            <w:tcW w:w="1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Pharvaris Netherlands B.V.</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Leiden</w:t>
            </w:r>
          </w:p>
        </w:tc>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Netherlands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Pharvaris GmbH</w:t>
            </w: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Zug</w:t>
            </w:r>
          </w:p>
        </w:tc>
        <w:tc>
          <w:tcPr>
            <w:tcW w:w="270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Switzerland</w:t>
            </w: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2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Pharvaris, Inc.</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ultimate parent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ultimate parent company of the Group is Pharvaris N.V.</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developments during the three months ended September 30, 2022</w:t>
      </w:r>
    </w:p>
    <w:p>
      <w:pPr>
        <w:spacing w:after="0" w:line="21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In August 2022, the Company announced that the U.S. Food and Drug Administration (the “FDA”) had placed a clinical hold on the clinical trials of PHA121 in the United States (the “clinical hold”).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clinical hold letters stated that the nonclinical observations are unlikely due to B2 receptor antagonism, the primary mechanism of action of the compound.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requested that the Company conduct an additional long-term rodent toxicology study and update the Investigator’s Brochure.</w:t>
      </w:r>
    </w:p>
    <w:p>
      <w:pPr>
        <w:spacing w:after="0" w:line="196" w:lineRule="exact"/>
        <w:rPr>
          <w:sz w:val="20"/>
          <w:szCs w:val="20"/>
          <w:color w:val="auto"/>
        </w:rPr>
      </w:pPr>
    </w:p>
    <w:p>
      <w:pPr>
        <w:ind w:right="240"/>
        <w:spacing w:after="0" w:line="331" w:lineRule="auto"/>
        <w:rPr>
          <w:sz w:val="20"/>
          <w:szCs w:val="20"/>
          <w:color w:val="auto"/>
        </w:rPr>
      </w:pPr>
      <w:r>
        <w:rPr>
          <w:rFonts w:ascii="Times New Roman" w:cs="Times New Roman" w:eastAsia="Times New Roman" w:hAnsi="Times New Roman"/>
          <w:sz w:val="16"/>
          <w:szCs w:val="16"/>
          <w:color w:val="auto"/>
        </w:rPr>
        <w:t>The Company notified country-specific regulatory authorities in Canada, Europe, Israel, and the UK of the U.S. clinical hold. The regulatory status of the CHAPTER-1 study outside the U.S. remains unchanged. All active sites outside of the U.S. continue to enroll participants in the CHAPTER-1 clinical study.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32" w:name="page33"/>
    <w:bookmarkEnd w:id="32"/>
    <w:p>
      <w:pPr>
        <w:ind w:left="180" w:hanging="175"/>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 Basis of preparation</w:t>
      </w:r>
    </w:p>
    <w:p>
      <w:pPr>
        <w:spacing w:after="0" w:line="21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have been prepared in accordance with IAS 34 Interim Financial Reporting as issued by the International Accounting Standards Board and should be read in conjunction with the Group’s annual consolidated financial statements for the year ended December 31, 2021 (“last annual financial statements”). These unaudited condensed consolidated interim financial statements do not include all the information required for a complete set of financial statements prepared in accordance with IFRS as issued by the IASB.</w:t>
      </w:r>
    </w:p>
    <w:p>
      <w:pPr>
        <w:spacing w:after="0" w:line="182"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color w:val="auto"/>
        </w:rPr>
        <w:t>However, selected explanatory notes are included to explain events and transactions that are significant to an understanding of the changes in the Group’s financial position and performance since the last annual financial statements.</w:t>
      </w:r>
    </w:p>
    <w:p>
      <w:pPr>
        <w:spacing w:after="0" w:line="169" w:lineRule="exact"/>
        <w:rPr>
          <w:sz w:val="20"/>
          <w:szCs w:val="20"/>
          <w:color w:val="auto"/>
        </w:rPr>
      </w:pPr>
    </w:p>
    <w:p>
      <w:pPr>
        <w:jc w:val="both"/>
        <w:ind w:right="580"/>
        <w:spacing w:after="0" w:line="331" w:lineRule="auto"/>
        <w:rPr>
          <w:sz w:val="20"/>
          <w:szCs w:val="20"/>
          <w:color w:val="auto"/>
        </w:rPr>
      </w:pPr>
      <w:r>
        <w:rPr>
          <w:rFonts w:ascii="Times New Roman" w:cs="Times New Roman" w:eastAsia="Times New Roman" w:hAnsi="Times New Roman"/>
          <w:sz w:val="16"/>
          <w:szCs w:val="16"/>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 of prior period loss per share</w:t>
      </w:r>
    </w:p>
    <w:p>
      <w:pPr>
        <w:spacing w:after="0" w:line="21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the period ended June 30, 2022, the Company determined that it had incorrectly computed the weighted average number of ordinary shares outstanding used as denominator in calculating its basic and diluted loss per share in previously issued interim financial statements. This error had no impact on the Company’s operating expenses, or loss for the period, and had no impact on the Company’s consolidated statements of financial position, consolidated statements of changes in equity or consolidated statements of cash flows.</w:t>
      </w:r>
    </w:p>
    <w:p>
      <w:pPr>
        <w:spacing w:after="0" w:line="182" w:lineRule="exact"/>
        <w:rPr>
          <w:sz w:val="20"/>
          <w:szCs w:val="20"/>
          <w:color w:val="auto"/>
        </w:rPr>
      </w:pPr>
    </w:p>
    <w:p>
      <w:pPr>
        <w:ind w:right="420"/>
        <w:spacing w:after="0" w:line="331" w:lineRule="auto"/>
        <w:rPr>
          <w:sz w:val="20"/>
          <w:szCs w:val="20"/>
          <w:color w:val="auto"/>
        </w:rPr>
      </w:pPr>
      <w:r>
        <w:rPr>
          <w:rFonts w:ascii="Times New Roman" w:cs="Times New Roman" w:eastAsia="Times New Roman" w:hAnsi="Times New Roman"/>
          <w:sz w:val="16"/>
          <w:szCs w:val="16"/>
          <w:color w:val="auto"/>
        </w:rPr>
        <w:t>The Company assessed the materiality of these errors on the previously issued condensed consolidated interim financial statements and concluded that the errors were not material to any period presented. The impact of the revision of the previously issued interim financial statements is as follows: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 reported vs revised ‘weighted average number of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Revision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Revision of</w:t>
            </w:r>
          </w:p>
        </w:tc>
        <w:tc>
          <w:tcPr>
            <w:tcW w:w="0" w:type="dxa"/>
            <w:vAlign w:val="bottom"/>
          </w:tcPr>
          <w:p>
            <w:pPr>
              <w:spacing w:after="0"/>
              <w:rPr>
                <w:sz w:val="1"/>
                <w:szCs w:val="1"/>
                <w:color w:val="auto"/>
              </w:rPr>
            </w:pPr>
          </w:p>
        </w:tc>
      </w:tr>
      <w:tr>
        <w:trPr>
          <w:trHeight w:val="145"/>
        </w:trPr>
        <w:tc>
          <w:tcPr>
            <w:tcW w:w="5860" w:type="dxa"/>
            <w:vAlign w:val="bottom"/>
          </w:tcPr>
          <w:p>
            <w:pPr>
              <w:spacing w:after="0"/>
              <w:rPr>
                <w:sz w:val="12"/>
                <w:szCs w:val="12"/>
                <w:color w:val="auto"/>
              </w:rPr>
            </w:pPr>
          </w:p>
        </w:tc>
        <w:tc>
          <w:tcPr>
            <w:tcW w:w="13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5"/>
        </w:trPr>
        <w:tc>
          <w:tcPr>
            <w:tcW w:w="5860" w:type="dxa"/>
            <w:vAlign w:val="bottom"/>
          </w:tcPr>
          <w:p>
            <w:pPr>
              <w:spacing w:after="0"/>
              <w:rPr>
                <w:sz w:val="12"/>
                <w:szCs w:val="12"/>
                <w:color w:val="auto"/>
              </w:rPr>
            </w:pPr>
          </w:p>
        </w:tc>
        <w:tc>
          <w:tcPr>
            <w:tcW w:w="13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3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3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2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45"/>
        </w:trPr>
        <w:tc>
          <w:tcPr>
            <w:tcW w:w="5860" w:type="dxa"/>
            <w:vAlign w:val="bottom"/>
          </w:tcPr>
          <w:p>
            <w:pPr>
              <w:spacing w:after="0"/>
              <w:rPr>
                <w:sz w:val="12"/>
                <w:szCs w:val="12"/>
                <w:color w:val="auto"/>
              </w:rPr>
            </w:pPr>
          </w:p>
        </w:tc>
        <w:tc>
          <w:tcPr>
            <w:tcW w:w="13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3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3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45"/>
        </w:trPr>
        <w:tc>
          <w:tcPr>
            <w:tcW w:w="5860" w:type="dxa"/>
            <w:vAlign w:val="bottom"/>
          </w:tcPr>
          <w:p>
            <w:pPr>
              <w:spacing w:after="0"/>
              <w:rPr>
                <w:sz w:val="12"/>
                <w:szCs w:val="12"/>
                <w:color w:val="auto"/>
              </w:rPr>
            </w:pPr>
          </w:p>
        </w:tc>
        <w:tc>
          <w:tcPr>
            <w:tcW w:w="13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3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3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2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(Quarterly)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(YTD)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(Quarterly)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(YTD)</w:t>
            </w:r>
          </w:p>
        </w:tc>
        <w:tc>
          <w:tcPr>
            <w:tcW w:w="0" w:type="dxa"/>
            <w:vAlign w:val="bottom"/>
          </w:tcPr>
          <w:p>
            <w:pPr>
              <w:spacing w:after="0"/>
              <w:rPr>
                <w:sz w:val="1"/>
                <w:szCs w:val="1"/>
                <w:color w:val="auto"/>
              </w:rPr>
            </w:pPr>
          </w:p>
        </w:tc>
      </w:tr>
      <w:tr>
        <w:trPr>
          <w:trHeight w:val="217"/>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Q3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23,282,105</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23,282,105</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33,128,593</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29,493,657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reported vs revised ‘basic and diluted loss per share’:</w:t>
            </w: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Revision of</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Revision of</w:t>
            </w:r>
          </w:p>
        </w:tc>
        <w:tc>
          <w:tcPr>
            <w:tcW w:w="0" w:type="dxa"/>
            <w:vAlign w:val="bottom"/>
          </w:tcPr>
          <w:p>
            <w:pPr>
              <w:spacing w:after="0"/>
              <w:rPr>
                <w:sz w:val="1"/>
                <w:szCs w:val="1"/>
                <w:color w:val="auto"/>
              </w:rPr>
            </w:pPr>
          </w:p>
        </w:tc>
      </w:tr>
      <w:tr>
        <w:trPr>
          <w:trHeight w:val="138"/>
        </w:trPr>
        <w:tc>
          <w:tcPr>
            <w:tcW w:w="58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60" w:type="dxa"/>
            <w:vAlign w:val="bottom"/>
          </w:tcPr>
          <w:p>
            <w:pPr>
              <w:spacing w:after="0"/>
              <w:rPr>
                <w:sz w:val="12"/>
                <w:szCs w:val="12"/>
                <w:color w:val="auto"/>
              </w:rPr>
            </w:pPr>
          </w:p>
        </w:tc>
        <w:tc>
          <w:tcPr>
            <w:tcW w:w="13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basic and</w:t>
            </w:r>
          </w:p>
        </w:tc>
        <w:tc>
          <w:tcPr>
            <w:tcW w:w="13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basic and</w:t>
            </w:r>
          </w:p>
        </w:tc>
        <w:tc>
          <w:tcPr>
            <w:tcW w:w="13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basic and</w:t>
            </w:r>
          </w:p>
        </w:tc>
        <w:tc>
          <w:tcPr>
            <w:tcW w:w="12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basic and</w:t>
            </w:r>
          </w:p>
        </w:tc>
        <w:tc>
          <w:tcPr>
            <w:tcW w:w="0" w:type="dxa"/>
            <w:vAlign w:val="bottom"/>
          </w:tcPr>
          <w:p>
            <w:pPr>
              <w:spacing w:after="0"/>
              <w:rPr>
                <w:sz w:val="1"/>
                <w:szCs w:val="1"/>
                <w:color w:val="auto"/>
              </w:rPr>
            </w:pPr>
          </w:p>
        </w:tc>
      </w:tr>
      <w:tr>
        <w:trPr>
          <w:trHeight w:val="145"/>
        </w:trPr>
        <w:tc>
          <w:tcPr>
            <w:tcW w:w="5860" w:type="dxa"/>
            <w:vAlign w:val="bottom"/>
          </w:tcPr>
          <w:p>
            <w:pPr>
              <w:spacing w:after="0"/>
              <w:rPr>
                <w:sz w:val="12"/>
                <w:szCs w:val="12"/>
                <w:color w:val="auto"/>
              </w:rPr>
            </w:pPr>
          </w:p>
        </w:tc>
        <w:tc>
          <w:tcPr>
            <w:tcW w:w="13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3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3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2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0" w:type="dxa"/>
            <w:vAlign w:val="bottom"/>
          </w:tcPr>
          <w:p>
            <w:pPr>
              <w:spacing w:after="0"/>
              <w:rPr>
                <w:sz w:val="1"/>
                <w:szCs w:val="1"/>
                <w:color w:val="auto"/>
              </w:rPr>
            </w:pPr>
          </w:p>
        </w:tc>
      </w:tr>
      <w:tr>
        <w:trPr>
          <w:trHeight w:val="145"/>
        </w:trPr>
        <w:tc>
          <w:tcPr>
            <w:tcW w:w="5860" w:type="dxa"/>
            <w:vAlign w:val="bottom"/>
          </w:tcPr>
          <w:p>
            <w:pPr>
              <w:spacing w:after="0"/>
              <w:rPr>
                <w:sz w:val="12"/>
                <w:szCs w:val="12"/>
                <w:color w:val="auto"/>
              </w:rPr>
            </w:pPr>
          </w:p>
        </w:tc>
        <w:tc>
          <w:tcPr>
            <w:tcW w:w="13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loss per share</w:t>
            </w:r>
          </w:p>
        </w:tc>
        <w:tc>
          <w:tcPr>
            <w:tcW w:w="13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loss per share</w:t>
            </w:r>
          </w:p>
        </w:tc>
        <w:tc>
          <w:tcPr>
            <w:tcW w:w="13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loss per share</w:t>
            </w:r>
          </w:p>
        </w:tc>
        <w:tc>
          <w:tcPr>
            <w:tcW w:w="12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loss per share</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(Quarterly)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(YTD)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(Quarterly)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(YTD)</w:t>
            </w:r>
          </w:p>
        </w:tc>
        <w:tc>
          <w:tcPr>
            <w:tcW w:w="0" w:type="dxa"/>
            <w:vAlign w:val="bottom"/>
          </w:tcPr>
          <w:p>
            <w:pPr>
              <w:spacing w:after="0"/>
              <w:rPr>
                <w:sz w:val="1"/>
                <w:szCs w:val="1"/>
                <w:color w:val="auto"/>
              </w:rPr>
            </w:pPr>
          </w:p>
        </w:tc>
      </w:tr>
      <w:tr>
        <w:trPr>
          <w:trHeight w:val="217"/>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Q3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Going concern</w:t>
      </w:r>
    </w:p>
    <w:p>
      <w:pPr>
        <w:spacing w:after="0" w:line="21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 These therapies will need to go through clinical development trials to achieve regulatory approval for commercialization. Therefore, Pharvaris is incurring annual research and development and other operating costs and has no revenues to date (as is typical in the biotech industry for development stage and early commercial stage companies). As such, Pharvaris anticipates on-going negative operating cash flows for the foreseeable future before the company has a product candidate ready for commercialization, if at all. This makes the Group dependent on external capital sources, debt capital and equity capital. The Group is currently fully financed by equity capital.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3" w:name="page34"/>
    <w:bookmarkEnd w:id="33"/>
    <w:p>
      <w:pPr>
        <w:ind w:right="160"/>
        <w:spacing w:after="0" w:line="256" w:lineRule="auto"/>
        <w:rPr>
          <w:sz w:val="20"/>
          <w:szCs w:val="20"/>
          <w:color w:val="auto"/>
        </w:rPr>
      </w:pPr>
      <w:r>
        <w:rPr>
          <w:rFonts w:ascii="Times New Roman" w:cs="Times New Roman" w:eastAsia="Times New Roman" w:hAnsi="Times New Roman"/>
          <w:sz w:val="18"/>
          <w:szCs w:val="18"/>
          <w:color w:val="auto"/>
        </w:rPr>
        <w:t>As of September 30, 2022 and December 31, 2021 the Group had cash of €197.7 million and €209.4 million, respectively. The Group incurred net losses of €37.1 million in the nine months ended September 30, 2022 and €30.4 million in the same period in 2021 and negative operating cash flows of €46.7 million and €32.1 million in the nine months ended September 30, 2022 and the nine months ended September 30, 2021 respectively.</w:t>
      </w:r>
    </w:p>
    <w:p>
      <w:pPr>
        <w:spacing w:after="0" w:line="17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The Group does not expect positive operating cash flows in the foreseeable future and remains dependent on additional financing to fund its research and development expenses, general and administrative expenses and financing costs. The Group believes that the available cash balances are sufficient to execute the Group’s operating plan and strategies and to meet the anticipated working capital requirements and settle all expected liabilities for at least twelve months from the issuance date of these unaudited condensed consolidated interim financial statements. Accordingly, the unaudited condensed consolidated interim financial statements have been prepared on a going concern basis.</w:t>
      </w:r>
    </w:p>
    <w:p>
      <w:pPr>
        <w:spacing w:after="0" w:line="18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The future viability of the Group is dependent on its ability to raise additional capital to finance its operations. The Group will need to finance its operations through public or private securities offerings, debt financings or other sources, which may include licensing, collaborations or other strategic transactions or arrangements. Although the Group has been successful in raising capital in the past, there is no assurance that it will be successful in obtaining such additional financing on terms acceptable to the Group, if at all. If the Group is unable to obtain funding, the Group could be forced to delay, reduce, or eliminate some or all of its research and development programs for product candidates, product portfolio expansion or commercialization efforts, which could adversely affect its business prospects, or the Group may be unable to continue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21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The Group has taken steps to identify and mitigate the adverse effects and risks to it as a result of the pandemic. The Group has modified its business practices, including implementing work from home arrangements for employees able to perform their duties remotely and practicing safe social distancing in our operations. The Group expects to continue to take actions as may be required or recommended by government authorities or in the best interests of its employees and business partners. While the impact of COVID-19 on the Group’s operations and financial performance has so far been limited, the extent to which COVID-19 may impact its financial condition or results of operations in the future is uncertain. For instance, the ongoing spread of variants of the COVID-19 virus may continue to interrupt, or delay, the Group’s clinical trial activities, regulatory reviews, manufacturing activities and supply chain.</w:t>
      </w:r>
    </w:p>
    <w:p>
      <w:pPr>
        <w:spacing w:after="0" w:line="16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extent to which the COVID-19 pandemic impacts the Group’s business will depend on future developments, which are uncertain and cannot be predicted, including amongst other things, new information which may emerge concerning the severity of the COVID-19 pandemic and the actions to contain COVID-19 or treat its impact, including among other things the effectiveness and outreach of COVID-19 vaccines. If the Group is unable to meet its milestones it might jeopardize our funding opportunities.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Use of judgements and estimates</w:t>
      </w:r>
    </w:p>
    <w:p>
      <w:pPr>
        <w:spacing w:after="0" w:line="21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16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The significant judgements made by management in applying the Group’s accounting policies and the key sources of estimation uncertainty were the same as those described in the last annual financial statements.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Change in significant accounting policies</w:t>
      </w:r>
    </w:p>
    <w:p>
      <w:pPr>
        <w:spacing w:after="0" w:line="216"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color w:val="auto"/>
        </w:rPr>
        <w:t>The accounting policies applied in these unaudited condensed consolidated interim financial statements are the same as those applied in the consolidated financial statements for the year ended December 31, 2021.</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160"/>
          </w:cols>
          <w:pgMar w:left="320" w:top="331"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3. Research and development expenses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00" w:type="dxa"/>
            <w:vAlign w:val="bottom"/>
          </w:tcPr>
          <w:p>
            <w:pPr>
              <w:spacing w:after="0"/>
              <w:rPr>
                <w:sz w:val="14"/>
                <w:szCs w:val="14"/>
                <w:color w:val="auto"/>
              </w:rPr>
            </w:pPr>
          </w:p>
        </w:tc>
        <w:tc>
          <w:tcPr>
            <w:tcW w:w="30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9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51"/>
        </w:trPr>
        <w:tc>
          <w:tcPr>
            <w:tcW w:w="5200" w:type="dxa"/>
            <w:vAlign w:val="bottom"/>
          </w:tcPr>
          <w:p>
            <w:pPr>
              <w:spacing w:after="0"/>
              <w:rPr>
                <w:sz w:val="13"/>
                <w:szCs w:val="13"/>
                <w:color w:val="auto"/>
              </w:rPr>
            </w:pPr>
          </w:p>
        </w:tc>
        <w:tc>
          <w:tcPr>
            <w:tcW w:w="1300" w:type="dxa"/>
            <w:vAlign w:val="bottom"/>
            <w:tcBorders>
              <w:top w:val="single" w:sz="8" w:color="auto"/>
              <w:bottom w:val="single" w:sz="8" w:color="auto"/>
            </w:tcBorders>
          </w:tcPr>
          <w:p>
            <w:pPr>
              <w:jc w:val="right"/>
              <w:ind w:right="436"/>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1300" w:type="dxa"/>
            <w:vAlign w:val="bottom"/>
            <w:tcBorders>
              <w:top w:val="single" w:sz="8" w:color="auto"/>
              <w:bottom w:val="single" w:sz="8" w:color="auto"/>
            </w:tcBorders>
          </w:tcPr>
          <w:p>
            <w:pPr>
              <w:jc w:val="right"/>
              <w:ind w:right="436"/>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217"/>
        </w:trPr>
        <w:tc>
          <w:tcPr>
            <w:tcW w:w="5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 (Note 5)</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(3,692,003)</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(2,382,973)</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(9,282,210)</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(6,151,138)</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(8,037,012)</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(4,568,346)</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(21,778,622)</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(11,330,269)</w:t>
            </w: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Nonclinical expenses</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(862,643)</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(924,636)</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(2,695,561)</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(3,068,349)</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costs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(1,437,370)</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(1,052,191)</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(7,321,038)</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(3,972,363)</w:t>
            </w: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costs</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(59,817)</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(28,028)</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(247,540)</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(66,104)</w:t>
            </w:r>
          </w:p>
        </w:tc>
      </w:tr>
      <w:tr>
        <w:trPr>
          <w:trHeight w:val="217"/>
        </w:trPr>
        <w:tc>
          <w:tcPr>
            <w:tcW w:w="5200" w:type="dxa"/>
            <w:vAlign w:val="bottom"/>
            <w:tcBorders>
              <w:top w:val="single" w:sz="8" w:color="CFF0FC"/>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(14,088,845)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(8,956,174)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(41,324,971)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(25,088,223)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940"/>
        <w:spacing w:after="0" w:line="268" w:lineRule="auto"/>
        <w:rPr>
          <w:sz w:val="20"/>
          <w:szCs w:val="20"/>
          <w:color w:val="auto"/>
        </w:rPr>
      </w:pPr>
      <w:r>
        <w:rPr>
          <w:rFonts w:ascii="Times New Roman" w:cs="Times New Roman" w:eastAsia="Times New Roman" w:hAnsi="Times New Roman"/>
          <w:sz w:val="18"/>
          <w:szCs w:val="18"/>
          <w:color w:val="auto"/>
        </w:rPr>
        <w:t>Development expenses are currently not capitalized but are recorded in the unaudited condensed consolidated statements of profit or loss and other comprehensive income because the recognition criteria for capitalization are not met.</w:t>
      </w:r>
    </w:p>
    <w:p>
      <w:pPr>
        <w:spacing w:after="0" w:line="16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Nonclinical expenses include costs of our outsourced discovery, preclinical and nonclinical development studies.</w:t>
      </w:r>
    </w:p>
    <w:p>
      <w:pPr>
        <w:spacing w:after="0" w:line="214"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Manufacturing expenses include costs related to manufacturing of active pharmaceutical ingredients and manufacturing of the products used in our clinical trials and research and development activities</w:t>
      </w:r>
    </w:p>
    <w:p>
      <w:pPr>
        <w:spacing w:after="0" w:line="16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License costs during the period ended September 30, 2021 consist of a milestone payment of €500,000 which was paid to AnalytiCon upon commencement of Phase 2 development.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General and administrative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26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700" w:type="dxa"/>
            <w:vAlign w:val="bottom"/>
            <w:gridSpan w:val="3"/>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37"/>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54"/>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56"/>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4"/>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right="25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 (Note 5)</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(3,537,264)</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(1,982,190)</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(9,807,298)</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(5,018,977)</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(246,269)</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(207,461)</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(679,080)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(598,337)</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(1,379,416)</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(349,575)</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(3,174,586)</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(1,482,281)</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tax and auditing fees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(444,057)</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(230,113)</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(1,038,714)</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(1,316,869)</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communication &amp; office expenses</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(1,807,806)</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(1,550,713)</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(5,054,636)</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(4,012,860)</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(379,369)</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(6,760)</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(783,569)</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(10,117)</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(503,641)</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(47,269)</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(1,285,077)</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(371,059)</w:t>
            </w: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(8,297,822)</w:t>
            </w: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(4,374,081)</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(21,822,960)</w:t>
            </w:r>
          </w:p>
        </w:tc>
        <w:tc>
          <w:tcPr>
            <w:tcW w:w="2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In 2021 the Group entered into a number of lease arrangements, which were assessed to be short-term leases (with a lease term of 12 months equaling its non-cancellable period).</w:t>
      </w:r>
    </w:p>
    <w:p>
      <w:pPr>
        <w:spacing w:after="0" w:line="16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2022 was €38,572 and €106,767 (2021: €28,955, €44,003), which related to property, plant and equipment and leases and is included in the ‘Other expenses’ line.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5. Personnel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26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700" w:type="dxa"/>
            <w:vAlign w:val="bottom"/>
            <w:gridSpan w:val="3"/>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38"/>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55"/>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57"/>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5"/>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right="2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Wages and salaries</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(3,647,977)</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(1,671,507)</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(9,493,153)</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(4,290,152)</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Pension charges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(205,053)</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(94,587)</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(560,782)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(175,876)</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social security charges</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(332,426)</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(261,109)</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(901,985)</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(496,779)</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(3,043,811)</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(2,337,960)</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(8,133,588)</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(6,207,308)</w:t>
            </w:r>
          </w:p>
        </w:tc>
        <w:tc>
          <w:tcPr>
            <w:tcW w:w="0" w:type="dxa"/>
            <w:vAlign w:val="bottom"/>
          </w:tcPr>
          <w:p>
            <w:pPr>
              <w:spacing w:after="0"/>
              <w:rPr>
                <w:sz w:val="1"/>
                <w:szCs w:val="1"/>
                <w:color w:val="auto"/>
              </w:rPr>
            </w:pPr>
          </w:p>
        </w:tc>
      </w:tr>
      <w:tr>
        <w:trPr>
          <w:trHeight w:val="217"/>
        </w:trPr>
        <w:tc>
          <w:tcPr>
            <w:tcW w:w="586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(7,229,267)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(4,365,163)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(19,089,508)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(11,170,115)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number of staff (in FTEs) employed by the Group in the nine months ended September 30, 2022 was 56 (2021: 21).</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Finance income - net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26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72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39"/>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55"/>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57"/>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5"/>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center"/>
              <w:ind w:right="27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11,520,977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4,333,264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26,492,975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7,837,250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over bank balances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(25,863)</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(69,812)</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(104,380)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(221,576)</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finance expenses</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(8,926)</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(678)</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(16,775)</w:t>
            </w: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11,494,934</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4,254,526</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26,387,917</w:t>
            </w:r>
          </w:p>
        </w:tc>
        <w:tc>
          <w:tcPr>
            <w:tcW w:w="2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7,598,899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The foreign exchange differences mainly relate to unrealized foreign exchange income which is the result of translating the Company’s bank balances held in USD to EUR.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10"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6"/>
          <w:szCs w:val="16"/>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 year basis and subsequently allocated using the expected full year effective tax rate. The discrete items are recognized in full in the interim period in which they emerge. In the total interim tax charge, no distinction is made between current and deferred tax expenses/income.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2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72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1120" w:type="dxa"/>
            <w:vAlign w:val="bottom"/>
            <w:tcBorders>
              <w:top w:val="single" w:sz="8" w:color="auto"/>
              <w:bottom w:val="single" w:sz="8" w:color="auto"/>
            </w:tcBorders>
          </w:tcPr>
          <w:p>
            <w:pPr>
              <w:ind w:left="420"/>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57"/>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59"/>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7"/>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center"/>
              <w:ind w:right="27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1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4"/>
              </w:rPr>
              <w:t>2,403,929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(68,190)</w:t>
            </w:r>
          </w:p>
        </w:tc>
        <w:tc>
          <w:tcPr>
            <w:tcW w:w="13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(375,888)</w:t>
            </w:r>
          </w:p>
        </w:tc>
        <w:tc>
          <w:tcPr>
            <w:tcW w:w="126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(89,744)</w:t>
            </w:r>
          </w:p>
        </w:tc>
        <w:tc>
          <w:tcPr>
            <w:tcW w:w="0" w:type="dxa"/>
            <w:vAlign w:val="bottom"/>
          </w:tcPr>
          <w:p>
            <w:pPr>
              <w:spacing w:after="0"/>
              <w:rPr>
                <w:sz w:val="1"/>
                <w:szCs w:val="1"/>
                <w:color w:val="auto"/>
              </w:rPr>
            </w:pPr>
          </w:p>
        </w:tc>
      </w:tr>
      <w:tr>
        <w:trPr>
          <w:trHeight w:val="221"/>
        </w:trPr>
        <w:tc>
          <w:tcPr>
            <w:tcW w:w="5860" w:type="dxa"/>
            <w:vAlign w:val="bottom"/>
          </w:tcPr>
          <w:p>
            <w:pPr>
              <w:spacing w:after="0"/>
              <w:rPr>
                <w:sz w:val="19"/>
                <w:szCs w:val="19"/>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4"/>
              </w:rPr>
              <w:t>2,403,929</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4"/>
              </w:rPr>
              <w:t>(68,190)</w:t>
            </w:r>
          </w:p>
        </w:tc>
        <w:tc>
          <w:tcPr>
            <w:tcW w:w="240" w:type="dxa"/>
            <w:vAlign w:val="bottom"/>
          </w:tcPr>
          <w:p>
            <w:pPr>
              <w:spacing w:after="0"/>
              <w:rPr>
                <w:sz w:val="19"/>
                <w:szCs w:val="19"/>
                <w:color w:val="auto"/>
              </w:rPr>
            </w:pPr>
          </w:p>
        </w:tc>
        <w:tc>
          <w:tcPr>
            <w:tcW w:w="11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87"/>
              </w:rPr>
              <w:t>(375,888)</w:t>
            </w:r>
          </w:p>
        </w:tc>
        <w:tc>
          <w:tcPr>
            <w:tcW w:w="240" w:type="dxa"/>
            <w:vAlign w:val="bottom"/>
          </w:tcPr>
          <w:p>
            <w:pPr>
              <w:spacing w:after="0"/>
              <w:rPr>
                <w:sz w:val="19"/>
                <w:szCs w:val="19"/>
                <w:color w:val="auto"/>
              </w:rPr>
            </w:pPr>
          </w:p>
        </w:tc>
        <w:tc>
          <w:tcPr>
            <w:tcW w:w="11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7"/>
              </w:rPr>
              <w:t>(89,744)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Following discussions with the Dutch tax authorities in November 2022, the Company concluded that foreign exchange results should be allocated to the principal Company in Switzerland. As a result, the estimated tax expense for the Dutch fiscal unity is lower than estimated in the previous quarter resulting in a tax benefit of €2.6 million for the three months ended September 30, 2022. The Swiss entity has net operating losses and no deferred tax assets are recognized in this respect. The tax expenses over the nine months ended September 30, 2022 relates to the Company's U.S. and Dutch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6" w:name="page37"/>
    <w:bookmarkEnd w:id="36"/>
    <w:p>
      <w:pPr>
        <w:ind w:right="20"/>
        <w:spacing w:after="0" w:line="268" w:lineRule="auto"/>
        <w:rPr>
          <w:sz w:val="20"/>
          <w:szCs w:val="20"/>
          <w:color w:val="auto"/>
        </w:rPr>
      </w:pPr>
      <w:r>
        <w:rPr>
          <w:rFonts w:ascii="Times New Roman" w:cs="Times New Roman" w:eastAsia="Times New Roman" w:hAnsi="Times New Roman"/>
          <w:sz w:val="18"/>
          <w:szCs w:val="18"/>
          <w:color w:val="auto"/>
        </w:rPr>
        <w:t>subsidiaries as the result of a cost-plus agreement between the U.S. and Dutch entities and the Group's principal entity resulting in an estimated taxable profit in the U.S and the Netherlands.</w:t>
      </w:r>
    </w:p>
    <w:p>
      <w:pPr>
        <w:spacing w:after="0" w:line="16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Reconciliation of income tax benefit at statutory tax rate and the income tax benefit (expense) as reported in the unaudited condensed consolidated statement of profit or loss and other comprehensive income or loss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26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700" w:type="dxa"/>
            <w:vAlign w:val="bottom"/>
            <w:gridSpan w:val="3"/>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37"/>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54"/>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56"/>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4"/>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right="25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Income/(loss) before tax</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(10,891,733)</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(9,075,729)</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(36,760,014)</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(30,299,824)</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at statutory income tax rate in The Netherlands (25.8%)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2,810,068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2,268,932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9,484,084</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tax rates in other countries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613,514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(2,084,950)</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(5,403,944)</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(5,256,906)</w:t>
            </w:r>
          </w:p>
        </w:tc>
        <w:tc>
          <w:tcPr>
            <w:tcW w:w="0" w:type="dxa"/>
            <w:vAlign w:val="bottom"/>
          </w:tcPr>
          <w:p>
            <w:pPr>
              <w:spacing w:after="0"/>
              <w:rPr>
                <w:sz w:val="1"/>
                <w:szCs w:val="1"/>
                <w:color w:val="auto"/>
              </w:rPr>
            </w:pPr>
          </w:p>
        </w:tc>
      </w:tr>
      <w:tr>
        <w:trPr>
          <w:trHeight w:val="205"/>
        </w:trPr>
        <w:tc>
          <w:tcPr>
            <w:tcW w:w="5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Temporary differences for which no deferred tax assets/liabilities have been</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recognized</w:t>
            </w:r>
          </w:p>
        </w:tc>
        <w:tc>
          <w:tcPr>
            <w:tcW w:w="17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(106,338)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(268,918)</w:t>
            </w:r>
          </w:p>
        </w:tc>
        <w:tc>
          <w:tcPr>
            <w:tcW w:w="0" w:type="dxa"/>
            <w:vAlign w:val="bottom"/>
          </w:tcPr>
          <w:p>
            <w:pPr>
              <w:spacing w:after="0"/>
              <w:rPr>
                <w:sz w:val="1"/>
                <w:szCs w:val="1"/>
                <w:color w:val="auto"/>
              </w:rPr>
            </w:pPr>
          </w:p>
        </w:tc>
      </w:tr>
      <w:tr>
        <w:trPr>
          <w:trHeight w:val="224"/>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(112,887)</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(302,947)</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losses for which no deferred tax asset has been recognized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(906,766)</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(197,353)</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(4,153,081)</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(2,189,808)</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gridSpan w:val="3"/>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51,813</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2,403,929</w:t>
            </w: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(68,190)</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(375,888)</w:t>
            </w:r>
          </w:p>
        </w:tc>
        <w:tc>
          <w:tcPr>
            <w:tcW w:w="2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Income tax expense is recognized based on management’s estimate of the weighted average effective annual income tax rate expected for the full financial year, bearing in mind the impact of non-discrete and discrete items. Non-discrete items in the income tax expense are recognized based on management’s estimate of the weighted average effective annual income tax rate expected for the full financial year. Discrete items in the income tax expense are recognized for the applicable statutory tax rate.</w:t>
      </w:r>
    </w:p>
    <w:p>
      <w:pPr>
        <w:spacing w:after="0" w:line="7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(estimated) average annual tax rate used for the nine months ended September 30, 2022 is (1.02%) compared to (0.30%) for the nine months ended September 30, 2021. For the nine months ended September 30, 2022 no discrete items are applicable. Hence, tax expense is in line with estimated effective tax rate.</w:t>
      </w:r>
    </w:p>
    <w:p>
      <w:pPr>
        <w:spacing w:after="0" w:line="7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Current period losses for which no deferred tax asset has been recognized mainly consists of the unrecognized tax effect of losses incurred in Switzerland. Following discussions with the Dutch tax authorities in November 2022, the Company concluded that foreign exchange results should be allocated to the principal Company in Switzerland. As a result, the current losses for Switzerland are partly offset by the allocated foreign exchange results and the utilization of the previously unrecognized losses carry forward losses of the Dutch fiscal unity are lower than estimated in the previous quarter. The Company did not recognize the tax benefit of the losses incurred in previous years.</w:t>
      </w:r>
    </w:p>
    <w:p>
      <w:pPr>
        <w:spacing w:after="0" w:line="8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The differences in the overseas tax rates are due to the lower tax rate in Switzerland and the higher tax rate in the USA compared to the statutory income tax rate in the 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Pharvaris N.V. is the head of the fiscal unity including Pharvaris Netherlands B.V. and Pharvaris Holdings B.V.</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w:t>
      </w:r>
    </w:p>
    <w:p>
      <w:pPr>
        <w:spacing w:after="0" w:line="11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6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Deferred tax assets relating to losses carried forward have not been recognized, and deferred tax assets on deductible temporary differences in excess of deferred tax liabilities on taxable temporary differences have neither been recognized in the unaudited condensed consolidated statement of profit or loss and other comprehensive income nor in the unaudited condensed consolidated statement of financial position.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2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rPr>
              <w:t>September 30, 2022</w:t>
            </w:r>
          </w:p>
        </w:tc>
        <w:tc>
          <w:tcPr>
            <w:tcW w:w="168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December 31, 2021</w:t>
            </w:r>
          </w:p>
        </w:tc>
      </w:tr>
      <w:tr>
        <w:trPr>
          <w:trHeight w:val="223"/>
        </w:trPr>
        <w:tc>
          <w:tcPr>
            <w:tcW w:w="5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6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 and 2021</w:t>
            </w:r>
          </w:p>
        </w:tc>
        <w:tc>
          <w:tcPr>
            <w:tcW w:w="25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108,099</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48,503</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100,657</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78,251</w:t>
            </w:r>
          </w:p>
        </w:tc>
        <w:tc>
          <w:tcPr>
            <w:tcW w:w="120" w:type="dxa"/>
            <w:vAlign w:val="bottom"/>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(26,730)</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(18,655)</w:t>
            </w:r>
          </w:p>
        </w:tc>
      </w:tr>
      <w:tr>
        <w:trPr>
          <w:trHeight w:val="257"/>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book amount</w:t>
            </w:r>
          </w:p>
        </w:tc>
        <w:tc>
          <w:tcPr>
            <w:tcW w:w="2580" w:type="dxa"/>
            <w:vAlign w:val="bottom"/>
            <w:tcBorders>
              <w:bottom w:val="single" w:sz="8" w:color="CFF0FC"/>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182,026</w:t>
            </w:r>
          </w:p>
        </w:tc>
        <w:tc>
          <w:tcPr>
            <w:tcW w:w="280" w:type="dxa"/>
            <w:vAlign w:val="bottom"/>
            <w:tcBorders>
              <w:bottom w:val="single" w:sz="8" w:color="CFF0FC"/>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108,099</w:t>
            </w:r>
          </w:p>
        </w:tc>
        <w:tc>
          <w:tcPr>
            <w:tcW w:w="120" w:type="dxa"/>
            <w:vAlign w:val="bottom"/>
            <w:tcBorders>
              <w:bottom w:val="single" w:sz="8" w:color="CFF0FC"/>
            </w:tcBorders>
          </w:tcPr>
          <w:p>
            <w:pPr>
              <w:spacing w:after="0"/>
              <w:rPr>
                <w:sz w:val="22"/>
                <w:szCs w:val="22"/>
                <w:color w:val="auto"/>
              </w:rPr>
            </w:pPr>
          </w:p>
        </w:tc>
      </w:tr>
      <w:tr>
        <w:trPr>
          <w:trHeight w:val="203"/>
        </w:trPr>
        <w:tc>
          <w:tcPr>
            <w:tcW w:w="5160" w:type="dxa"/>
            <w:vAlign w:val="bottom"/>
            <w:shd w:val="clear" w:color="auto" w:fill="CFF0FC"/>
          </w:tcPr>
          <w:p>
            <w:pPr>
              <w:spacing w:after="0"/>
              <w:rPr>
                <w:sz w:val="17"/>
                <w:szCs w:val="17"/>
                <w:color w:val="auto"/>
              </w:rPr>
            </w:pPr>
          </w:p>
        </w:tc>
        <w:tc>
          <w:tcPr>
            <w:tcW w:w="25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2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235,361</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134,704</w:t>
            </w:r>
          </w:p>
        </w:tc>
        <w:tc>
          <w:tcPr>
            <w:tcW w:w="120" w:type="dxa"/>
            <w:vAlign w:val="bottom"/>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5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(53,335)</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(26,605)</w:t>
            </w: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amount</w:t>
            </w:r>
          </w:p>
        </w:tc>
        <w:tc>
          <w:tcPr>
            <w:tcW w:w="25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182,026</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108,099</w:t>
            </w:r>
          </w:p>
        </w:tc>
        <w:tc>
          <w:tcPr>
            <w:tcW w:w="12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2022, the Group acquired assets with a cost of €100,657 (December 31, 2021: €78,251). The acquisitions during the nine months ended September 30, 2022 and the year ended December 31, 2021 were related to equipment, tools and installations.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right-of-use assets: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18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0" w:type="dxa"/>
            <w:vAlign w:val="bottom"/>
          </w:tcPr>
          <w:p>
            <w:pPr>
              <w:spacing w:after="0"/>
              <w:rPr>
                <w:sz w:val="1"/>
                <w:szCs w:val="1"/>
                <w:color w:val="auto"/>
              </w:rPr>
            </w:pPr>
          </w:p>
        </w:tc>
      </w:tr>
      <w:tr>
        <w:trPr>
          <w:trHeight w:val="217"/>
        </w:trPr>
        <w:tc>
          <w:tcPr>
            <w:tcW w:w="774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243,250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charges</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(80,037)</w:t>
            </w: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(58,715)</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Impact of transaction of foreign currency</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32,709</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195,922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243,250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lease liabilities:</w:t>
            </w: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740" w:type="dxa"/>
            <w:vAlign w:val="bottom"/>
          </w:tcPr>
          <w:p>
            <w:pPr>
              <w:spacing w:after="0"/>
              <w:rPr>
                <w:sz w:val="24"/>
                <w:szCs w:val="24"/>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280" w:type="dxa"/>
            <w:vAlign w:val="bottom"/>
            <w:gridSpan w:val="2"/>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1"/>
                <w:szCs w:val="21"/>
                <w:color w:val="auto"/>
              </w:rPr>
            </w:pPr>
          </w:p>
        </w:tc>
        <w:tc>
          <w:tcPr>
            <w:tcW w:w="18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lease</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(198,821)</w:t>
            </w:r>
          </w:p>
        </w:tc>
        <w:tc>
          <w:tcPr>
            <w:tcW w:w="1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(250,184)</w:t>
            </w:r>
          </w:p>
        </w:tc>
        <w:tc>
          <w:tcPr>
            <w:tcW w:w="0" w:type="dxa"/>
            <w:vAlign w:val="bottom"/>
          </w:tcPr>
          <w:p>
            <w:pPr>
              <w:spacing w:after="0"/>
              <w:rPr>
                <w:sz w:val="1"/>
                <w:szCs w:val="1"/>
                <w:color w:val="auto"/>
              </w:rPr>
            </w:pPr>
          </w:p>
        </w:tc>
      </w:tr>
      <w:tr>
        <w:trPr>
          <w:trHeight w:val="24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(198,821)</w:t>
            </w:r>
          </w:p>
        </w:tc>
        <w:tc>
          <w:tcPr>
            <w:tcW w:w="180" w:type="dxa"/>
            <w:vAlign w:val="bottom"/>
          </w:tcPr>
          <w:p>
            <w:pPr>
              <w:spacing w:after="0"/>
              <w:rPr>
                <w:sz w:val="21"/>
                <w:szCs w:val="21"/>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(250,184)</w:t>
            </w:r>
          </w:p>
        </w:tc>
        <w:tc>
          <w:tcPr>
            <w:tcW w:w="0" w:type="dxa"/>
            <w:vAlign w:val="bottom"/>
          </w:tcPr>
          <w:p>
            <w:pPr>
              <w:spacing w:after="0"/>
              <w:rPr>
                <w:sz w:val="1"/>
                <w:szCs w:val="1"/>
                <w:color w:val="auto"/>
              </w:rPr>
            </w:pPr>
          </w:p>
        </w:tc>
      </w:tr>
      <w:tr>
        <w:trPr>
          <w:trHeight w:val="22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112,287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portion</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86,534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340"/>
        <w:spacing w:after="0" w:line="285" w:lineRule="auto"/>
        <w:rPr>
          <w:sz w:val="20"/>
          <w:szCs w:val="20"/>
          <w:color w:val="auto"/>
        </w:rPr>
      </w:pPr>
      <w:r>
        <w:rPr>
          <w:rFonts w:ascii="Times New Roman" w:cs="Times New Roman" w:eastAsia="Times New Roman" w:hAnsi="Times New Roman"/>
          <w:sz w:val="16"/>
          <w:szCs w:val="16"/>
          <w:color w:val="auto"/>
        </w:rPr>
        <w:t>The lease agreement started on June 1, 2021 and has a lease term of three years. The average incremental borrowing rate applied to the lease liabilities was 3.12% during the nine months ended September 30, 2022 (2021: 2.91%). The incremental borrowing rate was reassessed during the period and increased to</w:t>
      </w:r>
    </w:p>
    <w:p>
      <w:pPr>
        <w:spacing w:after="0" w:line="1" w:lineRule="exact"/>
        <w:rPr>
          <w:sz w:val="20"/>
          <w:szCs w:val="20"/>
          <w:color w:val="auto"/>
        </w:rPr>
      </w:pPr>
    </w:p>
    <w:p>
      <w:pPr>
        <w:ind w:right="740"/>
        <w:spacing w:after="0" w:line="247" w:lineRule="auto"/>
        <w:rPr>
          <w:sz w:val="20"/>
          <w:szCs w:val="20"/>
          <w:color w:val="auto"/>
        </w:rPr>
      </w:pPr>
      <w:r>
        <w:rPr>
          <w:rFonts w:ascii="Times New Roman" w:cs="Times New Roman" w:eastAsia="Times New Roman" w:hAnsi="Times New Roman"/>
          <w:sz w:val="18"/>
          <w:szCs w:val="18"/>
          <w:color w:val="auto"/>
        </w:rPr>
        <w:t>8.47% on September 1, 2022. Cash outflows related to leases during the nine months ended September 30, 2022 and 2021 were €73,320 and €20,575,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Receivables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4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540" w:type="dxa"/>
            <w:vAlign w:val="bottom"/>
            <w:tcBorders>
              <w:top w:val="single" w:sz="8" w:color="auto"/>
            </w:tcBorders>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6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5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VAT receivables</w:t>
            </w:r>
          </w:p>
        </w:tc>
        <w:tc>
          <w:tcPr>
            <w:tcW w:w="5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403,637</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20" w:type="dxa"/>
            <w:vAlign w:val="bottom"/>
            <w:tcBorders>
              <w:top w:val="single" w:sz="8" w:color="CFF0FC"/>
              <w:bottom w:val="single" w:sz="8" w:color="CFF0FC"/>
            </w:tcBorders>
            <w:shd w:val="clear" w:color="auto" w:fill="CFF0FC"/>
          </w:tcPr>
          <w:p>
            <w:pPr>
              <w:spacing w:after="0"/>
              <w:rPr>
                <w:sz w:val="18"/>
                <w:szCs w:val="18"/>
                <w:color w:val="auto"/>
              </w:rPr>
            </w:pPr>
          </w:p>
        </w:tc>
        <w:tc>
          <w:tcPr>
            <w:tcW w:w="4320" w:type="dxa"/>
            <w:vAlign w:val="bottom"/>
            <w:tcBorders>
              <w:top w:val="single" w:sz="8" w:color="CFF0FC"/>
              <w:bottom w:val="single" w:sz="8" w:color="CFF0FC"/>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404,155</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700,079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320" w:type="dxa"/>
            <w:vAlign w:val="bottom"/>
            <w:vMerge w:val="restart"/>
          </w:tcPr>
          <w:p>
            <w:pPr>
              <w:jc w:val="right"/>
              <w:ind w:right="1932"/>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34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42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43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7"/>
        </w:trPr>
        <w:tc>
          <w:tcPr>
            <w:tcW w:w="7740" w:type="dxa"/>
            <w:vAlign w:val="bottom"/>
          </w:tcPr>
          <w:p>
            <w:pPr>
              <w:spacing w:after="0"/>
              <w:rPr>
                <w:sz w:val="18"/>
                <w:szCs w:val="18"/>
                <w:color w:val="auto"/>
              </w:rPr>
            </w:pPr>
          </w:p>
        </w:tc>
        <w:tc>
          <w:tcPr>
            <w:tcW w:w="154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6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3,597,987</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1,507,753</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633,296</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20" w:type="dxa"/>
            <w:vAlign w:val="bottom"/>
            <w:tcBorders>
              <w:bottom w:val="single" w:sz="8" w:color="CFF0FC"/>
            </w:tcBorders>
          </w:tcPr>
          <w:p>
            <w:pPr>
              <w:spacing w:after="0"/>
              <w:rPr>
                <w:sz w:val="19"/>
                <w:szCs w:val="19"/>
                <w:color w:val="auto"/>
              </w:rPr>
            </w:pPr>
          </w:p>
        </w:tc>
      </w:tr>
      <w:tr>
        <w:trPr>
          <w:trHeight w:val="217"/>
        </w:trPr>
        <w:tc>
          <w:tcPr>
            <w:tcW w:w="77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4,231,283</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1,513,452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Prepayments mainly relate to prepaid insurance, sign-on bonus to personnel, prepaid R&amp;D expenses and rent.</w:t>
      </w:r>
    </w:p>
    <w:p>
      <w:pPr>
        <w:spacing w:after="0" w:line="214" w:lineRule="exact"/>
        <w:rPr>
          <w:sz w:val="20"/>
          <w:szCs w:val="20"/>
          <w:color w:val="auto"/>
        </w:rPr>
      </w:pPr>
    </w:p>
    <w:p>
      <w:pPr>
        <w:ind w:right="240"/>
        <w:spacing w:after="0" w:line="331" w:lineRule="auto"/>
        <w:rPr>
          <w:sz w:val="20"/>
          <w:szCs w:val="20"/>
          <w:color w:val="auto"/>
        </w:rPr>
      </w:pPr>
      <w:r>
        <w:rPr>
          <w:rFonts w:ascii="Times New Roman" w:cs="Times New Roman" w:eastAsia="Times New Roman" w:hAnsi="Times New Roman"/>
          <w:sz w:val="16"/>
          <w:szCs w:val="16"/>
          <w:color w:val="auto"/>
        </w:rPr>
        <w:t>Other assets mainly consist of deferred transaction costs related to Group’s in-process equity financing (refer to note 13). The company defers the transaction costs related to any in-process financing. Upon recognition of the equity instruments, the related transaction costs are deducted from share premium.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Cash and cash equivalents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comprise of cash in bank and are not subject to any restriction.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1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September 30, 2022, the Company’s authorized share capital amounted to €14,100,000 divided into 58,750,000 ordinary shares and 58,750,000 preferred shares, each with a nominal value of €0.12. As at September 30, 2022, a total number of ordinary shares issued was 33,787,740 (2021: 33,128,593). On September 30, 2022, the issued share capital totaled to €4,054,529 (2021: €3,975,432).</w:t>
      </w:r>
    </w:p>
    <w:p>
      <w:pPr>
        <w:spacing w:after="0" w:line="17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In March 2022, the Company filed a Form F-3 Registration Statement and prospectus with the Securities and Exchange Commission relating to an at-the-market program providing for the sales from time to time of up to $75,000,000 of its ordinary shares pursuant to a Sales Agreement with SVB Securities LLC. During the nine months ended September 30, 2022, the Company sold a total of 588,100 ordinary shares in two different transactions under the sales agreement generating total net proceeds of $9,698,504 (€9.2 million), after deducting $299,954 (€308,000), which was payable to SVB Securities as commission in respect of such sales.</w:t>
      </w:r>
    </w:p>
    <w:p>
      <w:pPr>
        <w:spacing w:after="0" w:line="188" w:lineRule="exact"/>
        <w:rPr>
          <w:sz w:val="20"/>
          <w:szCs w:val="20"/>
          <w:color w:val="auto"/>
        </w:rPr>
      </w:pPr>
    </w:p>
    <w:p>
      <w:pPr>
        <w:jc w:val="both"/>
        <w:ind w:right="540"/>
        <w:spacing w:after="0" w:line="256" w:lineRule="auto"/>
        <w:rPr>
          <w:sz w:val="20"/>
          <w:szCs w:val="20"/>
          <w:color w:val="auto"/>
        </w:rPr>
      </w:pPr>
      <w:r>
        <w:rPr>
          <w:rFonts w:ascii="Times New Roman" w:cs="Times New Roman" w:eastAsia="Times New Roman" w:hAnsi="Times New Roman"/>
          <w:sz w:val="18"/>
          <w:szCs w:val="18"/>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hold the right to one vote per share.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shares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54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80" w:type="dxa"/>
            <w:vAlign w:val="bottom"/>
          </w:tcPr>
          <w:p>
            <w:pPr>
              <w:spacing w:after="0"/>
              <w:rPr>
                <w:sz w:val="10"/>
                <w:szCs w:val="10"/>
                <w:color w:val="auto"/>
              </w:rPr>
            </w:pPr>
          </w:p>
        </w:tc>
        <w:tc>
          <w:tcPr>
            <w:tcW w:w="156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5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33,787,740</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33,151,881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33,787,740</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33,151,881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Trade and other payables</w:t>
            </w:r>
          </w:p>
        </w:tc>
        <w:tc>
          <w:tcPr>
            <w:tcW w:w="3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3920" w:type="dxa"/>
            <w:vAlign w:val="bottom"/>
            <w:vMerge w:val="continue"/>
          </w:tcPr>
          <w:p>
            <w:pPr>
              <w:spacing w:after="0"/>
              <w:rPr>
                <w:sz w:val="24"/>
                <w:szCs w:val="24"/>
                <w:color w:val="auto"/>
              </w:rPr>
            </w:pPr>
          </w:p>
        </w:tc>
        <w:tc>
          <w:tcPr>
            <w:tcW w:w="3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39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5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6,366,190</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2,125,511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Tax and social security liabilities</w:t>
            </w:r>
          </w:p>
        </w:tc>
        <w:tc>
          <w:tcPr>
            <w:tcW w:w="5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729,668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20" w:type="dxa"/>
            <w:vAlign w:val="bottom"/>
            <w:tcBorders>
              <w:top w:val="single" w:sz="8" w:color="CFF0FC"/>
              <w:bottom w:val="single" w:sz="8" w:color="CFF0FC"/>
            </w:tcBorders>
            <w:shd w:val="clear" w:color="auto" w:fill="CFF0FC"/>
          </w:tcPr>
          <w:p>
            <w:pPr>
              <w:spacing w:after="0"/>
              <w:rPr>
                <w:sz w:val="18"/>
                <w:szCs w:val="18"/>
                <w:color w:val="auto"/>
              </w:rPr>
            </w:pPr>
          </w:p>
        </w:tc>
        <w:tc>
          <w:tcPr>
            <w:tcW w:w="3820" w:type="dxa"/>
            <w:vAlign w:val="bottom"/>
            <w:tcBorders>
              <w:top w:val="single" w:sz="8" w:color="CFF0FC"/>
              <w:bottom w:val="single" w:sz="8" w:color="CFF0FC"/>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7,095,858</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2,490,572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20" w:type="dxa"/>
            <w:vAlign w:val="bottom"/>
            <w:vMerge w:val="restart"/>
          </w:tcPr>
          <w:p>
            <w:pPr>
              <w:jc w:val="right"/>
              <w:ind w:right="1932"/>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39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9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44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15. Accrued liabilities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7"/>
        </w:trPr>
        <w:tc>
          <w:tcPr>
            <w:tcW w:w="7740" w:type="dxa"/>
            <w:vAlign w:val="bottom"/>
          </w:tcPr>
          <w:p>
            <w:pPr>
              <w:spacing w:after="0"/>
              <w:rPr>
                <w:sz w:val="18"/>
                <w:szCs w:val="18"/>
                <w:color w:val="auto"/>
              </w:rPr>
            </w:pPr>
          </w:p>
        </w:tc>
        <w:tc>
          <w:tcPr>
            <w:tcW w:w="15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6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professional and audit liability</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1,150,860</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786,116</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Clinical accrued liabilities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2,808,000</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386,328</w:t>
            </w:r>
          </w:p>
        </w:tc>
        <w:tc>
          <w:tcPr>
            <w:tcW w:w="120" w:type="dxa"/>
            <w:vAlign w:val="bottom"/>
          </w:tcPr>
          <w:p>
            <w:pPr>
              <w:spacing w:after="0"/>
              <w:rPr>
                <w:sz w:val="19"/>
                <w:szCs w:val="19"/>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accrued liabilities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2,398,171</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1,231,514</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Pre-clinical accrued liabilities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2,771,109</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398,468</w:t>
            </w:r>
          </w:p>
        </w:tc>
        <w:tc>
          <w:tcPr>
            <w:tcW w:w="120" w:type="dxa"/>
            <w:vAlign w:val="bottom"/>
          </w:tcPr>
          <w:p>
            <w:pPr>
              <w:spacing w:after="0"/>
              <w:rPr>
                <w:sz w:val="19"/>
                <w:szCs w:val="19"/>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 accruals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934,000</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1,459,162</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68,920</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20" w:type="dxa"/>
            <w:vAlign w:val="bottom"/>
            <w:tcBorders>
              <w:bottom w:val="single" w:sz="8" w:color="CFF0FC"/>
            </w:tcBorders>
          </w:tcPr>
          <w:p>
            <w:pPr>
              <w:spacing w:after="0"/>
              <w:rPr>
                <w:sz w:val="19"/>
                <w:szCs w:val="19"/>
                <w:color w:val="auto"/>
              </w:rPr>
            </w:pPr>
          </w:p>
        </w:tc>
      </w:tr>
      <w:tr>
        <w:trPr>
          <w:trHeight w:val="217"/>
        </w:trPr>
        <w:tc>
          <w:tcPr>
            <w:tcW w:w="77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10,131,060</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4,270,082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Risk management activities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Group’s risk management activities are the same as disclosed in note 17 of the consolidated financial statements for the year ended December 31, 2021.</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values</w:t>
      </w:r>
    </w:p>
    <w:p>
      <w:pPr>
        <w:spacing w:after="0" w:line="11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Fair values of cash and cash equivalents, trade receivables, trade payables, and other current liabilities approximate their carrying amounts largely due to the short-term maturities of these instruments.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Share-based payments</w:t>
      </w:r>
    </w:p>
    <w:p>
      <w:pPr>
        <w:spacing w:after="0" w:line="11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out below is an overview of changes in the Stock Options and Restricted Stock Units (“RSUs”) during the nine months ended September 30, 2022</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80" w:type="dxa"/>
            <w:vAlign w:val="bottom"/>
          </w:tcPr>
          <w:p>
            <w:pPr>
              <w:spacing w:after="0"/>
              <w:rPr>
                <w:sz w:val="14"/>
                <w:szCs w:val="14"/>
                <w:color w:val="auto"/>
              </w:rPr>
            </w:pPr>
          </w:p>
        </w:tc>
        <w:tc>
          <w:tcPr>
            <w:tcW w:w="314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126"/>
        </w:trPr>
        <w:tc>
          <w:tcPr>
            <w:tcW w:w="6680" w:type="dxa"/>
            <w:vAlign w:val="bottom"/>
          </w:tcPr>
          <w:p>
            <w:pPr>
              <w:spacing w:after="0"/>
              <w:rPr>
                <w:sz w:val="10"/>
                <w:szCs w:val="10"/>
                <w:color w:val="auto"/>
              </w:rPr>
            </w:pPr>
          </w:p>
        </w:tc>
        <w:tc>
          <w:tcPr>
            <w:tcW w:w="1560" w:type="dxa"/>
            <w:vAlign w:val="bottom"/>
            <w:tcBorders>
              <w:top w:val="single" w:sz="8" w:color="auto"/>
            </w:tcBorders>
            <w:gridSpan w:val="2"/>
          </w:tcPr>
          <w:p>
            <w:pPr>
              <w:jc w:val="right"/>
              <w:ind w:right="540"/>
              <w:spacing w:after="0" w:line="12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17"/>
              <w:spacing w:after="0" w:line="12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0"/>
                <w:szCs w:val="10"/>
                <w:color w:val="auto"/>
              </w:rPr>
            </w:pPr>
          </w:p>
        </w:tc>
        <w:tc>
          <w:tcPr>
            <w:tcW w:w="13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0" w:type="dxa"/>
            <w:vAlign w:val="bottom"/>
          </w:tcPr>
          <w:p>
            <w:pPr>
              <w:spacing w:after="0"/>
              <w:rPr>
                <w:sz w:val="10"/>
                <w:szCs w:val="10"/>
                <w:color w:val="auto"/>
              </w:rPr>
            </w:pPr>
          </w:p>
        </w:tc>
      </w:tr>
      <w:tr>
        <w:trPr>
          <w:trHeight w:val="169"/>
        </w:trPr>
        <w:tc>
          <w:tcPr>
            <w:tcW w:w="668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217"/>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2,470,295</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259,714</w:t>
            </w: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742,500</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430,596</w:t>
            </w:r>
          </w:p>
        </w:tc>
        <w:tc>
          <w:tcPr>
            <w:tcW w:w="100" w:type="dxa"/>
            <w:vAlign w:val="bottom"/>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(31,257)</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(26,061)</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(58,533)</w:t>
            </w:r>
          </w:p>
        </w:tc>
      </w:tr>
      <w:tr>
        <w:trPr>
          <w:trHeight w:val="217"/>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3,181,538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605,716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January 1, 2022, a total of 70,000 stock options were granted to members of the Board of Directors with an exercise price of $14.39 per share with a final exercise date of December 31, 2031 unless forfeited or exercised on an earlier date. 25% of the aggregate number of share options shall vest on December 31,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8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April 1, 2022, a total of 552,500 stock options were granted to members of the Board of Directors and key management with an exercise price of $18.14 per share with a final exercise date of March 31, 2032 unless forfeited or exercised on an earlier date. 25% of the aggregate number of share options shall vest on March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8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On June 1, 2022, a total of 120,000 stock options were granted to members of key management with an exercise price of $17.98 per share with a final exercise date of May 31, 2032 unless forfeited or exercised on an earlier date. 25% of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40" w:name="page41"/>
    <w:bookmarkEnd w:id="40"/>
    <w:p>
      <w:pPr>
        <w:ind w:right="340"/>
        <w:spacing w:after="0" w:line="331" w:lineRule="auto"/>
        <w:rPr>
          <w:sz w:val="20"/>
          <w:szCs w:val="20"/>
          <w:color w:val="auto"/>
        </w:rPr>
      </w:pPr>
      <w:r>
        <w:rPr>
          <w:rFonts w:ascii="Times New Roman" w:cs="Times New Roman" w:eastAsia="Times New Roman" w:hAnsi="Times New Roman"/>
          <w:sz w:val="16"/>
          <w:szCs w:val="16"/>
          <w:color w:val="auto"/>
        </w:rPr>
        <w:t>aggregate number of share options shall vest on May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2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2022 a total of 430,596 RSUs were granted to employees that joined the Group in the same period and existing employees. The RSUs shall vest equally over a four-year period on each of the four anniversaries of the vesting start date until either the RSUs are fully vested or the RSUs holders’ continuous service terminates.</w:t>
      </w:r>
    </w:p>
    <w:p>
      <w:pPr>
        <w:spacing w:after="0" w:line="17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The fair value of the RSUs is determined based on the share value per ordinary share at the grant date (or at the first trading day after the grant date if the Nasdaq Stock Exchange is not open on this date). The grant dates were January 1, 2022, February 1, 2022, March 1, 2022, April 1, 2022, May 1, 2022, June 1, 2022, July 1, 2022, August 1, 2022 and September 1, 2022. The share closing price was $16.41, $17.00, $18.47, $18.14, $17.10, $17.98, $23.65, $20.00 and $8.99 at January 3, 2022, February 1, 2022, March 1, 2022, April 1, 2022, May 2, 2022, June 1, 2022, July 1, 2022, August 1, 2022 and September 1, 2022 respectively.</w:t>
      </w:r>
    </w:p>
    <w:p>
      <w:pPr>
        <w:spacing w:after="0" w:line="18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2022, the Group recognized €8,133,588 of share-based payment expense in the unaudited condensed consolidated statement of income or loss and other comprehensive income (nine months ended September 30, 2021: €6,207,308). For the three months ended September 30, 2022, the Group recognized €3,043,811 of share-based payment expense in the unaudited condensed consolidated statement of income or loss and other comprehensive income (three months ended September 30, 2021: €2,337,961).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 total number of 1,453,439 stock options are exercisable (September 30, 2021: 384,417).</w:t>
      </w:r>
    </w:p>
    <w:p>
      <w:pPr>
        <w:spacing w:after="0" w:line="21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The inputs and outputs used in the measurement of the fair value per option at each grant/ measurement date using the Black-Scholes formula (including the related number of options and the fair value of the options)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1, 2022</w:t>
            </w:r>
          </w:p>
        </w:tc>
        <w:tc>
          <w:tcPr>
            <w:tcW w:w="16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2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January 1, 2022</w:t>
            </w:r>
          </w:p>
        </w:tc>
      </w:tr>
      <w:tr>
        <w:trPr>
          <w:trHeight w:val="217"/>
        </w:trPr>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options</w:t>
            </w:r>
          </w:p>
        </w:tc>
        <w:tc>
          <w:tcPr>
            <w:tcW w:w="2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552,500</w:t>
            </w: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Borders>
              <w:top w:val="single" w:sz="8" w:color="CFF0FC"/>
            </w:tcBorders>
            <w:shd w:val="clear" w:color="auto" w:fill="CFF0FC"/>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the options</w:t>
            </w:r>
          </w:p>
        </w:tc>
        <w:tc>
          <w:tcPr>
            <w:tcW w:w="23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tcPr>
          <w:p>
            <w:pPr>
              <w:spacing w:after="0"/>
              <w:rPr>
                <w:sz w:val="19"/>
                <w:szCs w:val="19"/>
                <w:color w:val="auto"/>
              </w:rPr>
            </w:pP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the ordinary shares</w:t>
            </w:r>
          </w:p>
        </w:tc>
        <w:tc>
          <w:tcPr>
            <w:tcW w:w="2320" w:type="dxa"/>
            <w:vAlign w:val="bottom"/>
            <w:gridSpan w:val="2"/>
            <w:shd w:val="clear" w:color="auto" w:fill="CFF0FC"/>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60" w:type="dxa"/>
            <w:vAlign w:val="bottom"/>
            <w:shd w:val="clear" w:color="auto" w:fill="CFF0FC"/>
          </w:tcPr>
          <w:p>
            <w:pPr>
              <w:spacing w:after="0"/>
              <w:rPr>
                <w:sz w:val="19"/>
                <w:szCs w:val="19"/>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3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60" w:type="dxa"/>
            <w:vAlign w:val="bottom"/>
          </w:tcPr>
          <w:p>
            <w:pPr>
              <w:spacing w:after="0"/>
              <w:rPr>
                <w:sz w:val="19"/>
                <w:szCs w:val="19"/>
                <w:color w:val="auto"/>
              </w:rPr>
            </w:pP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2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9"/>
                <w:szCs w:val="19"/>
                <w:color w:val="auto"/>
              </w:rPr>
            </w:pP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Expected volatility is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U.S. Government bonds, with tenure equal to the expected life. The expected dividend yield is zero considering the stage of the Group.</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Basic and diluted loss per share</w:t>
      </w:r>
    </w:p>
    <w:p>
      <w:pPr>
        <w:spacing w:after="0" w:line="11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color w:val="auto"/>
        </w:rPr>
        <w:t>Basic and diluted loss per share is calculated by dividing the loss for the period of the Company by the weighted average number of issued and outstanding ordinary shares during the three and nine months ended September 30, 2022 and 2021.</w:t>
      </w:r>
    </w:p>
    <w:p>
      <w:pPr>
        <w:spacing w:after="0" w:line="16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All of the Company’s potential dilutive securities have been excluded from the computation of diluted loss per share, as the effect of including them would be antidilutive.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26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680" w:type="dxa"/>
            <w:vAlign w:val="bottom"/>
            <w:gridSpan w:val="3"/>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6"/>
              <w:spacing w:after="0" w:line="151" w:lineRule="exact"/>
              <w:rPr>
                <w:sz w:val="20"/>
                <w:szCs w:val="20"/>
                <w:color w:val="auto"/>
              </w:rPr>
            </w:pPr>
            <w:r>
              <w:rPr>
                <w:rFonts w:ascii="Times New Roman" w:cs="Times New Roman" w:eastAsia="Times New Roman" w:hAnsi="Times New Roman"/>
                <w:sz w:val="14"/>
                <w:szCs w:val="14"/>
                <w:b w:val="1"/>
                <w:bCs w:val="1"/>
                <w:color w:val="auto"/>
                <w:w w:val="96"/>
              </w:rPr>
              <w:t>2021 (*)</w:t>
            </w:r>
          </w:p>
        </w:tc>
        <w:tc>
          <w:tcPr>
            <w:tcW w:w="2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58"/>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256"/>
              <w:spacing w:after="0" w:line="151" w:lineRule="exact"/>
              <w:rPr>
                <w:sz w:val="20"/>
                <w:szCs w:val="20"/>
                <w:color w:val="auto"/>
              </w:rPr>
            </w:pPr>
            <w:r>
              <w:rPr>
                <w:rFonts w:ascii="Times New Roman" w:cs="Times New Roman" w:eastAsia="Times New Roman" w:hAnsi="Times New Roman"/>
                <w:sz w:val="14"/>
                <w:szCs w:val="14"/>
                <w:b w:val="1"/>
                <w:bCs w:val="1"/>
                <w:color w:val="auto"/>
              </w:rPr>
              <w:t>2021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(8,487,804)</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(9,143,919)</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(37,135,902)</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(30,389,568)</w:t>
            </w:r>
          </w:p>
        </w:tc>
        <w:tc>
          <w:tcPr>
            <w:tcW w:w="0" w:type="dxa"/>
            <w:vAlign w:val="bottom"/>
          </w:tcPr>
          <w:p>
            <w:pPr>
              <w:spacing w:after="0"/>
              <w:rPr>
                <w:sz w:val="1"/>
                <w:szCs w:val="1"/>
                <w:color w:val="auto"/>
              </w:rPr>
            </w:pPr>
          </w:p>
        </w:tc>
      </w:tr>
      <w:tr>
        <w:trPr>
          <w:trHeight w:val="205"/>
        </w:trPr>
        <w:tc>
          <w:tcPr>
            <w:tcW w:w="5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 average number of ordinary</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outstanding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33,785,026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33,128,593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33,508,682</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29,493,657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(0.25)</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(0.28)</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This has been revised. Refer to Note 2.1.</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claims known to management related to the activities of the Group.</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2"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color w:val="auto"/>
        </w:rPr>
        <w:t>The Group’s contractual obligations and commitments as of September 30, 2022 amounted to €27 million, (December 31, 2021: €19.5 million) primarily related to research and development commitments.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had no contingent liabilities and no contingent assets as at September 30, 2022 and at September 30, 2021, respectively.</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Related parties</w:t>
      </w:r>
    </w:p>
    <w:p>
      <w:pPr>
        <w:spacing w:after="0" w:line="110"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management personnel compensation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2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72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39"/>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55"/>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57"/>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5"/>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center"/>
              <w:ind w:right="27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employee benefits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829,616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838,302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2,350,022</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2,274,408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Post employee benefits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1,780,394</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3,342,072</w:t>
            </w:r>
          </w:p>
        </w:tc>
        <w:tc>
          <w:tcPr>
            <w:tcW w:w="2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3,955,492</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5,464,808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2,640,238</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4,214,453</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6,414,301</w:t>
            </w: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A total number of 585,000 stock options and 14,216 RSUs were granted to key management during the nine months ended September 30, 2022. Refer to note 18 for disclosures on the share-based payments.</w:t>
      </w:r>
    </w:p>
    <w:p>
      <w:pPr>
        <w:spacing w:after="0" w:line="16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Group engages several management entities for the purpose of providing key management services to the Group. The aggregate value of transactions related to key management personnel, or entities which they control were €834,685 and €1,896,264 in the nine months ended September 30, 2022 and 2021, respectively.</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estimated liabilities related to key management personnel, or entities which they control, as per September 30, 2022 and December 31, 2021 were €529,440 and €1,157,029, respectively.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Events after the reporting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2022, the Company announced that the FDA had placed a clinical hold on the clinical trials of PHA121 in the United States.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2" w:name="page43"/>
    <w:bookmarkEnd w:id="42"/>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notified country-specific regulatory authorities in Canada, Europe, Israel, and the UK of the U.S. clinical hold. The regulatory status of the CHAPTER-1 study outside the U.S. remains unchanged. All active sites outside of the U.S. continue to enroll participants in the CHAPTER-1 clinical study. Pharvaris anticipates announcing top-line data from the CHAPTER-1 trial in the second half of 2023.</w:t>
      </w:r>
    </w:p>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Subsequent to the period, the Company conducted a Type A meeting with the FDA. During the meeting, the Company proposed potential paths to resolve the clinical holds for each of the on-demand and prophylactic programs. The Company will provide additional information following receipt of the formal meeting minutes.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RAPIDe-1 study, the Company announced top-line Phase 2 data on December 8, 2022.</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Signatories to the unaudited condensed consolidated interim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Leiden, December 8,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Pharvaris N.V.</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B.A.E. Modig</w:t>
      </w:r>
      <w:r>
        <w:rPr>
          <w:sz w:val="20"/>
          <w:szCs w:val="20"/>
          <w:color w:val="auto"/>
        </w:rPr>
        <w:tab/>
      </w:r>
      <w:r>
        <w:rPr>
          <w:rFonts w:ascii="Times New Roman" w:cs="Times New Roman" w:eastAsia="Times New Roman" w:hAnsi="Times New Roman"/>
          <w:sz w:val="16"/>
          <w:szCs w:val="16"/>
          <w:color w:val="auto"/>
        </w:rPr>
        <w:t>A.M. de Jonge Schuermans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E. Björk</w:t>
      </w:r>
      <w:r>
        <w:rPr>
          <w:sz w:val="20"/>
          <w:szCs w:val="20"/>
          <w:color w:val="auto"/>
        </w:rPr>
        <w:tab/>
      </w:r>
      <w:r>
        <w:rPr>
          <w:rFonts w:ascii="Times New Roman" w:cs="Times New Roman" w:eastAsia="Times New Roman" w:hAnsi="Times New Roman"/>
          <w:sz w:val="16"/>
          <w:szCs w:val="16"/>
          <w:color w:val="auto"/>
        </w:rPr>
        <w:t>R.H. Glassman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D.P. Meeker</w:t>
      </w:r>
      <w:r>
        <w:rPr>
          <w:sz w:val="20"/>
          <w:szCs w:val="20"/>
          <w:color w:val="auto"/>
        </w:rPr>
        <w:tab/>
      </w:r>
      <w:r>
        <w:rPr>
          <w:rFonts w:ascii="Times New Roman" w:cs="Times New Roman" w:eastAsia="Times New Roman" w:hAnsi="Times New Roman"/>
          <w:sz w:val="16"/>
          <w:szCs w:val="16"/>
          <w:color w:val="auto"/>
        </w:rPr>
        <w:t>J.G.C.P. Schikan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Monges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160"/>
      </w:cols>
      <w:pgMar w:left="320" w:top="33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2022-12-08T05:54:52Z</dcterms:created>
  <dcterms:modified xsi:type="dcterms:W3CDTF">2022-12-08T05:54:52Z</dcterms:modified>
</cp:coreProperties>
</file>