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Registration Statement No. 333-263198</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142875</wp:posOffset>
            </wp:positionV>
            <wp:extent cx="19888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11,125,000 ordinary shares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pre-funded warrants to purchase up to 1,375,000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offering 11,125,000 of our ordinary shares, par value €0.12 per share (“ordinary shares”) and, to one investor, pre-funded warrants to purchase up to 1,375,000 ordinary shares. The purchase price of each pre-funded warrant will equal the price per share at which ordinary shares are being sold to the public in this offering, minus $0.01, which is the exercise price of each pre-funded warrant. This prospectus supplement also relates to the offering of the ordinary shares issuable upon exercise of such pre-funded warrants.</w:t>
      </w:r>
    </w:p>
    <w:p>
      <w:pPr>
        <w:spacing w:after="0" w:line="139" w:lineRule="exact"/>
        <w:rPr>
          <w:sz w:val="24"/>
          <w:szCs w:val="24"/>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“PHVS.” On December 5, 2023, the last sale price of our ordinary shares as reported on Nasdaq was $20.95 per share. We do not intend to list the pre-funded warrants on Nasdaq, any other national securities exchange or any other nationally recognized trading system.</w:t>
      </w:r>
    </w:p>
    <w:p>
      <w:pPr>
        <w:spacing w:after="0" w:line="149" w:lineRule="exact"/>
        <w:rPr>
          <w:sz w:val="24"/>
          <w:szCs w:val="24"/>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“foreign private issuer” as defined under the Securities and and Exchange Commission (“SEC”) rules and, as such, we have elected to comply with certain reduced public company reporting requirements for this prospectus supplement and future filings. Please see “Pharvaris N.V.—Implications of Being an “Emerging Growth Company” and a Foreign Private Issuer” in the accompanying prospectus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120" w:right="70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ordinary shares and pre-funded warrants involves a high degree of risk. You should review carefully the risks and uncertainties described under the header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contained in this prospectus supplement beginning on page S-4 and under similar headings in the other documents that are incorporated by reference into this prospectus supplement and the accompanying prospectus.</w:t>
      </w:r>
    </w:p>
    <w:p>
      <w:pPr>
        <w:spacing w:after="0" w:line="154" w:lineRule="exact"/>
        <w:rPr>
          <w:sz w:val="24"/>
          <w:szCs w:val="24"/>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read the entire prospectus supplement and the accompanying prospectus, including any information incorporated by reference herein or therein, carefully before you make your investment decision.</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Per Pre-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0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23.9900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299,986,250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14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22.5506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281,987,075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you to “Underwriting” beginning on page S-22 for additional information regarding underwriting compensation.</w:t>
      </w:r>
    </w:p>
    <w:p>
      <w:pPr>
        <w:spacing w:after="0" w:line="181"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will be ready for delivery on or about December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Leerink Partners</w:t>
      </w:r>
    </w:p>
    <w:p>
      <w:pPr>
        <w:spacing w:after="0" w:line="200" w:lineRule="exact"/>
        <w:rPr>
          <w:sz w:val="24"/>
          <w:szCs w:val="24"/>
          <w:color w:val="auto"/>
        </w:rPr>
      </w:pPr>
    </w:p>
    <w:p>
      <w:pPr>
        <w:sectPr>
          <w:pgSz w:w="11900" w:h="16838" w:orient="portrait"/>
          <w:cols w:equalWidth="0" w:num="2">
            <w:col w:w="8300" w:space="720"/>
            <w:col w:w="2120"/>
          </w:cols>
          <w:pgMar w:left="320" w:top="226" w:right="439" w:bottom="1440" w:gutter="0" w:footer="0" w:header="0"/>
          <w:type w:val="continuous"/>
        </w:sectPr>
      </w:pPr>
    </w:p>
    <w:p>
      <w:pPr>
        <w:spacing w:after="0" w:line="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December 6, 2023</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PRESENTATION OF FINANCIAL INFORMATION</w:t>
            </w:r>
          </w:p>
        </w:tc>
        <w:tc>
          <w:tcPr>
            <w:tcW w:w="6100" w:type="dxa"/>
            <w:vAlign w:val="bottom"/>
            <w:gridSpan w:val="6"/>
            <w:vMerge w:val="restart"/>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0000EE"/>
            </w:tcBorders>
            <w:gridSpan w:val="23"/>
            <w:vMerge w:val="continue"/>
          </w:tcPr>
          <w:p>
            <w:pPr>
              <w:spacing w:after="0"/>
              <w:rPr>
                <w:sz w:val="17"/>
                <w:szCs w:val="17"/>
                <w:color w:val="auto"/>
              </w:rPr>
            </w:pPr>
          </w:p>
        </w:tc>
        <w:tc>
          <w:tcPr>
            <w:tcW w:w="6100" w:type="dxa"/>
            <w:vAlign w:val="bottom"/>
            <w:gridSpan w:val="6"/>
            <w:vMerge w:val="continue"/>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S-ii</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TRADEMARKS</w:t>
            </w:r>
          </w:p>
        </w:tc>
        <w:tc>
          <w:tcPr>
            <w:tcW w:w="8920" w:type="dxa"/>
            <w:vAlign w:val="bottom"/>
            <w:gridSpan w:val="2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S-ii</w:t>
            </w:r>
          </w:p>
        </w:tc>
        <w:tc>
          <w:tcPr>
            <w:tcW w:w="0" w:type="dxa"/>
            <w:vAlign w:val="bottom"/>
          </w:tcPr>
          <w:p>
            <w:pPr>
              <w:spacing w:after="0"/>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ABOUT THIS PROSPECTUS SUPPLEMENT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S-ii</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S-iv</w:t>
            </w:r>
          </w:p>
        </w:tc>
        <w:tc>
          <w:tcPr>
            <w:tcW w:w="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SPECIAL NOTE REGARDING FORWARD-LOOKING STATEMENTS</w:t>
            </w:r>
          </w:p>
        </w:tc>
        <w:tc>
          <w:tcPr>
            <w:tcW w:w="4560" w:type="dxa"/>
            <w:vAlign w:val="bottom"/>
            <w:gridSpan w:val="4"/>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PROSPECTUS SUPPLEMENT SUMMARY</w:t>
            </w:r>
          </w:p>
        </w:tc>
        <w:tc>
          <w:tcPr>
            <w:tcW w:w="6760" w:type="dxa"/>
            <w:vAlign w:val="bottom"/>
            <w:gridSpan w:val="1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THE OFFERING</w:t>
            </w:r>
          </w:p>
        </w:tc>
        <w:tc>
          <w:tcPr>
            <w:tcW w:w="8840" w:type="dxa"/>
            <w:vAlign w:val="bottom"/>
            <w:gridSpan w:val="2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S-3</w:t>
            </w:r>
          </w:p>
        </w:tc>
        <w:tc>
          <w:tcPr>
            <w:tcW w:w="0" w:type="dxa"/>
            <w:vAlign w:val="bottom"/>
          </w:tcPr>
          <w:p>
            <w:pPr>
              <w:spacing w:after="0"/>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S-4</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S-7</w:t>
            </w:r>
          </w:p>
        </w:tc>
        <w:tc>
          <w:tcPr>
            <w:tcW w:w="0" w:type="dxa"/>
            <w:vAlign w:val="bottom"/>
          </w:tcPr>
          <w:p>
            <w:pPr>
              <w:spacing w:after="0" w:line="20" w:lineRule="exact"/>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DIVIDEND POLICY</w:t>
            </w:r>
          </w:p>
        </w:tc>
        <w:tc>
          <w:tcPr>
            <w:tcW w:w="8560" w:type="dxa"/>
            <w:vAlign w:val="bottom"/>
            <w:gridSpan w:val="2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S-8</w:t>
            </w:r>
          </w:p>
        </w:tc>
        <w:tc>
          <w:tcPr>
            <w:tcW w:w="0" w:type="dxa"/>
            <w:vAlign w:val="bottom"/>
          </w:tcPr>
          <w:p>
            <w:pPr>
              <w:spacing w:after="0"/>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DILUTION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S-10</w:t>
            </w:r>
          </w:p>
        </w:tc>
        <w:tc>
          <w:tcPr>
            <w:tcW w:w="0" w:type="dxa"/>
            <w:vAlign w:val="bottom"/>
          </w:tcPr>
          <w:p>
            <w:pPr>
              <w:spacing w:after="0" w:line="20" w:lineRule="exact"/>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DESCRIPTION OF PRE-FUNDED WARRANTS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S-12</w:t>
            </w:r>
          </w:p>
        </w:tc>
        <w:tc>
          <w:tcPr>
            <w:tcW w:w="0" w:type="dxa"/>
            <w:vAlign w:val="bottom"/>
          </w:tcPr>
          <w:p>
            <w:pPr>
              <w:spacing w:after="0" w:line="20" w:lineRule="exact"/>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MATERIAL UNITED STATES FEDERAL INCOME TAX AND DUTCH TAX CONSIDERATIONS OF ORDINARY SHARES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4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UNDERWRITING</w:t>
            </w:r>
          </w:p>
        </w:tc>
        <w:tc>
          <w:tcPr>
            <w:tcW w:w="3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S-22</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S-31</w:t>
            </w:r>
          </w:p>
        </w:tc>
        <w:tc>
          <w:tcPr>
            <w:tcW w:w="0" w:type="dxa"/>
            <w:vAlign w:val="bottom"/>
          </w:tcPr>
          <w:p>
            <w:pPr>
              <w:spacing w:after="0" w:line="20" w:lineRule="exact"/>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7"/>
          </w:tcPr>
          <w:p>
            <w:pPr>
              <w:spacing w:after="0"/>
              <w:rPr>
                <w:sz w:val="17"/>
                <w:szCs w:val="17"/>
                <w:color w:val="auto"/>
              </w:rPr>
            </w:pPr>
          </w:p>
        </w:tc>
        <w:tc>
          <w:tcPr>
            <w:tcW w:w="868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S-32</w:t>
            </w:r>
          </w:p>
        </w:tc>
        <w:tc>
          <w:tcPr>
            <w:tcW w:w="0" w:type="dxa"/>
            <w:vAlign w:val="bottom"/>
          </w:tcPr>
          <w:p>
            <w:pPr>
              <w:spacing w:after="0"/>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S-33</w:t>
            </w:r>
          </w:p>
        </w:tc>
        <w:tc>
          <w:tcPr>
            <w:tcW w:w="0" w:type="dxa"/>
            <w:vAlign w:val="bottom"/>
          </w:tcPr>
          <w:p>
            <w:pPr>
              <w:spacing w:after="0"/>
              <w:rPr>
                <w:sz w:val="1"/>
                <w:szCs w:val="1"/>
                <w:color w:val="auto"/>
              </w:rPr>
            </w:pPr>
          </w:p>
        </w:tc>
      </w:tr>
      <w:tr>
        <w:trPr>
          <w:trHeight w:val="196"/>
        </w:trPr>
        <w:tc>
          <w:tcPr>
            <w:tcW w:w="40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BY REFERENCE</w:t>
            </w:r>
          </w:p>
        </w:tc>
        <w:tc>
          <w:tcPr>
            <w:tcW w:w="620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S-34</w:t>
            </w:r>
          </w:p>
        </w:tc>
        <w:tc>
          <w:tcPr>
            <w:tcW w:w="0" w:type="dxa"/>
            <w:vAlign w:val="bottom"/>
          </w:tcPr>
          <w:p>
            <w:pPr>
              <w:spacing w:after="0"/>
              <w:rPr>
                <w:sz w:val="1"/>
                <w:szCs w:val="1"/>
                <w:color w:val="auto"/>
              </w:rPr>
            </w:pPr>
          </w:p>
        </w:tc>
      </w:tr>
      <w:tr>
        <w:trPr>
          <w:trHeight w:val="668"/>
        </w:trPr>
        <w:tc>
          <w:tcPr>
            <w:tcW w:w="8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22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8"/>
        </w:trPr>
        <w:tc>
          <w:tcPr>
            <w:tcW w:w="10220" w:type="dxa"/>
            <w:vAlign w:val="bottom"/>
            <w:gridSpan w:val="29"/>
            <w:vMerge w:val="continue"/>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SPECIAL NOTE REGARDING FORWARD-LOOKING STATEMENTS</w:t>
            </w:r>
          </w:p>
        </w:tc>
        <w:tc>
          <w:tcPr>
            <w:tcW w:w="4560" w:type="dxa"/>
            <w:vAlign w:val="bottom"/>
            <w:gridSpan w:val="4"/>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PHARVARIS N.V.</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8760" w:type="dxa"/>
            <w:vAlign w:val="bottom"/>
            <w:gridSpan w:val="2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line="20" w:lineRule="exact"/>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line="20" w:lineRule="exact"/>
              <w:rPr>
                <w:sz w:val="1"/>
                <w:szCs w:val="1"/>
                <w:color w:val="auto"/>
              </w:rPr>
            </w:pPr>
          </w:p>
        </w:tc>
      </w:tr>
      <w:tr>
        <w:trPr>
          <w:trHeight w:val="196"/>
        </w:trPr>
        <w:tc>
          <w:tcPr>
            <w:tcW w:w="60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SHARE CAPITAL AND ARTICLES OF ASSOCIATION</w:t>
            </w:r>
          </w:p>
        </w:tc>
        <w:tc>
          <w:tcPr>
            <w:tcW w:w="4200" w:type="dxa"/>
            <w:vAlign w:val="bottom"/>
            <w:gridSpan w:val="3"/>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COMPARISON OF DUTCH LAW AND OUR ARTICLES OF ASSOCIATION AND U.S. CORPORATE LAW</w:t>
            </w:r>
          </w:p>
        </w:tc>
        <w:tc>
          <w:tcPr>
            <w:tcW w:w="168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DEBT SECURITIES</w:t>
            </w:r>
          </w:p>
        </w:tc>
        <w:tc>
          <w:tcPr>
            <w:tcW w:w="7000" w:type="dxa"/>
            <w:vAlign w:val="bottom"/>
            <w:gridSpan w:val="1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WARRANTS</w:t>
            </w:r>
          </w:p>
        </w:tc>
        <w:tc>
          <w:tcPr>
            <w:tcW w:w="7600" w:type="dxa"/>
            <w:vAlign w:val="bottom"/>
            <w:gridSpan w:val="1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DESCRIPTION OF PURCHASE CONTRACTS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UNITS</w:t>
            </w:r>
          </w:p>
        </w:tc>
        <w:tc>
          <w:tcPr>
            <w:tcW w:w="1600" w:type="dxa"/>
            <w:vAlign w:val="bottom"/>
            <w:tcBorders>
              <w:top w:val="single" w:sz="8" w:color="0000EE"/>
            </w:tcBorders>
            <w:gridSpan w:val="9"/>
          </w:tcPr>
          <w:p>
            <w:pPr>
              <w:spacing w:after="0"/>
              <w:rPr>
                <w:sz w:val="17"/>
                <w:szCs w:val="17"/>
                <w:color w:val="auto"/>
              </w:rPr>
            </w:pPr>
          </w:p>
        </w:tc>
        <w:tc>
          <w:tcPr>
            <w:tcW w:w="6480" w:type="dxa"/>
            <w:vAlign w:val="bottom"/>
            <w:gridSpan w:val="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FORMS OF SECURITIES</w:t>
            </w:r>
          </w:p>
        </w:tc>
        <w:tc>
          <w:tcPr>
            <w:tcW w:w="8140" w:type="dxa"/>
            <w:vAlign w:val="bottom"/>
            <w:gridSpan w:val="1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PLAN OF DISTRIBUTION</w:t>
            </w:r>
          </w:p>
        </w:tc>
        <w:tc>
          <w:tcPr>
            <w:tcW w:w="8060" w:type="dxa"/>
            <w:vAlign w:val="bottom"/>
            <w:gridSpan w:val="1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196"/>
        </w:trPr>
        <w:tc>
          <w:tcPr>
            <w:tcW w:w="55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ENFORCEMENT OF JUDGMENTS</w:t>
            </w:r>
          </w:p>
        </w:tc>
        <w:tc>
          <w:tcPr>
            <w:tcW w:w="470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EXPENSES</w:t>
            </w:r>
          </w:p>
        </w:tc>
        <w:tc>
          <w:tcPr>
            <w:tcW w:w="7340" w:type="dxa"/>
            <w:vAlign w:val="bottom"/>
            <w:gridSpan w:val="1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9300" w:type="dxa"/>
            <w:vAlign w:val="bottom"/>
            <w:gridSpan w:val="26"/>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line="20" w:lineRule="exact"/>
              <w:rPr>
                <w:sz w:val="1"/>
                <w:szCs w:val="1"/>
                <w:color w:val="auto"/>
              </w:rPr>
            </w:pPr>
          </w:p>
        </w:tc>
      </w:tr>
      <w:tr>
        <w:trPr>
          <w:trHeight w:val="196"/>
        </w:trPr>
        <w:tc>
          <w:tcPr>
            <w:tcW w:w="10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7"/>
          </w:tcPr>
          <w:p>
            <w:pPr>
              <w:spacing w:after="0"/>
              <w:rPr>
                <w:sz w:val="17"/>
                <w:szCs w:val="17"/>
                <w:color w:val="auto"/>
              </w:rPr>
            </w:pPr>
          </w:p>
        </w:tc>
        <w:tc>
          <w:tcPr>
            <w:tcW w:w="868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or IFRS, as issued by the International Accounting Standards Board, or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supplement. Accordingly, numerical figures shown as totals in some tables may not be an arithmetic aggregation of the figures that preceded them.</w:t>
      </w:r>
    </w:p>
    <w:p>
      <w:pPr>
        <w:spacing w:after="0" w:line="183"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supplement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Solely for the convenience of the reader, certain euro amounts herein have been translated into U.S. dollars at the rate of €1.00 to $1.0594, the average exchange rate quoted as of September 30, 2023 by the European Central Bank. These translations should not be considered representations that any such amounts have been, could have been or could be converted into U.S. dollars at that or any other exchange rate as at that or any other date.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7"/>
          <w:szCs w:val="17"/>
          <w:color w:val="auto"/>
        </w:rPr>
        <w:t xml:space="preserve">All trademarks, trade names and service marks appearing in this prospectus supplement are the property of their respective owners. Solely for convenience, the trademarks and trade names in this prospectus supplement are referred to without the symbols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ordinary shares or warrants under a prospectus supplement at prices and on terms to be determined by market conditions at the time of the offering.</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ordinary shares or pre-funded warrants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or incorporated by reference in this prospectus supplement and any related free writing prospectus filed by us with the SEC. We have not, and the underwriters have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“Pharvaris N.V.,” “Pharvaris,” the “Company,” “we,” “our,” “ours,” “us” or similar terms refer to Pharvaris N.V.</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financial statements and other documents incorporated by reference in this prospectus supplement and the accompanying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88"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67" w:lineRule="exact"/>
        <w:rPr>
          <w:sz w:val="20"/>
          <w:szCs w:val="20"/>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outcome of our interactions with regulatory authorities, including the U.S. Food and Drug Administration (the “FDA”), with respect to the clinical hold on prophylactic deucrictibant in the U.S.;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or success of our clinical development programs, especially for PHVS416 (immediate-release deucrictibant capsules) and PHVS719 (extended-release deucrictibant tablets), which are in mid-stage global clinical trials;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epidemic diseases, such as the COVID-19 pandemic, which may adversely impact our business, nonclinical studies and clinical trials, the timing of regulatory approvals and the value of our ordinary shares;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and results of the rodent toxicology study and our ability to resolve any issues to the satisfaction of the FDA or any regulatory agency in a timely manner;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other limitations involved in obtaining regulatory approval for our product candidates PHVS416 and PHVS719 or any other product candidate that we may develop in the future;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commercial capabilities or enter into agreements with third parties to market, sell and distribute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perform critical activities related to the research, nonclinical safety and toxicology studies, development and manufacturing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and on acceptable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any new licensing agreements or to maintain any licensing agreements with respect to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and licensees, whose actions we cannot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private insurers and other payors to provide reimbursement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and other jurisdictions;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price negotiations with governmental authorities;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 industry, including with respect to existing therapies, emerging potentially competitive therapies and with competitive generic products;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know-how and operate our business without infringing the intellectual property rights or regulatory exclusivity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associated with the use of our product candidates;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costly and damaging liability claims resulting from the testing of our product candidates in the clinic or, if, approved, any commercial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sizes and anticipated uses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performance;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future revenues, expenses,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or future laws and regulations in a cost-efficient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negative consequences from changes in applicable laws and regulations, including tax laws;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weaknesses in our internal control over financial reporting and to maintain an effective system of internal control over financial reporting;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of 2012 or a foreign private issuer;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general market, political and economic conditions, including as a result of inflation and the current conflict between Russia and Ukraine and the Hamas attack against Israel and the ensuing war;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herein under “Risk Factors” or incorporated herein by reference.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particular, you should consider the numerous risks described in our Annual Report on Form 20-F for the period ended December 31, 2022, as filed with the SEC on April 5, 2023, and as described or may be described in any subsequent Annual Report on Form 20-F under the heading “Item 3.D. Risk Factors,” which are incorporated by reference into this prospectus supplement, and any other documents we file with the SEC that are deemed incorporated by reference into this prospectus and in the “Risk Factors” section in the applicable prospectus supplement. See “Where You Can Find More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S-4 of this prospectus supplement, along with the other risk factors, our consolidated financial statements and notes to those consolidated financial statements and the other information incorporated by reference in this prospectus supplement.</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00" w:right="80" w:firstLine="426"/>
        <w:spacing w:after="0" w:line="24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 B2-receptor antagonist for the treatment of hereditary angioedema (“HAE”). Bradykinin-B2-receptor inhibition is a clinically validated mechanism for the treatment of HAE, as demonstrated by icatibant, which is a bradykinin B2-receptor antagonist approved in Europe in 2008 and in the United States in 2011 (as FIRAZYR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designed deucrictibant to improve upon the therapeutic profile of existing therapies and, through oral delivery, aim to provide patients with quality of life and ease-of-administration that is superior to current standard-of-care HAE treatments. We believe deucrictibant has the potential to provide a safe, effective and easy-to-administer option for both acute and prophylactic treatments of HAE, in the form of our PHVS416 (deucrictibant immediate-release—“IR”) on-demand rapid exposure product candidate, and for prophylaxis of HAE, in the form of our PHVS719 (deucrictibant extended-release—“XR”) small daily-dose extended-release product candidate. We believe that our product candidates may address a broader range of angioedema attacks than other available treatments since deucrictibant blocks the actual signal that leads to angioedema (the interaction of bradykinin (“BK”), with the bradykinin B2 receptor), rather than an upstream process. By blocking the action of bradykinin, we can prevent its aberrant signaling regardless of the pathway that generates it.</w:t>
      </w:r>
    </w:p>
    <w:p>
      <w:pPr>
        <w:spacing w:after="0" w:line="195" w:lineRule="exact"/>
        <w:rPr>
          <w:sz w:val="20"/>
          <w:szCs w:val="20"/>
          <w:color w:val="auto"/>
        </w:rPr>
      </w:pPr>
    </w:p>
    <w:p>
      <w:pPr>
        <w:ind w:left="300" w:right="260" w:firstLine="426"/>
        <w:spacing w:after="0" w:line="258" w:lineRule="auto"/>
        <w:rPr>
          <w:sz w:val="20"/>
          <w:szCs w:val="20"/>
          <w:color w:val="auto"/>
        </w:rPr>
      </w:pPr>
      <w:r>
        <w:rPr>
          <w:rFonts w:ascii="Times New Roman" w:cs="Times New Roman" w:eastAsia="Times New Roman" w:hAnsi="Times New Roman"/>
          <w:sz w:val="18"/>
          <w:szCs w:val="18"/>
          <w:color w:val="auto"/>
        </w:rPr>
        <w:t>In our completed Phase 1 trials to-date, we have observed that deucrictibant was orally bioavailable and well tolerated at all doses studied, with approximately dose-proportional exposure. We also have successfully demonstrated proof-of-mechanism through a clinical pharmacodynamics (“PD”) assessment using a bradykinin challenge in healthy volunteers, which had been utilized as a validated surrogate assessment for dose selection in the icatibant development program. The data allowed us to compare the projected therapeutic performance of deucrictibant with that of icatibant. However, we have not conducted a head-to-head comparison of icatibant to deucrictibant in a clinical study.</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have demonstrated clinical efficacy and tolerability in a Phase 2 study (RAPIDe-1) treating attacks of HAE.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 capsules. Our primary objective with this trial is to assess the efficacy and safety profile of deucrictibant dose regimens for prophylactic treatments in HAE patients. We reported Phase 2 data from CHAPTER-1 in December 2023, see the section of this prospectus supplement below titled “—Recent Developments— Phase 2 Data from CHAPTER-1 Released.” In February 2022, we reported Phase 1 clinical data</w:t>
      </w: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3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830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PHVS719 demonstrating pharmacokinetics of the extended-release formulation in healthy volunteers and the potential for once-daily dosing.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healthy volunteers, a single dose of PHVS719 was well tolerated with an extended-release profile supporting once-daily dosing.</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Phase 2 Data from CHAPTER-1 Released</w:t>
      </w:r>
    </w:p>
    <w:p>
      <w:pPr>
        <w:spacing w:after="0" w:line="121" w:lineRule="exact"/>
        <w:rPr>
          <w:sz w:val="20"/>
          <w:szCs w:val="20"/>
          <w:color w:val="auto"/>
        </w:rPr>
      </w:pPr>
    </w:p>
    <w:p>
      <w:pPr>
        <w:ind w:left="300" w:right="80" w:firstLine="426"/>
        <w:spacing w:after="0" w:line="277" w:lineRule="auto"/>
        <w:rPr>
          <w:sz w:val="20"/>
          <w:szCs w:val="20"/>
          <w:color w:val="auto"/>
        </w:rPr>
      </w:pPr>
      <w:r>
        <w:rPr>
          <w:rFonts w:ascii="Times New Roman" w:cs="Times New Roman" w:eastAsia="Times New Roman" w:hAnsi="Times New Roman"/>
          <w:sz w:val="17"/>
          <w:szCs w:val="17"/>
          <w:color w:val="auto"/>
        </w:rPr>
        <w:t>In December 2023, we reported topline Phase 2 data evaluating the efficacy as well as the safety and tolerability of deucrictibant for long-term prophylaxis against angioedema attacks in HAE-1 or -2. The study’s primary endpoint measured the time-normalized number of investigator-confirmed HAE attacks during the treatment period. The monthly attack rate was reduced by 84.5% compared to placebo in participants who received 40 mg/day of deucrictibant. Throughout 12 weeks of treatment in CHAPTER-1, both doses of deucrictibant were well tolerated. There were no serious adverse events, no severe treatment-emergent adverse events, and no adverse events leading to treatment discontinuation.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26-Week Rodent Study Update</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In August 2022, the FDA placed clinical studies of deucrictibant, including CHAPTER-1, on hold. In June 2023, we announced the removal of the clinical hold of deucrictibant for the on-demand treatment of HAE in the U.S. We notified country-specific regulatory authorities in Canada, Europe, Israel, and the UK regarding the clinical holds in the U.S., and the regulatory status of deucrictibant outside the U.S. has not been affected. We have completed the 26-week rodent toxicology study requested by the FDA, which met its objective. We are preparing to submit the study results to the FDA by the end of the year. However, neither the nature nor timing of the response from FDA is certain.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Balance</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The Company held cash and cash equivalents of approximately €140.3 million as of December 1, 2023. The preliminary financial data related to cash and cash equivalents as of December 1, 2023 included in this prospectus supplement has been prepared by, and is the responsibility of, Pharvaris management. PricewaterhouseCoopers Accountants N.V. has not audited, reviewed, examined, compiled, nor applied agreed-upon procedures with respect to this preliminary financial data. Accordingly, PricewaterhouseCoopers Accountants N.V. does not express an opinion or any other form of assurance with respect thereto.</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8"/>
          <w:szCs w:val="18"/>
          <w:i w:val="1"/>
          <w:iCs w:val="1"/>
          <w:color w:val="auto"/>
        </w:rPr>
        <w:t>www.pharvaris.com</w:t>
      </w:r>
      <w:r>
        <w:rPr>
          <w:rFonts w:ascii="Times New Roman" w:cs="Times New Roman" w:eastAsia="Times New Roman" w:hAnsi="Times New Roman"/>
          <w:sz w:val="18"/>
          <w:szCs w:val="18"/>
          <w:color w:val="auto"/>
        </w:rPr>
        <w:t>. The information contained on our website is not a part of this prospectus.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60"/>
          </w:cols>
          <w:pgMar w:left="320" w:top="455" w:right="71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Ordinary shares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11,125,000 of ordinary shares.</w:t>
      </w:r>
    </w:p>
    <w:p>
      <w:pPr>
        <w:spacing w:after="0" w:line="211"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Pre-funded warrants offered by us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also offering to one investor, pre-funded warrants to purchase 1,375,000 ordinary shares. The purchase price of each pre-funded warrant will equal the price per share at which the ordinary shares are being sold to the public in this offering, minus $0.01, which is the exercise price of each pre-funded warrant. Each pre-funded warrant will be exercisable from the date of issuance until fully exercised, subject to an ownership limitation. See “Description of Pre-Funded Warrants” on page S-10 of this prospectus supplement. This prospectus supplement also relates to the offering of the ordinary shares issuable upon exercise of such pre-funded warrants.</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19"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Ordinary shares to be outstanding after this offering</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52,108,675 ordinary shares, excluding any ordinary shares issuable upon exercise of the pre-funded warrants.</w:t>
      </w:r>
    </w:p>
    <w:p>
      <w:pPr>
        <w:spacing w:after="0" w:line="189" w:lineRule="exact"/>
        <w:rPr>
          <w:sz w:val="20"/>
          <w:szCs w:val="20"/>
          <w:color w:val="auto"/>
        </w:rPr>
      </w:pPr>
    </w:p>
    <w:p>
      <w:pPr>
        <w:sectPr>
          <w:pgSz w:w="11900" w:h="16838" w:orient="portrait"/>
          <w:cols w:equalWidth="0" w:num="2">
            <w:col w:w="4020" w:space="320"/>
            <w:col w:w="6520"/>
          </w:cols>
          <w:pgMar w:left="320" w:top="455" w:right="71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primarily to fund research and development and product discovery expenses for our clinical and preclinical research and development activities and for working capital and general corporate purposes. See the section entitled “Use of Proceeds” on page S-7 of this prospectus supplement.</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See “Risk Factors” beginning on page S-4 of this prospectus supplement and the other information included in, or incorporated by reference into, this prospectus supplement and the accompanying prospectus for a discussion of certain factors you should carefully consider before deciding to invest in our ordinary shares.</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Nasdaq Global Select Market Symbol</w:t>
      </w:r>
    </w:p>
    <w:p>
      <w:pPr>
        <w:spacing w:after="0" w:line="20" w:lineRule="exact"/>
        <w:rPr>
          <w:sz w:val="20"/>
          <w:szCs w:val="20"/>
          <w:color w:val="auto"/>
        </w:rPr>
      </w:pPr>
      <w:r>
        <w:rPr>
          <w:sz w:val="20"/>
          <w:szCs w:val="20"/>
          <w:color w:val="auto"/>
        </w:rPr>
        <w:br w:type="column"/>
      </w:r>
    </w:p>
    <w:p>
      <w:pPr>
        <w:ind w:right="80"/>
        <w:spacing w:after="0" w:line="289" w:lineRule="auto"/>
        <w:rPr>
          <w:sz w:val="20"/>
          <w:szCs w:val="20"/>
          <w:color w:val="auto"/>
        </w:rPr>
      </w:pPr>
      <w:r>
        <w:rPr>
          <w:rFonts w:ascii="Times New Roman" w:cs="Times New Roman" w:eastAsia="Times New Roman" w:hAnsi="Times New Roman"/>
          <w:sz w:val="17"/>
          <w:szCs w:val="17"/>
          <w:color w:val="auto"/>
        </w:rPr>
        <w:t>“PHVS.” We do not intend to list the pre-funded warrants on The Nasdaq Global Select Market or any other national securities exchange or nationally recognized trading system. Without an active market, the liquidity of the pre-funded warrants will be limited.</w:t>
      </w:r>
    </w:p>
    <w:p>
      <w:pPr>
        <w:spacing w:after="0" w:line="158"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after this offering is based on our ordinary shares outstanding as of September 30, 2023 and excludes:</w:t>
      </w:r>
    </w:p>
    <w:p>
      <w:pPr>
        <w:spacing w:after="0" w:line="67" w:lineRule="exact"/>
        <w:rPr>
          <w:sz w:val="20"/>
          <w:szCs w:val="20"/>
          <w:color w:val="auto"/>
        </w:rPr>
      </w:pPr>
    </w:p>
    <w:p>
      <w:pPr>
        <w:ind w:left="1240" w:right="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of our ordinary shares issuable upon the exercise of options outstanding as of September 30, 2023, at a weighted-average exercise price of $10.58 per ordinary share;</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ordinary shares issuable upon vesting of restricted stock units under our equity incentive plan as of September 30, 2023;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1,375,000 ordinary shares issuable upon exercise of the pre-funded warrants being offered by us in this offering.</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Unless otherwise stated, all information contained in this prospectus supplement reflects and assumes no exercise of the outstanding options or settlement of the outstanding restricted stock units referred to above after September 30, 2023, or the exercise of the pre-funded warrants we are offering to one investor.</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60"/>
          </w:cols>
          <w:pgMar w:left="320" w:top="455" w:right="7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as well as those risks and uncertainties identified in the documents incorporated by reference herein, including our most recent Annual Report on Form 20-F,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could adversely affect the price of the shares and dilute shareholders.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Future sales of a substantial number of our ordinary shares, or the perception that such sales will occur, could cause a decline in the market price of our ordinary shares. Pursuant to our at-the-market program, and potentially other offerings, we plan to continue to raise money to fund our operations through the issuance of our equity securities.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In addition, we have registered on a Form S-8 registration statement all ordinary shares that we may issue under our equity compensation plans. As a result, these shares can be freely sold in the public market upon issuance, subject to volume limitations applicable to affiliates.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sell ordinary shares, convertible securities or other equity securities, existing shareholders may be diluted by such sales, and in certain cases new investors could gain rights superior to our existing shareholders. Any sales of our ordinary shares, or the perception that such sales could occur, could have a negative impact on the trading price of our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ordinary shares or pre-funded warrants in this offering, you will suffer immediate dilution of your investment.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 purchase our ordinary shares or pre-funded warrants in this offering, you will incur immediate and substantial dilution in the as adjusted net tangible book value of your securities because the price that you pay will be substantially greater than the net tangible book value per share of the securities you acquire. This dilution is due to our investors who purchased our ordinary shares prior to this offering having paid substantially less when they purchased their shares than the price at which our ordinary shares are being offered to the public in this offering. To the extent outstanding options are exercised, or outstanding restricted stock units vest and are settled, there will be further dilution to new investors. As a result of the dilution to your holdings, you may receive significantly less than the purchase price paid in this offering, if anything, in the event of our liquidation. For a further description of the dilution that you will experience immediately after this offering, see the section of this prospectus supplement titled “Dilution.”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we may not use them effectively.</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as described in “Use of Proceeds.” However, our board of directors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Select Market. Without an active market, the liquidity of the pre-funded warrants will be limited.</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shareholders until such holders exercise their pre-funded warrants and acquire our ordinary shares.</w:t>
      </w:r>
    </w:p>
    <w:p>
      <w:pPr>
        <w:spacing w:after="0" w:line="5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Until holders of pre-funded warrants acquire our ordinary shares upon exercise of the pre-funded warrants, holders of pre-funded warrants will have no rights with respect to our ordinary shares underlying such pre-funded warrants. Upon exercise of the pre-funded warrants, the holders will be entitled to exercise the rights of a shareholder only as to matters for which the record date occurs after the exercise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ordinary shares may not be permitted to exercise the pre-funded warrants that they hold.</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Holders of pre-funded warrants will not be entitled to exercise any portion of any pre-funded warrant that, upon giving effect to such exercise, would cause the exercising holder to acquire beneficial ownership of ordinary shares (together with all other equity of the Company owned by such holder at such time) with a value of or in excess of the Hart-Scott-Rodino Antitrust Improvements Act of 1976, as amended, or HSR Act, notification threshold applicable to the holder (absent an applicable exemption to filing a notice and report form under the HSR Act). As a result, holders of pre-funded warrants may not be able to exercise their pre-funded warrants for our ordinary shares at a time when it would be financially beneficial for them to do so. In such a circumstance, holders could seek to sell their pre-funded warrants to realize value, but may be unable to do so in the absence of an established trading market and due to applicable transfer restrictions.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(“PFIC”), which could result in adverse U.S. federal income tax consequences to U.S. investors.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 PFIC in 2022 and we do not expect to be a PFIC for our current taxable year or in the foreseeable future. In addition, we may, directly or indirectly, hold equity interests in other PFICs. Whether we or any of our subsidiaries will be a PFIC in 2023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2023 or any future taxable year.</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further discussion, see “Material United States and Dutch Tax Considerations of Ordinary Shares—Material U.S. Federal Income Tax Considerations to U.S. 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$282 million, after deducting the underwriting discounts and commissions.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primarily to fund research and development and product discovery expenses for our clinical and preclinical research and development activities and for working capital and general corporate purposes.</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upon our present plans and business conditions, which could change in the future as our plans and business conditions evolve. We expect our operating expenses and corresponding working capital requirements to significantly increase as we ramp up our development and clinical study related expenses and prepare for commercial launch readiness. While there can be no assurance of whether or when the FDA’s clinical hold on the IND application for deucrictibant for prophylactic treatment will be removed, we expect our development and clinical study related activities to increase following the potential removal of FDA’s clinical hold. Following the top-line data from CHAPTER-1, we also expect to incur additional expenses as we prepare for an anticipated Phase 3 study utilizing PHVS719, a once-daily extended-release formulation of deucrictibant. Our expenses will also increase as we initiate the proposed RAPIDe-3 study and fund the clinical trial site expansion, recruitment and other activities related to this proposed Phase 3 clinical study of PHVS416. There may be unforeseen expenses beyond our control, including third-party costs that we cannot predict, inherent in the clinical development and regulatory approval process. Based on our planned use of the net proceeds from this offering and our existing cash, cash equivalents and investments, we expect that such funds will be sufficient to enable us to fund our operations through at least the next 24 months, subject to certain assumptions, including clinical development plans. We have based this estimate on assumptions that may prove to be incorrect, and we could use our available capital resources sooner than we currently expect.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or any other future clinical development or product discovery program may not result in marketing approval. To the extent that we fail to obtain approval to market our product candidates or any other clinical development or product discovery program in a timely manner and have to continue clinical trials over a longer period of time, our research and development expenses may further increase.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or any other future clinical development or product discovery program, as well as maintaining our existing collaborations and any collaborations that we may enter into with third parties for our product candidates and any unforeseen cash needs. As a result, our board of directors will have broad discretion in applying the net proceeds of this offering, and investors will be relying on our judgment regarding the application of the net proceeds of this offering.</w:t>
      </w:r>
    </w:p>
    <w:p>
      <w:pPr>
        <w:spacing w:after="0" w:line="19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Pending their use, we might plan to invest a portion of the net proceeds from this offering in short- and intermediate-term interest-bearing financial assets and certificates of deposit.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we may only pay dividends and other distributions from our reserves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w:t>
      </w:r>
    </w:p>
    <w:p>
      <w:pPr>
        <w:spacing w:after="0" w:line="1"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of the paid-in and called-up share capital plus the reserves required to be maintained by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of directors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our Articles of Association, if any preferred shares are or have been outstanding, the preferred dividend is first paid out of our profits,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our remaining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you invest in our ordinary shares or exercise the pre-funded warrants acquired in this offering, your ownership interest will be diluted immediately to the extent of the difference between the price you pay in this offering and the net tangible book value per ordinary share after this offering. Our net tangible book value as of September 30, 2023 was $162 million (€153 million), or $3.96 per ordinary share (€3.74 per ordinary share), based on 40,983,675 ordinary shares then outstanding. Net tangible book value per share represents the amount of our total assets less our total liabilities, excluding intangible assets, divided by 40,983,675, the total number of our ordinary shares issued and outstanding at September 30, 2023.</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11,125,000 of our ordinary shares in this offering at an offering price of $24.00 per share and pre-funded warrants to purchase 1,375,000 shares of common stock at the offering price of $23.99 per pre-funded warrant (which equals the public offering price per share of common stock less the $0.01 per share exercise price of each such pre-funded warrant), after deducting the underwriting discounts and commissions, our net tangible book value at September 30, 2023 would have been $444 million, or $8.52 per ordinary share. This represents an immediate increase in net tangible book value of $4.56 per share to existing shareholders and an immediate dilution of $15.48 per share to investors in this offering. The following table illustrates this per share dilution.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2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2023</w:t>
            </w:r>
          </w:p>
        </w:tc>
        <w:tc>
          <w:tcPr>
            <w:tcW w:w="15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$3.96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15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4.56</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w:t>
            </w:r>
          </w:p>
        </w:tc>
        <w:tc>
          <w:tcPr>
            <w:tcW w:w="6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40" w:type="dxa"/>
            <w:vAlign w:val="bottom"/>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the offering</w:t>
            </w:r>
          </w:p>
        </w:tc>
        <w:tc>
          <w:tcPr>
            <w:tcW w:w="2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15.48</w:t>
            </w:r>
          </w:p>
        </w:tc>
      </w:tr>
      <w:tr>
        <w:trPr>
          <w:trHeight w:val="20"/>
        </w:trPr>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 are based on our ordinary shares outstanding as of September 30, 2023 and excludes:</w:t>
      </w:r>
    </w:p>
    <w:p>
      <w:pPr>
        <w:spacing w:after="0" w:line="131" w:lineRule="exact"/>
        <w:rPr>
          <w:sz w:val="20"/>
          <w:szCs w:val="20"/>
          <w:color w:val="auto"/>
        </w:rPr>
      </w:pPr>
    </w:p>
    <w:p>
      <w:pPr>
        <w:ind w:left="1080" w:right="4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of our ordinary shares issuable upon the exercise of options outstanding as of September 30, 2023, at a weighted-average exercise price of $10.58 per ordinary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ordinary shares issuable upon vesting of restricted stock units under our equity incentive plan as of September 30, 2023;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1,375,000 ordinary shares issuable upon exercise of the pre-funded warrants being offered in this offering.</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Assuming the pre-funded warrants were immediately and fully exercised, this would result in an as adjusted net tangible book value per share, after giving effect to this offering and warrant exercise, of $444 million, or $8.30 per ordinary share, which represents a dilution per share to new investors of $15.70, and an increase in net tangible book value per share to existing shareholders of $4.34.</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160"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i w:val="1"/>
          <w:iCs w:val="1"/>
          <w:color w:val="auto"/>
        </w:rPr>
        <w:t>Form</w:t>
      </w:r>
      <w:r>
        <w:rPr>
          <w:rFonts w:ascii="Times New Roman" w:cs="Times New Roman" w:eastAsia="Times New Roman" w:hAnsi="Times New Roman"/>
          <w:sz w:val="18"/>
          <w:szCs w:val="18"/>
          <w:color w:val="auto"/>
        </w:rPr>
        <w:t>. The pre-funded warrants will be issued to investment entities affiliated with General Atlantic PH B.V. The form of pre-funded warrant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as an exhibit to our Current Report on Form 6-K that we expect to file with the SEC.</w:t>
      </w:r>
    </w:p>
    <w:p>
      <w:pPr>
        <w:spacing w:after="0" w:line="15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whole ordinary share purchasable upon the exercise of the pre-funded warrants is $0.01 per ordinary share.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of the pre-funded warrants is subject to appropriate adjustment in the event of certain share dividends and distributions, share splits, share combinations, reclassifications or similar events affecting our ordinary shares and also upon any distributions of assets, including cash, share or other property to our shareholders.</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Exercisability; Exercise Limitations</w:t>
      </w:r>
      <w:r>
        <w:rPr>
          <w:rFonts w:ascii="Times New Roman" w:cs="Times New Roman" w:eastAsia="Times New Roman" w:hAnsi="Times New Roman"/>
          <w:sz w:val="18"/>
          <w:szCs w:val="18"/>
          <w:color w:val="auto"/>
        </w:rPr>
        <w:t>. The pre-funded warrants are exercisable at any time after their original issuance until fully exercised,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ownership limitation described below. The pre-funded warrants will be exercisable, at the option of each holder, in whole or in part by delivering to us a duly executed exercise notice and by payment in full of the exercise price in immediately available funds for the number of ordinary shares purchased upon such exercise;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exercise would result in a holder acquiring beneficial ownership of ordinary shares of the Company with a value of or in excess of the HSR Act, notification threshold applicable to the holder (the “HSR Threshold”), and no exemption to filing a notice and report form under the HSR Act is applicable, then only such portion of the pre-funded warrants, which when exercised does not exceed the HSR Threshold, will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periods or receipt of applicable approval. After such expiration or early termination of the applicable waiting period or receipt of applicable approval, the HSR Threshold will no longer be applicable to the pre-funded warrants, notwithstanding any other provision thereof. No fractional ordinary shares will be issued in connection with the exercise of a pre-funded warrant. In lieu of fractional shares, we will pay the holder an amount in cash equal to the fractional amount multiplied by the fair market value of any such fractional shares.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pre-funded warrants may be offered for sale, sold, transferred or assigned without our consent.</w:t>
      </w:r>
    </w:p>
    <w:p>
      <w:pPr>
        <w:spacing w:after="0" w:line="225" w:lineRule="exact"/>
        <w:rPr>
          <w:sz w:val="20"/>
          <w:szCs w:val="20"/>
          <w:color w:val="auto"/>
        </w:rPr>
      </w:pPr>
    </w:p>
    <w:p>
      <w:pPr>
        <w:ind w:left="120" w:right="660"/>
        <w:spacing w:after="0" w:line="284"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We do not plan on applying to list the pre-funded warrants on the Nasdaq Global Select Market, any other national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or any other nationally recognized trading system.</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fundamental transaction, as described in the pre-funded warrants and generally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our ordinary shares, the sale, transfer or other disposition of all or substantially all of our properties or assets, our consolidation or merger with or into another person, the acquisition of more than 50% of our ordinary shares, or any person or group becoming the beneficial owner of 50% of the voting power represented by our ordinary shares,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exercised contained in the pre-funded warrants.</w:t>
      </w:r>
    </w:p>
    <w:p>
      <w:pPr>
        <w:spacing w:after="0" w:line="183"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i w:val="1"/>
          <w:iCs w:val="1"/>
          <w:color w:val="auto"/>
        </w:rPr>
        <w:t>No Rights as a Shareholder</w:t>
      </w:r>
      <w:r>
        <w:rPr>
          <w:rFonts w:ascii="Times New Roman" w:cs="Times New Roman" w:eastAsia="Times New Roman" w:hAnsi="Times New Roman"/>
          <w:sz w:val="18"/>
          <w:szCs w:val="18"/>
          <w:color w:val="auto"/>
        </w:rPr>
        <w:t>. Except by virtue of such holder’s ownership of our ordinary shares, the holder of a pre-funded warrant does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privileges of a holder of our ordinary shares, including any voting rights, until the holder exercises the pre-funded warrant and receives the underlying ordinary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The Company intends to grant the investor purchasing pre-funded warrants customary registration rights, including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rights, with respect to the ordinary shares issuable upon exercise of the pre-funded warrants.</w:t>
      </w:r>
    </w:p>
    <w:p>
      <w:pPr>
        <w:spacing w:after="0" w:line="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500"/>
          </w:cols>
          <w:pgMar w:left="320" w:top="455" w:right="10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AND DUTCH TAX CONSIDERATIONS OF ORDINARY SHARES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 and it does not describe the tax consequences of owning and disposing of pre-funded warrants.</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You should consult your own tax adviser regarding the applicable tax consequences to you of investing in our ordinary shares or pre-funded warrants under the laws of the United States (federal, state and local), the Netherlands, and any other applicable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U.S. 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and it does not describe the tax consequences of owning and disposing of pre-funded warrants.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9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or expatriated entities subject to Section 7874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acquire our pre-funded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or “Roth IRAs” or other tax-deferred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persons that acquire ordinary shares directly or indirectly in connection with the performance of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subject to Section 451(b)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shares (by vote or value);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and any investors therein, regulated investment companies, real estate investment trusts, real estate mortgage investment conduits;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conducted outside of the United States.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ordinary shares, who is eligible for the benefits of the Treaty and who is:</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in the US;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therein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dividend income to U.S. Holders and will generally not be eligible for the dividends-received deduction generally available to U.S. corporations under the Code.</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U.S. holders who hold different blocks of ordinary shares (ordinary shares purchased or acquired on different dates or at different prices) should consult their tax advisors to determine how the above rules apply to them. This gain or loss will generally be U.S.-source gain or loss for foreign tax credit purposes. The deductibility of capital losses is subject to various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2022 and we do not expect to be a PFIC for our current taxable year or in the foreseeable future. In addition, we may, directly or indirectly, hold equity interests in other PFICs, or Lower-tier PFICs. Whether we or any of our subsidiaries will be a PFIC in 2023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2023 or any future taxable year. If we are a PFIC for any year during which a U.S. Holder holds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97"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9" w:lineRule="auto"/>
        <w:rPr>
          <w:sz w:val="20"/>
          <w:szCs w:val="20"/>
          <w:color w:val="auto"/>
        </w:rPr>
      </w:pPr>
      <w:r>
        <w:rPr>
          <w:rFonts w:ascii="Times New Roman" w:cs="Times New Roman" w:eastAsia="Times New Roman" w:hAnsi="Times New Roman"/>
          <w:sz w:val="17"/>
          <w:szCs w:val="17"/>
          <w:color w:val="auto"/>
        </w:rPr>
        <w:t>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With respect to Foreign Financial Assets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w:t>
      </w:r>
    </w:p>
    <w:p>
      <w:pPr>
        <w:spacing w:after="0" w:line="1" w:lineRule="exact"/>
        <w:rPr>
          <w:sz w:val="20"/>
          <w:szCs w:val="20"/>
          <w:color w:val="auto"/>
        </w:rPr>
      </w:pPr>
    </w:p>
    <w:p>
      <w:pPr>
        <w:ind w:left="120" w:right="360" w:hanging="4"/>
        <w:spacing w:after="0" w:line="260" w:lineRule="auto"/>
        <w:tabs>
          <w:tab w:leader="none" w:pos="3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interest in our ordinary shares, subject to certain exceptions (including an exception for ordinary shares held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accounts maintained by certain U.S. financial institutions). U.S. Holders should consult their tax advisers regarding whether or not they are obligated to report information relating to their ownership and disposition of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Dutch Tax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Scope of Discussion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80"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note that this section does not describe the Dutch tax consequences for:</w:t>
      </w:r>
    </w:p>
    <w:p>
      <w:pPr>
        <w:spacing w:after="0" w:line="129" w:lineRule="exact"/>
        <w:rPr>
          <w:sz w:val="20"/>
          <w:szCs w:val="20"/>
          <w:color w:val="auto"/>
        </w:rPr>
      </w:pPr>
    </w:p>
    <w:p>
      <w:pPr>
        <w:ind w:left="1080" w:hanging="532"/>
        <w:spacing w:after="0" w:line="254"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if such holder has a substantial interest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or deemed substantial interest (</w:t>
      </w:r>
      <w:r>
        <w:rPr>
          <w:rFonts w:ascii="Times New Roman" w:cs="Times New Roman" w:eastAsia="Times New Roman" w:hAnsi="Times New Roman"/>
          <w:sz w:val="18"/>
          <w:szCs w:val="18"/>
          <w:i w:val="1"/>
          <w:iCs w:val="1"/>
          <w:color w:val="auto"/>
        </w:rPr>
        <w:t>fictief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in us under the Dutch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Generally, a holder of securities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93"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if the ordinary shares held by such holder qualify or qualified as a participation (</w:t>
      </w:r>
      <w:r>
        <w:rPr>
          <w:rFonts w:ascii="Times New Roman" w:cs="Times New Roman" w:eastAsia="Times New Roman" w:hAnsi="Times New Roman"/>
          <w:sz w:val="18"/>
          <w:szCs w:val="18"/>
          <w:i w:val="1"/>
          <w:iCs w:val="1"/>
          <w:color w:val="auto"/>
        </w:rPr>
        <w:t>deelneming</w:t>
      </w:r>
      <w:r>
        <w:rPr>
          <w:rFonts w:ascii="Times New Roman" w:cs="Times New Roman" w:eastAsia="Times New Roman" w:hAnsi="Times New Roman"/>
          <w:sz w:val="18"/>
          <w:szCs w:val="18"/>
          <w:color w:val="auto"/>
        </w:rPr>
        <w:t>) for purposes of the Dutch Corporate Income Tax Act 1969 (</w:t>
      </w:r>
      <w:r>
        <w:rPr>
          <w:rFonts w:ascii="Times New Roman" w:cs="Times New Roman" w:eastAsia="Times New Roman" w:hAnsi="Times New Roman"/>
          <w:sz w:val="18"/>
          <w:szCs w:val="18"/>
          <w:i w:val="1"/>
          <w:iCs w:val="1"/>
          <w:color w:val="auto"/>
        </w:rPr>
        <w:t>Wet op de vennootschapsbelasting 1969</w:t>
      </w:r>
      <w:r>
        <w:rPr>
          <w:rFonts w:ascii="Times New Roman" w:cs="Times New Roman" w:eastAsia="Times New Roman" w:hAnsi="Times New Roman"/>
          <w:sz w:val="18"/>
          <w:szCs w:val="18"/>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90" w:lineRule="exact"/>
        <w:rPr>
          <w:rFonts w:ascii="Times New Roman" w:cs="Times New Roman" w:eastAsia="Times New Roman" w:hAnsi="Times New Roman"/>
          <w:sz w:val="18"/>
          <w:szCs w:val="18"/>
          <w:color w:val="auto"/>
        </w:rPr>
      </w:pPr>
    </w:p>
    <w:p>
      <w:pPr>
        <w:ind w:left="1080" w:right="130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our ordinary shares which is or who is entitled to or required to apply the dividend withholding tax exemption (</w:t>
      </w:r>
      <w:r>
        <w:rPr>
          <w:rFonts w:ascii="Times New Roman" w:cs="Times New Roman" w:eastAsia="Times New Roman" w:hAnsi="Times New Roman"/>
          <w:sz w:val="18"/>
          <w:szCs w:val="18"/>
          <w:i w:val="1"/>
          <w:iCs w:val="1"/>
          <w:color w:val="auto"/>
        </w:rPr>
        <w:t>inhoudingsvrijstelling</w:t>
      </w:r>
      <w:r>
        <w:rPr>
          <w:rFonts w:ascii="Times New Roman" w:cs="Times New Roman" w:eastAsia="Times New Roman" w:hAnsi="Times New Roman"/>
          <w:sz w:val="18"/>
          <w:szCs w:val="18"/>
          <w:color w:val="auto"/>
        </w:rPr>
        <w:t>) with respect to any income (</w:t>
      </w:r>
      <w:r>
        <w:rPr>
          <w:rFonts w:ascii="Times New Roman" w:cs="Times New Roman" w:eastAsia="Times New Roman" w:hAnsi="Times New Roman"/>
          <w:sz w:val="18"/>
          <w:szCs w:val="18"/>
          <w:i w:val="1"/>
          <w:iCs w:val="1"/>
          <w:color w:val="auto"/>
        </w:rPr>
        <w:t>opbrengst</w:t>
      </w:r>
      <w:r>
        <w:rPr>
          <w:rFonts w:ascii="Times New Roman" w:cs="Times New Roman" w:eastAsia="Times New Roman" w:hAnsi="Times New Roman"/>
          <w:sz w:val="18"/>
          <w:szCs w:val="18"/>
          <w:color w:val="auto"/>
        </w:rPr>
        <w:t>) derived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100" w:right="680"/>
        <w:spacing w:after="0" w:line="290" w:lineRule="auto"/>
        <w:rPr>
          <w:sz w:val="20"/>
          <w:szCs w:val="20"/>
          <w:color w:val="auto"/>
        </w:rPr>
      </w:pPr>
      <w:r>
        <w:rPr>
          <w:rFonts w:ascii="Times New Roman" w:cs="Times New Roman" w:eastAsia="Times New Roman" w:hAnsi="Times New Roman"/>
          <w:sz w:val="17"/>
          <w:szCs w:val="17"/>
          <w:color w:val="auto"/>
        </w:rPr>
        <w:t>from the ordinary shares (as defined in Article 4 of the Dutch Dividend Withholding Tax Act 1965 (</w:t>
      </w:r>
      <w:r>
        <w:rPr>
          <w:rFonts w:ascii="Times New Roman" w:cs="Times New Roman" w:eastAsia="Times New Roman" w:hAnsi="Times New Roman"/>
          <w:sz w:val="17"/>
          <w:szCs w:val="17"/>
          <w:i w:val="1"/>
          <w:iCs w:val="1"/>
          <w:color w:val="auto"/>
        </w:rPr>
        <w:t>Wet op de dividendbelasting</w:t>
      </w:r>
      <w:r>
        <w:rPr>
          <w:rFonts w:ascii="Times New Roman" w:cs="Times New Roman" w:eastAsia="Times New Roman" w:hAnsi="Times New Roman"/>
          <w:sz w:val="17"/>
          <w:szCs w:val="17"/>
          <w:color w:val="auto"/>
        </w:rPr>
        <w:t>). Generally, a holder of our ordinary shares may be entitled or required to apply, subject to certain other requirements, the dividend withholding tax exemption if it is an entity and holds an interest of 5% or more in our nominal paid-up shares capital;</w:t>
      </w:r>
    </w:p>
    <w:p>
      <w:pPr>
        <w:spacing w:after="0" w:line="61" w:lineRule="exact"/>
        <w:rPr>
          <w:sz w:val="20"/>
          <w:szCs w:val="20"/>
          <w:color w:val="auto"/>
        </w:rPr>
      </w:pPr>
    </w:p>
    <w:p>
      <w:pPr>
        <w:ind w:left="1080" w:hanging="532"/>
        <w:spacing w:after="0" w:line="257"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 investment institutions (</w:t>
      </w:r>
      <w:r>
        <w:rPr>
          <w:rFonts w:ascii="Times New Roman" w:cs="Times New Roman" w:eastAsia="Times New Roman" w:hAnsi="Times New Roman"/>
          <w:sz w:val="18"/>
          <w:szCs w:val="18"/>
          <w:i w:val="1"/>
          <w:iCs w:val="1"/>
          <w:color w:val="auto"/>
        </w:rPr>
        <w:t>fiscale beleggingsinstellingen</w:t>
      </w:r>
      <w:r>
        <w:rPr>
          <w:rFonts w:ascii="Times New Roman" w:cs="Times New Roman" w:eastAsia="Times New Roman" w:hAnsi="Times New Roman"/>
          <w:sz w:val="18"/>
          <w:szCs w:val="18"/>
          <w:color w:val="auto"/>
        </w:rPr>
        <w:t>), tax exempt investment institutions (</w:t>
      </w:r>
      <w:r>
        <w:rPr>
          <w:rFonts w:ascii="Times New Roman" w:cs="Times New Roman" w:eastAsia="Times New Roman" w:hAnsi="Times New Roman"/>
          <w:sz w:val="18"/>
          <w:szCs w:val="18"/>
          <w:i w:val="1"/>
          <w:iCs w:val="1"/>
          <w:color w:val="auto"/>
        </w:rPr>
        <w:t>vrijgestelde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beleggingsinstellingen</w:t>
      </w:r>
      <w:r>
        <w:rPr>
          <w:rFonts w:ascii="Times New Roman" w:cs="Times New Roman" w:eastAsia="Times New Roman" w:hAnsi="Times New Roman"/>
          <w:sz w:val="18"/>
          <w:szCs w:val="18"/>
          <w:color w:val="auto"/>
        </w:rPr>
        <w:t>) (each as defined in the Dutch Corporate Income Tax Act 1969) and other entities that are, in whole or in part,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89"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pre-funded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expression “dividends distributed” includes, among other things:</w:t>
      </w:r>
    </w:p>
    <w:p>
      <w:pPr>
        <w:spacing w:after="0" w:line="131" w:lineRule="exact"/>
        <w:rPr>
          <w:sz w:val="20"/>
          <w:szCs w:val="20"/>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in cash or in kind, deemed and constructive distributions and repayments of paid-in capital not recognized for Dutch dividend withholding tax purposes;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liquidation proceeds, proceeds of redemption of our ordinary shares, or proceeds of the repurchase of ordinary shares (other than as temporary portfolio investment; </w:t>
      </w:r>
      <w:r>
        <w:rPr>
          <w:rFonts w:ascii="Times New Roman" w:cs="Times New Roman" w:eastAsia="Times New Roman" w:hAnsi="Times New Roman"/>
          <w:sz w:val="18"/>
          <w:szCs w:val="18"/>
          <w:i w:val="1"/>
          <w:iCs w:val="1"/>
          <w:color w:val="auto"/>
        </w:rPr>
        <w:t>tijdelijke belegging</w:t>
      </w:r>
      <w:r>
        <w:rPr>
          <w:rFonts w:ascii="Times New Roman" w:cs="Times New Roman" w:eastAsia="Times New Roman" w:hAnsi="Times New Roman"/>
          <w:sz w:val="18"/>
          <w:szCs w:val="18"/>
          <w:color w:val="auto"/>
        </w:rPr>
        <w:t>) by us or one of our subsidiaries or other affiliated entities, in each case to the extent such proceeds exceed the average paid-in capital of those ordinary shares as recognized for Dutch dividend withholding tax purposes;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par value of our ordinary shares issued or an increase of the par value of ordinary shares, to the extent that it does not appear that a contribution, recognized for Dutch dividend withholding tax purposes, has been made or will be made;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repayment of the paid-in capital, recognized for Dutch dividend withholding tax purposes, if and to the extent that we have net profits (</w:t>
      </w:r>
      <w:r>
        <w:rPr>
          <w:rFonts w:ascii="Times New Roman" w:cs="Times New Roman" w:eastAsia="Times New Roman" w:hAnsi="Times New Roman"/>
          <w:sz w:val="18"/>
          <w:szCs w:val="18"/>
          <w:i w:val="1"/>
          <w:iCs w:val="1"/>
          <w:color w:val="auto"/>
        </w:rPr>
        <w:t>zuivere winst</w:t>
      </w:r>
      <w:r>
        <w:rPr>
          <w:rFonts w:ascii="Times New Roman" w:cs="Times New Roman" w:eastAsia="Times New Roman" w:hAnsi="Times New Roman"/>
          <w:sz w:val="18"/>
          <w:szCs w:val="18"/>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European Union law, or treaties for the avoidance of double taxation in effect between the Netherlands and such other country.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stripping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Times New Roman" w:cs="Times New Roman" w:eastAsia="Times New Roman" w:hAnsi="Times New Roman"/>
          <w:sz w:val="18"/>
          <w:szCs w:val="18"/>
          <w:i w:val="1"/>
          <w:iCs w:val="1"/>
          <w:color w:val="auto"/>
        </w:rPr>
        <w:t>uiteindelijk gerechtigde</w:t>
      </w:r>
      <w:r>
        <w:rPr>
          <w:rFonts w:ascii="Times New Roman" w:cs="Times New Roman" w:eastAsia="Times New Roman" w:hAnsi="Times New Roman"/>
          <w:sz w:val="18"/>
          <w:szCs w:val="18"/>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Conditional withholding tax on dividends (as of January 1, 2024)</w:t>
      </w:r>
    </w:p>
    <w:p>
      <w:pPr>
        <w:spacing w:after="0" w:line="117"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color w:val="auto"/>
        </w:rPr>
        <w:t>As of January 1, 2024, a Dutch conditional withholding tax will be imposed on dividends distributed by us to entities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xml:space="preserve">) to us (within the meaning of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if such related entity:</w:t>
      </w:r>
    </w:p>
    <w:p>
      <w:pPr>
        <w:spacing w:after="0" w:line="64" w:lineRule="exact"/>
        <w:rPr>
          <w:sz w:val="20"/>
          <w:szCs w:val="20"/>
          <w:color w:val="auto"/>
        </w:rPr>
      </w:pPr>
    </w:p>
    <w:p>
      <w:pPr>
        <w:ind w:left="1080" w:right="360" w:hanging="532"/>
        <w:spacing w:after="0" w:line="26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considered to be resident (</w:t>
      </w:r>
      <w:r>
        <w:rPr>
          <w:rFonts w:ascii="Times New Roman" w:cs="Times New Roman" w:eastAsia="Times New Roman" w:hAnsi="Times New Roman"/>
          <w:sz w:val="18"/>
          <w:szCs w:val="18"/>
          <w:i w:val="1"/>
          <w:iCs w:val="1"/>
          <w:color w:val="auto"/>
        </w:rPr>
        <w:t>gevestigd</w:t>
      </w:r>
      <w:r>
        <w:rPr>
          <w:rFonts w:ascii="Times New Roman" w:cs="Times New Roman" w:eastAsia="Times New Roman" w:hAnsi="Times New Roman"/>
          <w:sz w:val="18"/>
          <w:szCs w:val="18"/>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8"/>
          <w:szCs w:val="18"/>
          <w:i w:val="1"/>
          <w:iCs w:val="1"/>
          <w:color w:val="auto"/>
        </w:rPr>
        <w:t>Regeling laagbelastende staten en niet-coöperatieve rechtsgebieden voor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belastingdoeleinden</w:t>
      </w:r>
      <w:r>
        <w:rPr>
          <w:rFonts w:ascii="Times New Roman" w:cs="Times New Roman" w:eastAsia="Times New Roman" w:hAnsi="Times New Roman"/>
          <w:sz w:val="18"/>
          <w:szCs w:val="18"/>
          <w:color w:val="auto"/>
        </w:rPr>
        <w:t>) (a “Listed Jurisdiction”); or</w:t>
      </w:r>
    </w:p>
    <w:p>
      <w:pPr>
        <w:spacing w:after="0" w:line="8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permanent establishment located in a Listed Jurisdiction to which the ordinary shares are attributable;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considered to be the beneficial owner of the ordinary shares in its jurisdiction of residence because such jurisdiction treats another entity as the beneficial owner of the ordinary shares (a hybrid mismatch);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resident in any jurisdiction (also a hybrid mismatch); or</w:t>
      </w:r>
    </w:p>
    <w:p>
      <w:pPr>
        <w:spacing w:after="0" w:line="13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reverse hybrid (within the meaning of Article 2(12) of the Dutch Corporate Income Tax Act 1969), if and to the extent (x) there is a participant in the reverse hybrid which is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Dutch conditional withholding tax on dividends will be imposed at the highest Dutch corporate income tax rate in effect at the time of the distribution (2023: 25.8%). The Dutch conditional withholding tax on dividends will be reduced, but not below zero, by any regular Dutch dividend withholding tax withheld in respect</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20"/>
          </w:cols>
          <w:pgMar w:left="320" w:top="455"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(2023: 25.8%).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Dutch Resident Entities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2023).</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Dutch Resident Individuals</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2023), if:</w:t>
      </w:r>
    </w:p>
    <w:p>
      <w:pPr>
        <w:spacing w:after="0" w:line="81" w:lineRule="exact"/>
        <w:rPr>
          <w:sz w:val="20"/>
          <w:szCs w:val="20"/>
          <w:color w:val="auto"/>
        </w:rPr>
      </w:pPr>
    </w:p>
    <w:p>
      <w:pPr>
        <w:ind w:left="1080" w:right="14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attributable to an enterprise from which the holder of ordinary shares derives a share of the profit, whether as an entrepreneur (</w:t>
      </w:r>
      <w:r>
        <w:rPr>
          <w:rFonts w:ascii="Times New Roman" w:cs="Times New Roman" w:eastAsia="Times New Roman" w:hAnsi="Times New Roman"/>
          <w:sz w:val="18"/>
          <w:szCs w:val="18"/>
          <w:i w:val="1"/>
          <w:iCs w:val="1"/>
          <w:color w:val="auto"/>
        </w:rPr>
        <w:t>ondernemer</w:t>
      </w:r>
      <w:r>
        <w:rPr>
          <w:rFonts w:ascii="Times New Roman" w:cs="Times New Roman" w:eastAsia="Times New Roman" w:hAnsi="Times New Roman"/>
          <w:sz w:val="18"/>
          <w:szCs w:val="18"/>
          <w:color w:val="auto"/>
        </w:rPr>
        <w:t>) or as a person who has a co-entitlement to the net worth (</w:t>
      </w:r>
      <w:r>
        <w:rPr>
          <w:rFonts w:ascii="Times New Roman" w:cs="Times New Roman" w:eastAsia="Times New Roman" w:hAnsi="Times New Roman"/>
          <w:sz w:val="18"/>
          <w:szCs w:val="18"/>
          <w:i w:val="1"/>
          <w:iCs w:val="1"/>
          <w:color w:val="auto"/>
        </w:rPr>
        <w:t>medegerechtigd tot het vermogen</w:t>
      </w:r>
      <w:r>
        <w:rPr>
          <w:rFonts w:ascii="Times New Roman" w:cs="Times New Roman" w:eastAsia="Times New Roman" w:hAnsi="Times New Roman"/>
          <w:sz w:val="18"/>
          <w:szCs w:val="18"/>
          <w:color w:val="auto"/>
        </w:rPr>
        <w:t>) of such enterprise without being a shareholder (as defined in the Dutch Income Tax Act 2001); or</w:t>
      </w:r>
    </w:p>
    <w:p>
      <w:pPr>
        <w:spacing w:after="0" w:line="81" w:lineRule="exact"/>
        <w:rPr>
          <w:rFonts w:ascii="Times New Roman" w:cs="Times New Roman" w:eastAsia="Times New Roman" w:hAnsi="Times New Roman"/>
          <w:sz w:val="18"/>
          <w:szCs w:val="18"/>
          <w:color w:val="auto"/>
        </w:rPr>
      </w:pPr>
    </w:p>
    <w:p>
      <w:pPr>
        <w:ind w:left="1080" w:right="26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ordinary shares is considered to perform activities with respect to the ordinary shares that go beyond ordinary asset management (</w:t>
      </w:r>
      <w:r>
        <w:rPr>
          <w:rFonts w:ascii="Times New Roman" w:cs="Times New Roman" w:eastAsia="Times New Roman" w:hAnsi="Times New Roman"/>
          <w:sz w:val="18"/>
          <w:szCs w:val="18"/>
          <w:i w:val="1"/>
          <w:iCs w:val="1"/>
          <w:color w:val="auto"/>
        </w:rPr>
        <w:t>normaal, actief vermogensbeheer</w:t>
      </w:r>
      <w:r>
        <w:rPr>
          <w:rFonts w:ascii="Times New Roman" w:cs="Times New Roman" w:eastAsia="Times New Roman" w:hAnsi="Times New Roman"/>
          <w:sz w:val="18"/>
          <w:szCs w:val="18"/>
          <w:color w:val="auto"/>
        </w:rPr>
        <w:t>) or otherwise derives benefits from the ordinary shares that are taxable as benefits from miscellaneous activities (</w:t>
      </w:r>
      <w:r>
        <w:rPr>
          <w:rFonts w:ascii="Times New Roman" w:cs="Times New Roman" w:eastAsia="Times New Roman" w:hAnsi="Times New Roman"/>
          <w:sz w:val="18"/>
          <w:szCs w:val="18"/>
          <w:i w:val="1"/>
          <w:iCs w:val="1"/>
          <w:color w:val="auto"/>
        </w:rPr>
        <w:t>resultaat uit overige werkzaamheden</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savings and investments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above-mentioned conditions (i) and (ii) do not apply to the Dutch Resident Individual, the ordinary shares will be subject to an annual Dutch income tax under the regime for savings and investments (</w:t>
      </w:r>
      <w:r>
        <w:rPr>
          <w:rFonts w:ascii="Times New Roman" w:cs="Times New Roman" w:eastAsia="Times New Roman" w:hAnsi="Times New Roman"/>
          <w:sz w:val="18"/>
          <w:szCs w:val="18"/>
          <w:i w:val="1"/>
          <w:iCs w:val="1"/>
          <w:color w:val="auto"/>
        </w:rPr>
        <w:t>inkomen uit sparen en beleggen</w:t>
      </w:r>
      <w:r>
        <w:rPr>
          <w:rFonts w:ascii="Times New Roman" w:cs="Times New Roman" w:eastAsia="Times New Roman" w:hAnsi="Times New Roman"/>
          <w:sz w:val="18"/>
          <w:szCs w:val="18"/>
          <w:color w:val="auto"/>
        </w:rPr>
        <w:t>). Taxation only occurs insofar the Dutch Resident Individual’s net investment assets for the year exceed a statutory threshold (</w:t>
      </w:r>
      <w:r>
        <w:rPr>
          <w:rFonts w:ascii="Times New Roman" w:cs="Times New Roman" w:eastAsia="Times New Roman" w:hAnsi="Times New Roman"/>
          <w:sz w:val="18"/>
          <w:szCs w:val="18"/>
          <w:i w:val="1"/>
          <w:iCs w:val="1"/>
          <w:color w:val="auto"/>
        </w:rPr>
        <w:t>heffingvrij vermogen</w:t>
      </w:r>
      <w:r>
        <w:rPr>
          <w:rFonts w:ascii="Times New Roman" w:cs="Times New Roman" w:eastAsia="Times New Roman" w:hAnsi="Times New Roman"/>
          <w:sz w:val="18"/>
          <w:szCs w:val="18"/>
          <w:color w:val="auto"/>
        </w:rPr>
        <w:t xml:space="preserve">).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8"/>
          <w:szCs w:val="18"/>
          <w:i w:val="1"/>
          <w:iCs w:val="1"/>
          <w:color w:val="auto"/>
        </w:rPr>
        <w:t>peildatum</w:t>
      </w:r>
      <w:r>
        <w:rPr>
          <w:rFonts w:ascii="Times New Roman" w:cs="Times New Roman" w:eastAsia="Times New Roman" w:hAnsi="Times New Roman"/>
          <w:sz w:val="18"/>
          <w:szCs w:val="18"/>
          <w:color w:val="auto"/>
        </w:rPr>
        <w:t>). Actual income or capital gains realized in respect of the ordinary shares are as such not subject to Dutch income tax.</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Dutch Resident Individual’s assets and liabilities taxed under this regime, including the ordinary shares, are allocated over the following three categories: (a) bank savings (</w:t>
      </w:r>
      <w:r>
        <w:rPr>
          <w:rFonts w:ascii="Times New Roman" w:cs="Times New Roman" w:eastAsia="Times New Roman" w:hAnsi="Times New Roman"/>
          <w:sz w:val="18"/>
          <w:szCs w:val="18"/>
          <w:i w:val="1"/>
          <w:iCs w:val="1"/>
          <w:color w:val="auto"/>
        </w:rPr>
        <w:t>banktegoeden</w:t>
      </w:r>
      <w:r>
        <w:rPr>
          <w:rFonts w:ascii="Times New Roman" w:cs="Times New Roman" w:eastAsia="Times New Roman" w:hAnsi="Times New Roman"/>
          <w:sz w:val="18"/>
          <w:szCs w:val="18"/>
          <w:color w:val="auto"/>
        </w:rPr>
        <w:t>), (b) other investments (</w:t>
      </w:r>
      <w:r>
        <w:rPr>
          <w:rFonts w:ascii="Times New Roman" w:cs="Times New Roman" w:eastAsia="Times New Roman" w:hAnsi="Times New Roman"/>
          <w:sz w:val="18"/>
          <w:szCs w:val="18"/>
          <w:i w:val="1"/>
          <w:iCs w:val="1"/>
          <w:color w:val="auto"/>
        </w:rPr>
        <w:t>overige bezittingen</w:t>
      </w:r>
      <w:r>
        <w:rPr>
          <w:rFonts w:ascii="Times New Roman" w:cs="Times New Roman" w:eastAsia="Times New Roman" w:hAnsi="Times New Roman"/>
          <w:sz w:val="18"/>
          <w:szCs w:val="18"/>
          <w:color w:val="auto"/>
        </w:rPr>
        <w:t>), including the ordinary shares, and (c) liabilities (</w:t>
      </w:r>
      <w:r>
        <w:rPr>
          <w:rFonts w:ascii="Times New Roman" w:cs="Times New Roman" w:eastAsia="Times New Roman" w:hAnsi="Times New Roman"/>
          <w:sz w:val="18"/>
          <w:szCs w:val="18"/>
          <w:i w:val="1"/>
          <w:iCs w:val="1"/>
          <w:color w:val="auto"/>
        </w:rPr>
        <w:t>schulden</w:t>
      </w:r>
      <w:r>
        <w:rPr>
          <w:rFonts w:ascii="Times New Roman" w:cs="Times New Roman" w:eastAsia="Times New Roman" w:hAnsi="Times New Roman"/>
          <w:sz w:val="18"/>
          <w:szCs w:val="18"/>
          <w:color w:val="auto"/>
        </w:rPr>
        <w:t>). The taxable benefit for the year (</w:t>
      </w:r>
      <w:r>
        <w:rPr>
          <w:rFonts w:ascii="Times New Roman" w:cs="Times New Roman" w:eastAsia="Times New Roman" w:hAnsi="Times New Roman"/>
          <w:sz w:val="18"/>
          <w:szCs w:val="18"/>
          <w:i w:val="1"/>
          <w:iCs w:val="1"/>
          <w:color w:val="auto"/>
        </w:rPr>
        <w:t>voordeel uit sparen en beleggen</w:t>
      </w:r>
      <w:r>
        <w:rPr>
          <w:rFonts w:ascii="Times New Roman" w:cs="Times New Roman" w:eastAsia="Times New Roman" w:hAnsi="Times New Roman"/>
          <w:sz w:val="18"/>
          <w:szCs w:val="18"/>
          <w:color w:val="auto"/>
        </w:rPr>
        <w:t>) is equal to the product of (x) the total deemed return divided by the sum of bank savings, other investments and liabilities and (y) the sum of bank savings, other investments and liabilities minus the statutory threshold, and is taxed at a flat rate of 32% (rate for 2023).</w:t>
      </w:r>
    </w:p>
    <w:p>
      <w:pPr>
        <w:spacing w:after="0" w:line="183"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deemed return applicable to other investments, including the ordinary shares, is set at 6.17% for the calendar year 2023. Transactions in the three-month period before and after 1 January of the relevant calendar year implemented to arbitrate between the deemed return percentages applicable to bank savings, other investments and liabilities will for this purpose be ignored if the holder of the ordinary shares cannot sufficiently demonstrate that such transactions are implemented for other than tax reasons.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81" w:lineRule="exact"/>
        <w:rPr>
          <w:sz w:val="20"/>
          <w:szCs w:val="20"/>
          <w:color w:val="auto"/>
        </w:rPr>
      </w:pPr>
    </w:p>
    <w:p>
      <w:pPr>
        <w:ind w:left="1080" w:right="120" w:hanging="532"/>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85"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Gift and Inheritance Taxes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death.</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gift or inheritance taxes will arise in the Netherlands with respect to a transfer of our ordinary shares by way of gift by, or on the death of, a holder of our ordinary shares who is neither resident nor deemed to be resident of the Netherlands, unless:</w:t>
      </w:r>
    </w:p>
    <w:p>
      <w:pPr>
        <w:spacing w:after="0" w:line="67" w:lineRule="exact"/>
        <w:rPr>
          <w:sz w:val="20"/>
          <w:szCs w:val="20"/>
          <w:color w:val="auto"/>
        </w:rPr>
      </w:pPr>
    </w:p>
    <w:p>
      <w:pPr>
        <w:ind w:left="1080" w:right="4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our ordinary shares made under a condition precedent, the holder of ordinary shares is resident or deemed to be resident of the Netherlands at the time the condition is fulfilled; 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otherwise construed as a gift or inheritance made by, or on behalf of, a person who, at the time of the gift or death, is or is deemed to be resident of the Netherlands.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 Dutch VAT will be payable by a holder of our ordinary shares in respect of any payment in consideration for the holding or disposal of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Taxes and Duties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No Dutch documentation taxes (commonly referred to as stamp duties) will be payable by a holder of our ordinary shares in respect of any payment in consideration for the holding or disposal of our ordinary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Morgan Stanley &amp; Co. LLC and Leerink Partners LLC have severally agreed to purchase, and we have agreed to sell to them, severally, the number of ordinary shares and pre-funded warrants indicated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320" w:type="dxa"/>
            <w:vAlign w:val="bottom"/>
            <w:vMerge w:val="restart"/>
          </w:tcPr>
          <w:p>
            <w:pPr>
              <w:spacing w:after="0"/>
              <w:rPr>
                <w:sz w:val="13"/>
                <w:szCs w:val="13"/>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 Pre-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500" w:type="dxa"/>
            <w:vAlign w:val="bottom"/>
            <w:gridSpan w:val="2"/>
          </w:tcPr>
          <w:p>
            <w:pPr>
              <w:jc w:val="right"/>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Funded Warrants</w:t>
            </w: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6,118,750</w:t>
            </w:r>
          </w:p>
        </w:tc>
        <w:tc>
          <w:tcPr>
            <w:tcW w:w="6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756,250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5,006,250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618,750</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11,125,000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1,375,000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ordinary shares subject to their acceptance of the shares from us and subject to prior sale. The underwriting agreement provides that the obligations of the several underwriters to pay for and accept delivery of the ordinary shares offered by this prospectus supplement are subject to the approval of certain legal matters by their counsel and to certain other conditions. The underwriters are obligated to take and pay for all of the ordinary shares offered by this prospectus supplement if any such shares are taken.</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may offer and sell the ordinary shares through one or more of their respective affiliates or other registered broker-dealers or selling agents.</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part of the ordinary shares and pre-funded warrants directly to the public at the offering prices listed on the cover page of this prospectus supplement and part to certain dealers at a price that represents a concession not in excess of $0.864 per ordinary share and $0.86364 per pre-funded warrant under the public offering price. After the initial offering of the ordinary shares, the offering price and other selling terms may from time to time be varied by the underwriters.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shows the per share and total public offering price, underwriting discounts and commissions, and proceeds before expenses to</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Per</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24.00</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299,986,250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281,987,075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ordinary shares offered by them.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ordinary shares trade on The Nasdaq Global Select Market under the symbol “PHVS”.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underwriters, we will not, and will not publicly disclose an intention to, during the period ending 90 days after the date of this prospectus supplement (the “restricted period”):</w:t>
      </w:r>
    </w:p>
    <w:p>
      <w:pPr>
        <w:spacing w:after="0" w:line="67" w:lineRule="exact"/>
        <w:rPr>
          <w:sz w:val="20"/>
          <w:szCs w:val="20"/>
          <w:color w:val="auto"/>
        </w:rPr>
      </w:pPr>
    </w:p>
    <w:p>
      <w:pPr>
        <w:jc w:val="both"/>
        <w:ind w:left="1080" w:right="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ordinary shares or any securities convertible into or exercisable or exchangeable for ordinary shares; or</w:t>
      </w: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ordinary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ordinary shares or such other securities, in cash or otherwise.</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in certain circumstances, subject to certain limitations and conditions set forth in the underwriting agreement, including:</w:t>
      </w:r>
    </w:p>
    <w:p>
      <w:pPr>
        <w:spacing w:after="0" w:line="54" w:lineRule="exact"/>
        <w:rPr>
          <w:sz w:val="20"/>
          <w:szCs w:val="20"/>
          <w:color w:val="auto"/>
        </w:rPr>
      </w:pPr>
    </w:p>
    <w:p>
      <w:pPr>
        <w:ind w:left="1160" w:hanging="181"/>
        <w:spacing w:after="0"/>
        <w:tabs>
          <w:tab w:leader="none" w:pos="1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ordinary shares in this offering;</w:t>
      </w:r>
    </w:p>
    <w:p>
      <w:pPr>
        <w:spacing w:after="0" w:line="117"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17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ordinary shares upon the exercise of an option, award, restricted stock unit or warrant or the conversion of a security outstanding on the date of this prospectus supplement;</w:t>
      </w:r>
    </w:p>
    <w:p>
      <w:pPr>
        <w:spacing w:after="0" w:line="53" w:lineRule="exact"/>
        <w:rPr>
          <w:rFonts w:ascii="Times New Roman" w:cs="Times New Roman" w:eastAsia="Times New Roman" w:hAnsi="Times New Roman"/>
          <w:sz w:val="18"/>
          <w:szCs w:val="18"/>
          <w:color w:val="auto"/>
        </w:rPr>
      </w:pPr>
    </w:p>
    <w:p>
      <w:pPr>
        <w:ind w:left="560" w:right="60" w:firstLine="419"/>
        <w:spacing w:after="0" w:line="258" w:lineRule="auto"/>
        <w:tabs>
          <w:tab w:leader="none" w:pos="11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ordinary shares, provided that (i) such plan does not provide for the transfer of ordinary shares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may be made under such plan during the restricted period;</w:t>
      </w:r>
    </w:p>
    <w:p>
      <w:pPr>
        <w:spacing w:after="0" w:line="75" w:lineRule="exact"/>
        <w:rPr>
          <w:rFonts w:ascii="Times New Roman" w:cs="Times New Roman" w:eastAsia="Times New Roman" w:hAnsi="Times New Roman"/>
          <w:sz w:val="18"/>
          <w:szCs w:val="18"/>
          <w:color w:val="auto"/>
        </w:rPr>
      </w:pPr>
    </w:p>
    <w:p>
      <w:pPr>
        <w:ind w:left="1180" w:hanging="201"/>
        <w:spacing w:after="0"/>
        <w:tabs>
          <w:tab w:leader="none" w:pos="1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any registration statement on Form S-8 (or any successor form) with the SEC;</w:t>
      </w:r>
    </w:p>
    <w:p>
      <w:pPr>
        <w:spacing w:after="0" w:line="117" w:lineRule="exact"/>
        <w:rPr>
          <w:rFonts w:ascii="Times New Roman" w:cs="Times New Roman" w:eastAsia="Times New Roman" w:hAnsi="Times New Roman"/>
          <w:sz w:val="18"/>
          <w:szCs w:val="18"/>
          <w:color w:val="auto"/>
        </w:rPr>
      </w:pPr>
    </w:p>
    <w:p>
      <w:pPr>
        <w:ind w:left="560" w:right="280" w:firstLine="419"/>
        <w:spacing w:after="0" w:line="266" w:lineRule="auto"/>
        <w:tabs>
          <w:tab w:leader="none" w:pos="11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ordinary shares on behalf of our officers named in the registration statement of which this prospectus supplement and the accompanying prospectus forms a part to satisfy the withholding taxes payable upon the vesting, exercise or settlement of such officer’s equity awards pursuant to employee benefit plans described in this prospectus supplement; or</w:t>
      </w:r>
    </w:p>
    <w:p>
      <w:pPr>
        <w:spacing w:after="0" w:line="67" w:lineRule="exact"/>
        <w:rPr>
          <w:rFonts w:ascii="Times New Roman" w:cs="Times New Roman" w:eastAsia="Times New Roman" w:hAnsi="Times New Roman"/>
          <w:sz w:val="18"/>
          <w:szCs w:val="18"/>
          <w:color w:val="auto"/>
        </w:rPr>
      </w:pPr>
    </w:p>
    <w:p>
      <w:pPr>
        <w:ind w:left="560" w:right="160" w:firstLine="419"/>
        <w:spacing w:after="0" w:line="276" w:lineRule="auto"/>
        <w:tabs>
          <w:tab w:leader="none" w:pos="114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issuance of or entry into an agreement to sell or issue ordinary shares or securities convertible into or exercisable for ordinary shares in connection with any (i) mergers, (ii) acquisition of securities, businesses, property, technologies or other assets, (iii) joint ventures,</w:t>
      </w:r>
    </w:p>
    <w:p>
      <w:pPr>
        <w:ind w:left="560" w:right="20" w:hanging="4"/>
        <w:spacing w:after="0" w:line="253" w:lineRule="auto"/>
        <w:tabs>
          <w:tab w:leader="none" w:pos="8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alliances, commercial relationships or other collaborations, or (v) the assumption of employee benefit plans in connection with mergers or acquisitions; provided that the aggregate number of ordinary shares or securities convertible into or exercisable for ordinary shares that we may sell or issue or agree to sell or issue shall not exceed 10% of the total number of ordinary shares immediately following the completion of this offering.</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directors and officers have agreed that, without the prior written consent of the underwriters, they will not, and will not publicly disclose an intention to, during the restricted period: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(2) enter into any swap or other arrangement that transfers to another, in whole or in part, any of the economic consequences of ownership of the ordinary shares, or (3) make any demand for or exercise any right with respect to the registration of any ordinary shares or any security convertible into or exercisable or exchangeable for ordinary shares. These restrictions do not apply in certain circumstances, subject to certain limitations and conditions set forth in the lock-up agreements, including:</w:t>
      </w:r>
    </w:p>
    <w:p>
      <w:pPr>
        <w:spacing w:after="0" w:line="81" w:lineRule="exact"/>
        <w:rPr>
          <w:sz w:val="20"/>
          <w:szCs w:val="20"/>
          <w:color w:val="auto"/>
        </w:rPr>
      </w:pPr>
    </w:p>
    <w:p>
      <w:pPr>
        <w:ind w:left="1160" w:hanging="181"/>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the offer and sale of ordinary shares pursuant to the underwriting agreement;</w:t>
      </w:r>
    </w:p>
    <w:p>
      <w:pPr>
        <w:spacing w:after="0" w:line="117"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1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ordinary shares or other securities acquired in this offering or open market transactions after the completion of this offering;</w:t>
      </w:r>
    </w:p>
    <w:p>
      <w:pPr>
        <w:spacing w:after="0" w:line="53"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1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ordinary shares or any security convertible into ordinary shares as a bona fide gift or gifts or by will, testamentary document or intestate succession;</w:t>
      </w:r>
    </w:p>
    <w:p>
      <w:pPr>
        <w:spacing w:after="0" w:line="53" w:lineRule="exact"/>
        <w:rPr>
          <w:rFonts w:ascii="Times New Roman" w:cs="Times New Roman" w:eastAsia="Times New Roman" w:hAnsi="Times New Roman"/>
          <w:sz w:val="18"/>
          <w:szCs w:val="18"/>
          <w:color w:val="auto"/>
        </w:rPr>
      </w:pPr>
    </w:p>
    <w:p>
      <w:pPr>
        <w:ind w:left="560" w:right="580" w:firstLine="419"/>
        <w:spacing w:after="0" w:line="282" w:lineRule="auto"/>
        <w:tabs>
          <w:tab w:leader="none" w:pos="11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ordinary shares or any security convertible into ordinary shares to limited partners, members, trust beneficiaries or stockholders of such director, officer or holder;</w:t>
      </w: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80" w:firstLine="419"/>
        <w:spacing w:after="0" w:line="266" w:lineRule="auto"/>
        <w:tabs>
          <w:tab w:leader="none" w:pos="11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director, officer or holder is a corporation, partnership, limited liability company, trust or other business entity, to any direct or indirect affiliate (as defined in Rule 405 promulgated under the Securities Act) of such party or any investment fund or other entity controlled or managed by, or under common control or management with, such party or any investment fund or other entity that controls such party;</w:t>
      </w:r>
    </w:p>
    <w:p>
      <w:pPr>
        <w:spacing w:after="0" w:line="67" w:lineRule="exact"/>
        <w:rPr>
          <w:rFonts w:ascii="Times New Roman" w:cs="Times New Roman" w:eastAsia="Times New Roman" w:hAnsi="Times New Roman"/>
          <w:sz w:val="18"/>
          <w:szCs w:val="18"/>
          <w:color w:val="auto"/>
        </w:rPr>
      </w:pPr>
    </w:p>
    <w:p>
      <w:pPr>
        <w:ind w:left="1140" w:hanging="16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by operation of law, pursuant to a qualified domestic order or in connection with a divorce settlement;</w:t>
      </w:r>
    </w:p>
    <w:p>
      <w:pPr>
        <w:spacing w:after="0" w:line="117" w:lineRule="exact"/>
        <w:rPr>
          <w:rFonts w:ascii="Times New Roman" w:cs="Times New Roman" w:eastAsia="Times New Roman" w:hAnsi="Times New Roman"/>
          <w:sz w:val="18"/>
          <w:szCs w:val="18"/>
          <w:color w:val="auto"/>
        </w:rPr>
      </w:pPr>
    </w:p>
    <w:p>
      <w:pPr>
        <w:ind w:left="560" w:right="400" w:firstLine="419"/>
        <w:spacing w:after="0" w:line="266" w:lineRule="auto"/>
        <w:tabs>
          <w:tab w:leader="none" w:pos="11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such party (for purposes of this agreement “immediate family” shall mean any relationship by blood, marriage or adoption, not more remote than first cousin), provided that any such transfer shall not involve a disposition for value;</w:t>
      </w:r>
    </w:p>
    <w:p>
      <w:pPr>
        <w:spacing w:after="0" w:line="67" w:lineRule="exact"/>
        <w:rPr>
          <w:rFonts w:ascii="Times New Roman" w:cs="Times New Roman" w:eastAsia="Times New Roman" w:hAnsi="Times New Roman"/>
          <w:sz w:val="18"/>
          <w:szCs w:val="18"/>
          <w:color w:val="auto"/>
        </w:rPr>
      </w:pPr>
    </w:p>
    <w:p>
      <w:pPr>
        <w:ind w:left="560" w:firstLine="419"/>
        <w:spacing w:after="0" w:line="258" w:lineRule="auto"/>
        <w:tabs>
          <w:tab w:leader="none" w:pos="11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facilitating the establishment of a trading plan on behalf of a shareholder, officer or director of us pursuant to Rule 10b5-1 under the Exchange Act for the transfer of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the transfer of ordinary shares during the restricted period and to the extent a public announcement or filing under the Exchange Act, if any, is required of or voluntarily made by or on behalf of such party or us regarding the establishment of such plan, such announcement or filing shall include a statement to the effect that no transfer of ordinary shares may be made under such plan during the restricted period;</w:t>
      </w:r>
    </w:p>
    <w:p>
      <w:pPr>
        <w:spacing w:after="0" w:line="75" w:lineRule="exact"/>
        <w:rPr>
          <w:rFonts w:ascii="Times New Roman" w:cs="Times New Roman" w:eastAsia="Times New Roman" w:hAnsi="Times New Roman"/>
          <w:sz w:val="18"/>
          <w:szCs w:val="18"/>
          <w:color w:val="auto"/>
        </w:rPr>
      </w:pPr>
    </w:p>
    <w:p>
      <w:pPr>
        <w:ind w:left="560" w:right="80" w:firstLine="419"/>
        <w:spacing w:after="0" w:line="254" w:lineRule="auto"/>
        <w:tabs>
          <w:tab w:leader="none" w:pos="11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us of ordinary shares or any security convertible into ordinary shares in connection with the “net” or “cashless” exercise of options or warrants or the vesting, exercise or settlement of any other equity-based award during the restricted period, in each case, granted pursuant to our equity incentive plans described in this prospectus supplement and the accompanying prospectus, including any ordinary shares withheld by us or any of our subsidiaries to pay the applicable exercise price or withholding taxes associated with such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 the restrictions contained in this agreement shall apply to ordinary shares issued upon such exercise, conversion, vesting or settlement and (ii) for any options or other awards that expire, vest or become settled during the restricted period while we are unable to transfer shares for purposes of satisfying any tax or other governmental withholding obligations, the restrictions contained in this agreement shall not apply to shares sold or otherwise withheld for that purpose;</w:t>
      </w:r>
    </w:p>
    <w:p>
      <w:pPr>
        <w:spacing w:after="0" w:line="83" w:lineRule="exact"/>
        <w:rPr>
          <w:rFonts w:ascii="Times New Roman" w:cs="Times New Roman" w:eastAsia="Times New Roman" w:hAnsi="Times New Roman"/>
          <w:sz w:val="18"/>
          <w:szCs w:val="18"/>
          <w:color w:val="auto"/>
        </w:rPr>
      </w:pPr>
    </w:p>
    <w:p>
      <w:pPr>
        <w:ind w:left="560" w:right="60" w:firstLine="419"/>
        <w:spacing w:after="0" w:line="255" w:lineRule="auto"/>
        <w:tabs>
          <w:tab w:leader="none" w:pos="11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made to all holders of our securities involving a change of control of us and approved by our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such securities held by the undersigned shall remain subject to the provisions of this agreement (for purposes hereof “change of control” shall mean the transfer, whether by tender offer, merger, consolidation, spin-off or other such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the outstanding voting securities of us (or the surviving entity));</w:t>
      </w:r>
    </w:p>
    <w:p>
      <w:pPr>
        <w:spacing w:after="0" w:line="80"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1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pursuant to arrangements under which we have the option to repurchase such party’s ordinary shares, which arrangements are described in this prospectus supplement and the accompanying prospectus; and</w:t>
      </w:r>
    </w:p>
    <w:p>
      <w:pPr>
        <w:spacing w:after="0" w:line="53" w:lineRule="exact"/>
        <w:rPr>
          <w:rFonts w:ascii="Times New Roman" w:cs="Times New Roman" w:eastAsia="Times New Roman" w:hAnsi="Times New Roman"/>
          <w:sz w:val="18"/>
          <w:szCs w:val="18"/>
          <w:color w:val="auto"/>
        </w:rPr>
      </w:pPr>
    </w:p>
    <w:p>
      <w:pPr>
        <w:ind w:left="1140" w:hanging="16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made with the prior written consent of the underwriters.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underwriters, in their sole discretion, may release the ordinary shares and other securities subject to the lock-up agreements described above in whole or in part at any time.</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Because we have not granted the underwriters an option to purchase additional ordinary shares, the underwriters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must close out any short position by purchasing shares in the open market. A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underwriters may agree to allocate a number of ordinary shares for sale to their online brokerage account holders. Internet distributions will be allocated on the same basis as other allocations.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address of Morgan Stanley &amp; Co. LLC is 1585 Broadway, New York, New York 10036. The address of Leerink Partners LLC is 1301 Avenue of the Americas, 12th Floor, New York, New York 10019.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ordinary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ordinary shares in any Member State of the European Economic Area (the “EEA”) (each, a “Relevant State”) will be made pursuant to an exemption under the Prospectus Regulation from the requirement to publish a prospectus for offers of ordinary shares. Accordingly, any person making or intending to make an offer in any Relevant State of ordinary shares which are the subject of the offering contemplated in this prospectus supplement, the accompanying prospectus and any related free writing prospectus may only do so in circumstances in which no obligation arises for us or any of the underwriters to publish a prospectus pursuant to Article 3 of the Prospectus Regulation in relation to such offer. Neither we nor the underwriters have authorized, nor do we or they authorize, the making of any offer of ordinary shares in the EEA in circumstances in which an obligation arises for us or the underwriters to publish a prospectus for such offer.</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relation to each Relevant State, no ordinary shares have been offered or will be offered pursuant to this offering to the public in that Relevant State prior to the publication of a prospectus in relation to the ordinary shares which has been approved by the competent authority in that Relevant State or, where appropriate, approved in each applicable Relevant State and notified to the competent authority in each Relevant State, all in accordance with the Prospectus Regulation, except that the ordinary shares may be offered to the public in that Relevant State at any time:</w:t>
      </w:r>
    </w:p>
    <w:p>
      <w:pPr>
        <w:spacing w:after="0" w:line="85"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us or any underwriter to publish a prospectus pursuant to Article 3 of the Prospectus Regulation.</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Each person who initially acquires any ordinary shares or to whom any offer is made will be deemed to have represented, acknowledged and agreed to and with each of the underwriters and us that it is a “qualified investor” as defined in the Prospectus Regulation.</w:t>
      </w:r>
    </w:p>
    <w:p>
      <w:pPr>
        <w:spacing w:after="0" w:line="162"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In the case of any ordinary shares being offered to a financial intermediary as that term is used in Article 5(1) of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a Relevant State to qualified investors as so defined in the Prospectus Regulation or in circumstances in which the prior consent of the underwriters has been obtained to each such proposed offer or resale.</w:t>
      </w:r>
    </w:p>
    <w:p>
      <w:pPr>
        <w:spacing w:after="0" w:line="16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offer of ordinary shares in any Relevant State means the communication in any form and by any means of sufficient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terms of the offer and any ordinary shares to be offered so as to enable an investor to decide to purchase or subscribe for any ordinary shares.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Pre-funded warrants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pre-funded warrants or otherwise making them available to retail investors in the EEA has been prepared and therefore offering or selling the pre-funded warrants or otherwise making them available to any retail investor in the EEA may be unlawful under the PRIIPs Regulation.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United Kingdom, none of this prospectus supplement, the accompanying prospectus and any related free writing prospectus is a prospectus for the purposes of Regulation (EU) 2017/1129 as it forms part of domestic law in the United Kingdom by virtue of the European Union (Withdrawal) Act 2018, as amended (the “EUWA”) (the “UK Prospectus Regulation”). This prospectus supplement, the accompanying prospectus and any related free writing prospectus have been prepared on the basis that any offer of ordinary shares in the United Kingdom will be made pursuant to an exemption under the UK Prospectus Regulation from the requirement to publish a prospectus for offers of ordinary shares. Accordingly any person making or intending to make an offer in the United Kingdom of ordinary shares which are the subject of the offering contemplated in this prospectus supplement, the accompanying prospectus and any related free writing prospectus may only do so in circumstances in which no obligation arises for us or any of the underwriters to publish a prospectus pursuant to Section 85 of the United Kingdom’s Financial Services and Markets Act 2000, as amended (the “FSMA”) in relation to such offer. Neither we nor the underwriters have authorized, nor do we or they authorize, the making of any offer of the ordinary shares in the United Kingdom in circumstances in which an obligation arises for us or the underwriters to publish a prospectus for such offer.</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communication of this prospectus supplement, the accompanying prospectus, any related free writing prospectus and any other document or materials relating to the issue of the ordinary shares offered hereby is not being made, and such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w:t>
      </w:r>
    </w:p>
    <w:p>
      <w:pPr>
        <w:spacing w:after="0" w:line="1" w:lineRule="exact"/>
        <w:rPr>
          <w:sz w:val="20"/>
          <w:szCs w:val="20"/>
          <w:color w:val="auto"/>
        </w:rPr>
      </w:pPr>
    </w:p>
    <w:p>
      <w:pPr>
        <w:ind w:left="120" w:right="20" w:hanging="4"/>
        <w:spacing w:after="0" w:line="251" w:lineRule="auto"/>
        <w:tabs>
          <w:tab w:leader="none" w:pos="4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other persons to whom it may otherwise lawfully be made under the Financial Promotion Order (all such persons together being referred to as “relevant persons”). This prospectus supplement, the accompanying prospectus, any related free writing prospectus and any other document or materials relating to the issue of the ordinary shares offered hereby are directed only at relevant persons and must not be acted on or relied on by persons who are not relevant persons. Any investment or investment activity to which this prospectus supplement, the accompany prospectus, any related free writing prospectus and any other document or materials relating to the issue of the ordinary shares offered hereby relates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ordinary shares offered hereby or any of their contents.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ordinary shares may only be communicated or caused to be communicated in circumstances in which Section 21(1) of the FSMA does not apply to us.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ordinary shares in, from or otherwise involving the United Kingdom.</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 ordinary shares have been offered or will be offered pursuant to this offering to the public in the United Kingdom prior to the publication of a prospectus in relation to the ordinary shares which has been approved by the Financial Conduct Authority, except that the ordinary shares may be offered to the public in the United Kingdom at any time:</w:t>
      </w:r>
    </w:p>
    <w:p>
      <w:pPr>
        <w:spacing w:after="0" w:line="68" w:lineRule="exact"/>
        <w:rPr>
          <w:sz w:val="20"/>
          <w:szCs w:val="20"/>
          <w:color w:val="auto"/>
        </w:rPr>
      </w:pPr>
    </w:p>
    <w:p>
      <w:pPr>
        <w:ind w:left="1220" w:hanging="24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17" w:lineRule="exact"/>
        <w:rPr>
          <w:rFonts w:ascii="Times New Roman" w:cs="Times New Roman" w:eastAsia="Times New Roman" w:hAnsi="Times New Roman"/>
          <w:sz w:val="18"/>
          <w:szCs w:val="18"/>
          <w:color w:val="auto"/>
        </w:rPr>
      </w:pPr>
    </w:p>
    <w:p>
      <w:pPr>
        <w:ind w:left="560" w:right="240" w:firstLine="419"/>
        <w:spacing w:after="0" w:line="282" w:lineRule="auto"/>
        <w:tabs>
          <w:tab w:leader="none" w:pos="12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53"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ordinary shares shall require us or any underwriter to publish a prospectus pursuant to Section 85 of the FSMA. Each person who initially acquires any ordinary shares or to whom any offer is made will be deemed to have represented, acknowledged and agreed to and with each of the underwriters and us that it is a “qualified investor” as defined in the UK Prospectus Regulation.</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United Kingdom to qualified investors as so defined in the UK Prospectus Regulation or in circumstances in which the prior consent of the underwriters has been obtained to each such proposed offer or resale.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offer of the ordinary shares in the United Kingdom means the communication in any form and by any means of sufficient information on the terms of the offer and any ordinary shares to be offered so as to enable an investor to decide to purchase or subscribe for any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ordinary shares have not been and will not be offered or sold in Hong Kong by means of any document other than (i) in circumstances which do not constitute an offer to the public within the meaning of the Companies (Winding Up and Miscellaneous Provisions) Ordinance (Cap.32, Laws of Hong Kong) (the “C(WUMP)O”), (ii) to “professional investors” within the meaning of the Securities and Futures Ordinance (Cap.571, Laws of Hong Kong) (the “SFO”) and any rules made thereunder or (iii) in other circumstances which do not result in the document being a “prospectus” within the meaning of the C(WUMP)O. No advertisement, invitation or document relating to our ordinary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our ordinary shares which are or are intended to be disposed of only to persons outside Hong Kong or only to “professional investors” within the meaning of the SFO and any rules made thereunder.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ordinary shares.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or QII</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has not been and will not be registered as a prospectus under the Securities and Futures Act 2001 (the “SFA”) by the Monetary Authority of Singapore, and the offer of our ordinary shares in Singapore is made primarily pursuant to the exemptions under Section 274 and 275 of the SFA. Accordingly, this prospectus supplement, the accompanying prospectus and any other document or material in connection with the offer or sale, or invitation for subscription or purchase, of our ordinary shares may not be circulated or distributed, nor may our ordinary shares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w:t>
      </w:r>
    </w:p>
    <w:p>
      <w:pPr>
        <w:spacing w:after="0" w:line="3" w:lineRule="exact"/>
        <w:rPr>
          <w:sz w:val="20"/>
          <w:szCs w:val="20"/>
          <w:color w:val="auto"/>
        </w:rPr>
      </w:pPr>
    </w:p>
    <w:p>
      <w:pPr>
        <w:ind w:left="120" w:right="400"/>
        <w:spacing w:after="0" w:line="253" w:lineRule="auto"/>
        <w:rPr>
          <w:sz w:val="20"/>
          <w:szCs w:val="20"/>
          <w:color w:val="auto"/>
        </w:rPr>
      </w:pPr>
      <w:r>
        <w:rPr>
          <w:rFonts w:ascii="Times New Roman" w:cs="Times New Roman" w:eastAsia="Times New Roman" w:hAnsi="Times New Roman"/>
          <w:sz w:val="18"/>
          <w:szCs w:val="18"/>
          <w:color w:val="auto"/>
        </w:rPr>
        <w:t>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is a condition of the offer that where our ordinary shares are subscribed for or acquired pursuant to an offer made in reliance on Section 275 of the SFA by a Relevant Person which is:</w:t>
      </w:r>
    </w:p>
    <w:p>
      <w:pPr>
        <w:spacing w:after="0" w:line="54" w:lineRule="exact"/>
        <w:rPr>
          <w:sz w:val="20"/>
          <w:szCs w:val="20"/>
          <w:color w:val="auto"/>
        </w:rPr>
      </w:pPr>
    </w:p>
    <w:p>
      <w:pPr>
        <w:ind w:left="560" w:right="440" w:firstLine="419"/>
        <w:spacing w:after="0" w:line="282" w:lineRule="auto"/>
        <w:tabs>
          <w:tab w:leader="none" w:pos="12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firstLine="419"/>
        <w:spacing w:after="0" w:line="282" w:lineRule="auto"/>
        <w:tabs>
          <w:tab w:leader="none" w:pos="12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our ordinary shares except:</w:t>
      </w:r>
    </w:p>
    <w:p>
      <w:pPr>
        <w:spacing w:after="0" w:line="68" w:lineRule="exact"/>
        <w:rPr>
          <w:sz w:val="20"/>
          <w:szCs w:val="20"/>
          <w:color w:val="auto"/>
        </w:rPr>
      </w:pPr>
    </w:p>
    <w:p>
      <w:pPr>
        <w:ind w:left="560" w:right="100" w:firstLine="419"/>
        <w:spacing w:after="0" w:line="282" w:lineRule="auto"/>
        <w:tabs>
          <w:tab w:leader="none" w:pos="11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a Relevant Person, or which arises from an offer referred to in Section 275(1A) of the SFA (in the case of that corporation) or Section 276(4)(c)(ii) of the SFA (in the case of that trust);</w:t>
      </w:r>
    </w:p>
    <w:p>
      <w:pPr>
        <w:spacing w:after="0" w:line="53" w:lineRule="exact"/>
        <w:rPr>
          <w:rFonts w:ascii="Times New Roman" w:cs="Times New Roman" w:eastAsia="Times New Roman" w:hAnsi="Times New Roman"/>
          <w:sz w:val="18"/>
          <w:szCs w:val="18"/>
          <w:color w:val="auto"/>
        </w:rPr>
      </w:pPr>
    </w:p>
    <w:p>
      <w:pPr>
        <w:ind w:left="1160" w:hanging="181"/>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7" w:lineRule="exact"/>
        <w:rPr>
          <w:rFonts w:ascii="Times New Roman" w:cs="Times New Roman" w:eastAsia="Times New Roman" w:hAnsi="Times New Roman"/>
          <w:sz w:val="18"/>
          <w:szCs w:val="18"/>
          <w:color w:val="auto"/>
        </w:rPr>
      </w:pPr>
    </w:p>
    <w:p>
      <w:pPr>
        <w:ind w:left="1160" w:hanging="181"/>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17" w:lineRule="exact"/>
        <w:rPr>
          <w:rFonts w:ascii="Times New Roman" w:cs="Times New Roman" w:eastAsia="Times New Roman" w:hAnsi="Times New Roman"/>
          <w:sz w:val="18"/>
          <w:szCs w:val="18"/>
          <w:color w:val="auto"/>
        </w:rPr>
      </w:pPr>
    </w:p>
    <w:p>
      <w:pPr>
        <w:ind w:left="1160" w:hanging="181"/>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17" w:lineRule="exact"/>
        <w:rPr>
          <w:rFonts w:ascii="Times New Roman" w:cs="Times New Roman" w:eastAsia="Times New Roman" w:hAnsi="Times New Roman"/>
          <w:sz w:val="18"/>
          <w:szCs w:val="18"/>
          <w:color w:val="auto"/>
        </w:rPr>
      </w:pPr>
    </w:p>
    <w:p>
      <w:pPr>
        <w:ind w:left="560" w:right="700" w:firstLine="419"/>
        <w:spacing w:after="0" w:line="282" w:lineRule="auto"/>
        <w:tabs>
          <w:tab w:leader="none" w:pos="11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ordinary shares may not be publicly offered, directly or indirectly, in Switzerland within the meaning of the Swiss Financial Services Act (“FinSA”) and no application has or will be made to admit the ordinary shares to trading on any trading venue (exchange or multilateral trading facility) in Switzerland. Neither this prospectus supplement, the accompanying prospectus nor any other offering or marketing material relating to the ordinary shares constitute a prospectus pursuant to the FinSA, and neither this prospectus supplement, the accompanying prospectus nor any other offering or marketing material relating to the ordinary shares may be publicly distributed or otherwise made publicly available in Switzerland.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ordinary shares and certain other matters of Dutch law will be passed upon for us by NautaDutilh N.V. The validity of the pre-funded warrants and certain other matters of U.S. federal and New York State law will be passed upon for us by Kirkland &amp; Ellis LLP, New York, New York. Sidley Austin LLP, San Francisco, California, and Loyens &amp; Loeff N.V., Amsterdam, The Netherlands are counsel to the underwriters in connection with this offering.</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0900"/>
          </w:cols>
          <w:pgMar w:left="320" w:top="455" w:right="6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20-F for the year ended December 31, 2022 have been so incorporated in reliance on the report of PricewaterhouseCoopers Accountants N.V., an independent registered public accounting firm, given on the authority of said firm as experts in auditing and accounting.</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00"/>
          </w:cols>
          <w:pgMar w:left="320" w:top="455" w:right="5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filed with the U.S. Securities and Exchange Commission a registration statement (including amendments and exhibits to the registration statement) on Form F-3 under the Securities Act. Our SEC filings are available to the public over the Internet at the SEC’s website at http://www.sec.gov. Copies of certain information filed by us with the SEC are also available on our website at http://www.pharvaris.com. Our website is not a part of this prospectus supplement and is not incorporated by reference in this prospectus supplement.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20"/>
          </w:cols>
          <w:pgMar w:left="320" w:top="455"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April 5, 2023.</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6-K, filed with the SEC on </w:t>
      </w:r>
      <w:hyperlink r:id="rId55">
        <w:r>
          <w:rPr>
            <w:rFonts w:ascii="Times New Roman" w:cs="Times New Roman" w:eastAsia="Times New Roman" w:hAnsi="Times New Roman"/>
            <w:sz w:val="18"/>
            <w:szCs w:val="18"/>
            <w:u w:val="single" w:color="auto"/>
            <w:color w:val="0000EE"/>
          </w:rPr>
          <w:t>January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99.2), </w:t>
      </w:r>
      <w:hyperlink r:id="rId56">
        <w:r>
          <w:rPr>
            <w:rFonts w:ascii="Times New Roman" w:cs="Times New Roman" w:eastAsia="Times New Roman" w:hAnsi="Times New Roman"/>
            <w:sz w:val="18"/>
            <w:szCs w:val="18"/>
            <w:u w:val="single" w:color="auto"/>
            <w:color w:val="0000EE"/>
          </w:rPr>
          <w:t>February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w:t>
      </w:r>
      <w:hyperlink r:id="rId57">
        <w:r>
          <w:rPr>
            <w:rFonts w:ascii="Times New Roman" w:cs="Times New Roman" w:eastAsia="Times New Roman" w:hAnsi="Times New Roman"/>
            <w:sz w:val="18"/>
            <w:szCs w:val="18"/>
            <w:u w:val="single" w:color="auto"/>
            <w:color w:val="0000EE"/>
          </w:rPr>
          <w:t>March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w:t>
      </w:r>
      <w:hyperlink r:id="rId58">
        <w:r>
          <w:rPr>
            <w:rFonts w:ascii="Times New Roman" w:cs="Times New Roman" w:eastAsia="Times New Roman" w:hAnsi="Times New Roman"/>
            <w:sz w:val="18"/>
            <w:szCs w:val="18"/>
            <w:u w:val="single" w:color="auto"/>
            <w:color w:val="0000EE"/>
          </w:rPr>
          <w:t>May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w:t>
      </w:r>
      <w:hyperlink r:id="rId59">
        <w:r>
          <w:rPr>
            <w:rFonts w:ascii="Times New Roman" w:cs="Times New Roman" w:eastAsia="Times New Roman" w:hAnsi="Times New Roman"/>
            <w:sz w:val="18"/>
            <w:szCs w:val="18"/>
            <w:u w:val="single" w:color="auto"/>
            <w:color w:val="0000EE"/>
          </w:rPr>
          <w:t>June 20,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Exhibit 99.1 and Exhibit</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99.2), </w:t>
      </w:r>
      <w:hyperlink r:id="rId60">
        <w:r>
          <w:rPr>
            <w:rFonts w:ascii="Times New Roman" w:cs="Times New Roman" w:eastAsia="Times New Roman" w:hAnsi="Times New Roman"/>
            <w:sz w:val="18"/>
            <w:szCs w:val="18"/>
            <w:u w:val="single" w:color="auto"/>
            <w:color w:val="0000EE"/>
          </w:rPr>
          <w:t>June 26, 2023</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June 27, 2023</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July 3, 2023</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August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 99.1), </w:t>
      </w:r>
      <w:hyperlink r:id="rId64">
        <w:r>
          <w:rPr>
            <w:rFonts w:ascii="Times New Roman" w:cs="Times New Roman" w:eastAsia="Times New Roman" w:hAnsi="Times New Roman"/>
            <w:sz w:val="18"/>
            <w:szCs w:val="18"/>
            <w:u w:val="single" w:color="auto"/>
            <w:color w:val="0000EE"/>
          </w:rPr>
          <w:t>November 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Exhibit</w:t>
      </w:r>
    </w:p>
    <w:p>
      <w:pPr>
        <w:spacing w:after="0" w:line="9"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and </w:t>
      </w:r>
      <w:hyperlink r:id="rId65">
        <w:r>
          <w:rPr>
            <w:rFonts w:ascii="Times New Roman" w:cs="Times New Roman" w:eastAsia="Times New Roman" w:hAnsi="Times New Roman"/>
            <w:sz w:val="18"/>
            <w:szCs w:val="18"/>
            <w:u w:val="single" w:color="auto"/>
            <w:color w:val="0000EE"/>
          </w:rPr>
          <w:t>December 6, 2023</w:t>
        </w:r>
      </w:hyperlink>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Form 8-A filed with the SEC on </w:t>
      </w:r>
      <w:hyperlink r:id="rId66">
        <w:r>
          <w:rPr>
            <w:rFonts w:ascii="Times New Roman" w:cs="Times New Roman" w:eastAsia="Times New Roman" w:hAnsi="Times New Roman"/>
            <w:sz w:val="18"/>
            <w:szCs w:val="18"/>
            <w:u w:val="single" w:color="auto"/>
            <w:color w:val="0000EE"/>
          </w:rPr>
          <w:t>February 4, 2021</w:t>
        </w:r>
      </w:hyperlink>
      <w:r>
        <w:rPr>
          <w:rFonts w:ascii="Times New Roman" w:cs="Times New Roman" w:eastAsia="Times New Roman" w:hAnsi="Times New Roman"/>
          <w:sz w:val="18"/>
          <w:szCs w:val="18"/>
          <w:color w:val="auto"/>
        </w:rPr>
        <w:t xml:space="preserve">, as updated by the description of our ordinary shares filed as </w:t>
      </w:r>
      <w:hyperlink r:id="rId67">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2022.</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on or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80" w:lineRule="exact"/>
        <w:rPr>
          <w:rFonts w:ascii="Times New Roman" w:cs="Times New Roman" w:eastAsia="Times New Roman" w:hAnsi="Times New Roman"/>
          <w:sz w:val="18"/>
          <w:szCs w:val="18"/>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Documents incorporated by reference in this prospectus supplement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w:t>
      </w:r>
    </w:p>
    <w:p>
      <w:pPr>
        <w:spacing w:after="0" w:line="2"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(0)71 203 6410.</w:t>
      </w:r>
    </w:p>
    <w:p>
      <w:pPr>
        <w:spacing w:after="0" w:line="13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32"/>
          <w:szCs w:val="32"/>
          <w:b w:val="1"/>
          <w:bCs w:val="1"/>
          <w:color w:val="auto"/>
        </w:rPr>
        <w:t>Ordinary shares, Debt Securities, 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182245</wp:posOffset>
            </wp:positionV>
            <wp:extent cx="2151380" cy="334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21513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offer, from time to time, in one or more offerings, ordinary shares, senior debt securities, subordinated debt securities, warrants, purchase contracts or units,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33 of this prospectus.</w:t>
      </w:r>
    </w:p>
    <w:p>
      <w:pPr>
        <w:spacing w:after="0" w:line="172"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READ THIS PROSPECTUS AND ANY SUPPLEMENT TO THIS PROSPECTUS CAREFULLY BEFORE YOU INVEST.</w:t>
      </w:r>
    </w:p>
    <w:p>
      <w:pPr>
        <w:spacing w:after="0" w:line="15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“PHVS.” On March 10, 2022, the last sale price of our ordinary shares as reported by The Nasdaq Global Select Market was $17.00 per ordinary share.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w:t>
      </w:r>
    </w:p>
    <w:p>
      <w:pPr>
        <w:spacing w:after="0" w:line="172"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20" w:right="1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 In addition, please review any additional risk factors in the accompanying prospectus supplement, any free writing prospectus and any documents we incorporate by reference.</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10, 2022.</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in or incorporated by reference in this prospectus and any related prospectus supplement we provide to you. We have not authorized anyone to provide you with different or additional information.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4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1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3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PHARVARIS N.V.</w:t>
            </w:r>
          </w:p>
        </w:tc>
        <w:tc>
          <w:tcPr>
            <w:tcW w:w="408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3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060" w:type="dxa"/>
            <w:vAlign w:val="bottom"/>
            <w:gridSpan w:val="1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20" w:type="dxa"/>
            <w:vAlign w:val="bottom"/>
            <w:gridSpan w:val="1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57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370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COMPARISON OF DUTCH LAW AND OUR ARTICLES OF ASSOCIATION AND U.S. CORPORATE LAW</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30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100" w:type="dxa"/>
            <w:vAlign w:val="bottom"/>
            <w:tcBorders>
              <w:top w:val="single" w:sz="8" w:color="0000EE"/>
            </w:tcBorders>
            <w:gridSpan w:val="8"/>
          </w:tcPr>
          <w:p>
            <w:pPr>
              <w:spacing w:after="0"/>
              <w:rPr>
                <w:sz w:val="17"/>
                <w:szCs w:val="17"/>
                <w:color w:val="auto"/>
              </w:rPr>
            </w:pPr>
          </w:p>
        </w:tc>
        <w:tc>
          <w:tcPr>
            <w:tcW w:w="128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920" w:type="dxa"/>
            <w:vAlign w:val="bottom"/>
            <w:gridSpan w:val="1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0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6"/>
          </w:tcPr>
          <w:p>
            <w:pPr>
              <w:spacing w:after="0"/>
              <w:rPr>
                <w:sz w:val="17"/>
                <w:szCs w:val="17"/>
                <w:color w:val="auto"/>
              </w:rPr>
            </w:pPr>
          </w:p>
        </w:tc>
        <w:tc>
          <w:tcPr>
            <w:tcW w:w="5860" w:type="dxa"/>
            <w:vAlign w:val="bottom"/>
            <w:gridSpan w:val="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22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ENFORCEMENT OF JUDGMENTS</w:t>
            </w:r>
          </w:p>
        </w:tc>
        <w:tc>
          <w:tcPr>
            <w:tcW w:w="6680" w:type="dxa"/>
            <w:vAlign w:val="bottom"/>
            <w:gridSpan w:val="1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EXPENSES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940" w:type="dxa"/>
            <w:vAlign w:val="bottom"/>
            <w:gridSpan w:val="1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94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385"/>
        </w:trPr>
        <w:tc>
          <w:tcPr>
            <w:tcW w:w="7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this shelf process, we may sell up to $350,000,000 in any combination of the securities described in this prospectus in one or more offerings.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pursuant to this prospectus, we will provide a prospectus supplement and/or free writing prospectus that will contain specific information about the terms of that offering, including amounts, prices and terms of the securities being offered.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information in the prospectus supplement or free writing prospectus, you should rely on the information in the prospectus supplement or free writing prospectus, as the case may be. This prospectus may not be used to sell any securities unless accompanied by a prospectus supplement or free writing prospectus.</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free writing prospectus together with the additional information described herein under the heading “Where You Can Find More Information and “Incorporation of Certain Information by Reference.” We have not authorized any person to provide you with different information and we take no responsibility for, and can provide no assurance as to the reliability of, any other information that others may give you. We are not making an offer to sell these securities in any jurisdiction where the offer or sale is not permitted.</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You should not assume that the information in this prospectus, any accompanying prospectus supplement or free writing prospectus or any documents we incorporate by reference in this prospectus, any prospectus supplement and free writing prospectus is accurate as of any date other than the date on the front of those documents. Our business, financial condition, results of operations and prospects may have changed since that date.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file annual reports on Form 20-F, reports on Form 6-K, and other information with the SEC under the Securities Exchange Act of 1934, as amended, or the Exchange Act. You may read and copy this information at the following location of the SEC: Public Reference Room, 100 F Street, N.E., Washington, D.C. 20549.</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67" w:lineRule="exact"/>
        <w:rPr>
          <w:sz w:val="20"/>
          <w:szCs w:val="20"/>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or success of our clinical development programs, especially for PHVS416 and PHVS719, which are in early-stage clinical trials;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COVID-19 pandemic, which may adversely impact our business, preclinical studies and clinical trials, the timing of regulatory approvals and the value of our ordinary shares;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other limitations involved in obtaining regulatory approval for our product candidates PHVS416 and PHVS719 or any other product candidate that we may develop in the future;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commercial capabilities or enter into agreements with third parties to market, sell and distribute our product candidates;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perform critical activities related to the research, development and manufacturing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and on acceptable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any new licensing agreements or to maintain any licensing agreements with respect to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and licensees, whose actions we cannot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private insurers and other payors to provide reimbursement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and other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price negotiations with governmental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 industry and with competitive generic products;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know-how and operate our business without infringing the intellectual property rights or regulatory exclusivity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associated with the use of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costly and damaging liability claims resulting from the testing of our product candidates in the clinic or, if, approved, any commercial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any of our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sizes and anticipated uses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performance;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future revenues, expenses,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or future laws and regulations in a cost-efficient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negative consequences from changes in applicable laws and regulations, including tax laws;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weaknesses in our internal control over financial reporting and to maintain an effective system of internal control over financial reporting;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 or a foreign private issuer;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political and economic conditions, including as a result of the current conflict between Russia and Ukraine;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severity of the COVID-19 outbreak and its impact on our business, including our supply chain, clinical trials and operations;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herein under “Risk Factors” or incorporated herein by reference.</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Additionally, some of the risks and uncertainties identified above may be amplified by the COVID-19 pandemic.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commenced our RAPIDe-1 Phase 2 clinical trial of PHVS416 in February 2021 and expect to have Phase 2 data for the acute treatment of patients with HAE attacks in the fourth quarter of 2022. We also commenced a Phase 2 clinical trial for prophylaxis in 2021 using twice-daily dosing of the PHVS416 soft capsules. Our primary objective with this trial is to assess the safety profile of PHVS416 dose regimens for prophylactic treatments in HAE patients. We also initiated a Phase 1 clinical trial with PHVS719 in 2021 to assess pharmacokinetics of the extended-release formulation.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offices of Pharvaris N.V. are located at J.H. Oortweg 21, 2333 CH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8"/>
          <w:szCs w:val="18"/>
          <w:i w:val="1"/>
          <w:iCs w:val="1"/>
          <w:color w:val="auto"/>
        </w:rPr>
        <w:t>www.pharvaris.com</w:t>
      </w:r>
      <w:r>
        <w:rPr>
          <w:rFonts w:ascii="Times New Roman" w:cs="Times New Roman" w:eastAsia="Times New Roman" w:hAnsi="Times New Roman"/>
          <w:sz w:val="18"/>
          <w:szCs w:val="18"/>
          <w:color w:val="auto"/>
        </w:rPr>
        <w:t>. The information contained on our website is not a part of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 or the Sarbanes-Oxley Act.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until such time that we cease to qualify as an emerging growth company. We would cease to qualify as an emerging growth company upon the earliest of: (i) the last day of the fiscal year (A) in which we had more than $1.07 billion in annual revenue,</w:t>
      </w:r>
    </w:p>
    <w:p>
      <w:pPr>
        <w:ind w:left="400" w:hanging="284"/>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deemed to be a “large accelerated filer” under the rules of the SEC, or (C) following the fifth anniversary of the date of the completion</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also report under the Securities Exchange Act of 1934, as amended, or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domestic filers to issue financial statements prepared under U.S. GAAP;</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from our sale of the securities will be used for general corporate purposes and other business opportunities.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legal and commercial name is Pharvaris N.V. In connection with our initial public offering in the first quarter of 2021, we converted the legal form of our company under Dutch law from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to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changed our name from Pharvaris B.V. to Pharvaris N.V. Pharvaris B.V. was founded on September 30, 2015 in Leiden, The Netherlands.</w:t>
      </w:r>
    </w:p>
    <w:p>
      <w:pPr>
        <w:spacing w:after="0" w:line="17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We are registered with the Chamber of Commerce (</w:t>
      </w:r>
      <w:r>
        <w:rPr>
          <w:rFonts w:ascii="Times New Roman" w:cs="Times New Roman" w:eastAsia="Times New Roman" w:hAnsi="Times New Roman"/>
          <w:sz w:val="18"/>
          <w:szCs w:val="18"/>
          <w:i w:val="1"/>
          <w:iCs w:val="1"/>
          <w:color w:val="auto"/>
        </w:rPr>
        <w:t>handelsregister van de Kamer van Koophandel</w:t>
      </w:r>
      <w:r>
        <w:rPr>
          <w:rFonts w:ascii="Times New Roman" w:cs="Times New Roman" w:eastAsia="Times New Roman" w:hAnsi="Times New Roman"/>
          <w:sz w:val="18"/>
          <w:szCs w:val="18"/>
          <w:color w:val="auto"/>
        </w:rPr>
        <w:t>) under number 64239411. Our corporate seat is in Leiden, the Netherlands, and our registered office is also in Leiden, the Netherlands.</w:t>
      </w:r>
    </w:p>
    <w:p>
      <w:pPr>
        <w:spacing w:after="0" w:line="16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authorized share capital is €14,100,000, divided into 58,750,000 ordinary shares, each with a nominal value of €0.12, and 58,750,000 preferred shares, each with a nominal value of €0.12. Our issued share capital was €3,978,225.72 as of December 31, 2021.</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Dutch law, our authorized share capital is the maximum capital that we may issue without amending our Articles of Association. An amendment of our Articles of Association would require a resolution of the general meeting of shareholders upon proposal by our board of directors (the “Board”).</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Initial settlement of any ordinary shares to be issued pursuant to this prospectus will take place through The Depository Trust Company, or DTC, in accordance with its customary settlement procedures for equity securities. Each person owning ordinary shares held through DTC must rely on the procedures thereof and on institutions that have accounts therewith to exercise any rights of a holder of the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or Nasdaq, under the symbol “PHVS”.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Articles of Association and Dutch Law</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relevant information concerning our share capital and material provisions of our Articles of Association and applicable Dutch law. This summary does not constitute legal advice regarding those matters and should not be regarded as such.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Company’s Shareholders’ Register</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Pursuant to Dutch law and the Articles of Association, we must keep our shareholders’ register accurate and up-to-date. The Board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in shares belonging to another or a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such shares. Any ordinary shares to be issued pursuant to this prospectus will be held through DTC, therefore DTC or its nominee will be recorded in the shareholders’ register as the holder of the ordinary shares.</w:t>
      </w:r>
    </w:p>
    <w:p>
      <w:pPr>
        <w:spacing w:after="0" w:line="18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Our ordinary shares and preferred shares, if any, shall be in registered form (</w:t>
      </w:r>
      <w:r>
        <w:rPr>
          <w:rFonts w:ascii="Times New Roman" w:cs="Times New Roman" w:eastAsia="Times New Roman" w:hAnsi="Times New Roman"/>
          <w:sz w:val="18"/>
          <w:szCs w:val="18"/>
          <w:i w:val="1"/>
          <w:iCs w:val="1"/>
          <w:color w:val="auto"/>
        </w:rPr>
        <w:t>op naam</w:t>
      </w:r>
      <w:r>
        <w:rPr>
          <w:rFonts w:ascii="Times New Roman" w:cs="Times New Roman" w:eastAsia="Times New Roman" w:hAnsi="Times New Roman"/>
          <w:sz w:val="18"/>
          <w:szCs w:val="18"/>
          <w:color w:val="auto"/>
        </w:rPr>
        <w:t>). We may issue share certificates (</w:t>
      </w:r>
      <w:r>
        <w:rPr>
          <w:rFonts w:ascii="Times New Roman" w:cs="Times New Roman" w:eastAsia="Times New Roman" w:hAnsi="Times New Roman"/>
          <w:sz w:val="18"/>
          <w:szCs w:val="18"/>
          <w:i w:val="1"/>
          <w:iCs w:val="1"/>
          <w:color w:val="auto"/>
        </w:rPr>
        <w:t>aandeelbewijzen</w:t>
      </w:r>
      <w:r>
        <w:rPr>
          <w:rFonts w:ascii="Times New Roman" w:cs="Times New Roman" w:eastAsia="Times New Roman" w:hAnsi="Times New Roman"/>
          <w:sz w:val="18"/>
          <w:szCs w:val="18"/>
          <w:color w:val="auto"/>
        </w:rPr>
        <w:t>) for registered shares in such form as may be approved by our Board.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Objectives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Articles of Association, our corporate objectives are:</w:t>
      </w:r>
    </w:p>
    <w:p>
      <w:pPr>
        <w:spacing w:after="0" w:line="131" w:lineRule="exact"/>
        <w:rPr>
          <w:sz w:val="20"/>
          <w:szCs w:val="20"/>
          <w:color w:val="auto"/>
        </w:rPr>
      </w:pPr>
    </w:p>
    <w:p>
      <w:pPr>
        <w:ind w:left="5580" w:right="3620" w:hanging="4924"/>
        <w:spacing w:after="0" w:line="454" w:lineRule="auto"/>
        <w:tabs>
          <w:tab w:leader="none" w:pos="10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discover, develop and commercialize treatments, including for hereditary angioedema; 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81"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incorporate, participate in, finance or hold any other interest in and to conduct the management or supervision of other entities, companies, partnerships and businesses;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to manage, to invest, to exploit, to encumber and to dispose of assets and liabilities;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anything which, in the widest sense, is connected with or may be conducive to the objects described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the Rights to Own Ordinary Shares</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 Our preferred shares shall only be issued to the protective foundation, if and when incorporated.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shall be given to an indemnified person:</w:t>
      </w:r>
    </w:p>
    <w:p>
      <w:pPr>
        <w:spacing w:after="0" w:line="89" w:lineRule="exact"/>
        <w:rPr>
          <w:sz w:val="20"/>
          <w:szCs w:val="20"/>
          <w:color w:val="auto"/>
        </w:rPr>
      </w:pPr>
    </w:p>
    <w:p>
      <w:pPr>
        <w:ind w:left="1080" w:right="32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85"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financial losses, damages or expenses incurred in connection with a settlement of any proceedings effected without the Company’s prior consent.</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our Board may stipulate additional terms, conditions and restrictions in relation to the indemnification described above.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Meetings and Consents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General meetings must be held in the Netherlands, in any of the locations specified in our articles of association.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Times New Roman" w:cs="Times New Roman" w:eastAsia="Times New Roman" w:hAnsi="Times New Roman"/>
          <w:sz w:val="18"/>
          <w:szCs w:val="18"/>
          <w:i w:val="1"/>
          <w:iCs w:val="1"/>
          <w:color w:val="auto"/>
        </w:rPr>
        <w:t>eigen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vermogen</w:t>
      </w:r>
      <w:r>
        <w:rPr>
          <w:rFonts w:ascii="Times New Roman" w:cs="Times New Roman" w:eastAsia="Times New Roman" w:hAnsi="Times New Roman"/>
          <w:sz w:val="18"/>
          <w:szCs w:val="18"/>
          <w:color w:val="auto"/>
        </w:rPr>
        <w:t>) has decreased to an amount equal to or lower than half of our paid-in and called-up share capital, in order to discuss the measures to be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so required.</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our statutory annual accounts, appropriation of our profits and proposals relating to the composition of the Board, including the filling of any vacancies in the Board. In addition, the agenda shall include such items as have been included therein by the Board. 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Dutch Corporate Governance Code,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of directors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of directors.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 and Voting Requirements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ordinary share and each preferred share, if any are outstanding, confers the right on the holder to cast one vote at the general meeting.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may vote by proxy. No votes may be cast at a general meeting on shares held by us or our subsidiaries or on shares for which we or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subsidiaries hold depository receipts. 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of shares held by us or our subsidiaries in our share capital are not excluded from the right to vote on such shares, if the right of usufruct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 purpose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determining the number of shareholders that vote and that are present or represented, or the amount of the share capital that is provided or that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represented at a general meeting.</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Decisions of the general meeting are taken by a simple majority of votes cast, except where Dutch law or our Articles of Association provide for a qualified majority or unanimity.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Duties and Liabilities of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Dutch law, our Board is charged with the management of the Company, which includes setting the Company’s policies and strategy, subject to the restrictions contained in our Articles of Association.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is entitled to represent our Company. The power to represent our Company also vests in our chief executive officer, as well in any two executive director acting jointly.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Amount Available for Distribution</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Under Dutch law, we may only pay dividends and other distributions from our reserves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our articles of association, if any preferred shares are or have been outstanding, a dividend is first paid out of our profits,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the remaining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 Dividends and other distributions shall be made payable no later than a date determined by us.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our Articles of Association or Dutch law that limit the right of shareholders who are not citizens or residents of the Netherlands to hold or vote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Squeeze-out Procedures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shareholder who holds at least 95% of our issued share capital for his or her own account, alone or together with group companies, may initiate proceedings against the other shareholders jointly for the transfer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Times New Roman" w:cs="Times New Roman" w:eastAsia="Times New Roman" w:hAnsi="Times New Roman"/>
          <w:sz w:val="17"/>
          <w:szCs w:val="17"/>
          <w:i w:val="1"/>
          <w:iCs w:val="1"/>
          <w:color w:val="auto"/>
        </w:rPr>
        <w:t>Wetboek van Burgerlijke Rechtsvordering</w:t>
      </w:r>
      <w:r>
        <w:rPr>
          <w:rFonts w:ascii="Times New Roman" w:cs="Times New Roman" w:eastAsia="Times New Roman" w:hAnsi="Times New Roman"/>
          <w:sz w:val="17"/>
          <w:szCs w:val="17"/>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debts, if any preferred shares are or have been outstanding, a liquidation distribution equal to the preferred dividend is first paid out to the holders or former holders of those preferred shares (to the extent they are entitled to such distribution under our Articles of Association). Thereafter, any remaining assets shall be distributed to the holders of ordinary shares in proportion to their ordinary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Dutch Financial Reporting Supervision Act</w:t>
      </w:r>
    </w:p>
    <w:p>
      <w:pPr>
        <w:spacing w:after="0" w:line="119"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On the basis of the Dutch Financial Reporting Supervision Act (</w:t>
      </w:r>
      <w:r>
        <w:rPr>
          <w:rFonts w:ascii="Times New Roman" w:cs="Times New Roman" w:eastAsia="Times New Roman" w:hAnsi="Times New Roman"/>
          <w:sz w:val="18"/>
          <w:szCs w:val="18"/>
          <w:i w:val="1"/>
          <w:iCs w:val="1"/>
          <w:color w:val="auto"/>
        </w:rPr>
        <w:t>Wet toezicht financiële verslaggeving</w:t>
      </w:r>
      <w:r>
        <w:rPr>
          <w:rFonts w:ascii="Times New Roman" w:cs="Times New Roman" w:eastAsia="Times New Roman" w:hAnsi="Times New Roman"/>
          <w:sz w:val="18"/>
          <w:szCs w:val="18"/>
          <w:color w:val="auto"/>
        </w:rPr>
        <w:t>), or the FRSA, the Dutch Authority for the Financial Markets (</w:t>
      </w:r>
      <w:r>
        <w:rPr>
          <w:rFonts w:ascii="Times New Roman" w:cs="Times New Roman" w:eastAsia="Times New Roman" w:hAnsi="Times New Roman"/>
          <w:sz w:val="18"/>
          <w:szCs w:val="18"/>
          <w:i w:val="1"/>
          <w:iCs w:val="1"/>
          <w:color w:val="auto"/>
        </w:rPr>
        <w:t>Stichting Autoriteit Financiële Markten</w:t>
      </w:r>
      <w:r>
        <w:rPr>
          <w:rFonts w:ascii="Times New Roman" w:cs="Times New Roman" w:eastAsia="Times New Roman" w:hAnsi="Times New Roman"/>
          <w:sz w:val="18"/>
          <w:szCs w:val="18"/>
          <w:color w:val="auto"/>
        </w:rPr>
        <w:t>), or AFM, supervises the application of financial reporting standards by Dutch companies whose securities are listed on a Dutch or foreign stock exchange.</w:t>
      </w:r>
    </w:p>
    <w:p>
      <w:pPr>
        <w:spacing w:after="0" w:line="175"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w:t>
      </w:r>
    </w:p>
    <w:p>
      <w:pPr>
        <w:spacing w:after="0" w:line="1" w:lineRule="exact"/>
        <w:rPr>
          <w:sz w:val="20"/>
          <w:szCs w:val="20"/>
          <w:color w:val="auto"/>
        </w:rPr>
      </w:pPr>
    </w:p>
    <w:p>
      <w:pPr>
        <w:ind w:left="120" w:right="80" w:hanging="4"/>
        <w:spacing w:after="0" w:line="253" w:lineRule="auto"/>
        <w:tabs>
          <w:tab w:leader="none" w:pos="3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COMPARISON OF DUTCH LAW AND OUR ARTICLES OF ASSOCIATION AND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 CORPORATE LAW</w:t>
      </w:r>
    </w:p>
    <w:p>
      <w:pPr>
        <w:spacing w:after="0" w:line="20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Dutch Corporate Governance Code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a listed Dutch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87"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w:t>
      </w:r>
    </w:p>
    <w:p>
      <w:pPr>
        <w:spacing w:after="0" w:line="2"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8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DCGC recommends against providing equity awards as part of the compensation of a non-executive director. However, consistent with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practice, we have granted equity awards to our non-executive directors.</w:t>
      </w:r>
    </w:p>
    <w:p>
      <w:pPr>
        <w:spacing w:after="0" w:line="20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Duties of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We have a one-tier board structure consisting of a board of directors comprising executive and non-executive directors..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Dutch law, our Board is charged with the management of the company, which includes setting the company’s policies and strategy, subject to the restrictions contained in our Articles of Association. Our executive directors manage our day-to-day business and operations and implement our strategy. Our non-executive directors focus on the supervision on the policy and functioning of the performance of the duties of all of our directors and our general state of affairs. Our directors may divide their tasks among themselves in or pursuant to internal rules. Each directors has a statutory duty to act in the corporate interest of our company and its business. Under Dutch law, the corporate interest extends to the interests of all corporate stakeholders, such as shareholders, creditors, employees, customers and suppliers. The duty to act in the corporate interest of our company also applies in the event of a proposed sale or break-up of our company, provided that the circumstances generally dictate how such duty is to be applied and how the respective interests of various groups of stakeholders should be weighed.</w:t>
      </w:r>
    </w:p>
    <w:p>
      <w:pPr>
        <w:spacing w:after="0" w:line="19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Board is entitled to represent our company. The power to represent our company also vests in our chief executive officer, as well as in any other two executive directors acting jointly.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7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terms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The DCGC provides the following best practice recommendations on the terms for tenure of our directors:</w:t>
      </w:r>
    </w:p>
    <w:p>
      <w:pPr>
        <w:spacing w:after="0" w:line="133" w:lineRule="exact"/>
        <w:rPr>
          <w:sz w:val="20"/>
          <w:szCs w:val="20"/>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directors should be appointed for a maximum period of four years, without limiting the number of consecutive terms they may serve;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directors should be appointed for two consecutive periods of no more than four years. Thereafter, non-executive directors may be reappointed for a maximum of two consecutive periods of no more than two years, provided that the reasons for any reappointment after an eight-year term of office should be disclosed in the Company’s statutory annual report.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the issued share capital, unless the resolution is passed at the proposal of the board of directors,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8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Our Board can temporarily fill vacancies in its midst caused by temporary absence or incapacity of directors without requiring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would also be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18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Dutch law, directors are appointed and re-appointed by the general meeting. Under our Articles of Association, directors are appointed by the general meeting upon the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78"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Delaware</w:t>
      </w:r>
      <w:r>
        <w:rPr>
          <w:rFonts w:ascii="Times New Roman" w:cs="Times New Roman" w:eastAsia="Times New Roman" w:hAnsi="Times New Roman"/>
          <w:sz w:val="17"/>
          <w:szCs w:val="17"/>
          <w:color w:val="auto"/>
        </w:rPr>
        <w:t>. The Delaware General Corporation Law provides that vacancies and newly created directorships may be filled by a majority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then in office (even though less than a quorum) unless (i) otherwise provided in the certificate of incorporation or bylaws of the corporation or</w:t>
      </w:r>
    </w:p>
    <w:p>
      <w:pPr>
        <w:spacing w:after="0" w:line="1" w:lineRule="exact"/>
        <w:rPr>
          <w:sz w:val="20"/>
          <w:szCs w:val="20"/>
          <w:color w:val="auto"/>
        </w:rPr>
      </w:pPr>
    </w:p>
    <w:p>
      <w:pPr>
        <w:ind w:left="120" w:right="40" w:hanging="4"/>
        <w:spacing w:after="0" w:line="260" w:lineRule="auto"/>
        <w:tabs>
          <w:tab w:leader="none" w:pos="3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Conflict-of-interest transactions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and our Articles of Association, our directors shall not take part in any discussion or decision-making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DCGC provides the following best practice recommendations in relation to conflicts of interests in respect of directors:</w:t>
      </w:r>
    </w:p>
    <w:p>
      <w:pPr>
        <w:spacing w:after="0" w:line="131" w:lineRule="exact"/>
        <w:rPr>
          <w:sz w:val="20"/>
          <w:szCs w:val="20"/>
          <w:color w:val="auto"/>
        </w:rPr>
      </w:pPr>
    </w:p>
    <w:p>
      <w:pPr>
        <w:ind w:left="1080" w:right="3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should report any potential conflict of interest in a transaction that is of material significance to the Company and/or to such director to the other directors without delay, providing all relevant information in relation to the conflict;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should decide, outside the presence of the director concerned, whether there is a conflict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there is a conflict of interest with a director should be agreed on arms’ length terms;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to enter into such a transaction in which there is a conflict of interest with a director that is of material significance to the Company and/or to such director shall require the approval of the board of directors, and such transactions should be disclosed in the Company’s annual board report.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transactions involving a Delaware corporation and an interested director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would not be voidable if:</w:t>
      </w:r>
    </w:p>
    <w:p>
      <w:pPr>
        <w:spacing w:after="0" w:line="66" w:lineRule="exact"/>
        <w:rPr>
          <w:sz w:val="20"/>
          <w:szCs w:val="20"/>
          <w:color w:val="auto"/>
        </w:rPr>
      </w:pPr>
    </w:p>
    <w:p>
      <w:pPr>
        <w:ind w:left="1080" w:right="2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or known as to the director’s relationship or interest and the transaction is specifically approved in good faith by vote of the majority of shares entitled to vote thereon;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Proxy voting by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An absent director may issue a proxy for a specific board meeting but only to another director in writing or by electronic means.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In accordance with Dutch law and our Articles of Association, each issued ordinary share and each issued preferred share,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outstanding,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Pursuant to Dutch law, one or more shareholders or others with meeting rights under Dutch law who jointly represent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8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agenda for our general meetings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81" w:lineRule="exact"/>
        <w:rPr>
          <w:sz w:val="20"/>
          <w:szCs w:val="20"/>
          <w:color w:val="auto"/>
        </w:rPr>
      </w:pPr>
    </w:p>
    <w:p>
      <w:pPr>
        <w:ind w:left="1080" w:right="2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cannot reasonably believe that a continuation of the cooling-off period would contribute to careful policy-making; or</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Delaware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shareholders’ resolutions may be adopted in writing without holding a meeting of shareholders, provided that</w:t>
      </w:r>
    </w:p>
    <w:p>
      <w:pPr>
        <w:spacing w:after="0" w:line="29" w:lineRule="exact"/>
        <w:rPr>
          <w:sz w:val="20"/>
          <w:szCs w:val="20"/>
          <w:color w:val="auto"/>
        </w:rPr>
      </w:pPr>
    </w:p>
    <w:p>
      <w:pPr>
        <w:ind w:left="120" w:right="220" w:hanging="4"/>
        <w:spacing w:after="0" w:line="253"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87"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Subject to certain exceptions, Dutch law does not recognize the concept of appraisal or dissenters’ rights. However, Dutch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82"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judicially determined fair value of the stockholder’s shares, in connection with certain mergers and consolidations.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17"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In the event a third-party is liable to a Dutch company, only the Company itself can bring a civil action against that party.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shareholders do not have the right to bring an action on behalf of</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Articles of Association provide that the sole and exclusive forum for any complaint asserting a cause of action arising under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 of 1933, as amended, to the fullest extent permitted by applicable law, shall be the U.S. federal district courts.</w:t>
      </w:r>
    </w:p>
    <w:p>
      <w:pPr>
        <w:spacing w:after="0" w:line="20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when issuing shares, a public company such as ours may not subscribe for newly issued shares in its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or which are held by a subsidiary of the company, would not exceed 50% of its then-current issued share capital. Such company may only acquire its own shares if its general meeting has granted the board of directors the authority to effect such acquisitions.</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 acquisition by us of shares in our capital for a consideration must be authorized by our general meeting. Such authorization may be granted for a maximum period of 18 months and must specify the number of shares that may be acquired, the manner in which shares may be acquired and the price limits within which ordinary shares may be acquired. The actual acquisition may only be effected pursuant to a resolution of our Board. On February 1, 2021, our general meeting adopted a resolution pursuant to which our Board is authorized, for a period of 18 months following February 9, 2021, to cause the repurchase of ordinary shares (or depositary receipts for ordinary shares) by us of up to 10% of our issued share capital, for a price per share not exceeding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fully paid ordinary shares are acquired by us with the intention of transferring such ordinary shares to our employees under an applicable employee stock purchase plan.</w:t>
      </w:r>
    </w:p>
    <w:p>
      <w:pPr>
        <w:spacing w:after="0" w:line="17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 may generally purchase or redeem its own shares unless the capital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9" w:lineRule="exact"/>
        <w:rPr>
          <w:sz w:val="20"/>
          <w:szCs w:val="20"/>
          <w:color w:val="auto"/>
        </w:rPr>
      </w:pPr>
    </w:p>
    <w:p>
      <w:pPr>
        <w:jc w:val="both"/>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various protective measures are possible and permissible within the boundaries set by Dutch law and Dutch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law. In this respect, certain provisions of our articles of association may make it more difficult for a third-party to acquire control of us or effect a change in the composition of our Board. These include:</w:t>
      </w:r>
    </w:p>
    <w:p>
      <w:pPr>
        <w:spacing w:after="0" w:line="81" w:lineRule="exact"/>
        <w:rPr>
          <w:sz w:val="20"/>
          <w:szCs w:val="20"/>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a class of preferred shares that may be issued to a protective foundation pursuant to a call option to that effect and in such a manner as to dilute the interest of any potential acquirer or shareholder activist;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directors may only be dismissed at the general meeting by a two-thirds majority of votes cast representing more than half of our issued share capital, unless the dismissal is proposed by our Board in which latter case a simple majority of the votes cast would be sufficient ;</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directors being appointed on the basis of a binding nomination prepared by our Board, which can only be overruled by the general meeting by a resolution adopted by a two-thirds majority of the votes cast representing more than half of the issued share capital (in which case the Board shall make a new nomination);</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which allows the former chairperson of our Board or our former chief executive officer to be charged with our management if all of our directors are absent or incapacitated;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matters, including an amendment of our Articles of Association, may only be resolved upon by our general meeting if proposed by our Board.</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Dutch law also allows for staggered multi-year terms of our directors, as a result of which only part of our directors may be subject to appointment or re-appointment in any given year.</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Furthermore, our board of directors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174"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also contains provisions that protect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with an “interested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stockholder” (which could include a shareholder that beneficially owns 15% or more of a corporation’s voting stock) for a period of three years following the time that such person becomes an interested stockholder, unless:</w:t>
      </w:r>
    </w:p>
    <w:p>
      <w:pPr>
        <w:spacing w:after="0" w:line="67" w:lineRule="exact"/>
        <w:rPr>
          <w:sz w:val="20"/>
          <w:szCs w:val="20"/>
          <w:color w:val="auto"/>
        </w:rPr>
      </w:pPr>
    </w:p>
    <w:p>
      <w:pPr>
        <w:ind w:left="1080" w:right="2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19"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The Board must provide the general meeting all information that it requires, unless this would be contrary to an overriding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of our Company. If the Board invokes such an overriding interest, it must give reasons.</w:t>
      </w:r>
    </w:p>
    <w:p>
      <w:pPr>
        <w:spacing w:after="0" w:line="15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stockholder may inspect for any proper purpose certain of the corporation’s books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records during the corporation’s usual hours of business.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Dismissal of Directors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our articles of association, our directors can only be dismissed by the general meeting by simple majority,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our directors can only be dismissed by the general meeting by simple majority, provided that our board of directors proposes the dismissal. In other cases, the general meeting can only pass such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7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director or the entire board of directors may be removed, with or without cause,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119" w:lineRule="exact"/>
        <w:rPr>
          <w:sz w:val="20"/>
          <w:szCs w:val="20"/>
          <w:color w:val="auto"/>
        </w:rPr>
      </w:pPr>
    </w:p>
    <w:p>
      <w:pPr>
        <w:jc w:val="both"/>
        <w:ind w:left="120"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a company’s general meeting is the corporate body authorized to resolve on the issuance of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granting of rights to subscribe for shares. The general meeting can delegate such authority to another corporate body of the company for a period not exceeding five years; this authorization may only be extended from time to time for a maximum period of five years.</w:t>
      </w:r>
    </w:p>
    <w:p>
      <w:pPr>
        <w:spacing w:after="0" w:line="17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February 1, 2021, our general meeting adopted a resolution pursuant to which our Board is authorized, for a period of five years following February 5, 2021, to issue shares or grant rights to subscribe for shares up to our authorized share capital from time to time. We may not subscribe for our own shares on issue.</w:t>
      </w:r>
    </w:p>
    <w:p>
      <w:pPr>
        <w:spacing w:after="0" w:line="174"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issuance of shares requires the board of directors to adopt a resolution or resolutions, authorizing the issuance,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expressly vested in the board of directors by the provisions of the Company’s certificate of incorporation.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Pre-emption Rights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in the event of an issuance of ordinary shares, each shareholder will have a pro rata pre-emption right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to the aggregate nominal value of the ordinary shares held by such holder (except in the case of an issue of ordinary shares to employees, or against a contribution other than in cash or pursuant to the exercise of a previously acquired right to subscribe for shares). Under our Articles of Association, the pre-emption rights in respect of newly issued ordinary shares may be restricted or excluded by a resolution of the general meeting upon proposal of the board of directors. Our preferred shares carry no pre-emption rights.</w:t>
      </w:r>
    </w:p>
    <w:p>
      <w:pPr>
        <w:spacing w:after="0" w:line="18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Another corporate body may restrict or exclude the pre-emption rights in respect of newly issued ordinary shares if it has been designated as the authorized body to do so by the general meeting. Such designation can be granted for a period not exceeding five years. A resolution of the general meeting to restrict or exclude the pre-emption rights or to designate another corporate body as the authorized body to do so requires a majority of not less than two-thirds of the votes cast, if less than one-half of our issued share capital is represented at the meeting.</w:t>
      </w:r>
    </w:p>
    <w:p>
      <w:pPr>
        <w:spacing w:after="0" w:line="180" w:lineRule="exact"/>
        <w:rPr>
          <w:sz w:val="20"/>
          <w:szCs w:val="20"/>
          <w:color w:val="auto"/>
        </w:rPr>
      </w:pPr>
    </w:p>
    <w:p>
      <w:pPr>
        <w:ind w:left="120" w:right="700" w:firstLine="440"/>
        <w:spacing w:after="0" w:line="312" w:lineRule="auto"/>
        <w:rPr>
          <w:sz w:val="20"/>
          <w:szCs w:val="20"/>
          <w:color w:val="auto"/>
        </w:rPr>
      </w:pPr>
      <w:r>
        <w:rPr>
          <w:rFonts w:ascii="Times New Roman" w:cs="Times New Roman" w:eastAsia="Times New Roman" w:hAnsi="Times New Roman"/>
          <w:sz w:val="17"/>
          <w:szCs w:val="17"/>
          <w:color w:val="auto"/>
        </w:rPr>
        <w:t>On February 1, 2021, our general meeting authorized our Board, for a period of five years following February 5, 2021 to limit or exclude pre-emption rights in relation to an issuance of shares or a grant of rights to subscribe for shares that the Board is authorized to resolve upon.</w:t>
      </w:r>
    </w:p>
    <w:p>
      <w:pPr>
        <w:spacing w:after="0" w:line="13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security convertible into such stock unless, and to the extent that, such rights are expressly provided for in the certificate of incorporation.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we may only pay dividends and other distributions from our reserves to the extent our shareholders’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w:t>
      </w:r>
    </w:p>
    <w:p>
      <w:pPr>
        <w:spacing w:after="0" w:line="18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if any preferred shares are or have been outstanding, a dividend is first paid out of our profits, if available for distribution, to the holders or former holders, as applicable, of those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preferred shares to the extent they are entitled to such distribution under our articles of association, which we refer to as our preferred dividend. Thereafter, our Board may decide that all or part of the remaining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no later than a date determined by us.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subject to any restrictions contained in the corporation’s certificate of incorporation,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Vote on Certain Reorganizations</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Under Dutch law, the general meeting must approve resolutions of the board of directors relating to a significant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identity or the character of the Company or the business of the Company, which includes:</w:t>
      </w:r>
    </w:p>
    <w:p>
      <w:pPr>
        <w:spacing w:after="0" w:line="66"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business or virtually the entire business to a third-party;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9" w:lineRule="auto"/>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50" w:lineRule="exact"/>
        <w:rPr>
          <w:sz w:val="20"/>
          <w:szCs w:val="20"/>
          <w:color w:val="auto"/>
        </w:rPr>
      </w:pPr>
    </w:p>
    <w:p>
      <w:pPr>
        <w:ind w:left="560" w:right="320"/>
        <w:spacing w:after="0" w:line="282" w:lineRule="auto"/>
        <w:rPr>
          <w:sz w:val="20"/>
          <w:szCs w:val="20"/>
          <w:color w:val="auto"/>
        </w:rPr>
      </w:pPr>
      <w:r>
        <w:rPr>
          <w:rFonts w:ascii="Times New Roman" w:cs="Times New Roman" w:eastAsia="Times New Roman" w:hAnsi="Times New Roman"/>
          <w:sz w:val="18"/>
          <w:szCs w:val="18"/>
          <w:color w:val="auto"/>
        </w:rPr>
        <w:t>The absence of such approval shall result in the relevant resolution being null and void but shall not affect the powers or representation of the Board.</w:t>
      </w:r>
    </w:p>
    <w:p>
      <w:pPr>
        <w:spacing w:after="0" w:line="16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of Directors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Dutch law does not provide for limitations with respect to the aggregate annual compensation paid to our directors,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compensation is consistent with our compensation policy. Our compensation policy has been adopted by the general meeting with effect from February 5, 2021. Changes to the compensation policy will require a vote of our general meeting by simple majority of the votes cast. The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183"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stockholders do not generally have the right to approve the compensation policy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the senior management of the corporation, although certain aspects of executive compensation may be subject to stockholder vote due to the provisions of U.S. federal securities and tax law, as well as exchange requirements.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debt securities will be our direct general obligations. The debt securities will be either senior debt securities or subordinated debt securities and may be secured or unsecured and may be convertible into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spacing w:after="0" w:line="17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as senior or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the specific series of debt securities relative to other outstanding indebtedness, including subsidiaries’ debt;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may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at which the debt securities shall bear interest, if any;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on which such interest shall be payable, and on which a record shall be taken for the determination of holders of the debt securities to whom interest is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and interest shall be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spacing w:after="0" w:line="45" w:lineRule="exact"/>
        <w:rPr>
          <w:rFonts w:ascii="Times New Roman" w:cs="Times New Roman" w:eastAsia="Times New Roman" w:hAnsi="Times New Roman"/>
          <w:sz w:val="17"/>
          <w:szCs w:val="17"/>
          <w:color w:val="auto"/>
        </w:rPr>
      </w:pPr>
    </w:p>
    <w:p>
      <w:pPr>
        <w:ind w:left="1080" w:right="2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of the Company to redeem, purchase or repay any debt securities pursuant to any mandatory redemption, sinking fund or other provisions or at the option of a holder of the debt securities;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higher integral multiple of $1,000, the denominations in which the debt securities will be issuable;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 which payment of the principal and interest shall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global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for the defeasance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U.S. federal income tax consequences;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terms, including any deletions from, modifications of or additions to the events of default or covenants described below or in the applicable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Debt</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issue under the senior indenture the debt securities that will constitute part of our senior debt. These senior debt securities will rank equally and pari passu with all our other unsecured and unsubordinated debt.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Subordinated Debt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spacing w:after="0" w:line="94" w:lineRule="exact"/>
        <w:rPr>
          <w:sz w:val="20"/>
          <w:szCs w:val="20"/>
          <w:color w:val="auto"/>
        </w:rPr>
      </w:pPr>
    </w:p>
    <w:p>
      <w:pPr>
        <w:ind w:left="1080" w:right="1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Dutch law, any insolvency or bankruptcy proceedings, or any receivership, dissolution, winding up, total or partial liquidation, reorganization or other similar proceedings in respect of us or a substantial part of our property, whether voluntary or involuntary;</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spacing w:after="0" w:line="88"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Authentication and Delivery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deliver the debt securities to the trustee for authentication, and the trustee will authenticate and deliver the debt securities upon our written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When we use the term “Event of Default” in the indentures with respect to the debt securities of any series, set forth below are some examples of what we mean:</w:t>
      </w:r>
    </w:p>
    <w:p>
      <w:pPr>
        <w:spacing w:after="0" w:line="67" w:lineRule="exact"/>
        <w:rPr>
          <w:sz w:val="20"/>
          <w:szCs w:val="20"/>
          <w:color w:val="auto"/>
        </w:rPr>
      </w:pPr>
    </w:p>
    <w:p>
      <w:pPr>
        <w:ind w:left="5540" w:right="1420" w:hanging="4992"/>
        <w:spacing w:after="0" w:line="454" w:lineRule="auto"/>
        <w:tabs>
          <w:tab w:leader="none" w:pos="10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on the debt securities when it becomes due and payable at maturity or otherwise; 28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interest on the debt securities when it becomes due and payable, and such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of bankruptcy, insolvency, or similar proceedings with respect to us or any substantial part of our property;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Events of Default that may be set forth in the applicable prospectus supplement.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Discharge and 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discharge our obligations under each indenture, except as to:</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registration of transfer and exchange of debt securities, and our right of optional redemption,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mutilated, defaced, destroyed, lost or stolen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to receive payments of principal and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obligations and immunities of the trustee;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debt securities as beneficiaries with respect to the property deposited with the trustee payable to them (as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600" w:hanging="331"/>
        <w:spacing w:after="0" w:line="282"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any series issued that have been authenticated and delivered have been delivered by us to the trustee for cancellation; or</w:t>
      </w:r>
    </w:p>
    <w:p>
      <w:pPr>
        <w:spacing w:after="0" w:line="67" w:lineRule="exact"/>
        <w:rPr>
          <w:rFonts w:ascii="Times New Roman" w:cs="Times New Roman" w:eastAsia="Times New Roman" w:hAnsi="Times New Roman"/>
          <w:sz w:val="18"/>
          <w:szCs w:val="18"/>
          <w:color w:val="auto"/>
        </w:rPr>
      </w:pPr>
    </w:p>
    <w:p>
      <w:pPr>
        <w:ind w:left="1540" w:right="340" w:hanging="331"/>
        <w:spacing w:after="0" w:line="261"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600"/>
        <w:spacing w:after="0" w:line="282" w:lineRule="auto"/>
        <w:rPr>
          <w:sz w:val="20"/>
          <w:szCs w:val="20"/>
          <w:color w:val="auto"/>
        </w:rPr>
      </w:pPr>
      <w:r>
        <w:rPr>
          <w:rFonts w:ascii="Times New Roman" w:cs="Times New Roman" w:eastAsia="Times New Roman" w:hAnsi="Times New Roman"/>
          <w:sz w:val="18"/>
          <w:szCs w:val="18"/>
          <w:color w:val="auto"/>
        </w:rPr>
        <w:t>sufficient to pay at maturity or upon redemption all debt securities of such series not delivered to the trustee for cancellation, including principal and interest due or to become due on or prior to such date of maturity or redemption;</w:t>
      </w:r>
    </w:p>
    <w:p>
      <w:pPr>
        <w:spacing w:after="0" w:line="67"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such indenture;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such indenture relating to the satisfaction and discharge of such indenture have been complied with.</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legal defeasance or covenant defeasance with respect to outstanding debt securities of any series:</w:t>
      </w:r>
    </w:p>
    <w:p>
      <w:pPr>
        <w:spacing w:after="0" w:line="131" w:lineRule="exact"/>
        <w:rPr>
          <w:sz w:val="20"/>
          <w:szCs w:val="20"/>
          <w:color w:val="auto"/>
        </w:rPr>
      </w:pPr>
    </w:p>
    <w:p>
      <w:pPr>
        <w:ind w:left="1080" w:right="50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in an amount;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 U.S. government obligations,</w:t>
      </w:r>
    </w:p>
    <w:p>
      <w:pPr>
        <w:spacing w:after="0" w:line="225"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spacing w:after="0" w:line="81" w:lineRule="exact"/>
        <w:rPr>
          <w:sz w:val="20"/>
          <w:szCs w:val="20"/>
          <w:color w:val="auto"/>
        </w:rPr>
      </w:pPr>
    </w:p>
    <w:p>
      <w:pPr>
        <w:jc w:val="both"/>
        <w:ind w:left="1080" w:right="22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relating to bankruptcy or insolvency and, in the case of a covenant defeasance, no other default has occurred and is continuing at any time;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defeasance have been complied with.</w:t>
      </w:r>
    </w:p>
    <w:p>
      <w:pPr>
        <w:spacing w:after="0" w:line="162" w:lineRule="exact"/>
        <w:rPr>
          <w:sz w:val="20"/>
          <w:szCs w:val="20"/>
          <w:color w:val="auto"/>
        </w:rPr>
      </w:pPr>
    </w:p>
    <w:p>
      <w:pPr>
        <w:jc w:val="center"/>
        <w:ind w:right="360"/>
        <w:spacing w:after="0" w:line="454" w:lineRule="auto"/>
        <w:rPr>
          <w:sz w:val="20"/>
          <w:szCs w:val="20"/>
          <w:color w:val="auto"/>
        </w:rPr>
      </w:pPr>
      <w:r>
        <w:rPr>
          <w:rFonts w:ascii="Times New Roman" w:cs="Times New Roman" w:eastAsia="Times New Roman" w:hAnsi="Times New Roman"/>
          <w:sz w:val="18"/>
          <w:szCs w:val="18"/>
          <w:color w:val="auto"/>
        </w:rPr>
        <w:t>We are required to furnish to each trustee an annual statement as to compliance with all conditions and covenants under the indenture. 30</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warrants we offer will include specific terms relating to the offering. These terms will include some or all of the following:</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debt securities, ordinary shares or other securities purchasable upon exercise of the warrants and procedures by which those numbers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relating to the modification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warrants.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terms of any warrants to be issued and a description of the material provisions of the applicable warrant agreement will be set forth in the applicable prospectus supplement.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ordinary shares, debt securities, warrants, purchase contracts or any combination of such securities. The applicable prospectus supplement will describe:</w:t>
      </w:r>
    </w:p>
    <w:p>
      <w:pPr>
        <w:spacing w:after="0" w:line="67" w:lineRule="exact"/>
        <w:rPr>
          <w:sz w:val="20"/>
          <w:szCs w:val="20"/>
          <w:color w:val="auto"/>
        </w:rPr>
      </w:pPr>
    </w:p>
    <w:p>
      <w:pPr>
        <w:ind w:left="1080" w:right="1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ordinary shares, debt securities, warrants and/ or purchase contracts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15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40"/>
          </w:cols>
          <w:pgMar w:left="320" w:top="455" w:right="8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Pharvaris N.V., its affiliates, the trustees, the warrant agents, the unit agents or any other agent of Pharvaris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3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commercially reasonable efforts basis for the period of its appointment.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60"/>
          </w:cols>
          <w:pgMar w:left="320" w:top="455"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fiscal year ended December 31, 2020 filed on </w:t>
      </w:r>
      <w:hyperlink r:id="rId112">
        <w:r>
          <w:rPr>
            <w:rFonts w:ascii="Times New Roman" w:cs="Times New Roman" w:eastAsia="Times New Roman" w:hAnsi="Times New Roman"/>
            <w:sz w:val="18"/>
            <w:szCs w:val="18"/>
            <w:u w:val="single" w:color="auto"/>
            <w:color w:val="0000EE"/>
          </w:rPr>
          <w:t>April 29, 2021</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Forms 6-K filed on </w:t>
      </w:r>
      <w:hyperlink r:id="rId113">
        <w:r>
          <w:rPr>
            <w:rFonts w:ascii="Times New Roman" w:cs="Times New Roman" w:eastAsia="Times New Roman" w:hAnsi="Times New Roman"/>
            <w:sz w:val="18"/>
            <w:szCs w:val="18"/>
            <w:u w:val="single" w:color="auto"/>
            <w:color w:val="0000EE"/>
          </w:rPr>
          <w:t>May 12, 2021</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May 26,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 99.1), </w:t>
      </w:r>
      <w:hyperlink r:id="rId115">
        <w:r>
          <w:rPr>
            <w:rFonts w:ascii="Times New Roman" w:cs="Times New Roman" w:eastAsia="Times New Roman" w:hAnsi="Times New Roman"/>
            <w:sz w:val="18"/>
            <w:szCs w:val="18"/>
            <w:u w:val="single" w:color="auto"/>
            <w:color w:val="0000EE"/>
          </w:rPr>
          <w:t>July 1, 2021</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EE"/>
          </w:rPr>
          <w:t>July 30,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 99.1), </w:t>
      </w:r>
      <w:hyperlink r:id="rId117">
        <w:r>
          <w:rPr>
            <w:rFonts w:ascii="Times New Roman" w:cs="Times New Roman" w:eastAsia="Times New Roman" w:hAnsi="Times New Roman"/>
            <w:sz w:val="18"/>
            <w:szCs w:val="18"/>
            <w:u w:val="single" w:color="auto"/>
            <w:color w:val="0000EE"/>
          </w:rPr>
          <w:t>November 10,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exhibit 99.1),</w:t>
      </w:r>
      <w:r>
        <w:rPr>
          <w:rFonts w:ascii="Times New Roman" w:cs="Times New Roman" w:eastAsia="Times New Roman" w:hAnsi="Times New Roman"/>
          <w:sz w:val="18"/>
          <w:szCs w:val="18"/>
          <w:color w:val="0000EE"/>
        </w:rPr>
        <w:t xml:space="preserve"> </w:t>
      </w:r>
      <w:hyperlink r:id="rId118">
        <w:r>
          <w:rPr>
            <w:rFonts w:ascii="Times New Roman" w:cs="Times New Roman" w:eastAsia="Times New Roman" w:hAnsi="Times New Roman"/>
            <w:sz w:val="18"/>
            <w:szCs w:val="18"/>
            <w:u w:val="single" w:color="auto"/>
            <w:color w:val="0000EE"/>
          </w:rPr>
          <w:t>December 7,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9">
        <w:r>
          <w:rPr>
            <w:rFonts w:ascii="Times New Roman" w:cs="Times New Roman" w:eastAsia="Times New Roman" w:hAnsi="Times New Roman"/>
            <w:sz w:val="18"/>
            <w:szCs w:val="18"/>
            <w:u w:val="single" w:color="auto"/>
            <w:color w:val="0000EE"/>
          </w:rPr>
          <w:t xml:space="preserve">December 22, 2021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20">
        <w:r>
          <w:rPr>
            <w:rFonts w:ascii="Times New Roman" w:cs="Times New Roman" w:eastAsia="Times New Roman" w:hAnsi="Times New Roman"/>
            <w:sz w:val="18"/>
            <w:szCs w:val="18"/>
            <w:u w:val="single" w:color="auto"/>
            <w:color w:val="0000EE"/>
          </w:rPr>
          <w:t>January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28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Form 8-A filed with the SEC on </w:t>
      </w:r>
      <w:hyperlink r:id="rId66">
        <w:r>
          <w:rPr>
            <w:rFonts w:ascii="Times New Roman" w:cs="Times New Roman" w:eastAsia="Times New Roman" w:hAnsi="Times New Roman"/>
            <w:sz w:val="18"/>
            <w:szCs w:val="18"/>
            <w:u w:val="single" w:color="auto"/>
            <w:color w:val="0000EE"/>
          </w:rPr>
          <w:t>February 4, 2021</w:t>
        </w:r>
      </w:hyperlink>
      <w:r>
        <w:rPr>
          <w:rFonts w:ascii="Times New Roman" w:cs="Times New Roman" w:eastAsia="Times New Roman" w:hAnsi="Times New Roman"/>
          <w:sz w:val="18"/>
          <w:szCs w:val="18"/>
          <w:color w:val="auto"/>
        </w:rPr>
        <w:t xml:space="preserve">, as updated by the description of our ordinary shares filed as </w:t>
      </w:r>
      <w:hyperlink r:id="rId67">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2020.</w:t>
      </w:r>
    </w:p>
    <w:p>
      <w:pPr>
        <w:spacing w:after="0" w:line="176" w:lineRule="exact"/>
        <w:rPr>
          <w:rFonts w:ascii="Times New Roman" w:cs="Times New Roman" w:eastAsia="Times New Roman" w:hAnsi="Times New Roman"/>
          <w:sz w:val="18"/>
          <w:szCs w:val="18"/>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80"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J.H. Oortweg 21, 2333 CH Leiden, The Netherlands or via telephone at +31 (0)71 203 6410.</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229"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ability of shareholders in certain countries other than the Netherlands, in particular in the United States, to bring an action against us may be limited under Dutch law. We are incorporated under the laws of the Netherlands and have our statutory seat (</w:t>
      </w:r>
      <w:r>
        <w:rPr>
          <w:rFonts w:ascii="Times New Roman" w:cs="Times New Roman" w:eastAsia="Times New Roman" w:hAnsi="Times New Roman"/>
          <w:sz w:val="17"/>
          <w:szCs w:val="17"/>
          <w:i w:val="1"/>
          <w:iCs w:val="1"/>
          <w:color w:val="auto"/>
        </w:rPr>
        <w:t>statutaire zetel</w:t>
      </w:r>
      <w:r>
        <w:rPr>
          <w:rFonts w:ascii="Times New Roman" w:cs="Times New Roman" w:eastAsia="Times New Roman" w:hAnsi="Times New Roman"/>
          <w:sz w:val="17"/>
          <w:szCs w:val="17"/>
          <w:color w:val="auto"/>
        </w:rPr>
        <w:t>) in Leiden, the Netherlands.</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Times New Roman" w:cs="Times New Roman" w:eastAsia="Times New Roman" w:hAnsi="Times New Roman"/>
          <w:sz w:val="18"/>
          <w:szCs w:val="18"/>
          <w:i w:val="1"/>
          <w:iCs w:val="1"/>
          <w:color w:val="auto"/>
        </w:rPr>
        <w:t>Wetboek van Burgerlijke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Rechtsvordering</w:t>
      </w:r>
      <w:r>
        <w:rPr>
          <w:rFonts w:ascii="Times New Roman" w:cs="Times New Roman" w:eastAsia="Times New Roman" w:hAnsi="Times New Roman"/>
          <w:sz w:val="18"/>
          <w:szCs w:val="18"/>
          <w:color w:val="auto"/>
        </w:rPr>
        <w:t>). Based on the foregoing, there can be no assurance that U.S. investors will be able to enforce any judgments obtained in U.S. courts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civil and commercial matters, including judgments under the U.S. federal securities laws.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ectPr>
          <w:pgSz w:w="11900" w:h="16838" w:orient="portrait"/>
          <w:cols w:equalWidth="0" w:num="1">
            <w:col w:w="10820"/>
          </w:cols>
          <w:pgMar w:left="320" w:top="455" w:right="7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Miscellaneous</w:t>
      </w:r>
    </w:p>
    <w:p>
      <w:pPr>
        <w:spacing w:after="0" w:line="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-116840</wp:posOffset>
            </wp:positionV>
            <wp:extent cx="531495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148590</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u w:val="single" w:color="auto"/>
          <w:color w:val="auto"/>
        </w:rPr>
        <w:t>To Be Paid</w:t>
      </w:r>
    </w:p>
    <w:p>
      <w:pPr>
        <w:spacing w:after="0" w:line="9" w:lineRule="exact"/>
        <w:rPr>
          <w:sz w:val="20"/>
          <w:szCs w:val="20"/>
          <w:color w:val="auto"/>
        </w:rPr>
      </w:pPr>
    </w:p>
    <w:p>
      <w:pPr>
        <w:ind w:left="180" w:hanging="180"/>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32,445</w:t>
      </w:r>
    </w:p>
    <w:p>
      <w:pPr>
        <w:spacing w:after="0" w:line="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53,000</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86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ind w:left="580" w:hanging="580"/>
        <w:spacing w:after="0"/>
        <w:tabs>
          <w:tab w:leader="none" w:pos="5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286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4286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1740"/>
          </w:cols>
          <w:pgMar w:left="320" w:top="455" w:right="759" w:bottom="1440" w:gutter="0" w:footer="0" w:header="0"/>
          <w:type w:val="continuous"/>
        </w:sectPr>
      </w:pPr>
    </w:p>
    <w:p>
      <w:pPr>
        <w:spacing w:after="0" w:line="70" w:lineRule="exact"/>
        <w:rPr>
          <w:sz w:val="20"/>
          <w:szCs w:val="20"/>
          <w:color w:val="auto"/>
        </w:rPr>
      </w:pPr>
    </w:p>
    <w:p>
      <w:pPr>
        <w:ind w:left="5540" w:right="1640" w:hanging="5424"/>
        <w:spacing w:after="0" w:line="454" w:lineRule="auto"/>
        <w:tabs>
          <w:tab w:leader="none" w:pos="3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 prospectus supplement or a Report on Form 6–K that is incorporated by reference into this prospectus. 40</w:t>
      </w:r>
    </w:p>
    <w:p>
      <w:pPr>
        <w:sectPr>
          <w:pgSz w:w="11900" w:h="16838" w:orient="portrait"/>
          <w:cols w:equalWidth="0" w:num="1">
            <w:col w:w="10820"/>
          </w:cols>
          <w:pgMar w:left="320" w:top="455" w:right="7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validity of the ordinary shares and certain other matters of Dutch law will be passed upon for us by NautaDutilh N.V. Certain matters of U.S.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and New York State law will be passed upon for us by Kirkland &amp; Ellis LLP, New York, New York.</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320" w:top="455" w:right="5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20-F for the year ended December 31, 2020 have been so incorporated in reliance on the report of PricewaterhouseCoopers Accountants N.V., an independent registered public accounting firm, given on the authority of said firm as experts in auditing and accounting.</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320" w:top="455"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643890</wp:posOffset>
            </wp:positionV>
            <wp:extent cx="2391410" cy="3600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2391410" cy="3600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00" w:lineRule="exact"/>
        <w:rPr>
          <w:sz w:val="20"/>
          <w:szCs w:val="20"/>
          <w:color w:val="auto"/>
        </w:rPr>
      </w:pPr>
    </w:p>
    <w:p>
      <w:pPr>
        <w:spacing w:after="0" w:line="25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11,125,000 ordinary shares</w:t>
      </w:r>
    </w:p>
    <w:p>
      <w:pPr>
        <w:spacing w:after="0" w:line="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pre-funded warrants to purchase up to 1,375,000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1673225</wp:posOffset>
            </wp:positionV>
            <wp:extent cx="1474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11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9"/>
          <w:szCs w:val="29"/>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December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lowerRoman"/>
      <w:start w:val="2"/>
    </w:lvl>
  </w:abstractNum>
  <w:abstractNum w:abstractNumId="8">
    <w:nsid w:val="3804823E"/>
    <w:multiLevelType w:val="hybridMultilevel"/>
    <w:lvl w:ilvl="0">
      <w:lvlJc w:val="left"/>
      <w:lvlText w:val="(%1)"/>
      <w:numFmt w:val="lowerRoman"/>
      <w:start w:val="1"/>
    </w:lvl>
  </w:abstractNum>
  <w:abstractNum w:abstractNumId="9">
    <w:nsid w:val="77465F01"/>
    <w:multiLevelType w:val="hybridMultilevel"/>
    <w:lvl w:ilvl="0">
      <w:lvlJc w:val="left"/>
      <w:lvlText w:val="(%1)"/>
      <w:numFmt w:val="lowerRoman"/>
      <w:start w:val="4"/>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lowerRoman"/>
      <w:start w:val="1"/>
    </w:lvl>
  </w:abstractNum>
  <w:abstractNum w:abstractNumId="12">
    <w:nsid w:val="2463B9EA"/>
    <w:multiLevelType w:val="hybridMultilevel"/>
    <w:lvl w:ilvl="0">
      <w:lvlJc w:val="left"/>
      <w:lvlText w:val="(%1)"/>
      <w:numFmt w:val="lowerRoman"/>
      <w:start w:val="1"/>
    </w:lvl>
  </w:abstractNum>
  <w:abstractNum w:abstractNumId="13">
    <w:nsid w:val="5E884ADC"/>
    <w:multiLevelType w:val="hybridMultilevel"/>
    <w:lvl w:ilvl="0">
      <w:lvlJc w:val="left"/>
      <w:lvlText w:val="(%1)"/>
      <w:numFmt w:val="lowerRoman"/>
      <w:start w:val="1"/>
    </w:lvl>
  </w:abstractNum>
  <w:abstractNum w:abstractNumId="14">
    <w:nsid w:val="51EAD36B"/>
    <w:multiLevelType w:val="hybridMultilevel"/>
    <w:lvl w:ilvl="0">
      <w:lvlJc w:val="left"/>
      <w:lvlText w:val="(%1)"/>
      <w:numFmt w:val="lowerRoman"/>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lowerRoman"/>
      <w:start w:val="1"/>
    </w:lvl>
    <w:lvl w:ilvl="1">
      <w:lvlJc w:val="left"/>
      <w:lvlText w:val="%2)"/>
      <w:numFmt w:val="lowerLetter"/>
      <w:start w:val="1"/>
    </w:lvl>
  </w:abstractNum>
  <w:abstractNum w:abstractNumId="18">
    <w:nsid w:val="3855585C"/>
    <w:multiLevelType w:val="hybridMultilevel"/>
    <w:lvl w:ilvl="0">
      <w:lvlJc w:val="left"/>
      <w:lvlText w:val="(%1)"/>
      <w:numFmt w:val="lowerRoman"/>
      <w:start w:val="4"/>
    </w:lvl>
    <w:lvl w:ilvl="1">
      <w:lvlJc w:val="left"/>
      <w:lvlText w:val="%2"/>
      <w:numFmt w:val="lowerLetter"/>
      <w:start w:val="1"/>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1)"/>
      <w:numFmt w:val="lowerLetter"/>
      <w:start w:val="5"/>
    </w:lvl>
  </w:abstractNum>
  <w:abstractNum w:abstractNumId="21">
    <w:nsid w:val="2A487CB0"/>
    <w:multiLevelType w:val="hybridMultilevel"/>
    <w:lvl w:ilvl="0">
      <w:lvlJc w:val="left"/>
      <w:lvlText w:val="(%1)"/>
      <w:numFmt w:val="lowerLetter"/>
      <w:start w:val="1"/>
    </w:lvl>
  </w:abstractNum>
  <w:abstractNum w:abstractNumId="22">
    <w:nsid w:val="1D4ED43B"/>
    <w:multiLevelType w:val="hybridMultilevel"/>
    <w:lvl w:ilvl="0">
      <w:lvlJc w:val="left"/>
      <w:lvlText w:val="(%1)"/>
      <w:numFmt w:val="lowerRoman"/>
      <w:start w:val="4"/>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lowerLetter"/>
      <w:start w:val="2"/>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upperLetter"/>
      <w:start w:val="2"/>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lowerRoman"/>
      <w:start w:val="2"/>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lowerRoman"/>
      <w:start w:val="2"/>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lowerRoman"/>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2"/>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lvl w:ilvl="1">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lvl w:ilvl="1">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jpe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jpe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54" Type="http://schemas.openxmlformats.org/officeDocument/2006/relationships/hyperlink" Target="http://www.sec.gov/ix?doc=/Archives/edgar/data/0001830487/000095017023011842/phvs-20221231.htm" TargetMode="External"/><Relationship Id="rId55" Type="http://schemas.openxmlformats.org/officeDocument/2006/relationships/hyperlink" Target="http://www.sec.gov/Archives/edgar/data/1830487/000156459023000268/phvs-6k_20230109.htm" TargetMode="External"/><Relationship Id="rId56" Type="http://schemas.openxmlformats.org/officeDocument/2006/relationships/hyperlink" Target="http://www.sec.gov/Archives/edgar/data/1830487/000095017023002697/26-week_rodent_toxicolog.htm" TargetMode="External"/><Relationship Id="rId57" Type="http://schemas.openxmlformats.org/officeDocument/2006/relationships/hyperlink" Target="http://www.sec.gov/Archives/edgar/data/1830487/000095017023006722/slide_update_-_toxicolog.htm" TargetMode="External"/><Relationship Id="rId58" Type="http://schemas.openxmlformats.org/officeDocument/2006/relationships/hyperlink" Target="http://www.sec.gov/Archives/edgar/data/1830487/000095017023018464/6-k_q1_23.htm" TargetMode="External"/><Relationship Id="rId59" Type="http://schemas.openxmlformats.org/officeDocument/2006/relationships/hyperlink" Target="http://www.sec.gov/Archives/edgar/data/1830487/000095017023028765/pipe.htm" TargetMode="External"/><Relationship Id="rId60" Type="http://schemas.openxmlformats.org/officeDocument/2006/relationships/hyperlink" Target="http://www.sec.gov/Archives/edgar/data/1830487/000095017023029721/fda_hold_lift_on-demand.htm" TargetMode="External"/><Relationship Id="rId61" Type="http://schemas.openxmlformats.org/officeDocument/2006/relationships/hyperlink" Target="http://www.sec.gov/Archives/edgar/data/1830487/000095017023029954/material_us_and_dutch_ta.htm" TargetMode="External"/><Relationship Id="rId62" Type="http://schemas.openxmlformats.org/officeDocument/2006/relationships/hyperlink" Target="http://www.sec.gov/Archives/edgar/data/1830487/000095017023031254/departure_of_certain_off.htm" TargetMode="External"/><Relationship Id="rId63" Type="http://schemas.openxmlformats.org/officeDocument/2006/relationships/hyperlink" Target="http://www.sec.gov/ix?doc=/Archives/edgar/data/0001830487/000095017023038727/phvs-20230630.htm" TargetMode="External"/><Relationship Id="rId64" Type="http://schemas.openxmlformats.org/officeDocument/2006/relationships/hyperlink" Target="http://www.sec.gov/Archives/edgar/data/1830487/000095017023057733/6-k_q3_23.htm" TargetMode="External"/><Relationship Id="rId65" Type="http://schemas.openxmlformats.org/officeDocument/2006/relationships/hyperlink" Target="http://www.sec.gov/Archives/edgar/data/1830487/000095017023068432/pr_data_and_corp_present.htm" TargetMode="External"/><Relationship Id="rId66" Type="http://schemas.openxmlformats.org/officeDocument/2006/relationships/hyperlink" Target="http://www.sec.gov/Archives/edgar/data/1830487/000119312521028346/d91705d8a12b.htm" TargetMode="External"/><Relationship Id="rId67" Type="http://schemas.openxmlformats.org/officeDocument/2006/relationships/hyperlink" Target="http://www.sec.gov/Archives/edgar/data/1830487/000119312521140476/d51199dex21.htm" TargetMode="External"/><Relationship Id="rId112" Type="http://schemas.openxmlformats.org/officeDocument/2006/relationships/hyperlink" Target="http://www.sec.gov/Archives/edgar/data/1830487/000119312521140476/d51199d20f.htm" TargetMode="External"/><Relationship Id="rId113" Type="http://schemas.openxmlformats.org/officeDocument/2006/relationships/hyperlink" Target="http://www.sec.gov/Archives/edgar/data/1830487/000119312521159124/d853324d6k.htm" TargetMode="External"/><Relationship Id="rId114" Type="http://schemas.openxmlformats.org/officeDocument/2006/relationships/hyperlink" Target="http://www.sec.gov/Archives/edgar/data/1830487/000156459021029889/phvs-6k_20210526.htm" TargetMode="External"/><Relationship Id="rId115" Type="http://schemas.openxmlformats.org/officeDocument/2006/relationships/hyperlink" Target="http://www.sec.gov/Archives/edgar/data/1830487/000156459021035421/phvs-6k_20210701.htm" TargetMode="External"/><Relationship Id="rId116" Type="http://schemas.openxmlformats.org/officeDocument/2006/relationships/hyperlink" Target="http://www.sec.gov/Archives/edgar/data/1830487/000156459021039331/phvs-6k_20210730.htm" TargetMode="External"/><Relationship Id="rId117" Type="http://schemas.openxmlformats.org/officeDocument/2006/relationships/hyperlink" Target="http://www.sec.gov/Archives/edgar/data/1830487/000156459021055938/phvs-6k_20211110.htm" TargetMode="External"/><Relationship Id="rId118" Type="http://schemas.openxmlformats.org/officeDocument/2006/relationships/hyperlink" Target="http://www.sec.gov/Archives/edgar/data/1830487/000119312521349696/d222757d6k.htm" TargetMode="External"/><Relationship Id="rId119" Type="http://schemas.openxmlformats.org/officeDocument/2006/relationships/hyperlink" Target="http://www.sec.gov/Archives/edgar/data/1830487/000119312521364304/d262163d6k.htm" TargetMode="External"/><Relationship Id="rId120" Type="http://schemas.openxmlformats.org/officeDocument/2006/relationships/hyperlink" Target="http://www.sec.gov/Archives/edgar/data/1830487/000119312522005106/d246773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2023-12-07T15:28:16Z</dcterms:created>
  <dcterms:modified xsi:type="dcterms:W3CDTF">2023-12-07T15:28:16Z</dcterms:modified>
</cp:coreProperties>
</file>