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 Peng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80,179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40.1298</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65,179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w:t>
            </w:r>
            <w:r>
              <w:rPr>
                <w:rFonts w:ascii="Times;serif" w:hAnsi="Times;serif"/>
                <w:color w:val="008000"/>
                <w:position w:val="7"/>
                <w:sz w:val="16"/>
                <w:sz w:val="20"/>
                <w:shd w:fill="FFFFFF" w:val="clear"/>
              </w:rPr>
              <w:t>(3)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w:t>
            </w:r>
            <w:r>
              <w:rPr>
                <w:rFonts w:ascii="Times;serif" w:hAnsi="Times;serif"/>
                <w:color w:val="008000"/>
                <w:position w:val="7"/>
                <w:sz w:val="16"/>
                <w:sz w:val="20"/>
                <w:shd w:fill="FFFFFF" w:val="clear"/>
              </w:rPr>
              <w:t>(3)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$40.00 to $40.30.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the issuer to satisfy tax withholding obligations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option vested on February 3, 2021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Peng Lu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2159"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4010</Characters>
  <CharactersWithSpaces>4655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