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Emmy Noetherweg 2</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2333 BK Leiden</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19"/>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22, 2025, Pharvaris N.V. (the “Company”) entered into an underwriting agreement (the “Underwriting Agreement”) with Morgan Stanley &amp; Co. LLC and Leerink Partners LLC as representatives of the underwriters named therein (the “Underwriters”), pursuant to which the Company agreed to issue and sell (i) 9,562,500 ordinary shares, par value €0.12 per share (which includes the exercise in full by the underwriters of their option to purchase up to an additional 1,312,500 ordinary shares) (the “Shares”) and (ii) pre-funded warrants (the “Pre-Funded Warrants”) to purchase up to 500,000 ordinary shares in an underwritten offering (the “Offering”). The Offering closed on July 24, 2025.</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Shares were sold in the Offering at the public offering price of $20.00 per share. The Pre-Funded Warrants were sold at a public offering price of $19.99 per Pre-Funded Warrant, which represents the per share public offering price for the ordinary shares less the $0.01 per share exercise price for each such Pre-Funded Warrant. Each Pre-Funded Warrant is exercisable as of July 24, 2025 until fully exercised, subject to an ownership limitation relating to the Hart-Scott-Rodino Antitrust Improvements Act of 1976, as amended, as set forth in the form of Pre-Funded Warrant.</w:t>
      </w:r>
    </w:p>
    <w:p>
      <w:pPr>
        <w:spacing w:after="0" w:line="180"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F-3ASR (Registration No. 333-278650), which was previously filed with the Securities and Exchange Commission under the Securities Act of 1933, as amended (the “Securities Act”) and became effective automatically upon filing.</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after deducting the underwriting discounts and commissions, are expected to be approximately $201 million. The Company currently intends to use the net proceeds from the offering primarily to fund research and development expenses for its late-stage clinical programs, the hiring of a sales and marketing team in the U.S. and related commercialization expenses and for working capital and general corporate purposes.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the Company’s executive officers and directors entered into agreements in substantially the form included as an exhibit to the Underwriting Agreement, providing for a 90-day “lock-up” period with respect to sales of the Company’s ordinary shares, subject to certain exceptions.</w:t>
      </w:r>
    </w:p>
    <w:p>
      <w:pPr>
        <w:spacing w:after="0" w:line="17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foregoing is a summary description of the Underwriting Agreement and is qualified in its entirety by the text of the Underwriting Agreement filed as Exhibit 1.1 to this Current Report on Form 6-K and incorporated herein by reference.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form of Pre-Funded Warrant is filed as Exhibit 4.1 to this report and the foregoing description of the terms of the Pre-Funded Warrants is qualified in its entirety by reference to such exhibit.</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copy of the opinion of NautaDutilh N.V. relating to the validity of the Shares issued in the Offering is filed herewith as Exhibit 5.1. A copy of the opinion of Kirkland &amp; Ellis LLP relating to the validity of the Pre-Funded Warrants issued in the Offering is filed herewith as Exhibit 5.2.</w:t>
      </w:r>
    </w:p>
    <w:p>
      <w:pPr>
        <w:spacing w:after="0" w:line="1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hereby incorporates by reference the information contained in the body of this Report on Form 6-K into the Company’s Registration Statement on Form F-3ASR (File No. 333-278650), the Company’s Registration Statement on Form F-3 (File No. 333-273757), the Company’s Registration Statement on Form F-3ASR (File No. 333-277705 and the Company’s Registration Statement on Form S-8 (File No. 333-252897). This report on Form 6-K (including the exhibits filed herewith) is incorporated by reference into the Company’s Registration Statement on Form F-3ASR (File No. 333-278650).</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9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July 22, 2025, among Pharvaris N.V., Morgan Stanley &amp; Co. LLC, Leerink Partners LLC, Cantor</w:t>
            </w:r>
          </w:p>
        </w:tc>
      </w:tr>
      <w:tr>
        <w:trPr>
          <w:trHeight w:val="196"/>
        </w:trPr>
        <w:tc>
          <w:tcPr>
            <w:tcW w:w="1460" w:type="dxa"/>
            <w:vAlign w:val="bottom"/>
          </w:tcPr>
          <w:p>
            <w:pPr>
              <w:spacing w:after="0"/>
              <w:rPr>
                <w:sz w:val="17"/>
                <w:szCs w:val="17"/>
                <w:color w:val="auto"/>
              </w:rPr>
            </w:pPr>
          </w:p>
        </w:tc>
        <w:tc>
          <w:tcPr>
            <w:tcW w:w="7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Fitzgerald &amp; Co., Oppenheimer &amp; Co. Inc. and Van Lanschot Kempen (USA) Inc. as underwriters.</w:t>
            </w:r>
          </w:p>
        </w:tc>
        <w:tc>
          <w:tcPr>
            <w:tcW w:w="2180" w:type="dxa"/>
            <w:vAlign w:val="bottom"/>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21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NautaDutilh N.V.</w:t>
            </w:r>
          </w:p>
        </w:tc>
        <w:tc>
          <w:tcPr>
            <w:tcW w:w="7220" w:type="dxa"/>
            <w:vAlign w:val="bottom"/>
            <w:gridSpan w:val="5"/>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2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Kirkland &amp; Ellis LLP.</w:t>
            </w:r>
          </w:p>
        </w:tc>
        <w:tc>
          <w:tcPr>
            <w:tcW w:w="6920" w:type="dxa"/>
            <w:vAlign w:val="bottom"/>
            <w:gridSpan w:val="4"/>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NautaDutilh N.V. (contained in Exhibit 5.1).</w:t>
            </w:r>
          </w:p>
        </w:tc>
      </w:tr>
      <w:tr>
        <w:trPr>
          <w:trHeight w:val="20"/>
        </w:trPr>
        <w:tc>
          <w:tcPr>
            <w:tcW w:w="146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Kirkland &amp; Ellis LLP (contained in Exhibit 5.2).</w:t>
            </w:r>
          </w:p>
        </w:tc>
      </w:tr>
      <w:tr>
        <w:trPr>
          <w:trHeight w:val="20"/>
        </w:trPr>
        <w:tc>
          <w:tcPr>
            <w:tcW w:w="14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ectPr>
          <w:pgSz w:w="11900" w:h="16838" w:orient="portrait"/>
          <w:cols w:equalWidth="0" w:num="1">
            <w:col w:w="10800"/>
          </w:cols>
          <w:pgMar w:left="440" w:top="266" w:right="6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July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Berndt Modig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left="1200" w:right="2200"/>
        <w:spacing w:after="0" w:line="268" w:lineRule="auto"/>
        <w:rPr>
          <w:sz w:val="20"/>
          <w:szCs w:val="20"/>
          <w:color w:val="auto"/>
        </w:rPr>
      </w:pPr>
      <w:r>
        <w:rPr>
          <w:rFonts w:ascii="Times New Roman" w:cs="Times New Roman" w:eastAsia="Times New Roman" w:hAnsi="Times New Roman"/>
          <w:sz w:val="18"/>
          <w:szCs w:val="18"/>
          <w:b w:val="1"/>
          <w:bCs w:val="1"/>
          <w:color w:val="auto"/>
        </w:rPr>
        <w:t>8,250,000 Ordinary Shares (Nominal Value €0.12 Per Ordinary Share) Pre-Funded Warrants to Purchase 500,000 Ordinary Shares (Nominal Value €0.12 Per Ordinary Share)</w:t>
      </w:r>
    </w:p>
    <w:p>
      <w:pPr>
        <w:spacing w:after="0" w:line="27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July 22, 2025</w:t>
      </w:r>
    </w:p>
    <w:p>
      <w:pPr>
        <w:sectPr>
          <w:pgSz w:w="11900" w:h="16838" w:orient="portrait"/>
          <w:cols w:equalWidth="0" w:num="1">
            <w:col w:w="10020"/>
          </w:cols>
          <w:pgMar w:left="1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22,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As Representatives of the several Underwriters named in Schedule I hereto</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1585 Broadway</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10036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1301 Avenue of the Americas, 5th Floor</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10019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Pharvaris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incorporated and existing under the laws of the Netherlands, with its registered seat in Leiden, the Netherlands, registered under number 64239411, with ordinary shares with a nominal value of €0.12 per share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Morgan Stanley &amp; Co. LLC and Leerink Partners LLC are acting, severally and not jointly,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 8,250,000 ordinary shares with a nominal value of €0.12 per share in the capital of the Company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and (ii) pre-funded warrants to purchase up to 500,000 ordinary shares in a form to be mutually agreed upon by the Company and the Underwriters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Company also proposes to issue and sell to the Underwriters not more than an additional 1,312,500 ordinary shares with a nominal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€0.12 per share in the capital of the Company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the Representatives of the offering shall have determined to exercise, on behalf of the Underwriters, the right to purchase such ordinary shares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ordinary shares with a nominal value of €0.12 per share in the capital of the Company to be outstanding after giving effect to the issuance and sales contemplated hereby are hereinafter referred to as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Shares and the Warrants are herein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issuable upon exercise of the Warrants are herein referred to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F-3 (File No. 333-278650), including a prospectus, relating to the securities, including the Securities, to be issued from time to time by the Company. Such registration statement, as amended to the date of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including the information (if any) deemed to be part of the registration statement at the time of effectiveness pursuant to Rule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base prospectus filed as part of the Registration Statement, as amended and supplemented by the preliminary prospectus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6" w:name="page7"/>
    <w:bookmarkEnd w:id="6"/>
    <w:p>
      <w:pPr>
        <w:jc w:val="both"/>
        <w:ind w:right="2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relating to the Securities filed with the Commission pursuant to Rule 424(b) under the Securities Act is hereinafter called a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form of the final prospectus relating to the Securities filed with the Commission pursuant to Rule 424(b) under the Securities Act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Preliminary Prospectus together with the free writing prospectuses, if any, each identified in Schedule II hereto and the pricing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(a) the Preliminary Prospectus, the Time of Sale Prospectus or the Prospectus shall include any post-effective amendment to the Registration Statement, any prospectus supplement relating to the Securities filed with the Commission pursuant to Rule 424(b) under the Securities Act and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in each case after the date of the Preliminary Prospectus or the Prospectus, as the case may be and (b) the Registration Statement shall be deemed to refer to and include any annual report of the Company filed pursuant to Section 13(a) or 15(d) of the Exchange Act after the effective date of the Registration Statement that is incorporated by reference in the Registration Statement.</w:t>
      </w:r>
    </w:p>
    <w:p>
      <w:pPr>
        <w:spacing w:after="0" w:line="192"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the Company’s knowledge,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supplemented, if applicable, will comply, as of the date of such amendment or supplement,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as of its date, does not contain and, as amended or supplemented, if applicable, will not contain, as of the date of such amendment or supplement,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or on their behalf expressly for use therein.</w:t>
      </w:r>
    </w:p>
    <w:p>
      <w:pPr>
        <w:spacing w:after="0" w:line="79" w:lineRule="exact"/>
        <w:rPr>
          <w:sz w:val="20"/>
          <w:szCs w:val="20"/>
          <w:color w:val="auto"/>
        </w:rPr>
      </w:pPr>
    </w:p>
    <w:p>
      <w:pPr>
        <w:ind w:firstLine="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earliest time after the filing of the Registration Statement that the Company or another offering participant made a bona fide offer (within the meaning of Rule 164(h)(2) under the Securities Act) of the Securities and (ii) as of the date hereof,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Representatives’ prior consent, prepare, use or refer to, any free writing prospectus.</w:t>
      </w:r>
    </w:p>
    <w:p>
      <w:pPr>
        <w:spacing w:after="0" w:line="84"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 private company with limited liability (</w:t>
      </w:r>
      <w:r>
        <w:rPr>
          <w:rFonts w:ascii="Times New Roman" w:cs="Times New Roman" w:eastAsia="Times New Roman" w:hAnsi="Times New Roman"/>
          <w:sz w:val="18"/>
          <w:szCs w:val="18"/>
          <w:i w:val="1"/>
          <w:iCs w:val="1"/>
          <w:color w:val="auto"/>
        </w:rPr>
        <w:t>besloten vennootschap met beperkte</w:t>
      </w:r>
    </w:p>
    <w:p>
      <w:pPr>
        <w:spacing w:after="0" w:line="29"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and is currently validly existing as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Netherlands, has the corporate power and authority to own or lease its property and to conduct its business as described in each of the Registration Statement, the Time of Sale Prospectus and the Prospectus and is duly qualified to transact business in each jurisdiction in which the conduct of its business or its ownership or leasing of property requires such qualification, except to the extent that the failure to be so qualified would not, singly or in the aggregate, have a material adverse effect on the Company and its subsidiaries, taken as a whole.</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80" w:top="270" w:right="439" w:bottom="1440" w:gutter="0" w:footer="0" w:header="0"/>
        </w:sectPr>
      </w:pPr>
    </w:p>
    <w:bookmarkStart w:id="8" w:name="page9"/>
    <w:bookmarkEnd w:id="8"/>
    <w:p>
      <w:pPr>
        <w:ind w:right="40" w:firstLine="419"/>
        <w:spacing w:after="0" w:line="253"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subsidiary of the Company has been duly incorporated, organized or formed, is validly existing as a corporation or other business entity in good standing (to the extent the concept of good standing is applicable in such jurisdiction) under the laws of the jurisdiction of its incorporation, organization or formation, as applicable,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under relevant law) and are owned directly or indirectly by the Company, free and clear of all liens, encumbrances, equities or claims.</w:t>
      </w:r>
    </w:p>
    <w:p>
      <w:pPr>
        <w:spacing w:after="0" w:line="8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300" w:firstLine="419"/>
        <w:spacing w:after="0" w:line="26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share capital of the Company (including the Shares and the Warrant Shares) and Warrants conform in all material respects as to legal matters to the description thereof contained in each of the Registration Statement, the Time of Sale Prospectus and the Prospectus.</w:t>
      </w:r>
    </w:p>
    <w:p>
      <w:pPr>
        <w:spacing w:after="0" w:line="67" w:lineRule="exact"/>
        <w:rPr>
          <w:rFonts w:ascii="Times New Roman" w:cs="Times New Roman" w:eastAsia="Times New Roman" w:hAnsi="Times New Roman"/>
          <w:sz w:val="18"/>
          <w:szCs w:val="18"/>
          <w:color w:val="auto"/>
        </w:rPr>
      </w:pPr>
    </w:p>
    <w:p>
      <w:pPr>
        <w:ind w:right="320" w:firstLine="419"/>
        <w:spacing w:after="0" w:line="266"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in the capital of the Company outstanding immediately prior to the issuance of the Securities have been duly authorized and are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(meaning that the holders of the ordinary shares will not, by reason of merely being such a holder, be subject to assessment or calls by the Company or its creditors for further payment on such ordinary shares), and any preemptive or similar rights with respect to the issuance of the Securities are validly excluded.</w:t>
      </w:r>
    </w:p>
    <w:p>
      <w:pPr>
        <w:spacing w:after="0" w:line="71" w:lineRule="exact"/>
        <w:rPr>
          <w:rFonts w:ascii="Times New Roman" w:cs="Times New Roman" w:eastAsia="Times New Roman" w:hAnsi="Times New Roman"/>
          <w:sz w:val="18"/>
          <w:szCs w:val="18"/>
          <w:color w:val="auto"/>
        </w:rPr>
      </w:pPr>
    </w:p>
    <w:p>
      <w:pPr>
        <w:ind w:right="220" w:firstLine="419"/>
        <w:spacing w:after="0" w:line="261"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and the Warrants will not contravene any provision of (i) applicable law or any judgment, order or decree of any governmental body, agency or court having jurisdiction over the Company or any subsidiary, (ii) the articles of association or by-laws or analogous governing instruments, as applicable) of the</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880" w:top="270" w:right="519" w:bottom="1440" w:gutter="0" w:footer="0" w:header="0"/>
        </w:sectPr>
      </w:pPr>
    </w:p>
    <w:bookmarkStart w:id="9" w:name="page10"/>
    <w:bookmarkEnd w:id="9"/>
    <w:p>
      <w:pPr>
        <w:ind w:left="4"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(iii) any agreement or other instrument binding upon the Company or any of its subsidiaries that is material to the Company and its subsidiaries, taken as a whole, except in the cases (i) and (iii) for such contraventions that would not, individually or in the aggregate, have a material adverse effect on the Company and its subsidiaries, taken as a whole.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Securities.</w:t>
      </w:r>
    </w:p>
    <w:p>
      <w:pPr>
        <w:spacing w:after="0" w:line="79" w:lineRule="exact"/>
        <w:rPr>
          <w:sz w:val="20"/>
          <w:szCs w:val="20"/>
          <w:color w:val="auto"/>
        </w:rPr>
      </w:pPr>
    </w:p>
    <w:p>
      <w:pPr>
        <w:ind w:left="4" w:right="280" w:firstLine="419"/>
        <w:spacing w:after="0" w:line="266" w:lineRule="auto"/>
        <w:tabs>
          <w:tab w:leader="none" w:pos="6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86"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singly or in the aggregate have a material adverse effect on the Company and its subsidiaries, taken as a whole,</w:t>
      </w:r>
    </w:p>
    <w:p>
      <w:pPr>
        <w:spacing w:after="0" w:line="27" w:lineRule="exact"/>
        <w:rPr>
          <w:rFonts w:ascii="Times New Roman" w:cs="Times New Roman" w:eastAsia="Times New Roman" w:hAnsi="Times New Roman"/>
          <w:sz w:val="18"/>
          <w:szCs w:val="18"/>
          <w:color w:val="auto"/>
        </w:rPr>
      </w:pPr>
    </w:p>
    <w:p>
      <w:pPr>
        <w:ind w:left="4" w:right="400" w:hanging="4"/>
        <w:spacing w:after="0" w:line="255" w:lineRule="auto"/>
        <w:tabs>
          <w:tab w:leader="none" w:pos="2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(w) are in compliance with any and all applicable foreign, federal, state and local laws and rules, regulations, requirements, decisions, orders, decrees, consents and other legally enforceable requirements relating to the protection of the environment, hazardous or toxic substances, wastes, pollutants, chemicals, or contaminants or human</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4"/>
          </w:cols>
          <w:pgMar w:left="876" w:top="270" w:right="459" w:bottom="1440" w:gutter="0" w:footer="0" w:header="0"/>
        </w:sectPr>
      </w:pPr>
    </w:p>
    <w:bookmarkStart w:id="10" w:name="page11"/>
    <w:bookmarkEnd w:id="10"/>
    <w:p>
      <w:pPr>
        <w:ind w:left="4" w:right="10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 and safety (collectively,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(x) have received all permits, licenses or other approvals required of them under applicable Environmental Laws to conduct their respective businesses, (y) are in compliance with all terms and conditions of any such permit, license or approval, and (z) have not received notice of any actual or potential violation, liability or obligation, and there are no pending or to the Company’s knowledge, threatened complaint, action, suit, proceeding investigation or claim, under or relating to Environmental Laws, and(ii) there are no costs, obligations or liabilities associated with or arising under Environmental Laws of or relating to the Company or its subsidiaries.</w:t>
      </w:r>
    </w:p>
    <w:p>
      <w:pPr>
        <w:spacing w:after="0" w:line="60" w:lineRule="exact"/>
        <w:rPr>
          <w:sz w:val="20"/>
          <w:szCs w:val="20"/>
          <w:color w:val="auto"/>
        </w:rPr>
      </w:pPr>
    </w:p>
    <w:p>
      <w:pPr>
        <w:jc w:val="both"/>
        <w:ind w:left="4" w:right="40" w:firstLine="419"/>
        <w:spacing w:after="0" w:line="261"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left="4" w:right="220" w:firstLine="419"/>
        <w:spacing w:after="0" w:line="261"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each of the Registration Statement, the Prospectus or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71"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controlled affiliates, or, to the Company’s knowledge, any director, officer,</w:t>
      </w:r>
    </w:p>
    <w:p>
      <w:pPr>
        <w:spacing w:after="0" w:line="27"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thereof,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spacing w:after="0" w:line="3" w:lineRule="exact"/>
        <w:rPr>
          <w:rFonts w:ascii="Times New Roman" w:cs="Times New Roman" w:eastAsia="Times New Roman" w:hAnsi="Times New Roman"/>
          <w:sz w:val="18"/>
          <w:szCs w:val="18"/>
          <w:color w:val="auto"/>
        </w:rPr>
      </w:pPr>
    </w:p>
    <w:p>
      <w:pPr>
        <w:ind w:left="4" w:hanging="4"/>
        <w:spacing w:after="0" w:line="255"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7" w:lineRule="exact"/>
        <w:rPr>
          <w:rFonts w:ascii="Times New Roman" w:cs="Times New Roman" w:eastAsia="Times New Roman" w:hAnsi="Times New Roman"/>
          <w:sz w:val="18"/>
          <w:szCs w:val="18"/>
          <w:color w:val="auto"/>
        </w:rPr>
      </w:pPr>
    </w:p>
    <w:p>
      <w:pPr>
        <w:ind w:left="4" w:right="260" w:firstLine="419"/>
        <w:spacing w:after="0" w:line="266"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66" w:right="459" w:bottom="1440" w:gutter="0" w:footer="0" w:header="0"/>
        </w:sectPr>
      </w:pPr>
    </w:p>
    <w:bookmarkStart w:id="11" w:name="page12"/>
    <w:bookmarkEnd w:id="11"/>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b w:val="1"/>
          <w:bCs w:val="1"/>
          <w:color w:val="auto"/>
        </w:rPr>
        <w:t>Anti-Money Laundering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or any of its subsidiaries with respect to the Anti-Money Laundering Laws is pending or, to the knowledge of the Company, threatened.</w:t>
      </w:r>
    </w:p>
    <w:p>
      <w:pPr>
        <w:spacing w:after="0" w:line="60" w:lineRule="exact"/>
        <w:rPr>
          <w:sz w:val="20"/>
          <w:szCs w:val="20"/>
          <w:color w:val="auto"/>
        </w:rPr>
      </w:pPr>
    </w:p>
    <w:p>
      <w:pPr>
        <w:ind w:right="160" w:firstLine="419"/>
        <w:spacing w:after="0" w:line="266"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220" w:firstLine="391"/>
        <w:spacing w:after="0" w:line="266" w:lineRule="auto"/>
        <w:tabs>
          <w:tab w:leader="none" w:pos="165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80" w:firstLine="391"/>
        <w:spacing w:after="0" w:line="261" w:lineRule="auto"/>
        <w:tabs>
          <w:tab w:leader="none" w:pos="164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the non-government controlled areas of the Zaporizhzhia and Kherson Regions of Ukraine, the so-called Donetsk People’s Republic, the so-called Luhansk People’s Republic and any other Covered Region of Ukraine identified pursuant to Executive Order 14065, Crimea, Cuba, Iran, North Korea, and Syria).</w:t>
      </w:r>
    </w:p>
    <w:p>
      <w:pPr>
        <w:spacing w:after="0" w:line="71" w:lineRule="exact"/>
        <w:rPr>
          <w:rFonts w:ascii="Times New Roman" w:cs="Times New Roman" w:eastAsia="Times New Roman" w:hAnsi="Times New Roman"/>
          <w:sz w:val="18"/>
          <w:szCs w:val="18"/>
          <w:color w:val="auto"/>
        </w:rPr>
      </w:pPr>
    </w:p>
    <w:p>
      <w:pPr>
        <w:ind w:right="300" w:firstLine="948"/>
        <w:spacing w:after="0" w:line="282" w:lineRule="auto"/>
        <w:tabs>
          <w:tab w:leader="none" w:pos="121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5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320" w:firstLine="391"/>
        <w:spacing w:after="0" w:line="282" w:lineRule="auto"/>
        <w:tabs>
          <w:tab w:leader="none" w:pos="164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firstLine="948"/>
        <w:spacing w:after="0" w:line="266" w:lineRule="auto"/>
        <w:tabs>
          <w:tab w:leader="none" w:pos="12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right="20" w:firstLine="948"/>
        <w:spacing w:after="0" w:line="261" w:lineRule="auto"/>
        <w:tabs>
          <w:tab w:leader="none" w:pos="12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Section 1(t) shall not apply if and to the extent it is unenforceable as a result of any applicable provision of Council Regulation (EC) No 2271/1996 of 22 November 1996, as amended, recast and/or restated from time to time, (or any law or regulation implementing such Regulation in an EEA member state) or any similar blocking or anti-boycott law, regulation or statute in force from time to time, and, in such case, the enforceability of this Section 1(t) shall not otherwise be affected.</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2" w:name="page13"/>
    <w:bookmarkEnd w:id="12"/>
    <w:p>
      <w:pPr>
        <w:ind w:right="40"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in connection with the exercise or forfeiture of equity awards outstanding on such respective dates as of which information is given in each of the Registration Statement, the Time of Sale Prospectus and the Prospectus.</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to all real property and good and marketable title to all personal property owned by them which is material to the business of the Company and its subsidiaries, taken as a whole, in each case free and clear of all liens, encumbrances and defects except such as do not have a material adverse effect on the Company and its subsidiaries taken as a whole and except for the bank accounts of the Company to which standard bank conditions apply; and any real property and buildings held under lease by the Company and its subsidiaries are held by them under valid, subsisting and enforceable leases, except as would not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right="20" w:firstLine="419"/>
        <w:spacing w:after="0" w:line="252" w:lineRule="auto"/>
        <w:tabs>
          <w:tab w:leader="none" w:pos="7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have a material adverse effect on the Company and its subsidiaries taken as a whole, the Company and its subsidiaries solely and exclusively own or have a valid, enforceable and exclusive license to all patents, inventions, copyrights, know how (including trade secrets and other unpatented and/or unpatentable proprietary or confidential information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required for the conduct of their businesses as presently conducted or as currently anticipated to be conducted; (ii) except as would not have a material adverse effect on the Company and its subsidiaries taken as a whole, the Intellectual Property Rights owned by the Company or any of its subsidiaries and, to the Company’s knowledge, the Intellectual Property Rights licensed to the Company or any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by the Company or any of its subsidiaries which, singly or in the aggregate, if the subject of an unfavorable decision, ruling or finding, would have a material adverse effect on the Company and its subsidiaries, taken as a whole; (iv) except as would not have a material adverse effect on the Company and its subsidiaries taken as a whole, to the Company’s knowledge, no third party is infringing, misappropriating or otherwise</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violating, or has infringed, misappropriated or otherwise violated, any Intellectual Property Rights owned or controlled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any of its subsidiaries,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84" w:lineRule="exact"/>
        <w:rPr>
          <w:sz w:val="20"/>
          <w:szCs w:val="20"/>
          <w:color w:val="auto"/>
        </w:rPr>
      </w:pPr>
    </w:p>
    <w:p>
      <w:pPr>
        <w:ind w:right="160" w:firstLine="419"/>
        <w:spacing w:after="0" w:line="266"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on the Company and its subsidiaries, taken as a whole, (i) to the Company’s knowledge,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neither the Company nor any of its subsidiaries has received any notification of or complaint regarding, or is otherwise 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against the Company or any of its subsidiaries alleging non-compliance with any Data Security Obligation.</w:t>
      </w:r>
    </w:p>
    <w:p>
      <w:pPr>
        <w:spacing w:after="0" w:line="86" w:lineRule="exact"/>
        <w:rPr>
          <w:rFonts w:ascii="Times New Roman" w:cs="Times New Roman" w:eastAsia="Times New Roman" w:hAnsi="Times New Roman"/>
          <w:sz w:val="18"/>
          <w:szCs w:val="18"/>
          <w:color w:val="auto"/>
        </w:rPr>
      </w:pPr>
    </w:p>
    <w:p>
      <w:pPr>
        <w:ind w:right="40" w:firstLine="419"/>
        <w:spacing w:after="0" w:line="255"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Company’s and its subsidiaries’ information technology assets and equipment, computers, systems, networks, hardware, software, internet websites, applications and data and databases (including those maintained on behalf of the Company and its subsidiaries by third party vendors)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all material respects in connection with, the operation of the business of the Company and its subsidiaries, as it is currently conducted, free and clear of all material bugs, errors, defects, Trojan horses, time bombs, malware and other corruptants. The Company and each of its subsidiaries have taken all commercially reasonable technical and organizational measures reasonably necessary to protect the IT Systems and Data used in connection with the operation of the Company’s and its subsidiaries’ businesses.</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880" w:top="270" w:right="49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foregoing, the Company and its subsidiaries have used reasonable efforts to establish and maintain, and have established, maintained, implemented and complied with, reasonable information technology, information security, cyber security, data protection and business continuity/disaster recovery controls, policies and procedures, that are designed to protect against and prevent breach, destruction, loss, unauthorized distribution, use, access, disablement, misappropriation or modification, or other compromise or misuse of or relating to any IT Systems or Data used in connection with the operation of the Company’s and its subsidiaries’ businesses and any other data security incident or data breach as defined by Data Security Obligations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in writing of and have no knowledge of any event or condition that would reasonably be expected to result in, any such Breach.</w:t>
      </w:r>
    </w:p>
    <w:p>
      <w:pPr>
        <w:spacing w:after="0" w:line="84" w:lineRule="exact"/>
        <w:rPr>
          <w:sz w:val="20"/>
          <w:szCs w:val="20"/>
          <w:color w:val="auto"/>
        </w:rPr>
      </w:pPr>
    </w:p>
    <w:p>
      <w:pPr>
        <w:ind w:right="120" w:firstLine="419"/>
        <w:spacing w:after="0" w:line="261"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right="100" w:firstLine="419"/>
        <w:spacing w:after="0" w:line="255" w:lineRule="auto"/>
        <w:tabs>
          <w:tab w:leader="none" w:pos="7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the Company believes are prudent and customary in the businesses in which they are engaged, except where the failure to be insured would not, individually or in the aggregate, have a material adverse effect on the Company and its subsidiaries,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right="80" w:firstLine="419"/>
        <w:spacing w:after="0" w:line="277" w:lineRule="auto"/>
        <w:tabs>
          <w:tab w:leader="none" w:pos="74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material adverse effect on the Company and its subsidiaries, taken as a whole, the Company and each of its subsidiaries possess all certificates, authorizations and permits issued by the appropriate federal, state or foreign regulatory authorities necessary to conduct their respective businesses as currently conducted.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59" w:lineRule="exact"/>
        <w:rPr>
          <w:rFonts w:ascii="Times New Roman" w:cs="Times New Roman" w:eastAsia="Times New Roman" w:hAnsi="Times New Roman"/>
          <w:sz w:val="17"/>
          <w:szCs w:val="17"/>
          <w:color w:val="auto"/>
        </w:rPr>
      </w:pPr>
    </w:p>
    <w:p>
      <w:pPr>
        <w:jc w:val="both"/>
        <w:ind w:right="20" w:firstLine="419"/>
        <w:spacing w:after="0" w:line="289" w:lineRule="auto"/>
        <w:tabs>
          <w:tab w:leader="none" w:pos="76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Warrants have been duly authorized and, when executed and delivered by the Company in accordance with this Agreement, will be valid and legally binding agreements of the Company, enforceable against the Company in accordance with their terms except as the enforcement thereof maybe limited by applicable bankruptcy, insolvency, reorganization, moratorium or other similar laws relating to or affecting the</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and remedies of creditors or by general equitable principles. The Warrant Shares to be issued by the Company upon exercise of the Warrants in accordance therewith have been duly authorized and will be reserved for issuance upon exercise of the Warrants in a number sufficient to meet the current exercise requirements. The Warrant Shares, when issued and delivered upon exercise of the Warrants in accordance therewith, will be validly issued, fully paid and non-assessable (meaning that the holders of the ordinary shares will not, by reason of merely being such a holder, be subject to assessment or calls by the Company or its creditors for further payment on such ordinary shares), and the issuance of the Warrant Shares is not subject to any preemptive or similar rights not otherwise validly waived or satisfied.</w:t>
      </w:r>
    </w:p>
    <w:p>
      <w:pPr>
        <w:spacing w:after="0" w:line="79" w:lineRule="exact"/>
        <w:rPr>
          <w:sz w:val="20"/>
          <w:szCs w:val="20"/>
          <w:color w:val="auto"/>
        </w:rPr>
      </w:pPr>
    </w:p>
    <w:p>
      <w:pPr>
        <w:ind w:firstLine="419"/>
        <w:spacing w:after="0" w:line="255"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operated at all times and are currently in compliance in all material respects with all applicable Health Care Laws (as defined herein), including all statutes, rules, regulations and policies administered by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comparable foreign regulatory authorities, including the European Medicines Agency and the UK Medicines &amp; Healthcare products Regulatory Agency (collectively, the “</w:t>
      </w:r>
      <w:r>
        <w:rPr>
          <w:rFonts w:ascii="Times New Roman" w:cs="Times New Roman" w:eastAsia="Times New Roman" w:hAnsi="Times New Roman"/>
          <w:sz w:val="18"/>
          <w:szCs w:val="18"/>
          <w:b w:val="1"/>
          <w:bCs w:val="1"/>
          <w:color w:val="auto"/>
        </w:rPr>
        <w:t>Regulatory Authorities</w:t>
      </w:r>
      <w:r>
        <w:rPr>
          <w:rFonts w:ascii="Times New Roman" w:cs="Times New Roman" w:eastAsia="Times New Roman" w:hAnsi="Times New Roman"/>
          <w:sz w:val="18"/>
          <w:szCs w:val="18"/>
          <w:color w:val="auto"/>
        </w:rPr>
        <w:t>”) and 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20" w:firstLine="419"/>
        <w:spacing w:after="0" w:line="252" w:lineRule="auto"/>
        <w:tabs>
          <w:tab w:leader="none" w:pos="7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on the Company and its subsidiaries, taken as a whole, (i) the studies, tests and preclinical and clinical trials conducted by or on behalf of or sponsored by the Company or its subsidiaries or in which the Company or its subsidiaries have participated, that are described in the Registration Statement, the Time of Sale Prospectus and the Prospectus, or the results of which are referred to in the Registration Statement, the Time of Sale Prospectus and the Prospectus, as applicable, were, and if still pending are, being conducted in accordance with standard medical and experimental protocols, procedures and controls pursuant to accepted professional scientific research standards and procedures, and all applicable Health Care Laws, the rules and regulations of the Regulatory Authorities and applicable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inconsistent with or call into question the results described or referred to in the Registration Statement, the Time of Sale Prospectus and the Prospectus; (iv) the Company has provided the Underwriters with all substantive written notices and correspondence provided to the Company or its subsidiaries from the Regulatory Authorities; and (v) neither the Company nor any of its subsidiaries have received any written notices, correspondence or other communications from the Regulatory Authorities requiring or threatening the termination, modification or suspension of any pre-clinical studies or clinical trials that are described in the Registration Statement, the Time of Sale Prospectus and the Prospectus or the results of which are</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referred to in the Registration Statement, the Time of Sale Prospectus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68" w:lineRule="exact"/>
        <w:rPr>
          <w:sz w:val="20"/>
          <w:szCs w:val="20"/>
          <w:color w:val="auto"/>
        </w:rPr>
      </w:pPr>
    </w:p>
    <w:p>
      <w:pPr>
        <w:ind w:right="60" w:firstLine="419"/>
        <w:spacing w:after="0" w:line="253"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have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comparable communication from any other Regulatory Authority or governmental entity, nor, to the Company’s knowledge, is any such claim, action, suit, proceeding, hearing, enforcement, investigation, arbitration or other action threatened; (ii) neither the Company nor any of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83" w:lineRule="exact"/>
        <w:rPr>
          <w:rFonts w:ascii="Times New Roman" w:cs="Times New Roman" w:eastAsia="Times New Roman" w:hAnsi="Times New Roman"/>
          <w:sz w:val="18"/>
          <w:szCs w:val="18"/>
          <w:color w:val="auto"/>
        </w:rPr>
      </w:pPr>
    </w:p>
    <w:p>
      <w:pPr>
        <w:ind w:right="100" w:firstLine="419"/>
        <w:spacing w:after="0" w:line="254" w:lineRule="auto"/>
        <w:tabs>
          <w:tab w:leader="none" w:pos="7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83"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Accountants N.V.,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7" w:name="page18"/>
    <w:bookmarkEnd w:id="17"/>
    <w:p>
      <w:pPr>
        <w:ind w:right="120" w:firstLine="419"/>
        <w:spacing w:after="0" w:line="271" w:lineRule="auto"/>
        <w:tabs>
          <w:tab w:leader="none" w:pos="68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on a consolidated basis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as issued by the International Accounting Standard Board (“</w:t>
      </w:r>
      <w:r>
        <w:rPr>
          <w:rFonts w:ascii="Times New Roman" w:cs="Times New Roman" w:eastAsia="Times New Roman" w:hAnsi="Times New Roman"/>
          <w:sz w:val="17"/>
          <w:szCs w:val="17"/>
          <w:b w:val="1"/>
          <w:bCs w:val="1"/>
          <w:color w:val="auto"/>
        </w:rPr>
        <w:t>IASB</w:t>
      </w:r>
      <w:r>
        <w:rPr>
          <w:rFonts w:ascii="Times New Roman" w:cs="Times New Roman" w:eastAsia="Times New Roman" w:hAnsi="Times New Roman"/>
          <w:sz w:val="17"/>
          <w:szCs w:val="17"/>
          <w:color w:val="auto"/>
        </w:rPr>
        <w:t>”)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except as disclosed in the Registration Statement, the Time of Sale Prospectus and Prospectus,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65" w:lineRule="exact"/>
        <w:rPr>
          <w:rFonts w:ascii="Times New Roman" w:cs="Times New Roman" w:eastAsia="Times New Roman" w:hAnsi="Times New Roman"/>
          <w:sz w:val="17"/>
          <w:szCs w:val="17"/>
          <w:color w:val="auto"/>
        </w:rPr>
      </w:pPr>
    </w:p>
    <w:p>
      <w:pPr>
        <w:ind w:right="20" w:firstLine="419"/>
        <w:spacing w:after="0" w:line="261"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each of the Registration Statement, the Time of Sale Prospectus and the Prospectus, the Company has not sold, issued or distributed any Ordinary Shares during the six-month period preceding the date hereof, including any sales pursuant to Rule 144A under, or Regulation D or S of, the Securities Act, shares issued pursuant to employee benefit plans, qualified stock option plans or other employee compensation plans or pursuant to outstanding options, rights, or warrants.</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pay would not, singly or in the aggregate, have a material adverse effect on the Company and its subsidiaries, taken as a whole, or, except as currently being contested in good faith and for which reserves required by IFRS (as issued by IASB) have been created in the financial statements of the Company), and no tax deficiency has been determined adversely to the Company or any of its subsidiaries which, singly or in the aggregate, has had (nor has the Company nor any of its subsidiaries received any written notice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8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Ordinary Shares are registered pursuant to Section 12(b) of the Exchange Act and are listed on the Nasdaq Global Select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The Company is in compliance in all material respects with the current listing standards of Nasdaq. The Company has filed or will file a Notification of Listing of Additional Shares with Nasdaq with respect to the Securities.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left="4" w:firstLine="419"/>
        <w:spacing w:after="0" w:line="254" w:lineRule="auto"/>
        <w:tabs>
          <w:tab w:leader="none" w:pos="7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83"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7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7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through the Representatives or on their behalf expressly for use therein.</w:t>
      </w:r>
    </w:p>
    <w:p>
      <w:pPr>
        <w:spacing w:after="0" w:line="83" w:lineRule="exact"/>
        <w:rPr>
          <w:rFonts w:ascii="Times New Roman" w:cs="Times New Roman" w:eastAsia="Times New Roman" w:hAnsi="Times New Roman"/>
          <w:sz w:val="18"/>
          <w:szCs w:val="18"/>
          <w:color w:val="auto"/>
        </w:rPr>
      </w:pPr>
    </w:p>
    <w:p>
      <w:pPr>
        <w:ind w:left="4" w:right="80" w:firstLine="419"/>
        <w:spacing w:after="0" w:line="276" w:lineRule="auto"/>
        <w:tabs>
          <w:tab w:leader="none" w:pos="7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stamp, issuance, registration, transfer, or other similar documentary taxes or duties are payable by or on behalf of the Underwriters, the Company or any of its subsidiaries in the Netherlands or to any taxing authority thereof or therein having power to tax in connection with</w:t>
      </w:r>
    </w:p>
    <w:p>
      <w:pPr>
        <w:ind w:left="4" w:right="180" w:hanging="4"/>
        <w:spacing w:after="0" w:line="255" w:lineRule="auto"/>
        <w:tabs>
          <w:tab w:leader="none" w:pos="2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consummation of this Agreement, (ii) the creation, allotment and issuance of the Securities, (iii) the issuance, sale and delivery of the Securities to the Underwriters or purchasers procured by the Underwriters, or (iv) the resale and delivery of the Securities by the Underwriters, each in the manner contemplated herein.</w:t>
      </w:r>
    </w:p>
    <w:p>
      <w:pPr>
        <w:spacing w:after="0" w:line="77"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commissions, costs and expenses to be made by the Company to the Underwriters under this Agreement may be made free and clear of, and without withholding or deduction for, or on account of any taxes, duties, assessments or governmental charges by or on behalf of the Netherlands or any political subdivision or authority thereof or therein having power to tax.</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19" w:name="page20"/>
    <w:bookmarkEnd w:id="19"/>
    <w:p>
      <w:pPr>
        <w:ind w:right="120" w:firstLine="419"/>
        <w:spacing w:after="0" w:line="268" w:lineRule="auto"/>
        <w:tabs>
          <w:tab w:leader="none" w:pos="7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does not believe that it was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in 2024 and, subject to the assumptions and qualifications set forth in the Registration Statement, the Time of Sale Prospectus and the Prospectus, it does not expect to be a PFIC for its current taxable year or in the foreseeable future.</w:t>
      </w:r>
    </w:p>
    <w:p>
      <w:pPr>
        <w:spacing w:after="0" w:line="66"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under the laws of the Netherlands (i) to enable the Underwriters to enforce their rights under this Agreement provided that they are not otherwise engaged in regulated business in the Netherlands, or (ii) solely by reason of the execution, delivery or consummation of this Agreement, for any of the Underwriters to be qualified or entitled to carry out business in the Netherlands except that any Underwriter offering Securities or investment services or performing investment activities in or from the Netherlands, should be licensed, excepted or exempted under or pursuant to the Dutch Financial Supervision Act (</w:t>
      </w:r>
      <w:r>
        <w:rPr>
          <w:rFonts w:ascii="Times New Roman" w:cs="Times New Roman" w:eastAsia="Times New Roman" w:hAnsi="Times New Roman"/>
          <w:sz w:val="18"/>
          <w:szCs w:val="18"/>
          <w:i w:val="1"/>
          <w:iCs w:val="1"/>
          <w:color w:val="auto"/>
        </w:rPr>
        <w:t>Wet op het financieel toezicht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 proper form under the laws of the Netherlands for the enforcement thereof against the Company, and to ensure the legality, validity, enforceability or admissibility into evidence in Netherlands of this Agreement.</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405 of the Securities Act.</w:t>
      </w:r>
    </w:p>
    <w:p>
      <w:pPr>
        <w:spacing w:after="0" w:line="117" w:lineRule="exact"/>
        <w:rPr>
          <w:rFonts w:ascii="Times New Roman" w:cs="Times New Roman" w:eastAsia="Times New Roman" w:hAnsi="Times New Roman"/>
          <w:sz w:val="18"/>
          <w:szCs w:val="18"/>
          <w:color w:val="auto"/>
        </w:rPr>
      </w:pPr>
    </w:p>
    <w:p>
      <w:pPr>
        <w:ind w:right="60" w:firstLine="419"/>
        <w:spacing w:after="0" w:line="255" w:lineRule="auto"/>
        <w:tabs>
          <w:tab w:leader="none" w:pos="8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taken or is contemplated to dissolve or liquidate the Company or any of its subsidiaries, and, to the knowledge of the Company no insolvency proceedings have been proposed, commenced or threatened against the Company or any of its subsidiaries and no judgment has been made or is pending declaring the Company or any of its subsidiaries insolvent. No voluntary arrangement has been prosed between the Company or a subsidiary and its creditors and no compromise or arrangement with creditors has been proposed, agreed or sanctioned in respect of the Company or its subsidiaries. Neither the Company nor any of its subsidiaries has, by reason of actual or anticipated financial difficulties, commenced discussions with any third party including any governmental agency to obtain stand-by or emergency funding or has commenced negotiations with its creditors or any class of its creditors with a view to rescheduling any of its indebtedness.</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nor any of its or their properties or assets has any immunity from the jurisdiction of any court or from any legal process (whether through service or notice, attachment prior to judgment, attachment in aid of execution or otherwise) under the laws of the Netherlands. The irrevocable and unconditional waiver and agreement of the Company contained in Section 17(a) not to plead or claim any such immunity in any legal action, suit or proceeding based on this Agreement is valid and binding under the laws of the Netherlands,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waiver may not be effective in relation to assets located in the Netherlands that are destined for the public service (</w:t>
      </w:r>
      <w:r>
        <w:rPr>
          <w:rFonts w:ascii="Times New Roman" w:cs="Times New Roman" w:eastAsia="Times New Roman" w:hAnsi="Times New Roman"/>
          <w:sz w:val="18"/>
          <w:szCs w:val="18"/>
          <w:i w:val="1"/>
          <w:iCs w:val="1"/>
          <w:color w:val="auto"/>
        </w:rPr>
        <w:t>goederen bestemd voor de openbare dienst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66" w:right="459" w:bottom="1440" w:gutter="0" w:footer="0" w:header="0"/>
        </w:sectPr>
      </w:pPr>
    </w:p>
    <w:bookmarkStart w:id="20" w:name="page21"/>
    <w:bookmarkEnd w:id="20"/>
    <w:p>
      <w:pPr>
        <w:ind w:left="440" w:right="20" w:firstLine="419"/>
        <w:spacing w:after="0" w:line="256" w:lineRule="auto"/>
        <w:tabs>
          <w:tab w:leader="none" w:pos="1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choice of law of the State of New York as the governing law of this Agreement is a valid choice of law under the laws of the Netherlands and will be recognized by the courts of the Netherlands. The Company has the power to submit, and pursuant to Section 17(a) has, to the extent permitted by law, legally, validly, effectively and irrevocably submitted, to the jurisdiction of the Specified Courts (as defined in Section 17(a)), and has the power to designate, appoint and empower, and pursuant to Section 17(b), has legally, validly and effectively designated, appointed and empowered an agent for service of process in any suit or proceeding based on or arising under this Agreement in any of the Specified Courts.</w:t>
      </w:r>
    </w:p>
    <w:p>
      <w:pPr>
        <w:spacing w:after="0" w:line="79"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if any,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to the extent required.</w:t>
      </w:r>
    </w:p>
    <w:p>
      <w:pPr>
        <w:spacing w:after="0" w:line="174" w:lineRule="exact"/>
        <w:rPr>
          <w:sz w:val="20"/>
          <w:szCs w:val="20"/>
          <w:color w:val="auto"/>
        </w:rPr>
      </w:pPr>
    </w:p>
    <w:p>
      <w:pPr>
        <w:ind w:right="120" w:firstLine="436"/>
        <w:spacing w:after="0" w:line="258"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issue and sell to the several Underwriters, and each Underwriter,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representations and warranties herein contained, but subject to the terms and conditions hereinafter stated, agrees, severally and not jointly, to purchase from the Company the respective (i) numbers of Firm Shares set forth in Schedule I hereto opposite its names at $18.80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(ii) the respective number of Warrants set forth in Schedule I hereto opposite its names at $18.79 per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issue and sell to the Underwriters the Additional Shares, and the Underwriters shall have the right to purchase, severally and not jointly, up to 1,312,500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two business days after the written notice is given and may not be earlier than the closing date for the Firm Securities nor later than ten business days after the date of such notice, provided, however, that such written notice may be given one business day prior to the purchase date in the event any Additional Shares to be purchased shall be purchased on the closing date for the Firm Securities. Additional Shares may be purchased as provided in Section 4 hereof solely for the purpose of covering over-allotments made in connection with the offering of the Firm Securities. On each day, if any, that Additional Shares are to be purchased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eliminate fractional shares as the Representatives may determine) that bears the same proportion to the total number of Additional Shares to be purchased on such Option Closing Date as the total number of Firm Securities set forth in Schedule I hereto opposite the name of such Underwriter bears to the total number of Firm Securities.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1" w:name="page22"/>
    <w:bookmarkEnd w:id="21"/>
    <w:p>
      <w:pPr>
        <w:ind w:firstLine="436"/>
        <w:spacing w:after="0" w:line="258"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$20.00 a share in the case of the Shares and $19.99 in the case of the Warrants (collectively,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$0.72 a share under the Public Offering Price.</w:t>
      </w:r>
    </w:p>
    <w:p>
      <w:pPr>
        <w:spacing w:after="0" w:line="183" w:lineRule="exact"/>
        <w:rPr>
          <w:rFonts w:ascii="Times New Roman" w:cs="Times New Roman" w:eastAsia="Times New Roman" w:hAnsi="Times New Roman"/>
          <w:sz w:val="18"/>
          <w:szCs w:val="18"/>
          <w:color w:val="auto"/>
        </w:rPr>
      </w:pPr>
    </w:p>
    <w:p>
      <w:pPr>
        <w:ind w:right="120" w:firstLine="436"/>
        <w:spacing w:after="0" w:line="261"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Securities shall be made to the Company in Federal or other funds immediately available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City, and subject to receipt by the Company of such payment, against delivery of such Securities for the respective accounts of the several Underwriters at 10:00 a.m., New York City time, on July 24, 2025, or at such other time on the same or such other date, not later than July 31, 2025 as shall be designated in writing by the Underwriters.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and subject to receipt by the Company of such payment,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July 31, 2025, as shall be designated in writing by the Representatives.</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Shares and the Warrants shall be registered in such names and in such denominations as the Representatives shall request in writing not later than one full business day prior to the Closing Date or the applicable Option Closing Date in the case of the Additional Shares. The Securities shall be delivered to the Representatives on the Closing Date or an Option Closing Date in the case of the Additional Shares, for the respective accounts of the several Underwriters, with any transfer taxes payable in connection with the transfer of the Shares to the Underwriters duly paid, against, and subject to receipt by the Company of, payment of the Purchase Price or Warrant Purchase Price, as applicable, therefor.</w:t>
      </w:r>
    </w:p>
    <w:p>
      <w:pPr>
        <w:spacing w:after="0" w:line="18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Company and the Underwriters shall instruct the purchaser of the Warrants in the offering to make payment for the Warrants on the Closing Date to the Company by wire transfer in immediately available funds to the account specified by the Company of the Warrant Purchase Price, in lieu of payment by the Underwriters for such amount, and the Company shall deliver such Warrants to such purchaser on the Closing Date in definitive form against such payment, in lieu of the Company’s obligation to deliver such Warrants to the Underwriters; provided that, the underwriting discounts and commissions in respect of the Warrants, as calculated by subtracting the Warrant Purchase Price from the Offering Price of Warrants set forth on Schedule II hereto, shall be deducted and withheld from the amount otherwise payable by the Underwriters to the Company for the Shares as set forth in Section 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8" w:right="479" w:bottom="1440" w:gutter="0" w:footer="0" w:header="0"/>
        </w:sectPr>
      </w:pPr>
    </w:p>
    <w:bookmarkStart w:id="22" w:name="page23"/>
    <w:bookmarkEnd w:id="22"/>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purchasers of the Warrants in the public offering fail to make payment to the Company for all or part of the Warrants on the Closing Date, the Underwriters may elect, by written notice to the Company, to receive Ordinary Shares in lieu of all or a portion of such Warrants to be delivered to the Underwriters under this Agreement.</w:t>
      </w:r>
    </w:p>
    <w:p>
      <w:pPr>
        <w:spacing w:after="0" w:line="174" w:lineRule="exact"/>
        <w:rPr>
          <w:sz w:val="20"/>
          <w:szCs w:val="20"/>
          <w:color w:val="auto"/>
        </w:rPr>
      </w:pPr>
    </w:p>
    <w:p>
      <w:pPr>
        <w:ind w:right="560" w:firstLine="436"/>
        <w:spacing w:after="0" w:line="284"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Securities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Securities on the Closing Date are subject to the following conditions:</w:t>
      </w:r>
    </w:p>
    <w:p>
      <w:pPr>
        <w:spacing w:after="0" w:line="52"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60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53" w:lineRule="exact"/>
        <w:rPr>
          <w:rFonts w:ascii="Times New Roman" w:cs="Times New Roman" w:eastAsia="Times New Roman" w:hAnsi="Times New Roman"/>
          <w:sz w:val="18"/>
          <w:szCs w:val="18"/>
          <w:color w:val="auto"/>
        </w:rPr>
      </w:pPr>
    </w:p>
    <w:p>
      <w:pPr>
        <w:ind w:left="440" w:firstLine="948"/>
        <w:spacing w:after="0" w:line="261" w:lineRule="auto"/>
        <w:tabs>
          <w:tab w:leader="none" w:pos="165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right="40" w:firstLine="419"/>
        <w:spacing w:after="0" w:line="282"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(i) an opinion and (ii) a negative assurance letter of Kirkland &amp; Ellis LLP, United States counsel to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an opinion of NautaDutilh N.V., Dutch counsel to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an opinion of FASP Finck &amp; Partner, intellectual property counsel for the Company, dated the Closing Date, in form and substance reasonably satisfactory to the Representatives.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440" w:top="270" w:right="579" w:bottom="1440" w:gutter="0" w:footer="0" w:header="0"/>
        </w:sectPr>
      </w:pPr>
    </w:p>
    <w:bookmarkStart w:id="23" w:name="page24"/>
    <w:bookmarkEnd w:id="23"/>
    <w:p>
      <w:pPr>
        <w:ind w:left="440" w:right="80" w:firstLine="419"/>
        <w:spacing w:after="0" w:line="282"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and negative assurance letter of Sidley Austin LLP, counsel for the Underwriters,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Loyens &amp; Loeff N.V., Dutch counsel for the Underwriters, dated the Closing Date, in form and substance reasonably satisfactory to the Representatives.</w:t>
      </w:r>
    </w:p>
    <w:p>
      <w:pPr>
        <w:spacing w:after="0" w:line="162"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With respect to Sections 5(c) and 5(f) above, Kirkland &amp; Ellis LLP and Sidley Austin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therein.</w:t>
      </w:r>
    </w:p>
    <w:p>
      <w:pPr>
        <w:spacing w:after="0" w:line="50" w:lineRule="exact"/>
        <w:rPr>
          <w:sz w:val="20"/>
          <w:szCs w:val="20"/>
          <w:color w:val="auto"/>
        </w:rPr>
      </w:pPr>
    </w:p>
    <w:p>
      <w:pPr>
        <w:jc w:val="both"/>
        <w:ind w:left="440" w:right="12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dated the date hereof or the Closing Date, as the case may be, in form and substance reasonably satisfactory to the Representatives, from the Chief Financial Officer of the Company as to the accuracy of certain financial and other information included in the Registration Statement, the Time of Sale Prospectus and the Prospectus.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Representatives shall have received, on each of the date hereof and the Closing Date, a letter dated the date hereof or the Closing Date, as the case may be, in form and substance satisfactory to the Representatives, from PricewaterhouseCoopers Accountants N.V.,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Representatives and certain shareholders, officers and directors of the Company relating to sales and certain other dispositions of Ordinary Shares or certain other securities, delivered to the Representatives on or before the date hereof, shall be in full force and effect on the Closing Date.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a form of Warrant in form and substance reasonably acceptable to the Underwriters.</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sold pursuant to this Agreement and the shares of the Company’s ordinary shares, with a nominal value of €0.12 per share, equivalent to the number of Warrant Shares sold pursuant to this Agreement shall have been submitted for listing on Nasdaq.</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Underwriters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6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right="200" w:firstLine="948"/>
        <w:spacing w:after="0" w:line="266" w:lineRule="auto"/>
        <w:tabs>
          <w:tab w:leader="none" w:pos="12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opinion and negative assurance letter of Kirkland &amp; Ellis LLP, outside counsel for the Company, dated the Option Closing Date, relating to the Additional Shares to be purchased on such Option Closing Date and otherwise to the same effect as the opinion required by Section 5(c) hereof;</w:t>
      </w:r>
    </w:p>
    <w:p>
      <w:pPr>
        <w:spacing w:after="0" w:line="67" w:lineRule="exact"/>
        <w:rPr>
          <w:rFonts w:ascii="Times New Roman" w:cs="Times New Roman" w:eastAsia="Times New Roman" w:hAnsi="Times New Roman"/>
          <w:sz w:val="18"/>
          <w:szCs w:val="18"/>
          <w:color w:val="auto"/>
        </w:rPr>
      </w:pPr>
    </w:p>
    <w:p>
      <w:pPr>
        <w:ind w:right="480" w:firstLine="948"/>
        <w:spacing w:after="0" w:line="312" w:lineRule="auto"/>
        <w:tabs>
          <w:tab w:leader="none" w:pos="126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NautaDutilh N.V., Dutch counsel for the Company, dated the Option Closing Date, relating to the Additional Shares to be purchased on such Option Closing Date and otherwise to the same effect as the opinion required by Section 5(d) hereof;</w:t>
      </w:r>
    </w:p>
    <w:p>
      <w:pPr>
        <w:spacing w:after="0" w:line="31"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20" w:firstLine="948"/>
        <w:spacing w:after="0" w:line="266" w:lineRule="auto"/>
        <w:tabs>
          <w:tab w:leader="none" w:pos="12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Sidley Austin LLP, counsel for the Underwriters, dated the Option Closing Date, relating to the Additional Shares to be purchased on such Option Closing Date and otherwise to the same effect as the opinion required by Section 5(f) hereof;</w:t>
      </w:r>
    </w:p>
    <w:p>
      <w:pPr>
        <w:spacing w:after="0" w:line="67" w:lineRule="exact"/>
        <w:rPr>
          <w:rFonts w:ascii="Times New Roman" w:cs="Times New Roman" w:eastAsia="Times New Roman" w:hAnsi="Times New Roman"/>
          <w:sz w:val="18"/>
          <w:szCs w:val="18"/>
          <w:color w:val="auto"/>
        </w:rPr>
      </w:pPr>
    </w:p>
    <w:p>
      <w:pPr>
        <w:jc w:val="both"/>
        <w:ind w:right="160" w:firstLine="948"/>
        <w:spacing w:after="0" w:line="266" w:lineRule="auto"/>
        <w:tabs>
          <w:tab w:leader="none" w:pos="12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Loyens &amp; Loeff N.V., Dutch counsel for the Underwriters, dated the Option Closing Date, in connection with the Additional Shares to be purchased on such Option Closing Date and otherwise to the same effect as the opinion required by Section 5(g) hereof; and</w:t>
      </w:r>
    </w:p>
    <w:p>
      <w:pPr>
        <w:spacing w:after="0" w:line="67" w:lineRule="exact"/>
        <w:rPr>
          <w:rFonts w:ascii="Times New Roman" w:cs="Times New Roman" w:eastAsia="Times New Roman" w:hAnsi="Times New Roman"/>
          <w:sz w:val="18"/>
          <w:szCs w:val="18"/>
          <w:color w:val="auto"/>
        </w:rPr>
      </w:pPr>
    </w:p>
    <w:p>
      <w:pPr>
        <w:ind w:firstLine="948"/>
        <w:spacing w:after="0" w:line="282" w:lineRule="auto"/>
        <w:tabs>
          <w:tab w:leader="none" w:pos="13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the Chief Financial Officer of the Company, dated the Option Closing Date, substantially in the same form and substance as the certificate required by Section 5(h) hereof; and</w:t>
      </w:r>
    </w:p>
    <w:p>
      <w:pPr>
        <w:spacing w:after="0" w:line="53" w:lineRule="exact"/>
        <w:rPr>
          <w:rFonts w:ascii="Times New Roman" w:cs="Times New Roman" w:eastAsia="Times New Roman" w:hAnsi="Times New Roman"/>
          <w:sz w:val="18"/>
          <w:szCs w:val="18"/>
          <w:color w:val="auto"/>
        </w:rPr>
      </w:pPr>
    </w:p>
    <w:p>
      <w:pPr>
        <w:ind w:right="220" w:firstLine="948"/>
        <w:spacing w:after="0" w:line="261" w:lineRule="auto"/>
        <w:tabs>
          <w:tab w:leader="none" w:pos="13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Underwriters, from PricewaterhouseCoopers Accountants N.V., independent public accountants, substantially in the same form and substance as the letter required pursuant to Section 5(i)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three business days prior to such Option Closing Date.</w:t>
      </w:r>
    </w:p>
    <w:p>
      <w:pPr>
        <w:spacing w:after="0" w:line="71" w:lineRule="exact"/>
        <w:rPr>
          <w:rFonts w:ascii="Times New Roman" w:cs="Times New Roman" w:eastAsia="Times New Roman" w:hAnsi="Times New Roman"/>
          <w:sz w:val="18"/>
          <w:szCs w:val="18"/>
          <w:color w:val="auto"/>
        </w:rPr>
      </w:pPr>
    </w:p>
    <w:p>
      <w:pPr>
        <w:ind w:right="660" w:firstLine="419"/>
        <w:spacing w:after="0" w:line="282"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Shares and other matters related to the issuance of the Shares.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5" w:name="page26"/>
    <w:bookmarkEnd w:id="25"/>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conformed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79"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 The Company also agrees to pay the registration fee for this offering within the time period required by Rule 456(b)(1) under the Securities Act (without giving effect to the proviso therein) and in any event prior to the Closing Date.</w:t>
      </w:r>
    </w:p>
    <w:p>
      <w:pPr>
        <w:spacing w:after="0" w:line="79"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8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68" w:right="459" w:bottom="1440" w:gutter="0" w:footer="0" w:header="0"/>
        </w:sectPr>
      </w:pPr>
    </w:p>
    <w:bookmarkStart w:id="26" w:name="page27"/>
    <w:bookmarkEnd w:id="26"/>
    <w:p>
      <w:pPr>
        <w:ind w:right="120" w:firstLine="419"/>
        <w:spacing w:after="0" w:line="253"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during such period after the first date of the public offering of the Securities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endeavor to qualify the Securities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no event shall the Company be obligated to qualify to do business in any jurisdiction where it is not now so qualified or to take any action that would subject it to service of process in suits, other than those arising out of the offering or sale of the Securities, or taxation in any jurisdiction where it is not now so subject.</w:t>
      </w:r>
    </w:p>
    <w:p>
      <w:pPr>
        <w:spacing w:after="0" w:line="71" w:lineRule="exact"/>
        <w:rPr>
          <w:rFonts w:ascii="Times New Roman" w:cs="Times New Roman" w:eastAsia="Times New Roman" w:hAnsi="Times New Roman"/>
          <w:sz w:val="18"/>
          <w:szCs w:val="18"/>
          <w:color w:val="auto"/>
        </w:rPr>
      </w:pPr>
    </w:p>
    <w:p>
      <w:pPr>
        <w:ind w:right="220" w:firstLine="419"/>
        <w:spacing w:after="0" w:line="261"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Underwriters as soon as practicable an earnings statement (which may satisfied by the Company filing its Annual Report on Form 20-F with the Commission)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(including the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as contemplated by this Agreement, including any transfer or other similar documentary taxes payable thereon, (iii) the reasonable and documented cost of printing or producing any Blue Sky or Legal Investment memorandum in connection with the offer and sale of the Securities under state securities laws and all expenses in connection with</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80" w:top="270" w:right="47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qualification of the Securities for offer and sale under state securities laws as provided in Section 6(g) hereof, including filing fees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reasonable fees and disbursements of counsel for the Underwriters in connection with such qualification and in connection with the Blue Sky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Legal Investment memorandum, (iv) all filing fees and the reasonable and documented fees and disbursements of counsel to the Underwriters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incurred in connection with the review and qualification of the offering of the Securities by FINRA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payable by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with respect to the fees and disbursements of counsel for the Underwriters incurred pursuant to subsections (iii) and (iv)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6(i) shall not exceed $15,000 in the aggregate), (v) all costs and expenses incident to listing the Shares and Warrant Shares on the Nasdaq,</w:t>
      </w:r>
    </w:p>
    <w:p>
      <w:pPr>
        <w:spacing w:after="0" w:line="9" w:lineRule="exact"/>
        <w:rPr>
          <w:sz w:val="20"/>
          <w:szCs w:val="20"/>
          <w:color w:val="auto"/>
        </w:rPr>
      </w:pPr>
    </w:p>
    <w:p>
      <w:pPr>
        <w:ind w:left="4" w:right="20" w:hanging="4"/>
        <w:spacing w:after="0" w:line="251" w:lineRule="auto"/>
        <w:tabs>
          <w:tab w:leader="none" w:pos="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charges of any transfer agent, registrar or depositary, (vii)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50% of the cost of any aircraft chartered in connection with the road show shall be paid by the Underwriters and 50% of the cost of any aircraft chartered in connection with the road show shall be paid by the Company), (viii) the document production charges and expenses associated with printing this Agreement, (ix) the costs of reproducing and distributing each of the Warrants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84"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70" w:right="459" w:bottom="1440" w:gutter="0" w:footer="0" w:header="0"/>
        </w:sectPr>
      </w:pPr>
    </w:p>
    <w:bookmarkStart w:id="28" w:name="page29"/>
    <w:bookmarkEnd w:id="28"/>
    <w:p>
      <w:pPr>
        <w:ind w:left="440" w:firstLine="419"/>
        <w:spacing w:after="0" w:line="256" w:lineRule="auto"/>
        <w:tabs>
          <w:tab w:leader="none" w:pos="11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pay, and shall indemnify and hold the Underwriters harmless against, any stamp, issue, registration, transfer, or other similar documentary taxes or duties (other than taxes or duties imposed on the net income of the Underwriters) imposed under the laws of the Netherlands or any political sub-division or taxing authority thereof or therein having the power to tax that is payable in connection with (i) the execution, delivery, consummation or enforcement of this Agreement, (ii) the creation, allotment and issuance of the Securities, (iii) the sale and delivery of the Securities to the Underwriters or purchasers procured by the Underwriters, or (iv) the resale and delivery of the Securities by the Underwriters, in each case, in the manner contemplated herein.</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of commissions, costs and expenses payable by the Company to the Underwriters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to an Underwriter shall be considered exclusive of any value added or similar taxes unless otherwise provided in this Agreement. Where the Company is obliged to pay value added or similar tax on any amount payable hereunder to an Underwriter, the Company shall in addition to the sum payable hereunder pay upon receipt of a proper value added tax invoice issued by the relevant Underwriter an amount equal to any applicable value added or similar tax to the extent the Company has not otherwise made such payment of value added or similar taxes directly.</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while any Warrants are outstanding, to reserve and keep available out of the aggregate of its authorized but unissued and otherwise unreserved Ordinary Shares, solely for the purpose of enabling it to issue Warrant Shares upon exercise of such Warrants, the number of Warrant Shares that are initially issuable and deliverable upon the exercise of the then-outstanding Warrants.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the Representatives on behalf of the Underwriters, it will not, and will not publicly disclose an intention to,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or (3) file any registration statement with the Commission relating to the offering of any Ordinary Shares or any securities convertible into or exercisable or exchangeable for Ordinary Shares.</w:t>
      </w:r>
    </w:p>
    <w:p>
      <w:pPr>
        <w:spacing w:after="0" w:line="192"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The restrictions contained in the preceding paragraph shall not apply to (A) the Shares to be sold hereunder, including, for the avoidance of doubt, the issuance by the Company of Warrant Shares upon the exercise of the Warrants, pursuant to this Agreement and as otherwise disclosed in the Time of Sale Prospectus and the Prospectus, (B) the issuance by the Company of Ordinary Shares upon the exercise of an option, award, restricted stock unit or warrant or the conversion of a security outstanding on the date hereof as described in each of the Time of Sale Prospectus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Prospectus, (C) facilitating the establishment of a trading plan on behalf of a shareholder, officer or director of the Company pursuant to Rule 10b5-1 under the Exchange Act for the transfer of Ordinary Shares,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 such plan does not provide for the transfer of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 (D) the filing by the Company of any registration statement on Form S- 8 (or any successor form) with the Commission, (E) sales of Ordinary Shares on behalf of the Company’s officers named in the Registration Statement to satisfy the withholding taxes payable upon the vesting, exercise or settlement of such officer’s equity awards pursuant to employee benefit plans described in the Time of Sale Prospectus, or (F) the sale or issuance of or entry into an agreement to sell or issue Ordinary Shares or securities convertible into or exercisable for Ordinary Shares in connection with any (i) mergers, (ii) acquisition of securities, businesses, property, technologies or other assets,</w:t>
      </w:r>
    </w:p>
    <w:p>
      <w:pPr>
        <w:spacing w:after="0" w:line="5" w:lineRule="exact"/>
        <w:rPr>
          <w:sz w:val="20"/>
          <w:szCs w:val="20"/>
          <w:color w:val="auto"/>
        </w:rPr>
      </w:pPr>
    </w:p>
    <w:p>
      <w:pPr>
        <w:ind w:left="4" w:hanging="4"/>
        <w:spacing w:after="0" w:line="251" w:lineRule="auto"/>
        <w:tabs>
          <w:tab w:leader="none" w:pos="3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joint ventures, (iv) strategic alliances, commercial relationships or other collaborations, or (v) the assumption of employee benefit plans in connection with mergers or acquisitions;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aggregate number of Ordinary Shares or securities convertible into or exercisable for Ordinary Shares (on an as-converted or as-exercised basis, as the case may be) that the Company may sell or issue or agree to sell or issue pursuant to this clause (F) shall not exceed 10% of the total number of Ordinary Shares immediately following the completion of the transactions contemplated by this Agreement (after giving effect to the Warrant Shares issuable upon exercise of the Warrants and determined on a fully diluted basis and as adjusted for stock splits, stock dividends and other similar events after the date 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recipient of Ordinary Shares or securities convertible into or exercisable for Ordinary Shares pursuant to this clause (F) shall, on or prior to such issuance, execute a lock-up agreement substantially in the form of Exhibit A hereto with respect to the remaining portion of the Restricted Period.</w:t>
      </w:r>
    </w:p>
    <w:p>
      <w:pPr>
        <w:spacing w:after="0" w:line="191" w:lineRule="exact"/>
        <w:rPr>
          <w:rFonts w:ascii="Times New Roman" w:cs="Times New Roman" w:eastAsia="Times New Roman" w:hAnsi="Times New Roman"/>
          <w:sz w:val="18"/>
          <w:szCs w:val="18"/>
          <w:color w:val="auto"/>
        </w:rPr>
      </w:pPr>
    </w:p>
    <w:p>
      <w:pPr>
        <w:ind w:left="4" w:right="280" w:firstLine="436"/>
        <w:spacing w:after="0" w:line="267" w:lineRule="auto"/>
        <w:tabs>
          <w:tab w:leader="none" w:pos="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(a)The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(including the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the Prospectus or any amendment or supplement thereto, or any Testing-the-Waters Communication, or arise out of, or are based upon, any omission or alleged</w:t>
      </w:r>
    </w:p>
    <w:p>
      <w:pPr>
        <w:spacing w:after="0" w:line="123"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4"/>
          </w:cols>
          <w:pgMar w:left="436" w:top="270" w:right="55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75" w:lineRule="exact"/>
        <w:rPr>
          <w:sz w:val="20"/>
          <w:szCs w:val="20"/>
          <w:color w:val="auto"/>
        </w:rPr>
      </w:pPr>
    </w:p>
    <w:p>
      <w:pPr>
        <w:ind w:left="440" w:right="20" w:firstLine="419"/>
        <w:spacing w:after="0" w:line="254"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or on their behalf expressly for use in the Registration Statement, any preliminary prospectus (including the Preliminary Prospectus), the Time of Sale Prospectus, any issuer free writing prospectus, road show or the Prospectus or any amendment or supplement thereto, it being understood and agreed that the only such information furnished by any Underwriter consists of the following: the concession figures appearing in the fourth paragraph under the caption “Underwriting,” the information relating to stabilizing transactions contained in the thirteenth paragraph under the caption “Underwriting” and the information regarding internet distribution appearing in the fifteenth paragraph under the caption “Underwriting.”</w:t>
      </w:r>
    </w:p>
    <w:p>
      <w:pPr>
        <w:spacing w:after="0" w:line="80" w:lineRule="exact"/>
        <w:rPr>
          <w:rFonts w:ascii="Times New Roman" w:cs="Times New Roman" w:eastAsia="Times New Roman" w:hAnsi="Times New Roman"/>
          <w:sz w:val="18"/>
          <w:szCs w:val="18"/>
          <w:color w:val="auto"/>
        </w:rPr>
      </w:pPr>
    </w:p>
    <w:p>
      <w:pPr>
        <w:ind w:left="440" w:firstLine="419"/>
        <w:spacing w:after="0" w:line="252" w:lineRule="auto"/>
        <w:tabs>
          <w:tab w:leader="none" w:pos="1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84" w:lineRule="exact"/>
        <w:rPr>
          <w:sz w:val="20"/>
          <w:szCs w:val="20"/>
          <w:color w:val="auto"/>
        </w:rPr>
      </w:pPr>
    </w:p>
    <w:p>
      <w:pPr>
        <w:ind w:right="40" w:firstLine="419"/>
        <w:spacing w:after="0" w:line="252"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with respect to the Shares and Warrants, in each case as set forth in the table on the cover of the Prospectus, bear to the aggregate Public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80" w:top="270" w:right="479" w:bottom="1440" w:gutter="0" w:footer="0" w:header="0"/>
        </w:sectPr>
      </w:pPr>
    </w:p>
    <w:bookmarkStart w:id="32" w:name="page33"/>
    <w:bookmarkEnd w:id="32"/>
    <w:p>
      <w:pPr>
        <w:ind w:left="4" w:right="20" w:firstLine="419"/>
        <w:spacing w:after="0" w:line="253" w:lineRule="auto"/>
        <w:tabs>
          <w:tab w:leader="none" w:pos="6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3" w:lineRule="exact"/>
        <w:rPr>
          <w:rFonts w:ascii="Times New Roman" w:cs="Times New Roman" w:eastAsia="Times New Roman" w:hAnsi="Times New Roman"/>
          <w:sz w:val="18"/>
          <w:szCs w:val="18"/>
          <w:color w:val="auto"/>
        </w:rPr>
      </w:pPr>
    </w:p>
    <w:p>
      <w:pPr>
        <w:ind w:left="4" w:right="360" w:firstLine="419"/>
        <w:spacing w:after="0" w:line="276" w:lineRule="auto"/>
        <w:tabs>
          <w:tab w:leader="none" w:pos="651"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 w:hanging="4"/>
        <w:spacing w:after="0" w:line="255" w:lineRule="auto"/>
        <w:tabs>
          <w:tab w:leader="none" w:pos="2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84" w:lineRule="exact"/>
        <w:rPr>
          <w:sz w:val="20"/>
          <w:szCs w:val="20"/>
          <w:color w:val="auto"/>
        </w:rPr>
      </w:pPr>
    </w:p>
    <w:p>
      <w:pPr>
        <w:ind w:left="-436" w:right="20" w:firstLine="436"/>
        <w:spacing w:after="0" w:line="254" w:lineRule="auto"/>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or any Option Closing Date, as the case may be, (i) trading generally shall have been suspended or materially limited on, or by, as the case may be, any of the New York Stock Exchange, the NYSE American and the Nasdaq, (ii) trading of any securities of the Company shall have been suspended on any exchange or in any over-the-counter market, (iii) a material disruption in securities settlement, payment or clearance services in the United States or the Netherlands shall have occurred, (iv) any moratorium on commercial banking activities shall have been declared by Federal, New York State, in the Netherlands or relevant foreign country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185" w:lineRule="exact"/>
        <w:rPr>
          <w:rFonts w:ascii="Times New Roman" w:cs="Times New Roman" w:eastAsia="Times New Roman" w:hAnsi="Times New Roman"/>
          <w:sz w:val="18"/>
          <w:szCs w:val="18"/>
          <w:color w:val="auto"/>
        </w:rPr>
      </w:pPr>
    </w:p>
    <w:p>
      <w:pPr>
        <w:ind w:left="4984" w:right="140" w:hanging="4984"/>
        <w:spacing w:after="0" w:line="456" w:lineRule="auto"/>
        <w:tabs>
          <w:tab w:leader="none" w:pos="2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70" w:right="459" w:bottom="1440" w:gutter="0" w:footer="0" w:header="0"/>
        </w:sectPr>
      </w:pPr>
    </w:p>
    <w:bookmarkStart w:id="33" w:name="page34"/>
    <w:bookmarkEnd w:id="33"/>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 tenth of the aggregate number of the Securities to be purchased on such date, the other Underwriters shall be obligated severally in the proportions that the number of Securities set forth opposite their respective names in Schedule I bears to the aggregate number of Securities set forth opposite the names of all such non defaulting Underwriters, or in such other proportions as the Representatives may specify, to purchase the Securities which such defaulting Underwriter or Underwriters agreed but failed or refused to purchase on such date; provided that in no event shall the number of Securities that any Underwriter has agreed to purchase pursuant to this Agreement be increased pursuant to this Section 10 by an amount in excess of one ninth of such number of Securities without the written consent of such Underwriter. If, on the Closing Date, any Underwriter or Underwriters shall fail or refuse to purchase Securities and the aggregate number of Securities with respect to which such default occurs is more than one tenth of the aggregate number of Securities to be purchased on such date, and arrangements satisfactory to the Representatives and the Company for the purchase of such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 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9), the Company will reimburse the Underwriters or such Underwriters as have so terminated this Agreement with respect to themselves, severally, for all reasonable and documented out-of-pocket expenses (including the fees and disbursements of their counsel) reasonably incurred by such Underwriters in connection with this Agreement or the offering contemplated hereunder.</w:t>
      </w:r>
    </w:p>
    <w:p>
      <w:pPr>
        <w:spacing w:after="0" w:line="185" w:lineRule="exact"/>
        <w:rPr>
          <w:sz w:val="20"/>
          <w:szCs w:val="20"/>
          <w:color w:val="auto"/>
        </w:rPr>
      </w:pPr>
    </w:p>
    <w:p>
      <w:pPr>
        <w:ind w:right="80" w:firstLine="436"/>
        <w:spacing w:after="0" w:line="261" w:lineRule="auto"/>
        <w:tabs>
          <w:tab w:leader="none" w:pos="7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Securities, represents the entire agreement between the Company and the Underwriters with respect to the preparation of any preliminary prospectus (including the Preliminary Prospectus), the Time of Sale Prospectus, the Prospectus, the conduct of the offering, and the purchase and sale of the Securities.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ind w:left="444" w:right="240" w:firstLine="419"/>
        <w:spacing w:after="0" w:line="273" w:lineRule="auto"/>
        <w:tabs>
          <w:tab w:leader="none" w:pos="1122"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169" w:lineRule="exact"/>
        <w:rPr>
          <w:rFonts w:ascii="Times New Roman" w:cs="Times New Roman" w:eastAsia="Times New Roman" w:hAnsi="Times New Roman"/>
          <w:sz w:val="17"/>
          <w:szCs w:val="17"/>
          <w:color w:val="auto"/>
        </w:rPr>
      </w:pPr>
    </w:p>
    <w:p>
      <w:pPr>
        <w:ind w:left="4" w:right="120" w:firstLine="436"/>
        <w:spacing w:after="0" w:line="261" w:lineRule="auto"/>
        <w:tabs>
          <w:tab w:leader="none" w:pos="7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2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w:t>
      </w:r>
    </w:p>
    <w:p>
      <w:pPr>
        <w:spacing w:after="0" w:line="31" w:lineRule="exact"/>
        <w:rPr>
          <w:sz w:val="20"/>
          <w:szCs w:val="20"/>
          <w:color w:val="auto"/>
        </w:rPr>
      </w:pPr>
    </w:p>
    <w:p>
      <w:pPr>
        <w:ind w:left="164" w:hanging="164"/>
        <w:spacing w:after="0"/>
        <w:tabs>
          <w:tab w:leader="none" w:pos="1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Dodd-Frank Wall Street Reform and Consumer Protection Act and the regulations promulgated thereunder.</w:t>
      </w:r>
    </w:p>
    <w:p>
      <w:pPr>
        <w:spacing w:after="0" w:line="204" w:lineRule="exact"/>
        <w:rPr>
          <w:rFonts w:ascii="Times New Roman" w:cs="Times New Roman" w:eastAsia="Times New Roman" w:hAnsi="Times New Roman"/>
          <w:sz w:val="18"/>
          <w:szCs w:val="18"/>
          <w:color w:val="auto"/>
        </w:rPr>
      </w:pPr>
    </w:p>
    <w:p>
      <w:pPr>
        <w:jc w:val="both"/>
        <w:ind w:left="4" w:right="200" w:firstLine="436"/>
        <w:spacing w:after="0" w:line="261" w:lineRule="auto"/>
        <w:tabs>
          <w:tab w:leader="none" w:pos="7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which may be delivered via facsimile, electronic mail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electronic signature covered by the U.S. federal ESIGN Act of 2000, Uniform Electronic Transactions Act, the Electronic Signatures and Records Act or other applicable law, e.g., www.docusign.com), each of which shall be an original, with the same effect as if the signatures thereto and hereto were upon the same instrument.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5" w:name="page36"/>
    <w:bookmarkEnd w:id="35"/>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60" w:firstLine="436"/>
        <w:spacing w:after="0" w:line="284"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jc w:val="both"/>
        <w:ind w:right="20" w:firstLine="436"/>
        <w:spacing w:after="0" w:line="234"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(i) Morgan Stanley &amp; Co. LLC, 1585 Broadway,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10036, Attention: Equity Syndicate Desk, with a copy to the Legal Department; and (ii) Leerink Partners LLC, 1301 Avenue of the Americas, 5th Floor, New York, New York 10019, Attention: Stuart R. Nayman, Esq., Facsimile: (646) 499-7051; and if to the Company shall be delivered, mailed or sent to J.H. Oortweg 21, 2333 CH Leiden, the Netherlands, with a copy to Kirkland &amp; Ellis LLP, 601 Lexington Avenue, New York, New York 10022, Attention: Sophia Hudson, P.C.</w:t>
      </w:r>
    </w:p>
    <w:p>
      <w:pPr>
        <w:spacing w:after="0" w:line="197" w:lineRule="exact"/>
        <w:rPr>
          <w:rFonts w:ascii="Times New Roman" w:cs="Times New Roman" w:eastAsia="Times New Roman" w:hAnsi="Times New Roman"/>
          <w:sz w:val="18"/>
          <w:szCs w:val="18"/>
          <w:color w:val="auto"/>
        </w:rPr>
      </w:pPr>
    </w:p>
    <w:p>
      <w:pPr>
        <w:ind w:right="120" w:firstLine="436"/>
        <w:spacing w:after="0" w:line="255"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 (a)The Company irrevocably submits to the non-exclusive jurisdiction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State or United States Federal court sitting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Time of Sale Prospectus, the Prospectus, the Registration Statement or the offering of the Securities (each, a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78"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appoints Chris Deon, with offices at PO BOX 121 Langhorne, PA,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5"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8" w:right="43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440" w:top="270" w:right="519" w:bottom="1440" w:gutter="0" w:footer="0" w:header="0"/>
        </w:sectPr>
      </w:pPr>
    </w:p>
    <w:bookmarkStart w:id="37" w:name="page38"/>
    <w:bookmarkEnd w:id="37"/>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PHARVARIS N.V.</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Berndt Modig</w:t>
      </w:r>
    </w:p>
    <w:p>
      <w:pPr>
        <w:spacing w:after="0" w:line="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Kalli Dircks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Kalli Dircks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Gabriel P. Cavazos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019"/>
          </w:cols>
          <w:pgMar w:left="440" w:top="270"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32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16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3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 To</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4840" w:type="dxa"/>
            <w:vAlign w:val="bottom"/>
          </w:tcPr>
          <w:p>
            <w:pPr>
              <w:spacing w:after="0"/>
              <w:rPr>
                <w:sz w:val="15"/>
                <w:szCs w:val="15"/>
                <w:color w:val="auto"/>
              </w:rPr>
            </w:pP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5"/>
                <w:szCs w:val="15"/>
                <w:color w:val="auto"/>
              </w:rPr>
            </w:pP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Be Sold</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48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2,990,625</w:t>
            </w: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5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2,578,125</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156,250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5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1,443,750</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5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618,750</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Lanschot Kempen (USA) Inc.</w:t>
            </w:r>
          </w:p>
        </w:tc>
        <w:tc>
          <w:tcPr>
            <w:tcW w:w="5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618,750</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3"/>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9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I-1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11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issued July 22,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free writing prospectus, dated as of July 22,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Firm Shares:</w:t>
            </w:r>
          </w:p>
        </w:tc>
        <w:tc>
          <w:tcPr>
            <w:tcW w:w="4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Number of Additional Shares: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1,312,500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Warrants:</w:t>
            </w:r>
          </w:p>
        </w:tc>
        <w:tc>
          <w:tcPr>
            <w:tcW w:w="4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per Share and 19.99 per Warrant</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be sold:</w:t>
            </w:r>
          </w:p>
        </w:tc>
        <w:tc>
          <w:tcPr>
            <w:tcW w:w="4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13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023"/>
          </w:cols>
          <w:pgMar w:left="436" w:top="266" w:right="1440" w:bottom="1440" w:gutter="0" w:footer="0" w:header="0"/>
        </w:sectPr>
      </w:pPr>
    </w:p>
    <w:bookmarkStart w:id="40" w:name="page41"/>
    <w:bookmarkEnd w:id="40"/>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12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Written Testing-the-Waters Communications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579"/>
          </w:cols>
          <w:pgMar w:left="880" w:top="266" w:right="1440" w:bottom="1440" w:gutter="0" w:footer="0" w:header="0"/>
        </w:sectPr>
      </w:pPr>
    </w:p>
    <w:bookmarkStart w:id="41" w:name="page42"/>
    <w:bookmarkEnd w:id="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1585 Broadway</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NY 10036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184" w:hanging="184"/>
        <w:spacing w:after="0"/>
        <w:tabs>
          <w:tab w:leader="none" w:pos="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1301 Avenue of the Americas, 5th Floor</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10019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and Leerink Partners LLC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xml:space="preserve">”) with Pharvaris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xml:space="preserve"> incorporated and existing under the laws of the Netherlands, with its registered seat in Leiden, the Netherlands, registered under number 64239411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including the Representatives, of ordinary shares, nominal value €0.12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warrants to purchase Ordinary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90 days after the date of the final prospectus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contract to sell, grant any option, right or warrant to purchase, lend, or otherwise transfer or dispose of, directly or indirectly, any Ordinary Shares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Ordinary Shares or (2) enter into any swap or other arrangement that transfers to another, in whole or in part, any of the economic consequences of ownership of the Ordinary Shares, whether any such transaction described in clause (1) or (2) above is to be settled by delivery of Ordinary Shares or such other securities, in cash or otherwise. The foregoing sentence</w:t>
      </w:r>
    </w:p>
    <w:p>
      <w:pPr>
        <w:sectPr>
          <w:pgSz w:w="11900" w:h="16838" w:orient="portrait"/>
          <w:cols w:equalWidth="0" w:num="1">
            <w:col w:w="11024"/>
          </w:cols>
          <w:pgMar w:left="436" w:top="266" w:right="439" w:bottom="1440" w:gutter="0" w:footer="0" w:header="0"/>
        </w:sectPr>
      </w:pPr>
    </w:p>
    <w:bookmarkStart w:id="42" w:name="page43"/>
    <w:bookmarkEnd w:id="4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apply to (A) the registration of the offer and sale of Ordinary Shares and Warrants pursuant to the Underwriting Agreement, including the issuance, sale and registration of the Warrant Shares (as defined in the Underwriting Agreement), (B) transactions relating to the Ordinary Shares or other securities acquired in the Public Offering or open market transactions after the completion of the Public Offering, (C) transfers of Ordinary Shares or any security convertible into Ordinary Shares as a bona fide gift or gifts or by will, testamentary document or intestate succession, (D) distributions of Ordinary Shares or any security convertible into Ordinary Shares to limited partners, members, trust beneficiaries or stockholders of the undersigned,</w:t>
      </w:r>
    </w:p>
    <w:p>
      <w:pPr>
        <w:spacing w:after="0" w:line="3" w:lineRule="exact"/>
        <w:rPr>
          <w:sz w:val="20"/>
          <w:szCs w:val="20"/>
          <w:color w:val="auto"/>
        </w:rPr>
      </w:pPr>
    </w:p>
    <w:p>
      <w:pPr>
        <w:ind w:left="4" w:right="20" w:hanging="4"/>
        <w:spacing w:after="0" w:line="250" w:lineRule="auto"/>
        <w:tabs>
          <w:tab w:leader="none" w:pos="27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corporation, partnership, limited liability company, trust or other business entity, to any direct or indirect affiliate (as defined in Rule 405 promulgated under the Securities Act of 1933, as amended) of the undersigned or any investment fund or other entity controlled or managed by, or under common control or management with, the undersigned or any investment fund or other entity that controls the undersigned, (F) solely by operation of law, pursuant to a qualified domestic order or in connection with a divorce settlement, (G) to any trust for the direct or indirect benefit of the undersigned or the immediate family of the undersigned (for purposes of this agreement “immediate family” shall mean any relationship by blood, marriage or adoption, not more remote than first cousin), provided that any such transfer shall not involve a disposition for value, (H) facilitating the establishment of a trading plan on behalf of a shareholder, officer or director of the Company pursuant to Rule 10b5-1 under the Exchange Act for the transfer of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the transfer of Ordinary Shares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Ordinary Shares may be made under such plan during the Restricted Period, (I) transfers to the Company of Ordinary Shares or any security convertible into Ordinary Shares in connection with the “net” or “cashless” exercise of options or warrants or the vesting, exercise or settlement of any other equity- based award during the Restricted Period, in each case, granted pursuant to the Company’s equity incentive plans described in the Prospectus or the documents incorporated by reference therein, including any Ordinary Shares withheld by the Company or any of its subsidiaries to pay the applicable exercise price or withholding taxes associated with such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 the restrictions contained in this agreement shall apply to Ordinary Shares issued upon such exercise, conversion, vesting or settlement and (ii) for any options or other awards that expire, vest or become settled during the Restricted Period while the Company is unable to transfer shares for purposes of satisfying any tax or other governmental withholding obligations, the restrictions contained in this agreement shall not apply to shares sold or otherwise withheld for that purpose, (J) pursuant to a bona fide third-party tender offer, merger, consolidation or other similar transaction made to all holders of the Company’s securities involving a Change of Control of the Company and approved by the Company’s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provisions of this agreement (for purposes of this agreement “Change of Control” shall mean the transfer, whether by tender offer, merger, consolidation, spin-off or other such transaction, in one transaction or a series of related transactions, to a person or group of affiliated persons (other than an Underwriter</w:t>
      </w:r>
    </w:p>
    <w:p>
      <w:pPr>
        <w:sectPr>
          <w:pgSz w:w="11900" w:h="16838" w:orient="portrait"/>
          <w:cols w:equalWidth="0" w:num="1">
            <w:col w:w="11004"/>
          </w:cols>
          <w:pgMar w:left="436" w:top="270" w:right="45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the Public Offering), of the Company’s voting securities if, after such transfer, such person or group of affiliated persons would hold more than 50% of the outstanding voting securities of the Company (or the surviving entity), (K) to the Company pursuant to arrangements under which the Company has the option to repurchase the undersigned’s Ordinary Shares, which arrangements are described in the Prospectus or the documents incorporated by reference therein; (L) transfers made with the prior written consent of the Underwriters; and (M) transfers or sales of Ordinary Shares pursuant to any Rule 10b5-1 Plan that has been entered into by the undersigned prior to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distribution pursuant to clause (C), (D), (E), (F) or (G), (i) each donee or distributee shall sign and deliver a lock-up agreement substantially in the form of this agreement, and (ii) in the case of any transfer or distribution pursuant to clause (B), (C), (D), (E), (F), (G), (I), (J) or (K), no public announcement or filing under the Exchange Act, reporting a reduction in beneficial ownership of Ordinary Shares, shall be required or voluntarily made during the Restricted Period (other than a filing under Section 13 of the Exchange Act that is required to be filed during the Restricted Period).</w:t>
      </w:r>
    </w:p>
    <w:p>
      <w:pPr>
        <w:spacing w:after="0" w:line="188"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Underwriters, it will not, during the Restricted Period, make any demand for or exercise any right with respect to, the registration of any Ordinary Shares or any security convertible into or exercisable or exchangeable for Ordinary Shares. The undersigned also agrees and consents to the entry of stop transfer instructions with the Company’s transfer agent and registrar against the transfer of the undersigned’s Ordinary Shares except in compliance with the foregoing restrictions.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agreement shall be terminated and the undersigned shall be released from its obligations hereunder upon the earlier of: (i) the date on which for any reason the Underwriting Agreement is terminated (other than the provisions thereof that survive termination) prior to payment for and delivery of the securities to be sold thereunder or (ii) the Company or the Underwriters notifies the other in writing prior to the execution of the Underwriting Agreement that it does not intend to proceed with the Public Offering.</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Ordinary Shares or Warrants at the price determined in the Public Offering, and nothing set forth in such disclosures or documentation is intended to suggest that any Underwriter is making such a recommendation.</w:t>
      </w:r>
    </w:p>
    <w:p>
      <w:pPr>
        <w:sectPr>
          <w:pgSz w:w="11900" w:h="16838" w:orient="portrait"/>
          <w:cols w:equalWidth="0" w:num="1">
            <w:col w:w="10960"/>
          </w:cols>
          <w:pgMar w:left="440" w:top="270" w:right="49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45" w:name="page46"/>
    <w:bookmarkEnd w:id="4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299085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9019"/>
          </w:cols>
          <w:pgMar w:left="1440" w:top="270" w:right="1440" w:bottom="1440" w:gutter="0" w:footer="0" w:header="0"/>
        </w:sectPr>
      </w:pPr>
    </w:p>
    <w:bookmarkStart w:id="46" w:name="page47"/>
    <w:bookmarkEnd w:id="46"/>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ORDINARY SHARES PURCHASE WARRANT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[   ] (such date,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PRE-FUNDED ORDINARY SHARES PURCHASE WARRANT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certifies that, for value received, the registered holder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set forth herein,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on or after the Issue Date until this Warrant is exercised in full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to subscribe for and purchase from Pharvaris N.V.,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having its official seat in Leiden, the Netherlands, and registered with the trade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Dutch Chamber of Commerce under number 64239411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 to [   ] ordinary shares, nominal value €0.12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the Company (as subject to adjustment hereunder,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The purchase price of one Ordinary Share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shall be equal to $0.01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The aggregate exercise price per Warrant Share under this Warrant shall be equal to $20.00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Exercise Price</w:t>
      </w:r>
      <w:r>
        <w:rPr>
          <w:rFonts w:ascii="Times New Roman" w:cs="Times New Roman" w:eastAsia="Times New Roman" w:hAnsi="Times New Roman"/>
          <w:sz w:val="18"/>
          <w:szCs w:val="18"/>
          <w:color w:val="auto"/>
        </w:rPr>
        <w:t>”), minus the Exercise Price, was pre-funded to the Company on or before the Issue Date.</w:t>
      </w:r>
    </w:p>
    <w:p>
      <w:pPr>
        <w:spacing w:after="0" w:line="2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Warrant, the following terms shall have the following meanings:</w:t>
      </w:r>
    </w:p>
    <w:p>
      <w:pPr>
        <w:spacing w:after="0" w:line="127" w:lineRule="exact"/>
        <w:rPr>
          <w:sz w:val="20"/>
          <w:szCs w:val="20"/>
          <w:color w:val="auto"/>
        </w:rPr>
      </w:pPr>
    </w:p>
    <w:p>
      <w:pPr>
        <w:ind w:left="960" w:right="120" w:hanging="532"/>
        <w:spacing w:after="0" w:line="26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130" w:lineRule="exact"/>
        <w:rPr>
          <w:rFonts w:ascii="Times New Roman" w:cs="Times New Roman" w:eastAsia="Times New Roman" w:hAnsi="Times New Roman"/>
          <w:sz w:val="18"/>
          <w:szCs w:val="18"/>
          <w:color w:val="auto"/>
        </w:rPr>
      </w:pPr>
    </w:p>
    <w:p>
      <w:pPr>
        <w:ind w:left="960" w:right="80" w:hanging="532"/>
        <w:spacing w:after="0" w:line="28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any Saturday, any Sunday, any day that is a federal legal holiday in the United States or any day on which the Trading Market is authorized or required by law or other governmental action to close.</w:t>
      </w:r>
    </w:p>
    <w:p>
      <w:pPr>
        <w:spacing w:after="0" w:line="60" w:lineRule="exact"/>
        <w:rPr>
          <w:rFonts w:ascii="Times New Roman" w:cs="Times New Roman" w:eastAsia="Times New Roman" w:hAnsi="Times New Roman"/>
          <w:sz w:val="18"/>
          <w:szCs w:val="18"/>
          <w:color w:val="auto"/>
        </w:rPr>
      </w:pPr>
    </w:p>
    <w:p>
      <w:pPr>
        <w:ind w:left="960" w:right="440" w:hanging="532"/>
        <w:spacing w:after="0" w:line="28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Company’s Registration Statement on Form F-3 (File No. 333-278650) that became effective on April 12, 2024.</w:t>
      </w:r>
    </w:p>
    <w:p>
      <w:pPr>
        <w:spacing w:after="0" w:line="60" w:lineRule="exact"/>
        <w:rPr>
          <w:rFonts w:ascii="Times New Roman" w:cs="Times New Roman" w:eastAsia="Times New Roman" w:hAnsi="Times New Roman"/>
          <w:sz w:val="18"/>
          <w:szCs w:val="18"/>
          <w:color w:val="auto"/>
        </w:rPr>
      </w:pPr>
    </w:p>
    <w:p>
      <w:pPr>
        <w:ind w:left="960" w:right="740" w:hanging="532"/>
        <w:spacing w:after="0" w:line="28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Ordinary Shares are traded on the Trading Market.</w:t>
      </w:r>
    </w:p>
    <w:p>
      <w:pPr>
        <w:spacing w:after="0" w:line="130" w:lineRule="exact"/>
        <w:rPr>
          <w:rFonts w:ascii="Times New Roman" w:cs="Times New Roman" w:eastAsia="Times New Roman" w:hAnsi="Times New Roman"/>
          <w:sz w:val="18"/>
          <w:szCs w:val="18"/>
          <w:color w:val="auto"/>
        </w:rPr>
      </w:pPr>
    </w:p>
    <w:p>
      <w:pPr>
        <w:ind w:left="960" w:right="560" w:hanging="532"/>
        <w:spacing w:after="0" w:line="28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principal securities exchange or securities market, including an over-the-counter market, on which the Ordinary Shares are then traded in the United States.</w:t>
      </w:r>
    </w:p>
    <w:p>
      <w:pPr>
        <w:spacing w:after="0" w:line="64" w:lineRule="exact"/>
        <w:rPr>
          <w:sz w:val="20"/>
          <w:szCs w:val="20"/>
          <w:color w:val="auto"/>
        </w:rPr>
      </w:pPr>
    </w:p>
    <w:p>
      <w:pPr>
        <w:ind w:left="980" w:right="40" w:hanging="984"/>
        <w:spacing w:after="0" w:line="258" w:lineRule="auto"/>
        <w:tabs>
          <w:tab w:leader="none" w:pos="9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This Warrant, as initially issued by the Company, is offered and sold pursuant to the Registration Statement. As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Issue Date, the Warrant Shares are offered under the Registration Statement. Accordingly, this Warrant and the Warrant Shares are not “restricted securities” under Rule 144 promulgated under the Securities Act. The Company shall, or will cause its transfer agent to, register ownership of this Warrant, upon records to be 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or in such name or names as may be directed by the Holder (which shall include the initial Holder or, as</w:t>
      </w:r>
    </w:p>
    <w:p>
      <w:pPr>
        <w:sectPr>
          <w:pgSz w:w="11900" w:h="16838" w:orient="portrait"/>
          <w:cols w:equalWidth="0" w:num="1">
            <w:col w:w="11020"/>
          </w:cols>
          <w:pgMar w:left="440" w:top="117" w:right="439" w:bottom="1440" w:gutter="0" w:footer="0" w:header="0"/>
        </w:sectPr>
      </w:pPr>
    </w:p>
    <w:bookmarkStart w:id="47" w:name="page48"/>
    <w:bookmarkEnd w:id="47"/>
    <w:p>
      <w:pPr>
        <w:ind w:left="980" w:right="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case may be, any assignee to which this Warrant is assigned pursuant to the terms hereunder) from time to time. The Company may deem and treat the registered Holder of this Warrant as the absolute owner hereof for the purpose of any exercise hereof or any distribution to the Holder, and for all other purposes, absent actual notice to the contrary. All acts and things have been done and performed which are necessary to make the Warrants, when executed on behalf of the Company and countersigned by or on behalf of Holder, as provided herein, the valid, binding and legal obligations of the Company, and to authorize the execution and delivery of this Warrant.</w:t>
      </w:r>
    </w:p>
    <w:p>
      <w:pPr>
        <w:spacing w:after="0" w:line="19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960" w:hanging="532"/>
        <w:spacing w:after="0" w:line="25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Subject to the terms and conditions hereof, the purchase rights represented by this Warrant may be exercised, in whole or in part, at any time or times on or after the Issue Date, by delivery (whether via facsimile or otherwise) to the Company (or such other office or agency of the Company as it may designate by notice in writing to the registered Holder at the address of the Holder appearing on the Warrant Register) of a duly executed copy of the Notice of Exercise in the form annexed hereto (the “</w:t>
      </w:r>
      <w:r>
        <w:rPr>
          <w:rFonts w:ascii="Times New Roman" w:cs="Times New Roman" w:eastAsia="Times New Roman" w:hAnsi="Times New Roman"/>
          <w:sz w:val="18"/>
          <w:szCs w:val="18"/>
          <w:b w:val="1"/>
          <w:bCs w:val="1"/>
          <w:i w:val="1"/>
          <w:iCs w:val="1"/>
          <w:color w:val="auto"/>
        </w:rPr>
        <w:t>Notice of Exercise</w:t>
      </w:r>
      <w:r>
        <w:rPr>
          <w:rFonts w:ascii="Times New Roman" w:cs="Times New Roman" w:eastAsia="Times New Roman" w:hAnsi="Times New Roman"/>
          <w:sz w:val="18"/>
          <w:szCs w:val="18"/>
          <w:color w:val="auto"/>
        </w:rPr>
        <w:t xml:space="preserve">”) and by payment to the Company of an amount equal to the Aggregate Exercise Price of the Warrant Shares specified in the applicable Notice of Exercise by wire transfer. The Aggregate Exercise Price of this Warrant, minus the Exercise Price, was pre-funded to the Company on or before the Issue Date. The pre-funded Aggregate Exercise Price of this Warrant, except for the Exercise Price, shall be considered to have been pre-paid on the Warrant Shares issuable hereunder and, consequently, upon the issuance of any Warrant Shares pursuant to the exercise of this Warrant, such Warrant Shares shall have been paid up in full and the Company irrevocably consents to such payment being made in a currency other than the Euro. Consequently, no additional consideration (other than the Exercise Price per Warrant Share) shall be required to be paid by the Holder to effect any exercise of this Warrant. No ink-original Notice of Exercise shall be required, nor shall any medallion guarantee (or other type of guarantee or notarization) of any Notice of Exercise form be required.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cs="Times New Roman" w:eastAsia="Times New Roman" w:hAnsi="Times New Roman"/>
          <w:sz w:val="18"/>
          <w:szCs w:val="18"/>
          <w:b w:val="1"/>
          <w:bCs w:val="1"/>
          <w:color w:val="auto"/>
        </w:rPr>
        <w:t>The Holder and any assignee, by acceptance of this Warrant, acknowledge and agree that,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 The Holder shall not be entitled to the return or refund of all, or any portion, of any pre-paid Aggregate Exercise Price under any circumstance or for any reason whatsoever.</w:t>
      </w:r>
    </w:p>
    <w:p>
      <w:pPr>
        <w:spacing w:after="0" w:line="9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20" w:hanging="439"/>
        <w:spacing w:after="0" w:line="253"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Warrant Shares purchased hereunder shall be transmitted to the Holder or its designee by crediting the account of the Holder’s or its designee’s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system if the Company is then a participant in such system, or if the Company’s transfer agent is not participating in the Fast Automated Securities Transfer Program (the “</w:t>
      </w:r>
      <w:r>
        <w:rPr>
          <w:rFonts w:ascii="Times New Roman" w:cs="Times New Roman" w:eastAsia="Times New Roman" w:hAnsi="Times New Roman"/>
          <w:sz w:val="18"/>
          <w:szCs w:val="18"/>
          <w:b w:val="1"/>
          <w:bCs w:val="1"/>
          <w:i w:val="1"/>
          <w:iCs w:val="1"/>
          <w:color w:val="auto"/>
        </w:rPr>
        <w:t>FAST Program</w:t>
      </w:r>
      <w:r>
        <w:rPr>
          <w:rFonts w:ascii="Times New Roman" w:cs="Times New Roman" w:eastAsia="Times New Roman" w:hAnsi="Times New Roman"/>
          <w:sz w:val="18"/>
          <w:szCs w:val="18"/>
          <w:color w:val="auto"/>
        </w:rPr>
        <w:t>”), and otherwise by physical delivery to the address specified by the Holder in the Notice of Exercise by the date that is two Trading Days after the receipt by the Company of the Notice of Exercise (provided that payment of the Exercise Price has then been received by the Company) (such date, the “</w:t>
      </w:r>
      <w:r>
        <w:rPr>
          <w:rFonts w:ascii="Times New Roman" w:cs="Times New Roman" w:eastAsia="Times New Roman" w:hAnsi="Times New Roman"/>
          <w:sz w:val="18"/>
          <w:szCs w:val="18"/>
          <w:b w:val="1"/>
          <w:bCs w:val="1"/>
          <w:i w:val="1"/>
          <w:iCs w:val="1"/>
          <w:color w:val="auto"/>
        </w:rPr>
        <w:t>Warrant Share Delivery Date</w:t>
      </w:r>
      <w:r>
        <w:rPr>
          <w:rFonts w:ascii="Times New Roman" w:cs="Times New Roman" w:eastAsia="Times New Roman" w:hAnsi="Times New Roman"/>
          <w:sz w:val="18"/>
          <w:szCs w:val="18"/>
          <w:color w:val="auto"/>
        </w:rPr>
        <w:t>”). This Warrant shall be deemed to have been exercised upon proper delivery of the Notice of Exercise and payment of the Exercise Price in accordance with the terms hereof. The Company shall use its reasonable best efforts to maintain a transfer agent that is a participant in the FAST program so long as this Warrant remains outstanding and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-3061970</wp:posOffset>
            </wp:positionV>
            <wp:extent cx="28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8" w:name="page49"/>
    <w:bookmarkEnd w:id="48"/>
    <w:p>
      <w:pPr>
        <w:ind w:left="439" w:right="100" w:hanging="439"/>
        <w:spacing w:after="0" w:line="261"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New Warrant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85" w:lineRule="exact"/>
        <w:rPr>
          <w:rFonts w:ascii="Times New Roman" w:cs="Times New Roman" w:eastAsia="Times New Roman" w:hAnsi="Times New Roman"/>
          <w:sz w:val="18"/>
          <w:szCs w:val="18"/>
          <w:color w:val="auto"/>
        </w:rPr>
      </w:pPr>
    </w:p>
    <w:p>
      <w:pPr>
        <w:ind w:left="439" w:right="20" w:hanging="439"/>
        <w:spacing w:after="0" w:line="252"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xml:space="preserve">. In addition to any other rights available to the Holder, if the Company fails to cause its transfer agent to transmit to the Holder the Warrant Shares in accordance with the provisions of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above pursuant to an exercise on or before the Warrant Share Delivery Date (other than a failure caused by incorrect or incomplete information provided by the Holder to the Company) (provided that payment of the Exercise Price has then been received by the Company),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xml:space="preserve">”), then the Company shall either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this Warrant with an aggregate sale price giving rise to such purchase obligation of $10,000, under clause (A) of the immediately preceding sentence the Company shall be required to pay the Holder $1,000.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94" w:lineRule="exact"/>
        <w:rPr>
          <w:rFonts w:ascii="Times New Roman" w:cs="Times New Roman" w:eastAsia="Times New Roman" w:hAnsi="Times New Roman"/>
          <w:sz w:val="18"/>
          <w:szCs w:val="18"/>
          <w:color w:val="auto"/>
        </w:rPr>
      </w:pPr>
    </w:p>
    <w:p>
      <w:pPr>
        <w:ind w:left="439" w:right="180" w:hanging="439"/>
        <w:spacing w:after="0" w:line="261"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shall be issued upon the exercise of this Warrant. As to any fraction of a share which the Holder would otherwise be entitled to purchase upon such exercise, the Company shall, at its election, either pay a cash adjustment in respect of such final fractions in an amount equal to such fraction multiplied by the Exercise Price or round up to the nearest whole share.</w:t>
      </w:r>
    </w:p>
    <w:p>
      <w:pPr>
        <w:spacing w:after="0" w:line="85"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transfer or similar documentary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or documentary tax or other additional costs incidental thereto. The Company shall pay all transfer agent fees required for any Notice of Exercise and all fees to the DTC (or another established clearing corporation performing similar functions) required for electronic delivery of the Warrant Shares.</w:t>
      </w:r>
    </w:p>
    <w:p>
      <w:pPr>
        <w:spacing w:after="0" w:line="121"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39"/>
          </w:cols>
          <w:pgMar w:left="1421" w:top="270" w:right="439" w:bottom="1440" w:gutter="0" w:footer="0" w:header="0"/>
        </w:sectPr>
      </w:pPr>
    </w:p>
    <w:bookmarkStart w:id="49" w:name="page50"/>
    <w:bookmarkEnd w:id="49"/>
    <w:p>
      <w:pPr>
        <w:ind w:left="960" w:right="100" w:hanging="532"/>
        <w:spacing w:after="0" w:line="253"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Exercise Limitations</w:t>
      </w:r>
      <w:r>
        <w:rPr>
          <w:rFonts w:ascii="Times New Roman" w:cs="Times New Roman" w:eastAsia="Times New Roman" w:hAnsi="Times New Roman"/>
          <w:sz w:val="18"/>
          <w:szCs w:val="18"/>
          <w:color w:val="auto"/>
        </w:rPr>
        <w:t xml:space="preserve">. This Warrant may be exercised by the Holder, at any time or times on or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exercise would result in the Holder acquiring beneficial ownership of Warrant Shares (together with all other equity of the Company owned by the Holder at such time) with a value of or in excess of the Hart-Scott-Rodino Antitrust Improvements Act of 1976, as amended (the “</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notification threshold applicable to the Holder (the “</w:t>
      </w:r>
      <w:r>
        <w:rPr>
          <w:rFonts w:ascii="Times New Roman" w:cs="Times New Roman" w:eastAsia="Times New Roman" w:hAnsi="Times New Roman"/>
          <w:sz w:val="18"/>
          <w:szCs w:val="18"/>
          <w:b w:val="1"/>
          <w:bCs w:val="1"/>
          <w:i w:val="1"/>
          <w:iCs w:val="1"/>
          <w:color w:val="auto"/>
        </w:rPr>
        <w:t>HSR Threshold</w:t>
      </w:r>
      <w:r>
        <w:rPr>
          <w:rFonts w:ascii="Times New Roman" w:cs="Times New Roman" w:eastAsia="Times New Roman" w:hAnsi="Times New Roman"/>
          <w:sz w:val="18"/>
          <w:szCs w:val="18"/>
          <w:color w:val="auto"/>
        </w:rPr>
        <w:t>”), and no exemption to filing a notice and report form under the HSR Act is applicable, then only such portion of this Warrant, which when exercised does not exceed the HSR Threshold, shall be exercisable and the applicable Notice of Exercise shall be deemed to relate only to such portion of this Warrant, and the remaining portion of this Warrant in excess of the HSR Threshold shall not be exercisable until the expiration or early termination of the applicable waiting periods or receipt of applicable approval. After such expiration or early termination of the applicable waiting period or receipt of applicable approval, the HSR Threshold shall no longer be applicable to this Warrant, notwithstanding any other provision hereof.</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60" w:hanging="532"/>
        <w:spacing w:after="0" w:line="255"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 of Ordinary Shares</w:t>
      </w:r>
      <w:r>
        <w:rPr>
          <w:rFonts w:ascii="Times New Roman" w:cs="Times New Roman" w:eastAsia="Times New Roman" w:hAnsi="Times New Roman"/>
          <w:sz w:val="18"/>
          <w:szCs w:val="18"/>
          <w:color w:val="auto"/>
        </w:rPr>
        <w:t xml:space="preserve">. During such time as this Warrant is outstanding, if the Company subdivides (by any share split, share dividend, recapitalization or otherwise) its outstanding Ordinary Shares into a greater number of shares, the Exercise Price in effect immediately prior to such subdivision will be proportionately reduced and the number of Warrant Shares will be proportionately increased. During such time as this Warrant is outstanding, if the Company combines (by combination, reverse share split or otherwise) its outstanding Ordinary Shares into a smaller number of shares, the Exercise Price in effect immediately prior to such combination will be proportionately increased and the number of Warrant Shares will be proportionately decreased. Any adjustment under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w:t>
      </w:r>
    </w:p>
    <w:p>
      <w:pPr>
        <w:spacing w:after="0" w:line="94"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if during such time as this Warrant is outstanding the Company grants, issues or sells any rights to purchase share, warrants, securities or other property, in each case pro rata to the record holders of its outstanding Ordinary Shares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to the extent that the Holder’s right to participate in any such Purchase Right would result in the Holder exceeding the HSR Threshold (if applicable),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HSR Threshold (if applicable)).</w:t>
      </w:r>
    </w:p>
    <w:p>
      <w:pPr>
        <w:spacing w:after="0" w:line="97" w:lineRule="exact"/>
        <w:rPr>
          <w:rFonts w:ascii="Times New Roman" w:cs="Times New Roman" w:eastAsia="Times New Roman" w:hAnsi="Times New Roman"/>
          <w:sz w:val="18"/>
          <w:szCs w:val="18"/>
          <w:color w:val="auto"/>
        </w:rPr>
      </w:pPr>
    </w:p>
    <w:p>
      <w:pPr>
        <w:ind w:left="960" w:right="100" w:hanging="532"/>
        <w:spacing w:after="0" w:line="254"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During such time as this Warrant is outstanding, if the Company shall declare or make any dividend or other distribution of its assets (or rights to acquire its assets) to holders of its outstanding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as a result of a share dividend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immediately before the date of which a record is taken for such Distribution, or, if no such record is taken, the date as of which the record holders of Ordinary Shares are to be determined for the participation in such Distribution (provided,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50" w:name="page51"/>
    <w:bookmarkEnd w:id="50"/>
    <w:p>
      <w:pPr>
        <w:ind w:left="560" w:righ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to the extent that the Holder’s right to participate in any such Distribution would result in the Holder exceeding the HSR Threshold (if applicable),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HSR Threshold (if applicable)).</w:t>
      </w:r>
    </w:p>
    <w:p>
      <w:pPr>
        <w:spacing w:after="0" w:line="89" w:lineRule="exact"/>
        <w:rPr>
          <w:sz w:val="20"/>
          <w:szCs w:val="20"/>
          <w:color w:val="auto"/>
        </w:rPr>
      </w:pPr>
    </w:p>
    <w:p>
      <w:pPr>
        <w:jc w:val="both"/>
        <w:ind w:left="540" w:right="180" w:hanging="532"/>
        <w:spacing w:after="0" w:line="272" w:lineRule="auto"/>
        <w:tabs>
          <w:tab w:leader="none" w:pos="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shareholders of the Company immediately prior to such merger or consolidation do not own, directly or indirectly, at least</w:t>
      </w:r>
    </w:p>
    <w:p>
      <w:pPr>
        <w:spacing w:after="0" w:line="1" w:lineRule="exact"/>
        <w:rPr>
          <w:rFonts w:ascii="Times New Roman" w:cs="Times New Roman" w:eastAsia="Times New Roman" w:hAnsi="Times New Roman"/>
          <w:sz w:val="17"/>
          <w:szCs w:val="17"/>
          <w:color w:val="auto"/>
        </w:rPr>
      </w:pP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50% of the voting power of the surviving entity immediately after such merger or consolidation, (ii) the Company, directly or indirectly, effects any sale, lease, license, assignment, transfer, conveyance or other disposition to another Person of all or substantially all of its assets in one or a series of related transactions, (iii) any direct or indirect purchase offer, tender offer or exchange offer (whether by the Company or another Person) is completed pursuant to which holders of share capital who tender shares representing more than 50% of the voting power of the share capital of the Company and the Company or such other Person, as applicable, accepts such tender for payment, (iv) the Company, directly or indirectly, in one or more related transactions, consummates a share purchase agreement or other business combination (including, without limitation, a reorganization, recapitalization, spin-off or scheme of arrangement) with another Person whereby such other Person acquires more than 50% of the voting power of the share capital of the Company (except for any such transaction in which the shareholders of the Company immediately prior to such transaction maintain, in substantially the same proportions, the voting power of such Person immediately after the transaction) or (v) the Company, directly or indirectly, whether by merger, consolidation or otherwise, in one or more related transactions, effects any reclassification, reorganization or recapitalization of the Ordinary Shares or any compulsory share exchange pursuant to which the Ordinary Shares are effectively converted into or exchanged for other securities, cash or property (other than as a result of a subdivision or combination of Ordinary Shares covered by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xml:space="preserve">”).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Holder is not permitted to exercise any portion of the Warrant due to the HSR Threshold, then the Holder shall be entitled to receive cash as Alternate Consideration for such portion of the Warrant subject to such restriction..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Any such payment of such amount of such Alternate Consideration shall be made in the same form of consideration (whether securities, cash or property) as is given to the holders of Ordinary Shares in such Fundamental Transaction, and if multiple forms of consideration are given, the consideration shall be paid to the Holder in the same proportion as such consideration is paid to the holders of Ordinary Shares. The terms of any agreement pursuant to which a Fundamental Transaction is effected shall include terms requiring any such successor or surviving entity to comply with the provisions of this paragraph (d) and insuring that this Warrant (or any such replacement security) will be similarly adjusted upon any subsequent Fundamental Transaction. The Company shall not effect any Fundamental Transaction in which the Company is not the surviving entity or the Alternate</w:t>
      </w:r>
    </w:p>
    <w:p>
      <w:pPr>
        <w:spacing w:after="0" w:line="14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51" w:name="page52"/>
    <w:bookmarkEnd w:id="51"/>
    <w:p>
      <w:pPr>
        <w:ind w:left="98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 includes securities of another Person unless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89" w:lineRule="exact"/>
        <w:rPr>
          <w:sz w:val="20"/>
          <w:szCs w:val="20"/>
          <w:color w:val="auto"/>
        </w:rPr>
      </w:pPr>
    </w:p>
    <w:p>
      <w:pPr>
        <w:ind w:left="960" w:right="140" w:hanging="532"/>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made to the nearest cent or the nearest whole share, as the case may be. For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any calculation of the number of Ordinary Shares deemed to be issued and outstanding as of a given date shall not include treasury shares, if any.</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960" w:hanging="532"/>
        <w:spacing w:after="0" w:line="253"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by the Holder. Upon any such registration or transfer, a new warrant to purchase Ordinary Shares in substantially the form of this Warrant (any such new warrant, a “</w:t>
      </w:r>
      <w:r>
        <w:rPr>
          <w:rFonts w:ascii="Times New Roman" w:cs="Times New Roman" w:eastAsia="Times New Roman" w:hAnsi="Times New Roman"/>
          <w:sz w:val="18"/>
          <w:szCs w:val="18"/>
          <w:b w:val="1"/>
          <w:bCs w:val="1"/>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Notwithstanding anything herein to the contrary, the Holder shall not be required to physically surrender this Warrant to the Company unless the Holder has assigned this Warrant in full, in which case, the Holder shall surrender this Warrant to the Company within three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95" w:lineRule="exact"/>
        <w:rPr>
          <w:rFonts w:ascii="Times New Roman" w:cs="Times New Roman" w:eastAsia="Times New Roman" w:hAnsi="Times New Roman"/>
          <w:sz w:val="18"/>
          <w:szCs w:val="18"/>
          <w:color w:val="auto"/>
        </w:rPr>
      </w:pPr>
    </w:p>
    <w:p>
      <w:pPr>
        <w:ind w:left="960" w:right="20" w:hanging="532"/>
        <w:spacing w:after="0" w:line="255"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principal office of the Company (or other designated agent), together with a written notice specifying the names and denominations in which new Warrants are to be issued, signed by the Holder or its agent or attorney. Subject to compliance with Section 5(a),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to this Warrant except as to the number of Warrant Shares issuable pursuant thereto.</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960" w:right="120" w:hanging="532"/>
        <w:spacing w:after="0" w:line="25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w:t>
      </w:r>
      <w:r>
        <w:rPr>
          <w:rFonts w:ascii="Times New Roman" w:cs="Times New Roman" w:eastAsia="Times New Roman" w:hAnsi="Times New Roman"/>
          <w:sz w:val="18"/>
          <w:szCs w:val="18"/>
          <w:color w:val="auto"/>
        </w:rPr>
        <w:t xml:space="preserve">. Except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this Warrant does not entitle the Holder to any voting rights, dividends or other rights as a shareholder of the Company prior to the exercise hereof as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spacing w:after="0" w:line="88"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them of the loss, theft, destruction or mutilation of this Warrant or any share certificate relating to the Warrant Shares, and in case of loss, theft or destruction, of indemnity or security reasonably satisfactory to it,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2" w:name="page53"/>
    <w:bookmarkEnd w:id="52"/>
    <w:p>
      <w:pPr>
        <w:ind w:left="540" w:right="20" w:hanging="532"/>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67" w:lineRule="exact"/>
        <w:rPr>
          <w:rFonts w:ascii="Times New Roman" w:cs="Times New Roman" w:eastAsia="Times New Roman" w:hAnsi="Times New Roman"/>
          <w:sz w:val="18"/>
          <w:szCs w:val="18"/>
          <w:color w:val="auto"/>
        </w:rPr>
      </w:pPr>
    </w:p>
    <w:p>
      <w:pPr>
        <w:ind w:left="540" w:hanging="532"/>
        <w:spacing w:after="0" w:line="25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Ordinary Shares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share certificates to execute and issue the necessary certificates, if applicable,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(meaning that a holder of a Warrant Share shall not by reason of merely being such a holder be subject to assessment or calls by the Company or its creditors for further payment on such Warrant Share)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(including any Fundamental Transaction), in each case, avoid or seek to avoid the observance or performance of any of the terms of this Warrant, and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nominal value of any Warrant Shares above the pre-funded Aggregate Exercise Price per Warrant Share, (ii) take all such action as may be necessary or appropriate in order that the Company may validly and legally issue fully paid and nonassessable Warrant Shares (meaning that a holder of a Warrant Share shall not by reason of merely being such a holder be subject to assessment or calls by the Company or its creditors for further payment on such Warrant Share) upon the exercise of this Warrant and (iii) use its reasonable best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0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right="120" w:hanging="439"/>
        <w:spacing w:after="0" w:line="266" w:lineRule="auto"/>
        <w:tabs>
          <w:tab w:leader="none" w:pos="10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53" w:name="page54"/>
    <w:bookmarkEnd w:id="53"/>
    <w:p>
      <w:pPr>
        <w:ind w:left="1000" w:hanging="439"/>
        <w:spacing w:after="0" w:line="254"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and the Holder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Warrant and the transactions contemplated herein, or for recognition or enforcement of any judgment, and each of the Company and the Holder irrevocably and unconditionally agrees that all claims in respect of any such action or proceeding may be heard and determined in such New York state court or, to the fullest extent permitted by applicable law, in such federal court. Each of the Company and the Holder hereto agrees that a final judgment in any such action or proceeding shall be conclusive and may be enforced in other jurisdictions by suit on the judgment or in any other manner provided by law.</w:t>
      </w:r>
    </w:p>
    <w:p>
      <w:pPr>
        <w:spacing w:after="0" w:line="97" w:lineRule="exact"/>
        <w:rPr>
          <w:rFonts w:ascii="Times New Roman" w:cs="Times New Roman" w:eastAsia="Times New Roman" w:hAnsi="Times New Roman"/>
          <w:sz w:val="18"/>
          <w:szCs w:val="18"/>
          <w:color w:val="auto"/>
        </w:rPr>
      </w:pPr>
    </w:p>
    <w:p>
      <w:pPr>
        <w:ind w:left="1000" w:right="160" w:hanging="439"/>
        <w:spacing w:after="0" w:line="258"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the Holder irrevocably and unconditionally waives, to the fullest extent permitted by applicable law, any objection that it may now or hereafter have to the laying of venue of any action or proceeding arising out of or relating to this Warrant and the transactions contemplated herein in any court referred to in </w:t>
      </w:r>
      <w:r>
        <w:rPr>
          <w:rFonts w:ascii="Times New Roman" w:cs="Times New Roman" w:eastAsia="Times New Roman" w:hAnsi="Times New Roman"/>
          <w:sz w:val="18"/>
          <w:szCs w:val="18"/>
          <w:u w:val="single" w:color="auto"/>
          <w:color w:val="auto"/>
        </w:rPr>
        <w:t>Section 6(e)(ii)</w:t>
      </w:r>
      <w:r>
        <w:rPr>
          <w:rFonts w:ascii="Times New Roman" w:cs="Times New Roman" w:eastAsia="Times New Roman" w:hAnsi="Times New Roman"/>
          <w:sz w:val="18"/>
          <w:szCs w:val="18"/>
          <w:color w:val="auto"/>
        </w:rPr>
        <w:t xml:space="preserve"> hereof. Each of the Company and the Holder hereby irrevocably waives, to the fullest extent permitted by applicable law, the defense of an inconvenient forum to the maintenance of such action or proceeding in any such court.</w:t>
      </w:r>
    </w:p>
    <w:p>
      <w:pPr>
        <w:spacing w:after="0" w:line="88" w:lineRule="exact"/>
        <w:rPr>
          <w:rFonts w:ascii="Times New Roman" w:cs="Times New Roman" w:eastAsia="Times New Roman" w:hAnsi="Times New Roman"/>
          <w:sz w:val="18"/>
          <w:szCs w:val="18"/>
          <w:color w:val="auto"/>
        </w:rPr>
      </w:pPr>
    </w:p>
    <w:p>
      <w:pPr>
        <w:ind w:left="1000" w:right="160" w:hanging="439"/>
        <w:spacing w:after="0" w:line="254"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HOLDER HEREBY IRREVOCABLY WAIVES, TO THE FULLEST EXTENT PERMITTED BY APPLICABLE LAW, ANY RIGHT IT MAY HAVE TO A TRIAL BY JURY IN ANY LEGAL PROCEEDING DIRECTLY OR INDIRECTLY ARISING OUT OF OR RELATING TO THIS WARRANT OR THE TRANSACTIONS CONTEMPLATED HEREBY (WHETHER BASED ON CONTRACT, TORT OR ANY OTHER THEORY). EACH OF THE COMPANY AND THE HOLDER (A) CERTIFIES THAT NO REPRESENTATIVE, AGENT OR ATTORNEY OF ANY OTHER PERSON HAS REPRESENTED, EXPRESSLY OR OTHERWISE, THAT SUCH OTHER PERSON WOULD NOT, IN THE EVENT OF LITIGATION, SEEK TO ENFORCE THE FOREGOING WAIVER AND (B) ACKNOWLEDGES THAT EACH OF THE COMPANY AND THE HOLDER HAS BEEN INDUCED TO ENTER INTO THIS WARRANT BY, AMONG OTHER THINGS, THE MUTUAL WAIVERS AND CERTIFICATIONS IN THIS SECTION.</w:t>
      </w:r>
    </w:p>
    <w:p>
      <w:pPr>
        <w:spacing w:after="0" w:line="93" w:lineRule="exact"/>
        <w:rPr>
          <w:rFonts w:ascii="Times New Roman" w:cs="Times New Roman" w:eastAsia="Times New Roman" w:hAnsi="Times New Roman"/>
          <w:sz w:val="18"/>
          <w:szCs w:val="18"/>
          <w:color w:val="auto"/>
        </w:rPr>
      </w:pPr>
    </w:p>
    <w:p>
      <w:pPr>
        <w:ind w:left="540" w:right="20" w:hanging="532"/>
        <w:spacing w:after="0" w:line="256"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w:t>
      </w:r>
    </w:p>
    <w:p>
      <w:pPr>
        <w:spacing w:after="0" w:line="130" w:lineRule="exact"/>
        <w:rPr>
          <w:rFonts w:ascii="Times New Roman" w:cs="Times New Roman" w:eastAsia="Times New Roman" w:hAnsi="Times New Roman"/>
          <w:sz w:val="18"/>
          <w:szCs w:val="18"/>
          <w:color w:val="auto"/>
        </w:rPr>
      </w:pPr>
    </w:p>
    <w:p>
      <w:pPr>
        <w:ind w:left="1000" w:right="20" w:hanging="439"/>
        <w:spacing w:after="0" w:line="254"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Trading Day following the date of mailing, if sent by U.S. nationally recognized overnight courier service or by International Federal Express, (d) the third Trading Day following the date of mailing if sent by first-class registered or certified mail domestic, or (e) upon actual receipt by the party to whom such notice is required to be given. The addresses for such communications shall be: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54" w:name="page55"/>
    <w:bookmarkEnd w:id="54"/>
    <w:p>
      <w:pPr>
        <w:ind w:left="8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117"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Pharvaris N.V.</w:t>
      </w:r>
    </w:p>
    <w:p>
      <w:pPr>
        <w:spacing w:after="0" w:line="27"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Emmy Noetherweg 2</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2333 BK Leiden</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Email: [    ]</w:t>
      </w:r>
    </w:p>
    <w:p>
      <w:pPr>
        <w:spacing w:after="0" w:line="99" w:lineRule="exact"/>
        <w:rPr>
          <w:sz w:val="20"/>
          <w:szCs w:val="20"/>
          <w:color w:val="auto"/>
        </w:rPr>
      </w:pPr>
    </w:p>
    <w:p>
      <w:pPr>
        <w:ind w:left="839"/>
        <w:spacing w:after="0"/>
        <w:rPr>
          <w:sz w:val="20"/>
          <w:szCs w:val="20"/>
          <w:color w:val="auto"/>
        </w:rPr>
      </w:pPr>
      <w:r>
        <w:rPr>
          <w:rFonts w:ascii="Times New Roman" w:cs="Times New Roman" w:eastAsia="Times New Roman" w:hAnsi="Times New Roman"/>
          <w:sz w:val="18"/>
          <w:szCs w:val="18"/>
          <w:color w:val="auto"/>
        </w:rPr>
        <w:t>With copy to:</w:t>
      </w:r>
    </w:p>
    <w:p>
      <w:pPr>
        <w:spacing w:after="0" w:line="117"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1439"/>
        <w:spacing w:after="0"/>
        <w:rPr>
          <w:sz w:val="20"/>
          <w:szCs w:val="20"/>
          <w:color w:val="auto"/>
        </w:rPr>
      </w:pPr>
      <w:r>
        <w:rPr>
          <w:rFonts w:ascii="Times New Roman" w:cs="Times New Roman" w:eastAsia="Times New Roman" w:hAnsi="Times New Roman"/>
          <w:sz w:val="18"/>
          <w:szCs w:val="18"/>
          <w:color w:val="auto"/>
        </w:rPr>
        <w:t>Email: [    ]</w:t>
      </w:r>
    </w:p>
    <w:p>
      <w:pPr>
        <w:spacing w:after="0" w:line="99" w:lineRule="exact"/>
        <w:rPr>
          <w:sz w:val="20"/>
          <w:szCs w:val="20"/>
          <w:color w:val="auto"/>
        </w:rPr>
      </w:pPr>
    </w:p>
    <w:p>
      <w:pPr>
        <w:ind w:left="839"/>
        <w:spacing w:after="0"/>
        <w:rPr>
          <w:sz w:val="20"/>
          <w:szCs w:val="20"/>
          <w:color w:val="auto"/>
        </w:rPr>
      </w:pPr>
      <w:r>
        <w:rPr>
          <w:rFonts w:ascii="Times New Roman" w:cs="Times New Roman" w:eastAsia="Times New Roman" w:hAnsi="Times New Roman"/>
          <w:sz w:val="18"/>
          <w:szCs w:val="18"/>
          <w:color w:val="auto"/>
        </w:rPr>
        <w:t>If to the Holder:</w:t>
      </w:r>
    </w:p>
    <w:p>
      <w:pPr>
        <w:spacing w:after="0" w:line="117" w:lineRule="exact"/>
        <w:rPr>
          <w:sz w:val="20"/>
          <w:szCs w:val="20"/>
          <w:color w:val="auto"/>
        </w:rPr>
      </w:pPr>
    </w:p>
    <w:p>
      <w:pPr>
        <w:ind w:left="1439" w:right="200"/>
        <w:spacing w:after="0" w:line="282" w:lineRule="auto"/>
        <w:rPr>
          <w:sz w:val="20"/>
          <w:szCs w:val="20"/>
          <w:color w:val="auto"/>
        </w:rPr>
      </w:pPr>
      <w:r>
        <w:rPr>
          <w:rFonts w:ascii="Times New Roman" w:cs="Times New Roman" w:eastAsia="Times New Roman" w:hAnsi="Times New Roman"/>
          <w:sz w:val="18"/>
          <w:szCs w:val="18"/>
          <w:color w:val="auto"/>
        </w:rPr>
        <w:t xml:space="preserve">To the address, email address or facsimile number set forth in the Warrant Register, or as otherwise provided by the Holder to the Company in accordance with this </w:t>
      </w:r>
      <w:r>
        <w:rPr>
          <w:rFonts w:ascii="Times New Roman" w:cs="Times New Roman" w:eastAsia="Times New Roman" w:hAnsi="Times New Roman"/>
          <w:sz w:val="18"/>
          <w:szCs w:val="18"/>
          <w:u w:val="single" w:color="auto"/>
          <w:color w:val="auto"/>
        </w:rPr>
        <w:t>Section 6(g)(i)</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39" w:right="100" w:hanging="439"/>
        <w:spacing w:after="0" w:line="261" w:lineRule="auto"/>
        <w:tabs>
          <w:tab w:leader="none" w:pos="4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or number of Warrant Shares is adjusted pursuant to any provision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Company shall promptly provide the Holder a notice setting forth the Company’s good faith adjustment of the Exercise Price and number of Warrant Shares after such adjustment and setting forth a description of the transactions giving rise to such adjustments and a detailed statement of the facts upon which such adjustment is based.</w:t>
      </w:r>
    </w:p>
    <w:p>
      <w:pPr>
        <w:spacing w:after="0" w:line="85"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the Holder</w:t>
      </w:r>
      <w:r>
        <w:rPr>
          <w:rFonts w:ascii="Times New Roman" w:cs="Times New Roman" w:eastAsia="Times New Roman" w:hAnsi="Times New Roman"/>
          <w:sz w:val="18"/>
          <w:szCs w:val="18"/>
          <w:color w:val="auto"/>
        </w:rPr>
        <w:t>. After the Issue Date, if (A) the Company shall declare a dividend (or any other distribution in whatever form) on the Ordinary Shares, including any Distribution, (B) the Company shall declare a special nonrecurring cash dividend on or a redemption of the Ordinary Shares, (C) the Company shall authorize the granting to all holders of the Ordinary Shares rights or warrants to subscribe for or purchase any shares of any class or of any rights, including any Purchase Right, (D) the approval of any shareholders of the Company shall be required in connection with any reclassification of the Ordinary Shares,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Ordinary Shares are converted into other securities, cash or property, including any Fundamental Transaction, or (E) the Company shall authorize the voluntary or involuntary dissolution, liquidation or winding up of the affairs of the Company, then, in each case, the Company shall cause to be mailed to the Holder at its last address as it shall appear upon the Warrant Register, at least ten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w:t>
      </w:r>
    </w:p>
    <w:p>
      <w:pPr>
        <w:spacing w:after="0" w:line="127"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39"/>
          </w:cols>
          <w:pgMar w:left="1421" w:top="270" w:right="539" w:bottom="1440" w:gutter="0" w:footer="0" w:header="0"/>
        </w:sectPr>
      </w:pPr>
    </w:p>
    <w:bookmarkStart w:id="55" w:name="page56"/>
    <w:bookmarkEnd w:id="55"/>
    <w:p>
      <w:pPr>
        <w:ind w:left="10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Ordinary Shares of record shall be entitled to exchange their shares of the Ordinary Shares for securities, cash or other property deliverable upon such reclassification, consolidation, merger, sale, transfer or share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89" w:lineRule="exact"/>
        <w:rPr>
          <w:sz w:val="20"/>
          <w:szCs w:val="20"/>
          <w:color w:val="auto"/>
        </w:rPr>
      </w:pPr>
    </w:p>
    <w:p>
      <w:pPr>
        <w:ind w:left="540" w:right="320" w:hanging="532"/>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spacing w:after="0" w:line="85" w:lineRule="exact"/>
        <w:rPr>
          <w:rFonts w:ascii="Times New Roman" w:cs="Times New Roman" w:eastAsia="Times New Roman" w:hAnsi="Times New Roman"/>
          <w:sz w:val="18"/>
          <w:szCs w:val="18"/>
          <w:color w:val="auto"/>
        </w:rPr>
      </w:pPr>
    </w:p>
    <w:p>
      <w:pPr>
        <w:ind w:left="540" w:right="80" w:hanging="532"/>
        <w:spacing w:after="0" w:line="277" w:lineRule="auto"/>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Without limiting any rights of a Holder to receive cash payments pursuant to </w:t>
      </w:r>
      <w:r>
        <w:rPr>
          <w:rFonts w:ascii="Times New Roman" w:cs="Times New Roman" w:eastAsia="Times New Roman" w:hAnsi="Times New Roman"/>
          <w:sz w:val="17"/>
          <w:szCs w:val="17"/>
          <w:u w:val="single" w:color="auto"/>
          <w:color w:val="auto"/>
        </w:rPr>
        <w:t>Section 3(b)(iii)</w:t>
      </w:r>
      <w:r>
        <w:rPr>
          <w:rFonts w:ascii="Times New Roman" w:cs="Times New Roman" w:eastAsia="Times New Roman" w:hAnsi="Times New Roman"/>
          <w:sz w:val="17"/>
          <w:szCs w:val="17"/>
          <w:color w:val="auto"/>
        </w:rPr>
        <w:t>, in no event shall the Company be required to net cash settle an exercise of this Warrant.</w:t>
      </w:r>
    </w:p>
    <w:p>
      <w:pPr>
        <w:spacing w:after="0" w:line="73" w:lineRule="exact"/>
        <w:rPr>
          <w:rFonts w:ascii="Times New Roman" w:cs="Times New Roman" w:eastAsia="Times New Roman" w:hAnsi="Times New Roman"/>
          <w:sz w:val="17"/>
          <w:szCs w:val="17"/>
          <w:color w:val="auto"/>
        </w:rPr>
      </w:pPr>
    </w:p>
    <w:p>
      <w:pPr>
        <w:ind w:left="540" w:right="200" w:hanging="532"/>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85"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67"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85" w:lineRule="exact"/>
        <w:rPr>
          <w:rFonts w:ascii="Times New Roman" w:cs="Times New Roman" w:eastAsia="Times New Roman" w:hAnsi="Times New Roman"/>
          <w:sz w:val="18"/>
          <w:szCs w:val="18"/>
          <w:color w:val="auto"/>
        </w:rPr>
      </w:pPr>
    </w:p>
    <w:p>
      <w:pPr>
        <w:ind w:left="540" w:right="20" w:hanging="532"/>
        <w:spacing w:after="0" w:line="269" w:lineRule="auto"/>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 In the case of a dispute as to the determination of the Exercise Price or the arithmetic calculation of the Warrant Shares, the Company shall submit the disputed determinations or arithmetic calculations in writing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in writing</w:t>
      </w:r>
    </w:p>
    <w:p>
      <w:pPr>
        <w:spacing w:after="0" w:line="2" w:lineRule="exact"/>
        <w:rPr>
          <w:rFonts w:ascii="Times New Roman" w:cs="Times New Roman" w:eastAsia="Times New Roman" w:hAnsi="Times New Roman"/>
          <w:sz w:val="17"/>
          <w:szCs w:val="17"/>
          <w:color w:val="auto"/>
        </w:rPr>
      </w:pPr>
    </w:p>
    <w:p>
      <w:pPr>
        <w:ind w:left="540" w:right="1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Company was correct and such determination by the Holder was incorrect, in which case the expenses of the investment bank and accountant will be borne by the Holder.</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00"/>
          </w:cols>
          <w:pgMar w:left="860" w:top="270" w:right="439" w:bottom="1440" w:gutter="0" w:footer="0" w:header="0"/>
        </w:sectPr>
      </w:pPr>
    </w:p>
    <w:bookmarkStart w:id="56" w:name="page57"/>
    <w:bookmarkEnd w:id="56"/>
    <w:p>
      <w:pPr>
        <w:ind w:left="540" w:hanging="532"/>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0"/>
          </w:cols>
          <w:pgMar w:left="860" w:top="270" w:right="579" w:bottom="1440" w:gutter="0" w:footer="0" w:header="0"/>
        </w:sectPr>
      </w:pPr>
    </w:p>
    <w:bookmarkStart w:id="57" w:name="page58"/>
    <w:bookmarkEnd w:id="5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Warrant to be executed by its officer thereunto duly authorized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indicated.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[Signature Page to Pre-Funded Warrant]</w:t>
      </w:r>
    </w:p>
    <w:p>
      <w:pPr>
        <w:sectPr>
          <w:pgSz w:w="11900" w:h="16838" w:orient="portrait"/>
          <w:cols w:equalWidth="0" w:num="1">
            <w:col w:w="10560"/>
          </w:cols>
          <w:pgMar w:left="440" w:top="266" w:right="899" w:bottom="1440" w:gutter="0" w:footer="0" w:header="0"/>
        </w:sectPr>
      </w:pPr>
    </w:p>
    <w:bookmarkStart w:id="58" w:name="page59"/>
    <w:bookmarkEnd w:id="58"/>
    <w:p>
      <w:pPr>
        <w:jc w:val="center"/>
        <w:ind w:right="-143"/>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ectPr>
          <w:pgSz w:w="11900" w:h="16838" w:orient="portrait"/>
          <w:cols w:equalWidth="0" w:num="1">
            <w:col w:w="10864"/>
          </w:cols>
          <w:pgMar w:left="436" w:top="266" w:right="599" w:bottom="1440" w:gutter="0" w:footer="0" w:header="0"/>
        </w:sect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Pharvaris N.V.</w:t>
      </w:r>
    </w:p>
    <w:p>
      <w:pPr>
        <w:spacing w:after="0" w:line="142" w:lineRule="exact"/>
        <w:rPr>
          <w:sz w:val="20"/>
          <w:szCs w:val="20"/>
          <w:color w:val="auto"/>
        </w:rPr>
      </w:pPr>
    </w:p>
    <w:p>
      <w:pPr>
        <w:sectPr>
          <w:pgSz w:w="11900" w:h="16838" w:orient="portrait"/>
          <w:cols w:equalWidth="0" w:num="2">
            <w:col w:w="244" w:space="180"/>
            <w:col w:w="10440"/>
          </w:cols>
          <w:pgMar w:left="436" w:top="266" w:right="599" w:bottom="1440" w:gutter="0" w:footer="0" w:header="0"/>
          <w:type w:val="continuous"/>
        </w:sectPr>
      </w:pPr>
    </w:p>
    <w:p>
      <w:pPr>
        <w:ind w:left="424" w:hanging="419"/>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w:t>
        <w:tab/>
        <w:t>The undersigned holder of Warrant No. hereby elects to purchase        Warrant Shares of the Company pursuant to the terms of the attached Warrant (only if exercised in full), and tenders herewith payment of the exercise price in full, together with all applicable transfer taxes, if any.</w:t>
      </w:r>
    </w:p>
    <w:p>
      <w:pPr>
        <w:sectPr>
          <w:pgSz w:w="11900" w:h="16838" w:orient="portrait"/>
          <w:cols w:equalWidth="0" w:num="1">
            <w:col w:w="10864"/>
          </w:cols>
          <w:pgMar w:left="436" w:top="266" w:right="599" w:bottom="1440" w:gutter="0" w:footer="0" w:header="0"/>
          <w:type w:val="continuous"/>
        </w:sectPr>
      </w:pPr>
    </w:p>
    <w:p>
      <w:pPr>
        <w:spacing w:after="0" w:line="67"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exceed the HSR Threshold (if applicable), as defined in the Warrant to which this notice relates.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if DWAC is unavailable, by physical delivery of a certificate to:</w:t>
      </w: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171450</wp:posOffset>
            </wp:positionV>
            <wp:extent cx="67119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26035</wp:posOffset>
            </wp:positionV>
            <wp:extent cx="6711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-119380</wp:posOffset>
            </wp:positionV>
            <wp:extent cx="67119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471805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864"/>
          </w:cols>
          <w:pgMar w:left="436" w:top="266" w:right="599" w:bottom="1440" w:gutter="0" w:footer="0" w:header="0"/>
          <w:type w:val="continuous"/>
        </w:sectPr>
      </w:pPr>
    </w:p>
    <w:bookmarkStart w:id="59" w:name="page60"/>
    <w:bookmarkEnd w:id="59"/>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[            ] all of or [            ] shares of the foregoing Warrant and all rights evidenced thereby are hereby assigned to</w:t>
      </w:r>
    </w:p>
    <w:p>
      <w:pPr>
        <w:spacing w:after="0" w:line="25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972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445770</wp:posOffset>
            </wp:positionV>
            <wp:extent cx="40544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300355</wp:posOffset>
            </wp:positionV>
            <wp:extent cx="4054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54475"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154305</wp:posOffset>
            </wp:positionV>
            <wp:extent cx="4054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200" w:type="dxa"/>
            <w:vAlign w:val="bottom"/>
            <w:tcBorders>
              <w:bottom w:val="single" w:sz="8" w:color="auto"/>
            </w:tcBorders>
            <w:gridSpan w:val="3"/>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3"/>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Holder’s Signature:  </w:t>
            </w:r>
          </w:p>
        </w:tc>
        <w:tc>
          <w:tcPr>
            <w:tcW w:w="11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r>
      <w:tr>
        <w:trPr>
          <w:trHeight w:val="318"/>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Holder’s Address:  </w:t>
            </w:r>
          </w:p>
        </w:tc>
        <w:tc>
          <w:tcPr>
            <w:tcW w:w="4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9"/>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ectPr>
          <w:pgSz w:w="11900" w:h="16838" w:orient="portrait"/>
          <w:cols w:equalWidth="0" w:num="1">
            <w:col w:w="10660"/>
          </w:cols>
          <w:pgMar w:left="440" w:top="266" w:right="7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-119380</wp:posOffset>
            </wp:positionV>
            <wp:extent cx="11398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7113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1007 JC Amsterdam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Beethovenstraat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1082 PR Amsterdam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+31 20 71 71 000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+31 20 71 71 111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Amsterdam, 24 July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acted as legal counsel as to Dutch law to the Company in connection with the Offering and the filing of the Prosectus Supplement to the Registration Statement with the SEC. This opinion letter is rendered to you in order to be filed with the SEC as an exhibit to the Company’s Form 6-K, as filed or to be filed with the SEC on 24 July 2025.</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Capitalised terms used in this opinion letter have the meanings set forth in Exhibit A to this opinion letter. The section headings used in this opinion letter are for convenience of reference only and are not to affect its construction or to be taken into consideration in its interpretation.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rendering the opinions expressed in this opinion letter, we have reviewed and relied upon drafts of the Reviewed Documents, a draft of the Registration Statement and the Prospectus Supplement and pdf copies or drafts, as the case may be, of the Corporate Documents and we have assumed that the Reviewed Documents shall be entered into for bona fide commercial reasons. We have not investigated or verified any factual matter disclosed to us in the course of our review.</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Reviewed Documents, the Registration Statement or the Corporate Documents subsequent to the date of this opinion letter.</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ectPr>
          <w:pgSz w:w="11900" w:h="16838" w:orient="portrait"/>
          <w:cols w:equalWidth="0" w:num="1">
            <w:col w:w="11020"/>
          </w:cols>
          <w:pgMar w:left="440" w:top="117" w:right="439" w:bottom="1440" w:gutter="0" w:footer="0" w:header="0"/>
        </w:sectPr>
      </w:pPr>
    </w:p>
    <w:bookmarkStart w:id="61" w:name="page62"/>
    <w:bookmarkEnd w:id="61"/>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8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letter, we have assumed that:</w:t>
      </w:r>
    </w:p>
    <w:p>
      <w:pPr>
        <w:spacing w:after="0" w:line="131" w:lineRule="exact"/>
        <w:rPr>
          <w:sz w:val="20"/>
          <w:szCs w:val="20"/>
          <w:color w:val="auto"/>
        </w:rPr>
      </w:pPr>
    </w:p>
    <w:p>
      <w:pPr>
        <w:ind w:left="424" w:right="18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drafts of documents reviewed by us will be signed in the form of those drafts, each copy of a document conforms to the original, each original is authentic, and each signature is the genuine signature of the individual purported to have placed that signature;</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declared effective by the SEC and the Prospectus Supplement has been filed with the SEC, in each case in the form reviewed by us;</w:t>
      </w:r>
    </w:p>
    <w:p>
      <w:pPr>
        <w:spacing w:after="0" w:line="67" w:lineRule="exact"/>
        <w:rPr>
          <w:rFonts w:ascii="Times New Roman" w:cs="Times New Roman" w:eastAsia="Times New Roman" w:hAnsi="Times New Roman"/>
          <w:sz w:val="18"/>
          <w:szCs w:val="18"/>
          <w:color w:val="auto"/>
        </w:rPr>
      </w:pPr>
    </w:p>
    <w:p>
      <w:pPr>
        <w:ind w:left="424" w:right="180" w:hanging="424"/>
        <w:spacing w:after="0" w:line="258"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634" w:right="459" w:bottom="1440" w:gutter="0" w:footer="0" w:header="0"/>
        </w:sectPr>
      </w:pPr>
    </w:p>
    <w:bookmarkStart w:id="62" w:name="page63"/>
    <w:bookmarkEnd w:id="62"/>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Deed of Incorporation is a valid notarial deed;</w:t>
      </w:r>
    </w:p>
    <w:p>
      <w:pPr>
        <w:spacing w:after="0" w:line="128" w:lineRule="exact"/>
        <w:rPr>
          <w:rFonts w:ascii="Times New Roman" w:cs="Times New Roman" w:eastAsia="Times New Roman" w:hAnsi="Times New Roman"/>
          <w:sz w:val="18"/>
          <w:szCs w:val="18"/>
          <w:color w:val="auto"/>
        </w:rPr>
      </w:pPr>
    </w:p>
    <w:p>
      <w:pPr>
        <w:ind w:left="424" w:hanging="424"/>
        <w:spacing w:after="0" w:line="267"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internal regulations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have been adopted by any corporate body of the Company which would affect the validity of the resolutions recorded in the Resolutions and (ii) the Current Articles are the Articles of Association currently in force and as they will be in force at each Relevant Moment;</w:t>
      </w:r>
    </w:p>
    <w:p>
      <w:pPr>
        <w:spacing w:after="0" w:line="80"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each Relevant Moment, the resolutions recorded in the Resolutions shall be in full force and effect, (ii) at each Relevant Moment, the factual statements made and the confirmations given in the Resolutions and in each Deed of Issue shall be complete and correct and (iii) the Resolutions correctly reflect the resolutions recorded therein;</w:t>
      </w:r>
    </w:p>
    <w:p>
      <w:pPr>
        <w:spacing w:after="0" w:line="79" w:lineRule="exact"/>
        <w:rPr>
          <w:rFonts w:ascii="Times New Roman" w:cs="Times New Roman" w:eastAsia="Times New Roman" w:hAnsi="Times New Roman"/>
          <w:sz w:val="18"/>
          <w:szCs w:val="18"/>
          <w:color w:val="auto"/>
        </w:rPr>
      </w:pPr>
    </w:p>
    <w:p>
      <w:pPr>
        <w:ind w:left="424" w:right="200" w:hanging="424"/>
        <w:spacing w:after="0" w:line="284"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authorised share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of the Company shall allow for the issuance of the Registered Shares;</w:t>
      </w:r>
    </w:p>
    <w:p>
      <w:pPr>
        <w:spacing w:after="0" w:line="65"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Relevant Moment when Offer Shares or Option Shares will be issued, the relevant Deed of Issue shall have been validly signed and executed on behalf of the Company;</w:t>
      </w:r>
    </w:p>
    <w:p>
      <w:pPr>
        <w:spacing w:after="0" w:line="65"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Company will not have (i) been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(ii) ceased to exist pursuant to a merger (</w:t>
      </w:r>
      <w:r>
        <w:rPr>
          <w:rFonts w:ascii="Times New Roman" w:cs="Times New Roman" w:eastAsia="Times New Roman" w:hAnsi="Times New Roman"/>
          <w:sz w:val="18"/>
          <w:szCs w:val="18"/>
          <w:i w:val="1"/>
          <w:iCs w:val="1"/>
          <w:color w:val="auto"/>
        </w:rPr>
        <w:t>fusie</w:t>
      </w:r>
      <w:r>
        <w:rPr>
          <w:rFonts w:ascii="Times New Roman" w:cs="Times New Roman" w:eastAsia="Times New Roman" w:hAnsi="Times New Roman"/>
          <w:sz w:val="18"/>
          <w:szCs w:val="18"/>
          <w:color w:val="auto"/>
        </w:rPr>
        <w:t>) or a division (</w:t>
      </w:r>
      <w:r>
        <w:rPr>
          <w:rFonts w:ascii="Times New Roman" w:cs="Times New Roman" w:eastAsia="Times New Roman" w:hAnsi="Times New Roman"/>
          <w:sz w:val="18"/>
          <w:szCs w:val="18"/>
          <w:i w:val="1"/>
          <w:iCs w:val="1"/>
          <w:color w:val="auto"/>
        </w:rPr>
        <w:t>splitsing</w:t>
      </w:r>
      <w:r>
        <w:rPr>
          <w:rFonts w:ascii="Times New Roman" w:cs="Times New Roman" w:eastAsia="Times New Roman" w:hAnsi="Times New Roman"/>
          <w:sz w:val="18"/>
          <w:szCs w:val="18"/>
          <w:color w:val="auto"/>
        </w:rPr>
        <w:t>), (iii) been converted (</w:t>
      </w:r>
      <w:r>
        <w:rPr>
          <w:rFonts w:ascii="Times New Roman" w:cs="Times New Roman" w:eastAsia="Times New Roman" w:hAnsi="Times New Roman"/>
          <w:sz w:val="18"/>
          <w:szCs w:val="18"/>
          <w:i w:val="1"/>
          <w:iCs w:val="1"/>
          <w:color w:val="auto"/>
        </w:rPr>
        <w:t>omgezet</w:t>
      </w:r>
      <w:r>
        <w:rPr>
          <w:rFonts w:ascii="Times New Roman" w:cs="Times New Roman" w:eastAsia="Times New Roman" w:hAnsi="Times New Roman"/>
          <w:sz w:val="18"/>
          <w:szCs w:val="18"/>
          <w:color w:val="auto"/>
        </w:rPr>
        <w:t>) into another legal form, either national or foreign, (iv) had its assets placed under administration (</w:t>
      </w:r>
      <w:r>
        <w:rPr>
          <w:rFonts w:ascii="Times New Roman" w:cs="Times New Roman" w:eastAsia="Times New Roman" w:hAnsi="Times New Roman"/>
          <w:sz w:val="18"/>
          <w:szCs w:val="18"/>
          <w:i w:val="1"/>
          <w:iCs w:val="1"/>
          <w:color w:val="auto"/>
        </w:rPr>
        <w:t>onder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bewind gesteld</w:t>
      </w:r>
      <w:r>
        <w:rPr>
          <w:rFonts w:ascii="Times New Roman" w:cs="Times New Roman" w:eastAsia="Times New Roman" w:hAnsi="Times New Roman"/>
          <w:sz w:val="18"/>
          <w:szCs w:val="18"/>
          <w:color w:val="auto"/>
        </w:rPr>
        <w:t>), (v) been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(vi) been granted a suspension of payments (</w:t>
      </w:r>
      <w:r>
        <w:rPr>
          <w:rFonts w:ascii="Times New Roman" w:cs="Times New Roman" w:eastAsia="Times New Roman" w:hAnsi="Times New Roman"/>
          <w:sz w:val="18"/>
          <w:szCs w:val="18"/>
          <w:i w:val="1"/>
          <w:iCs w:val="1"/>
          <w:color w:val="auto"/>
        </w:rPr>
        <w:t>surseance van betaling verleend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(vii) started or become subject to statutory proceedings for the restructuring of its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or (viii) been made subject to similar proceedings in any jurisdiction or otherwise been limited in its power to dispose of its assets;</w:t>
      </w:r>
    </w:p>
    <w:p>
      <w:pPr>
        <w:spacing w:after="0" w:line="90"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Registered Securities shall be issued, and any pre-emption rights in connection therewith shall have been excluded, pursuant to resolutions validly passed by the corporate body (</w:t>
      </w:r>
      <w:r>
        <w:rPr>
          <w:rFonts w:ascii="Times New Roman" w:cs="Times New Roman" w:eastAsia="Times New Roman" w:hAnsi="Times New Roman"/>
          <w:sz w:val="18"/>
          <w:szCs w:val="18"/>
          <w:i w:val="1"/>
          <w:iCs w:val="1"/>
          <w:color w:val="auto"/>
        </w:rPr>
        <w:t>orgaan</w:t>
      </w:r>
      <w:r>
        <w:rPr>
          <w:rFonts w:ascii="Times New Roman" w:cs="Times New Roman" w:eastAsia="Times New Roman" w:hAnsi="Times New Roman"/>
          <w:sz w:val="18"/>
          <w:szCs w:val="18"/>
          <w:color w:val="auto"/>
        </w:rPr>
        <w:t>) of the Company duly authorised to do so;</w:t>
      </w:r>
    </w:p>
    <w:p>
      <w:pPr>
        <w:spacing w:after="0" w:line="65"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amounts paid for the Warrants constitute payment (</w:t>
      </w:r>
      <w:r>
        <w:rPr>
          <w:rFonts w:ascii="Times New Roman" w:cs="Times New Roman" w:eastAsia="Times New Roman" w:hAnsi="Times New Roman"/>
          <w:sz w:val="18"/>
          <w:szCs w:val="18"/>
          <w:i w:val="1"/>
          <w:iCs w:val="1"/>
          <w:color w:val="auto"/>
        </w:rPr>
        <w:t>volstorting</w:t>
      </w:r>
      <w:r>
        <w:rPr>
          <w:rFonts w:ascii="Times New Roman" w:cs="Times New Roman" w:eastAsia="Times New Roman" w:hAnsi="Times New Roman"/>
          <w:sz w:val="18"/>
          <w:szCs w:val="18"/>
          <w:color w:val="auto"/>
        </w:rPr>
        <w:t>) of the underlying Warrant Shares, such amounts at least being equal the aggregate nominal value of the underlying Warrant Shares, and such amounts shall have been paid in cash as provided for in the relevant Warrant Agreement and shall have been received and accepted by the Company ultimately upon the issuance of the relevant Warrant Shares and, where relevant, the Company shall have consented to payment in a currency other than Euro;</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634" w:right="479" w:bottom="1440" w:gutter="0" w:footer="0" w:header="0"/>
        </w:sectPr>
      </w:pPr>
    </w:p>
    <w:bookmarkStart w:id="63" w:name="page64"/>
    <w:bookmarkEnd w:id="63"/>
    <w:p>
      <w:pPr>
        <w:ind w:left="424" w:right="120" w:hanging="424"/>
        <w:spacing w:after="0" w:line="267"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Warrants and the Option (i) have been validly granted as rights to subscribe for Ordinary Shares (</w:t>
      </w:r>
      <w:r>
        <w:rPr>
          <w:rFonts w:ascii="Times New Roman" w:cs="Times New Roman" w:eastAsia="Times New Roman" w:hAnsi="Times New Roman"/>
          <w:sz w:val="18"/>
          <w:szCs w:val="18"/>
          <w:i w:val="1"/>
          <w:iCs w:val="1"/>
          <w:color w:val="auto"/>
        </w:rPr>
        <w:t>rechten tot het nemen van aandelen</w:t>
      </w:r>
      <w:r>
        <w:rPr>
          <w:rFonts w:ascii="Times New Roman" w:cs="Times New Roman" w:eastAsia="Times New Roman" w:hAnsi="Times New Roman"/>
          <w:sz w:val="18"/>
          <w:szCs w:val="18"/>
          <w:color w:val="auto"/>
        </w:rPr>
        <w:t>), (ii) shall be in full force and effect upon being exercised and (iii) shall have been validly exercised in accordance with the terms of the Underwriting Agreement or the Warrants, as applicable.</w:t>
      </w:r>
    </w:p>
    <w:p>
      <w:pPr>
        <w:spacing w:after="0" w:line="78" w:lineRule="exact"/>
        <w:rPr>
          <w:rFonts w:ascii="Times New Roman" w:cs="Times New Roman" w:eastAsia="Times New Roman" w:hAnsi="Times New Roman"/>
          <w:sz w:val="18"/>
          <w:szCs w:val="18"/>
          <w:color w:val="auto"/>
        </w:rPr>
      </w:pPr>
    </w:p>
    <w:p>
      <w:pPr>
        <w:ind w:left="424" w:right="80" w:hanging="424"/>
        <w:spacing w:after="0" w:line="258"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payment (</w:t>
      </w:r>
      <w:r>
        <w:rPr>
          <w:rFonts w:ascii="Times New Roman" w:cs="Times New Roman" w:eastAsia="Times New Roman" w:hAnsi="Times New Roman"/>
          <w:sz w:val="18"/>
          <w:szCs w:val="18"/>
          <w:i w:val="1"/>
          <w:iCs w:val="1"/>
          <w:color w:val="auto"/>
        </w:rPr>
        <w:t>storting</w:t>
      </w:r>
      <w:r>
        <w:rPr>
          <w:rFonts w:ascii="Times New Roman" w:cs="Times New Roman" w:eastAsia="Times New Roman" w:hAnsi="Times New Roman"/>
          <w:sz w:val="18"/>
          <w:szCs w:val="18"/>
          <w:color w:val="auto"/>
        </w:rPr>
        <w:t>) on any Registered Shares to be satisfied by means of a set-off (</w:t>
      </w:r>
      <w:r>
        <w:rPr>
          <w:rFonts w:ascii="Times New Roman" w:cs="Times New Roman" w:eastAsia="Times New Roman" w:hAnsi="Times New Roman"/>
          <w:sz w:val="18"/>
          <w:szCs w:val="18"/>
          <w:i w:val="1"/>
          <w:iCs w:val="1"/>
          <w:color w:val="auto"/>
        </w:rPr>
        <w:t>verrekening</w:t>
      </w:r>
      <w:r>
        <w:rPr>
          <w:rFonts w:ascii="Times New Roman" w:cs="Times New Roman" w:eastAsia="Times New Roman" w:hAnsi="Times New Roman"/>
          <w:sz w:val="18"/>
          <w:szCs w:val="18"/>
          <w:color w:val="auto"/>
        </w:rPr>
        <w:t>), the Company shall have validly effected such set-off of a debt of the Company vis-à-vis the relevant subscriber for such Registered Shares against the Company’s claim on such subscriber to pay up such Registered Shares in full in accordance with Section 6:127 DCC, the Company shall have the authority to set off such debt vis-à-vis such claim and the amount payable by the Company under such debt shall be sufficient to pay up such Registered Shares in full by means of such set-off, in each at the moment when the relevant Registered Shares are issued; and</w:t>
      </w:r>
    </w:p>
    <w:p>
      <w:pPr>
        <w:spacing w:after="0" w:line="88" w:lineRule="exact"/>
        <w:rPr>
          <w:rFonts w:ascii="Times New Roman" w:cs="Times New Roman" w:eastAsia="Times New Roman" w:hAnsi="Times New Roman"/>
          <w:sz w:val="18"/>
          <w:szCs w:val="18"/>
          <w:color w:val="auto"/>
        </w:rPr>
      </w:pPr>
    </w:p>
    <w:p>
      <w:pPr>
        <w:ind w:left="424" w:hanging="424"/>
        <w:spacing w:after="0" w:line="284"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Registered Securities shall be offered to the public (</w:t>
      </w:r>
      <w:r>
        <w:rPr>
          <w:rFonts w:ascii="Times New Roman" w:cs="Times New Roman" w:eastAsia="Times New Roman" w:hAnsi="Times New Roman"/>
          <w:sz w:val="18"/>
          <w:szCs w:val="18"/>
          <w:i w:val="1"/>
          <w:iCs w:val="1"/>
          <w:color w:val="auto"/>
        </w:rPr>
        <w:t>aanbieden aan het publiek</w:t>
      </w:r>
      <w:r>
        <w:rPr>
          <w:rFonts w:ascii="Times New Roman" w:cs="Times New Roman" w:eastAsia="Times New Roman" w:hAnsi="Times New Roman"/>
          <w:sz w:val="18"/>
          <w:szCs w:val="18"/>
          <w:color w:val="auto"/>
        </w:rPr>
        <w:t>) in the Netherlands other than in conformity with the Prospectus Regulation, the PRIIPs Regulation and the rules promulgated thereunder.</w:t>
      </w:r>
    </w:p>
    <w:p>
      <w:pPr>
        <w:spacing w:after="0" w:line="160"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Corporate Status</w:t>
      </w:r>
    </w:p>
    <w:p>
      <w:pPr>
        <w:spacing w:after="0" w:line="133" w:lineRule="exact"/>
        <w:rPr>
          <w:sz w:val="20"/>
          <w:szCs w:val="20"/>
          <w:color w:val="auto"/>
        </w:rPr>
      </w:pPr>
    </w:p>
    <w:p>
      <w:pPr>
        <w:ind w:left="424" w:right="540" w:hanging="424"/>
        <w:spacing w:after="0" w:line="284"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as a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and is validly existing as a </w:t>
      </w:r>
      <w:r>
        <w:rPr>
          <w:rFonts w:ascii="Times New Roman" w:cs="Times New Roman" w:eastAsia="Times New Roman" w:hAnsi="Times New Roman"/>
          <w:sz w:val="18"/>
          <w:szCs w:val="18"/>
          <w:i w:val="1"/>
          <w:iCs w:val="1"/>
          <w:color w:val="auto"/>
        </w:rPr>
        <w:t>naamloze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w:t>
      </w:r>
      <w:r>
        <w:rPr>
          <w:rFonts w:ascii="Times New Roman" w:cs="Times New Roman" w:eastAsia="Times New Roman" w:hAnsi="Times New Roman"/>
          <w:sz w:val="18"/>
          <w:szCs w:val="18"/>
          <w:color w:val="auto"/>
        </w:rPr>
        <w:t>.</w:t>
      </w:r>
    </w:p>
    <w:p>
      <w:pPr>
        <w:spacing w:after="0" w:line="264"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Registered Shares</w:t>
      </w:r>
    </w:p>
    <w:p>
      <w:pPr>
        <w:spacing w:after="0" w:line="134" w:lineRule="exact"/>
        <w:rPr>
          <w:rFonts w:ascii="Times New Roman" w:cs="Times New Roman" w:eastAsia="Times New Roman" w:hAnsi="Times New Roman"/>
          <w:sz w:val="18"/>
          <w:szCs w:val="18"/>
          <w:color w:val="auto"/>
        </w:rPr>
      </w:pPr>
    </w:p>
    <w:p>
      <w:pPr>
        <w:ind w:left="424" w:right="160" w:hanging="424"/>
        <w:spacing w:after="0" w:line="312" w:lineRule="auto"/>
        <w:tabs>
          <w:tab w:leader="none" w:pos="42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by the Company of payment in full for, or other satisfaction of the issue or exercise price for, the Registered Shares, and when issued by the Company and accepted by the acquiror(s) thereof, the Registered Shares shall be validly issued, fully paid and non-assessable.</w:t>
      </w:r>
    </w:p>
    <w:p>
      <w:pPr>
        <w:spacing w:after="0" w:line="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632" w:right="499" w:bottom="1440" w:gutter="0" w:footer="0" w:header="0"/>
        </w:sectPr>
      </w:pPr>
    </w:p>
    <w:bookmarkStart w:id="64" w:name="page65"/>
    <w:bookmarkEnd w:id="6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The opinions expressed above are subject to the following qualifications:</w:t>
      </w:r>
    </w:p>
    <w:p>
      <w:pPr>
        <w:spacing w:after="0" w:line="129" w:lineRule="exact"/>
        <w:rPr>
          <w:sz w:val="20"/>
          <w:szCs w:val="20"/>
          <w:color w:val="auto"/>
        </w:rPr>
      </w:pPr>
    </w:p>
    <w:p>
      <w:pPr>
        <w:ind w:left="424" w:hanging="424"/>
        <w:spacing w:after="0" w:line="261"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1 must not be read to imply that the Company cannot be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18"/>
          <w:szCs w:val="18"/>
          <w:i w:val="1"/>
          <w:iCs w:val="1"/>
          <w:color w:val="auto"/>
        </w:rPr>
        <w:t>belanghebbende</w:t>
      </w:r>
      <w:r>
        <w:rPr>
          <w:rFonts w:ascii="Times New Roman" w:cs="Times New Roman" w:eastAsia="Times New Roman" w:hAnsi="Times New Roman"/>
          <w:sz w:val="18"/>
          <w:szCs w:val="18"/>
          <w:color w:val="auto"/>
        </w:rPr>
        <w:t>) or the public prosecution office in certain circumstances, such as when there are certain defects in the incorporation of the company. Any such dissolution will not have retro-active effect.</w:t>
      </w:r>
    </w:p>
    <w:p>
      <w:pPr>
        <w:spacing w:after="0" w:line="87"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8"/>
          <w:szCs w:val="18"/>
          <w:i w:val="1"/>
          <w:iCs w:val="1"/>
          <w:color w:val="auto"/>
        </w:rPr>
        <w:t>wist of zonder eigen onderzoek moest weten</w:t>
      </w:r>
      <w:r>
        <w:rPr>
          <w:rFonts w:ascii="Times New Roman" w:cs="Times New Roman" w:eastAsia="Times New Roman" w:hAnsi="Times New Roman"/>
          <w:sz w:val="18"/>
          <w:szCs w:val="18"/>
          <w:color w:val="auto"/>
        </w:rPr>
        <w:t>). The Dutch Supreme Court (</w:t>
      </w:r>
      <w:r>
        <w:rPr>
          <w:rFonts w:ascii="Times New Roman" w:cs="Times New Roman" w:eastAsia="Times New Roman" w:hAnsi="Times New Roman"/>
          <w:sz w:val="18"/>
          <w:szCs w:val="18"/>
          <w:i w:val="1"/>
          <w:iCs w:val="1"/>
          <w:color w:val="auto"/>
        </w:rPr>
        <w:t>Hoge Raad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Nederlanden</w:t>
      </w:r>
      <w:r>
        <w:rPr>
          <w:rFonts w:ascii="Times New Roman" w:cs="Times New Roman" w:eastAsia="Times New Roman" w:hAnsi="Times New Roman"/>
          <w:sz w:val="18"/>
          <w:szCs w:val="18"/>
          <w:color w:val="auto"/>
        </w:rPr>
        <w:t>) has ruled that in determining whether the objects of a legal entity are transgressed, not only the description of the objects in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entity’s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is decisive, but all (relevant) circumstances must be taken into account, in particular whether the interests of the legal entity were served by the transaction. Based on the objects clause contained in the Current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w:t>
      </w:r>
    </w:p>
    <w:p>
      <w:pPr>
        <w:spacing w:after="0" w:line="91" w:lineRule="exact"/>
        <w:rPr>
          <w:rFonts w:ascii="Times New Roman" w:cs="Times New Roman" w:eastAsia="Times New Roman" w:hAnsi="Times New Roman"/>
          <w:sz w:val="18"/>
          <w:szCs w:val="18"/>
          <w:color w:val="auto"/>
        </w:rPr>
      </w:pPr>
    </w:p>
    <w:p>
      <w:pPr>
        <w:ind w:left="424" w:right="120" w:hanging="424"/>
        <w:spacing w:after="0" w:line="273" w:lineRule="auto"/>
        <w:tabs>
          <w:tab w:leader="none" w:pos="42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 2:98c DCC, a company such as the Company may grant loans (</w:t>
      </w:r>
      <w:r>
        <w:rPr>
          <w:rFonts w:ascii="Times New Roman" w:cs="Times New Roman" w:eastAsia="Times New Roman" w:hAnsi="Times New Roman"/>
          <w:sz w:val="17"/>
          <w:szCs w:val="17"/>
          <w:i w:val="1"/>
          <w:iCs w:val="1"/>
          <w:color w:val="auto"/>
        </w:rPr>
        <w:t>leningen verstrekken</w:t>
      </w:r>
      <w:r>
        <w:rPr>
          <w:rFonts w:ascii="Times New Roman" w:cs="Times New Roman" w:eastAsia="Times New Roman" w:hAnsi="Times New Roman"/>
          <w:sz w:val="17"/>
          <w:szCs w:val="17"/>
          <w:color w:val="auto"/>
        </w:rPr>
        <w:t>) only in accordance with the restrictions set out in Section 2:98c DCC, and may not provide security (</w:t>
      </w:r>
      <w:r>
        <w:rPr>
          <w:rFonts w:ascii="Times New Roman" w:cs="Times New Roman" w:eastAsia="Times New Roman" w:hAnsi="Times New Roman"/>
          <w:sz w:val="17"/>
          <w:szCs w:val="17"/>
          <w:i w:val="1"/>
          <w:iCs w:val="1"/>
          <w:color w:val="auto"/>
        </w:rPr>
        <w:t>zekerheid stellen</w:t>
      </w:r>
      <w:r>
        <w:rPr>
          <w:rFonts w:ascii="Times New Roman" w:cs="Times New Roman" w:eastAsia="Times New Roman" w:hAnsi="Times New Roman"/>
          <w:sz w:val="17"/>
          <w:szCs w:val="17"/>
          <w:color w:val="auto"/>
        </w:rPr>
        <w:t>), give a price guarantee (</w:t>
      </w:r>
      <w:r>
        <w:rPr>
          <w:rFonts w:ascii="Times New Roman" w:cs="Times New Roman" w:eastAsia="Times New Roman" w:hAnsi="Times New Roman"/>
          <w:sz w:val="17"/>
          <w:szCs w:val="17"/>
          <w:i w:val="1"/>
          <w:iCs w:val="1"/>
          <w:color w:val="auto"/>
        </w:rPr>
        <w:t>koersgarantie geven</w:t>
      </w:r>
      <w:r>
        <w:rPr>
          <w:rFonts w:ascii="Times New Roman" w:cs="Times New Roman" w:eastAsia="Times New Roman" w:hAnsi="Times New Roman"/>
          <w:sz w:val="17"/>
          <w:szCs w:val="17"/>
          <w:color w:val="auto"/>
        </w:rPr>
        <w:t>) or otherwise bind itself, whether jointly and severally or otherwise with or for third parties (</w:t>
      </w:r>
      <w:r>
        <w:rPr>
          <w:rFonts w:ascii="Times New Roman" w:cs="Times New Roman" w:eastAsia="Times New Roman" w:hAnsi="Times New Roman"/>
          <w:sz w:val="17"/>
          <w:szCs w:val="17"/>
          <w:i w:val="1"/>
          <w:iCs w:val="1"/>
          <w:color w:val="auto"/>
        </w:rPr>
        <w:t>zich op andere wijze sterk maken of zich hoofdelijk of anderszins naast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voor anderen verbinden</w:t>
      </w:r>
      <w:r>
        <w:rPr>
          <w:rFonts w:ascii="Times New Roman" w:cs="Times New Roman" w:eastAsia="Times New Roman" w:hAnsi="Times New Roman"/>
          <w:sz w:val="17"/>
          <w:szCs w:val="17"/>
          <w:color w:val="auto"/>
        </w:rPr>
        <w:t>) with a view to (</w:t>
      </w:r>
      <w:r>
        <w:rPr>
          <w:rFonts w:ascii="Times New Roman" w:cs="Times New Roman" w:eastAsia="Times New Roman" w:hAnsi="Times New Roman"/>
          <w:sz w:val="17"/>
          <w:szCs w:val="17"/>
          <w:i w:val="1"/>
          <w:iCs w:val="1"/>
          <w:color w:val="auto"/>
        </w:rPr>
        <w:t>met het oog op</w:t>
      </w:r>
      <w:r>
        <w:rPr>
          <w:rFonts w:ascii="Times New Roman" w:cs="Times New Roman" w:eastAsia="Times New Roman" w:hAnsi="Times New Roman"/>
          <w:sz w:val="17"/>
          <w:szCs w:val="17"/>
          <w:color w:val="auto"/>
        </w:rPr>
        <w:t>) the subscription or acquisition by third parties of shares in its share capital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depository receipts. This prohibition also applies to its subsidiaries (</w:t>
      </w:r>
      <w:r>
        <w:rPr>
          <w:rFonts w:ascii="Times New Roman" w:cs="Times New Roman" w:eastAsia="Times New Roman" w:hAnsi="Times New Roman"/>
          <w:sz w:val="17"/>
          <w:szCs w:val="17"/>
          <w:i w:val="1"/>
          <w:iCs w:val="1"/>
          <w:color w:val="auto"/>
        </w:rPr>
        <w:t>dochtervennootschappen</w:t>
      </w:r>
      <w:r>
        <w:rPr>
          <w:rFonts w:ascii="Times New Roman" w:cs="Times New Roman" w:eastAsia="Times New Roman" w:hAnsi="Times New Roman"/>
          <w:sz w:val="17"/>
          <w:szCs w:val="17"/>
          <w:color w:val="auto"/>
        </w:rPr>
        <w:t>). It is generally assumed that a transaction entered into in violation of Section 2:98c DCC is null and void (</w:t>
      </w:r>
      <w:r>
        <w:rPr>
          <w:rFonts w:ascii="Times New Roman" w:cs="Times New Roman" w:eastAsia="Times New Roman" w:hAnsi="Times New Roman"/>
          <w:sz w:val="17"/>
          <w:szCs w:val="17"/>
          <w:i w:val="1"/>
          <w:iCs w:val="1"/>
          <w:color w:val="auto"/>
        </w:rPr>
        <w:t>nietig</w:t>
      </w:r>
      <w:r>
        <w:rPr>
          <w:rFonts w:ascii="Times New Roman" w:cs="Times New Roman" w:eastAsia="Times New Roman" w:hAnsi="Times New Roman"/>
          <w:sz w:val="17"/>
          <w:szCs w:val="17"/>
          <w:color w:val="auto"/>
        </w:rPr>
        <w:t>). Based on the content of the Reviewed Documents, we have no reason to believe that the Company or its subsidiaries will violate Section 2:98c DCC in connection with the issue of the Registered Shares. However, we cannot</w:t>
      </w:r>
    </w:p>
    <w:p>
      <w:pPr>
        <w:spacing w:after="0" w:line="10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634" w:right="479" w:bottom="1440" w:gutter="0" w:footer="0" w:header="0"/>
        </w:sectPr>
      </w:pPr>
    </w:p>
    <w:bookmarkStart w:id="65" w:name="page66"/>
    <w:bookmarkEnd w:id="65"/>
    <w:p>
      <w:pPr>
        <w:ind w:left="42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confirm this definitively, since the determination of whether a company (or a subsidiary) has provided security, has given a price guarantee or has otherwise bound itself, with a view to the subscription or acquisition by third parties of shares in its share capital or depository receipts, as described above, is a matter of fact.</w:t>
      </w:r>
    </w:p>
    <w:p>
      <w:pPr>
        <w:spacing w:after="0" w:line="81"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expressed in this opinion letter may be limited or affected by: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relating to Insolvency Proceedings or similar proceedings under a foreign law and other rules affecting creditors’ rights generally;</w:t>
      </w:r>
    </w:p>
    <w:p>
      <w:pPr>
        <w:spacing w:after="0" w:line="128" w:lineRule="exact"/>
        <w:rPr>
          <w:rFonts w:ascii="Times New Roman" w:cs="Times New Roman" w:eastAsia="Times New Roman" w:hAnsi="Times New Roman"/>
          <w:sz w:val="18"/>
          <w:szCs w:val="18"/>
          <w:color w:val="auto"/>
        </w:rPr>
      </w:pPr>
    </w:p>
    <w:p>
      <w:pPr>
        <w:ind w:left="964" w:right="260" w:hanging="532"/>
        <w:spacing w:after="0" w:line="284" w:lineRule="auto"/>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fraudulent preference and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and similar rights available in other jurisdictions to insolvency practitioners and insolvency office holders in bankruptcy proceedings or creditors;</w:t>
      </w:r>
    </w:p>
    <w:p>
      <w:pPr>
        <w:spacing w:after="0" w:line="6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based on tort (</w:t>
      </w:r>
      <w:r>
        <w:rPr>
          <w:rFonts w:ascii="Times New Roman" w:cs="Times New Roman" w:eastAsia="Times New Roman" w:hAnsi="Times New Roman"/>
          <w:sz w:val="18"/>
          <w:szCs w:val="18"/>
          <w:i w:val="1"/>
          <w:iCs w:val="1"/>
          <w:color w:val="auto"/>
        </w:rPr>
        <w:t>onrechtmatige daad</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Anti-Boycott Regulation, Anti Money Laundering Laws and related legislation;</w:t>
      </w:r>
    </w:p>
    <w:p>
      <w:pPr>
        <w:spacing w:after="0" w:line="130" w:lineRule="exact"/>
        <w:rPr>
          <w:rFonts w:ascii="Times New Roman" w:cs="Times New Roman" w:eastAsia="Times New Roman" w:hAnsi="Times New Roman"/>
          <w:sz w:val="18"/>
          <w:szCs w:val="18"/>
          <w:color w:val="auto"/>
        </w:rPr>
      </w:pPr>
    </w:p>
    <w:p>
      <w:pPr>
        <w:ind w:left="964" w:right="620" w:hanging="532"/>
        <w:spacing w:after="0" w:line="282" w:lineRule="auto"/>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intervention, recovery or resolution measure by any regulatory or other authority or governmental body in relation to financial enterprises or their affiliated entities; and</w:t>
      </w:r>
    </w:p>
    <w:p>
      <w:pPr>
        <w:spacing w:after="0" w:line="6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force majeure (</w:t>
      </w:r>
      <w:r>
        <w:rPr>
          <w:rFonts w:ascii="Times New Roman" w:cs="Times New Roman" w:eastAsia="Times New Roman" w:hAnsi="Times New Roman"/>
          <w:sz w:val="18"/>
          <w:szCs w:val="18"/>
          <w:i w:val="1"/>
          <w:iCs w:val="1"/>
          <w:color w:val="auto"/>
        </w:rPr>
        <w:t>niet toerekenbare tekortkoming</w:t>
      </w:r>
      <w:r>
        <w:rPr>
          <w:rFonts w:ascii="Times New Roman" w:cs="Times New Roman" w:eastAsia="Times New Roman" w:hAnsi="Times New Roman"/>
          <w:sz w:val="18"/>
          <w:szCs w:val="18"/>
          <w:color w:val="auto"/>
        </w:rPr>
        <w:t>), reasonableness and fairness (</w:t>
      </w:r>
      <w:r>
        <w:rPr>
          <w:rFonts w:ascii="Times New Roman" w:cs="Times New Roman" w:eastAsia="Times New Roman" w:hAnsi="Times New Roman"/>
          <w:sz w:val="18"/>
          <w:szCs w:val="18"/>
          <w:i w:val="1"/>
          <w:iCs w:val="1"/>
          <w:color w:val="auto"/>
        </w:rPr>
        <w:t>redelijkheid en billijkheid</w:t>
      </w:r>
      <w:r>
        <w:rPr>
          <w:rFonts w:ascii="Times New Roman" w:cs="Times New Roman" w:eastAsia="Times New Roman" w:hAnsi="Times New Roman"/>
          <w:sz w:val="18"/>
          <w:szCs w:val="18"/>
          <w:color w:val="auto"/>
        </w:rPr>
        <w:t>), suspension</w:t>
      </w:r>
    </w:p>
    <w:p>
      <w:pPr>
        <w:spacing w:after="0" w:line="29"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opschorting</w:t>
      </w:r>
      <w:r>
        <w:rPr>
          <w:rFonts w:ascii="Times New Roman" w:cs="Times New Roman" w:eastAsia="Times New Roman" w:hAnsi="Times New Roman"/>
          <w:sz w:val="18"/>
          <w:szCs w:val="18"/>
          <w:color w:val="auto"/>
        </w:rPr>
        <w:t>), dissolution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unforeseen circumstances (</w:t>
      </w:r>
      <w:r>
        <w:rPr>
          <w:rFonts w:ascii="Times New Roman" w:cs="Times New Roman" w:eastAsia="Times New Roman" w:hAnsi="Times New Roman"/>
          <w:sz w:val="18"/>
          <w:szCs w:val="18"/>
          <w:i w:val="1"/>
          <w:iCs w:val="1"/>
          <w:color w:val="auto"/>
        </w:rPr>
        <w:t>onvoorziene omstandigheden</w:t>
      </w:r>
      <w:r>
        <w:rPr>
          <w:rFonts w:ascii="Times New Roman" w:cs="Times New Roman" w:eastAsia="Times New Roman" w:hAnsi="Times New Roman"/>
          <w:sz w:val="18"/>
          <w:szCs w:val="18"/>
          <w:color w:val="auto"/>
        </w:rPr>
        <w:t>) and vitiated consent (i.e., duress</w:t>
      </w:r>
    </w:p>
    <w:p>
      <w:pPr>
        <w:spacing w:after="0" w:line="9" w:lineRule="exact"/>
        <w:rPr>
          <w:rFonts w:ascii="Times New Roman" w:cs="Times New Roman" w:eastAsia="Times New Roman" w:hAnsi="Times New Roman"/>
          <w:sz w:val="18"/>
          <w:szCs w:val="18"/>
          <w:color w:val="auto"/>
        </w:rPr>
      </w:pPr>
    </w:p>
    <w:p>
      <w:pPr>
        <w:ind w:left="96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bedreiging</w:t>
      </w:r>
      <w:r>
        <w:rPr>
          <w:rFonts w:ascii="Times New Roman" w:cs="Times New Roman" w:eastAsia="Times New Roman" w:hAnsi="Times New Roman"/>
          <w:sz w:val="18"/>
          <w:szCs w:val="18"/>
          <w:color w:val="auto"/>
        </w:rPr>
        <w:t>), fraud (</w:t>
      </w:r>
      <w:r>
        <w:rPr>
          <w:rFonts w:ascii="Times New Roman" w:cs="Times New Roman" w:eastAsia="Times New Roman" w:hAnsi="Times New Roman"/>
          <w:sz w:val="18"/>
          <w:szCs w:val="18"/>
          <w:i w:val="1"/>
          <w:iCs w:val="1"/>
          <w:color w:val="auto"/>
        </w:rPr>
        <w:t>bedrog</w:t>
      </w:r>
      <w:r>
        <w:rPr>
          <w:rFonts w:ascii="Times New Roman" w:cs="Times New Roman" w:eastAsia="Times New Roman" w:hAnsi="Times New Roman"/>
          <w:sz w:val="18"/>
          <w:szCs w:val="18"/>
          <w:color w:val="auto"/>
        </w:rPr>
        <w:t>), abuse of circumstances (</w:t>
      </w:r>
      <w:r>
        <w:rPr>
          <w:rFonts w:ascii="Times New Roman" w:cs="Times New Roman" w:eastAsia="Times New Roman" w:hAnsi="Times New Roman"/>
          <w:sz w:val="18"/>
          <w:szCs w:val="18"/>
          <w:i w:val="1"/>
          <w:iCs w:val="1"/>
          <w:color w:val="auto"/>
        </w:rPr>
        <w:t>misbruik van omstandigheden</w:t>
      </w:r>
      <w:r>
        <w:rPr>
          <w:rFonts w:ascii="Times New Roman" w:cs="Times New Roman" w:eastAsia="Times New Roman" w:hAnsi="Times New Roman"/>
          <w:sz w:val="18"/>
          <w:szCs w:val="18"/>
          <w:color w:val="auto"/>
        </w:rPr>
        <w:t>) and error (</w:t>
      </w:r>
      <w:r>
        <w:rPr>
          <w:rFonts w:ascii="Times New Roman" w:cs="Times New Roman" w:eastAsia="Times New Roman" w:hAnsi="Times New Roman"/>
          <w:sz w:val="18"/>
          <w:szCs w:val="18"/>
          <w:i w:val="1"/>
          <w:iCs w:val="1"/>
          <w:color w:val="auto"/>
        </w:rPr>
        <w:t>dwaling</w:t>
      </w:r>
      <w:r>
        <w:rPr>
          <w:rFonts w:ascii="Times New Roman" w:cs="Times New Roman" w:eastAsia="Times New Roman" w:hAnsi="Times New Roman"/>
          <w:sz w:val="18"/>
          <w:szCs w:val="18"/>
          <w:color w:val="auto"/>
        </w:rPr>
        <w:t>)) or a difference of intention (</w:t>
      </w:r>
      <w:r>
        <w:rPr>
          <w:rFonts w:ascii="Times New Roman" w:cs="Times New Roman" w:eastAsia="Times New Roman" w:hAnsi="Times New Roman"/>
          <w:sz w:val="18"/>
          <w:szCs w:val="18"/>
          <w:i w:val="1"/>
          <w:iCs w:val="1"/>
          <w:color w:val="auto"/>
        </w:rPr>
        <w:t>wil</w:t>
      </w:r>
      <w:r>
        <w:rPr>
          <w:rFonts w:ascii="Times New Roman" w:cs="Times New Roman" w:eastAsia="Times New Roman" w:hAnsi="Times New Roman"/>
          <w:sz w:val="18"/>
          <w:szCs w:val="18"/>
          <w:color w:val="auto"/>
        </w:rPr>
        <w:t>) and declaration (</w:t>
      </w:r>
      <w:r>
        <w:rPr>
          <w:rFonts w:ascii="Times New Roman" w:cs="Times New Roman" w:eastAsia="Times New Roman" w:hAnsi="Times New Roman"/>
          <w:sz w:val="18"/>
          <w:szCs w:val="18"/>
          <w:i w:val="1"/>
          <w:iCs w:val="1"/>
          <w:color w:val="auto"/>
        </w:rPr>
        <w:t>verklaring</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634" w:right="479" w:bottom="1440" w:gutter="0" w:footer="0" w:header="0"/>
        </w:sectPr>
      </w:pPr>
    </w:p>
    <w:bookmarkStart w:id="66" w:name="page67"/>
    <w:bookmarkEnd w:id="66"/>
    <w:p>
      <w:pPr>
        <w:ind w:left="424"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This opinion letter does not purport to express any opinion or view on the operational rules and procedures of any clearing or settlement system or agency.</w:t>
      </w:r>
    </w:p>
    <w:p>
      <w:pPr>
        <w:spacing w:after="0" w:line="162"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letter as an exhibit to the Company’s Form 6-K, as filed or to be filed with the SEC on 24 July 2025 and also consent to the reference to NautaDutilh in the Registration Statement and Prospectus Supplement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NautaDutilh N.V.</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NautaDutilh N.V.</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634"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t>EXHIBIT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DEFINITIONS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“AGM Documents”</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Each of the following:</w:t>
            </w:r>
          </w:p>
        </w:tc>
      </w:tr>
      <w:tr>
        <w:trPr>
          <w:trHeight w:val="315"/>
        </w:trPr>
        <w:tc>
          <w:tcPr>
            <w:tcW w:w="284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1"/>
              </w:rPr>
              <w:t>a. </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notice to convene the Company’s annual general meeting on 28 June 2024 (the “</w:t>
            </w:r>
            <w:r>
              <w:rPr>
                <w:rFonts w:ascii="Times New Roman" w:cs="Times New Roman" w:eastAsia="Times New Roman" w:hAnsi="Times New Roman"/>
                <w:sz w:val="18"/>
                <w:szCs w:val="18"/>
                <w:b w:val="1"/>
                <w:bCs w:val="1"/>
                <w:color w:val="auto"/>
              </w:rPr>
              <w:t>Convening</w:t>
            </w:r>
          </w:p>
        </w:tc>
      </w:tr>
      <w:tr>
        <w:trPr>
          <w:trHeight w:val="238"/>
        </w:trPr>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tc>
      </w:tr>
      <w:tr>
        <w:trPr>
          <w:trHeight w:val="319"/>
        </w:trPr>
        <w:tc>
          <w:tcPr>
            <w:tcW w:w="284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3"/>
              </w:rPr>
              <w:t>b. </w:t>
            </w:r>
          </w:p>
        </w:tc>
        <w:tc>
          <w:tcPr>
            <w:tcW w:w="7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document containing the expanatory notes with respect to the Company’s annual general meeting</w:t>
            </w:r>
          </w:p>
        </w:tc>
      </w:tr>
      <w:tr>
        <w:trPr>
          <w:trHeight w:val="234"/>
        </w:trPr>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 on 28 June 2024, as attached to the Convening Notice; and</w:t>
            </w:r>
          </w:p>
        </w:tc>
      </w:tr>
      <w:tr>
        <w:trPr>
          <w:trHeight w:val="338"/>
        </w:trPr>
        <w:tc>
          <w:tcPr>
            <w:tcW w:w="284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1"/>
              </w:rPr>
              <w:t>c. </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signed minutes of the General Meeting, dated 28 June 2024.</w:t>
            </w:r>
          </w:p>
        </w:tc>
      </w:tr>
      <w:tr>
        <w:trPr>
          <w:trHeight w:val="317"/>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 Money Laundering Laws”</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European Anti-Money Laundering Directives, as implemented in the Netherlands in the Money</w:t>
            </w:r>
          </w:p>
        </w:tc>
      </w:tr>
      <w:tr>
        <w:trPr>
          <w:trHeight w:val="216"/>
        </w:trPr>
        <w:tc>
          <w:tcPr>
            <w:tcW w:w="2840" w:type="dxa"/>
            <w:vAlign w:val="bottom"/>
          </w:tcPr>
          <w:p>
            <w:pPr>
              <w:spacing w:after="0"/>
              <w:rPr>
                <w:sz w:val="18"/>
                <w:szCs w:val="18"/>
                <w:color w:val="auto"/>
              </w:rPr>
            </w:pP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Laundering and Terrorist Financing Prevention Act (</w:t>
            </w:r>
            <w:r>
              <w:rPr>
                <w:rFonts w:ascii="Times New Roman" w:cs="Times New Roman" w:eastAsia="Times New Roman" w:hAnsi="Times New Roman"/>
                <w:sz w:val="18"/>
                <w:szCs w:val="18"/>
                <w:i w:val="1"/>
                <w:iCs w:val="1"/>
                <w:color w:val="auto"/>
                <w:w w:val="99"/>
              </w:rPr>
              <w:t>Wet ter voorkoming van witwassen en financieren van</w:t>
            </w:r>
          </w:p>
        </w:tc>
      </w:tr>
      <w:tr>
        <w:trPr>
          <w:trHeight w:val="236"/>
        </w:trPr>
        <w:tc>
          <w:tcPr>
            <w:tcW w:w="284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terrorisme</w:t>
            </w:r>
            <w:r>
              <w:rPr>
                <w:rFonts w:ascii="Times New Roman" w:cs="Times New Roman" w:eastAsia="Times New Roman" w:hAnsi="Times New Roman"/>
                <w:sz w:val="18"/>
                <w:szCs w:val="18"/>
                <w:color w:val="auto"/>
              </w:rPr>
              <w:t>) and the Dutch Criminal Code (</w:t>
            </w:r>
            <w:r>
              <w:rPr>
                <w:rFonts w:ascii="Times New Roman" w:cs="Times New Roman" w:eastAsia="Times New Roman" w:hAnsi="Times New Roman"/>
                <w:sz w:val="18"/>
                <w:szCs w:val="18"/>
                <w:i w:val="1"/>
                <w:iCs w:val="1"/>
                <w:color w:val="auto"/>
              </w:rPr>
              <w:t>Wetboek van Strafrecht</w:t>
            </w:r>
            <w:r>
              <w:rPr>
                <w:rFonts w:ascii="Times New Roman" w:cs="Times New Roman" w:eastAsia="Times New Roman" w:hAnsi="Times New Roman"/>
                <w:sz w:val="18"/>
                <w:szCs w:val="18"/>
                <w:color w:val="auto"/>
              </w:rPr>
              <w:t>).</w:t>
            </w:r>
          </w:p>
        </w:tc>
      </w:tr>
      <w:tr>
        <w:trPr>
          <w:trHeight w:val="30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“Anti-Boycott Regulation”</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Council Regulation (EC) No 2271/96 of 22 November 1996 on protecting against the effects of the</w:t>
            </w:r>
          </w:p>
        </w:tc>
      </w:tr>
      <w:tr>
        <w:trPr>
          <w:trHeight w:val="216"/>
        </w:trPr>
        <w:tc>
          <w:tcPr>
            <w:tcW w:w="2840" w:type="dxa"/>
            <w:vAlign w:val="bottom"/>
          </w:tcPr>
          <w:p>
            <w:pPr>
              <w:spacing w:after="0"/>
              <w:rPr>
                <w:sz w:val="18"/>
                <w:szCs w:val="18"/>
                <w:color w:val="auto"/>
              </w:rPr>
            </w:pP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extra-territorial application of legislation adopted by a third country, and actions based thereon or resulting</w:t>
            </w:r>
          </w:p>
        </w:tc>
      </w:tr>
      <w:tr>
        <w:trPr>
          <w:trHeight w:val="234"/>
        </w:trPr>
        <w:tc>
          <w:tcPr>
            <w:tcW w:w="284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therefrom.</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Company’s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as they read from time to time.</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“Bankruptcy Code”</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Dutch Bankruptcy Code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Company’s board of directors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Register”</w:t>
            </w: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Dutch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w:t>
            </w:r>
          </w:p>
        </w:tc>
      </w:tr>
      <w:tr>
        <w:trPr>
          <w:trHeight w:val="365"/>
        </w:trPr>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0880"/>
          </w:cols>
          <w:pgMar w:left="440" w:top="630" w:right="5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ind w:right="500"/>
        <w:spacing w:after="0" w:line="284" w:lineRule="auto"/>
        <w:rPr>
          <w:sz w:val="20"/>
          <w:szCs w:val="20"/>
          <w:color w:val="auto"/>
        </w:rPr>
      </w:pPr>
      <w:r>
        <w:rPr>
          <w:rFonts w:ascii="Times New Roman" w:cs="Times New Roman" w:eastAsia="Times New Roman" w:hAnsi="Times New Roman"/>
          <w:sz w:val="18"/>
          <w:szCs w:val="18"/>
          <w:color w:val="auto"/>
        </w:rPr>
        <w:t>Pharvaris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registered with the Commercial Register under number 64239411.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-623570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-528955</wp:posOffset>
            </wp:positionV>
            <wp:extent cx="11398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480" w:space="720"/>
            <w:col w:w="7760"/>
          </w:cols>
          <w:pgMar w:left="440" w:top="630" w:right="49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“Corporate Documents”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Deed of Incorporation, the Deed of Conversion, the Current Articles and the Resolutions.</w:t>
      </w:r>
    </w:p>
    <w:p>
      <w:pPr>
        <w:spacing w:after="0" w:line="113"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“Current Articles”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Articles of Association as they read as a consequence of the execution of the deed of amendment of the articles of association dated 6 March 2024.</w:t>
      </w:r>
    </w:p>
    <w:p>
      <w:pPr>
        <w:spacing w:after="0" w:line="50"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Dutch Civil Code (</w:t>
      </w:r>
      <w:r>
        <w:rPr>
          <w:rFonts w:ascii="Times New Roman" w:cs="Times New Roman" w:eastAsia="Times New Roman" w:hAnsi="Times New Roman"/>
          <w:sz w:val="17"/>
          <w:szCs w:val="17"/>
          <w:i w:val="1"/>
          <w:iCs w:val="1"/>
          <w:color w:val="auto"/>
        </w:rPr>
        <w:t>Burgerlijk Wetboek</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“Deed of 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deed of conversion and amendment to the Articles of Association dated 5 February 2021.</w:t>
      </w:r>
    </w:p>
    <w:p>
      <w:pPr>
        <w:spacing w:after="0" w:line="125"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“Deed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deed of incorporation (</w:t>
      </w:r>
      <w:r>
        <w:rPr>
          <w:rFonts w:ascii="Times New Roman" w:cs="Times New Roman" w:eastAsia="Times New Roman" w:hAnsi="Times New Roman"/>
          <w:sz w:val="17"/>
          <w:szCs w:val="17"/>
          <w:i w:val="1"/>
          <w:iCs w:val="1"/>
          <w:color w:val="auto"/>
        </w:rPr>
        <w:t>akte van oprichting</w:t>
      </w:r>
      <w:r>
        <w:rPr>
          <w:rFonts w:ascii="Times New Roman" w:cs="Times New Roman" w:eastAsia="Times New Roman" w:hAnsi="Times New Roman"/>
          <w:sz w:val="17"/>
          <w:szCs w:val="17"/>
          <w:color w:val="auto"/>
        </w:rPr>
        <w:t>) dated 30 September 2015.</w:t>
      </w:r>
    </w:p>
    <w:p>
      <w:pPr>
        <w:spacing w:after="0" w:line="127"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“Deeds of Issue”</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The draft deed of issue of the Offer Shares or Option Shares, as the case may be, prepared by us with references 82045253 M 57706923 and 82045253 M 57706909, respectively.</w:t>
      </w:r>
    </w:p>
    <w:p>
      <w:pPr>
        <w:spacing w:after="0" w:line="50"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“eIDAS Regulation”</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Regulation (EU) No 910/2014 of the European Parliament and of the Council of 23 July 2014 on electronic identification and trust services for electronic transactions in the internal market and repealing Directive 1999/93/EC.</w:t>
      </w:r>
    </w:p>
    <w:p>
      <w:pPr>
        <w:spacing w:after="0" w:line="64"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general meeting (</w:t>
      </w:r>
      <w:r>
        <w:rPr>
          <w:rFonts w:ascii="Times New Roman" w:cs="Times New Roman" w:eastAsia="Times New Roman" w:hAnsi="Times New Roman"/>
          <w:sz w:val="17"/>
          <w:szCs w:val="17"/>
          <w:i w:val="1"/>
          <w:iCs w:val="1"/>
          <w:color w:val="auto"/>
        </w:rPr>
        <w:t>algemene vergadering</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ectPr>
          <w:pgSz w:w="11900" w:h="16838" w:orient="portrait"/>
          <w:cols w:equalWidth="0" w:num="2">
            <w:col w:w="2480" w:space="720"/>
            <w:col w:w="7760"/>
          </w:cols>
          <w:pgMar w:left="440" w:top="630"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960"/>
          </w:cols>
          <w:pgMar w:left="440" w:top="630" w:right="4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“Insolvency Proceedings”</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Any insolvency proceedings within the meaning of Regulation (EU) 2015/848 of the European Parliament and of the Council of 20 May 2015 on insolvency proceedings (recast), as amended by Regulation (EU) 2021/2260 of the European Parliament and of the Counsel of 15 December 2021, listed in Annex A thereto and any statutory proceedings for the restructuring of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pursuant to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-1019810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-925830</wp:posOffset>
            </wp:positionV>
            <wp:extent cx="113982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2480" w:space="720"/>
            <w:col w:w="7820"/>
          </w:cols>
          <w:pgMar w:left="440" w:top="63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“NautaDutilh”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NautaDutilh N.V.</w:t>
      </w:r>
    </w:p>
    <w:p>
      <w:pPr>
        <w:spacing w:after="0" w:line="125"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“the Netherlands”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European territory of the Kingdom of the Netherlands and “</w:t>
      </w:r>
      <w:r>
        <w:rPr>
          <w:rFonts w:ascii="Times New Roman" w:cs="Times New Roman" w:eastAsia="Times New Roman" w:hAnsi="Times New Roman"/>
          <w:sz w:val="17"/>
          <w:szCs w:val="17"/>
          <w:b w:val="1"/>
          <w:bCs w:val="1"/>
          <w:color w:val="auto"/>
        </w:rPr>
        <w:t>Dutch</w:t>
      </w:r>
      <w:r>
        <w:rPr>
          <w:rFonts w:ascii="Times New Roman" w:cs="Times New Roman" w:eastAsia="Times New Roman" w:hAnsi="Times New Roman"/>
          <w:sz w:val="17"/>
          <w:szCs w:val="17"/>
          <w:color w:val="auto"/>
        </w:rPr>
        <w:t>” is in or from the Netherlands.</w:t>
      </w:r>
    </w:p>
    <w:p>
      <w:pPr>
        <w:spacing w:after="0" w:line="129"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“Offer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8,250,000 Ordinary Shares.</w:t>
      </w:r>
    </w:p>
    <w:p>
      <w:pPr>
        <w:spacing w:after="0" w:line="125"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offering of Ordinary Shares and Warrants as contemplated by the Prospectus Supplement.</w:t>
      </w:r>
    </w:p>
    <w:p>
      <w:pPr>
        <w:spacing w:after="0" w:line="124"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“Option”</w:t>
      </w:r>
    </w:p>
    <w:p>
      <w:pPr>
        <w:spacing w:after="0" w:line="20" w:lineRule="exact"/>
        <w:rPr>
          <w:sz w:val="20"/>
          <w:szCs w:val="20"/>
          <w:color w:val="auto"/>
        </w:rPr>
      </w:pPr>
      <w:r>
        <w:rPr>
          <w:sz w:val="20"/>
          <w:szCs w:val="20"/>
          <w:color w:val="auto"/>
        </w:rPr>
        <w:br w:type="column"/>
      </w:r>
    </w:p>
    <w:p>
      <w:pPr>
        <w:ind w:right="660"/>
        <w:spacing w:after="0" w:line="282" w:lineRule="auto"/>
        <w:rPr>
          <w:sz w:val="20"/>
          <w:szCs w:val="20"/>
          <w:color w:val="auto"/>
        </w:rPr>
      </w:pPr>
      <w:r>
        <w:rPr>
          <w:rFonts w:ascii="Times New Roman" w:cs="Times New Roman" w:eastAsia="Times New Roman" w:hAnsi="Times New Roman"/>
          <w:sz w:val="18"/>
          <w:szCs w:val="18"/>
          <w:color w:val="auto"/>
        </w:rPr>
        <w:t>The option to acquire Option Shares to be granted to the Underwriters pursuant to the Underwriting Agreement and the Resolutions.</w:t>
      </w:r>
    </w:p>
    <w:p>
      <w:pPr>
        <w:spacing w:after="0" w:line="50"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“Option Shares”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Up to 1,312,500 Ordinary Shares or such lesser number of Ordinary Shares in respect of which the Option is exercised.</w:t>
      </w:r>
    </w:p>
    <w:p>
      <w:pPr>
        <w:spacing w:after="0" w:line="50"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Times New Roman" w:cs="Times New Roman" w:eastAsia="Times New Roman" w:hAnsi="Times New Roman"/>
          <w:sz w:val="17"/>
          <w:szCs w:val="17"/>
          <w:color w:val="auto"/>
        </w:rPr>
        <w:t>Ordinary shares in the Company’s capital, with a nominal value of EUR 0.12 each.</w:t>
      </w:r>
    </w:p>
    <w:p>
      <w:pPr>
        <w:spacing w:after="0" w:line="125"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“PRIIPs Regulation”</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Regulation (EU) No 1286/2014 of the European Parliament and of the Council of 26 November 2014 on key information documents for packaged retail and insurance-based investment products (PRIIPs).</w:t>
      </w:r>
    </w:p>
    <w:p>
      <w:pPr>
        <w:spacing w:after="0" w:line="50"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“Prospectus Regulation”</w:t>
      </w:r>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Times New Roman" w:cs="Times New Roman" w:eastAsia="Times New Roman" w:hAnsi="Times New Roman"/>
          <w:sz w:val="18"/>
          <w:szCs w:val="18"/>
          <w:color w:val="auto"/>
        </w:rPr>
        <w:t>Regulation (EU) 2017/1129 of the European Parliament and of the Council of 14 June 2017 on the prospectus to be published when securities are offered to the public or admitted to trading on a regulated market, and repealing Directive 2003/71/EC.</w:t>
      </w:r>
    </w:p>
    <w:p>
      <w:pPr>
        <w:spacing w:after="0" w:line="64"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Offering, supplementing the Registration Statement, as filed or to be filed with the SEC by the Company on 24 July 2025.</w:t>
      </w:r>
    </w:p>
    <w:p>
      <w:pPr>
        <w:spacing w:after="0" w:line="94" w:lineRule="exact"/>
        <w:rPr>
          <w:sz w:val="20"/>
          <w:szCs w:val="20"/>
          <w:color w:val="auto"/>
        </w:rPr>
      </w:pPr>
    </w:p>
    <w:p>
      <w:pPr>
        <w:sectPr>
          <w:pgSz w:w="11900" w:h="16838" w:orient="portrait"/>
          <w:cols w:equalWidth="0" w:num="2">
            <w:col w:w="2480" w:space="720"/>
            <w:col w:w="7820"/>
          </w:cols>
          <w:pgMar w:left="440" w:top="63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630" w:right="4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Securities”</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Registered Shares and Warrants.</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Shares”</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following Ordinary Shares:</w:t>
            </w:r>
          </w:p>
        </w:tc>
      </w:tr>
      <w:tr>
        <w:trPr>
          <w:trHeight w:val="338"/>
        </w:trPr>
        <w:tc>
          <w:tcPr>
            <w:tcW w:w="2660" w:type="dxa"/>
            <w:vAlign w:val="bottom"/>
          </w:tcPr>
          <w:p>
            <w:pPr>
              <w:spacing w:after="0"/>
              <w:rPr>
                <w:sz w:val="24"/>
                <w:szCs w:val="24"/>
                <w:color w:val="auto"/>
              </w:rPr>
            </w:pP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Offer Shares;</w:t>
            </w:r>
          </w:p>
        </w:tc>
      </w:tr>
      <w:tr>
        <w:trPr>
          <w:trHeight w:val="338"/>
        </w:trPr>
        <w:tc>
          <w:tcPr>
            <w:tcW w:w="2660" w:type="dxa"/>
            <w:vAlign w:val="bottom"/>
          </w:tcPr>
          <w:p>
            <w:pPr>
              <w:spacing w:after="0"/>
              <w:rPr>
                <w:sz w:val="24"/>
                <w:szCs w:val="24"/>
                <w:color w:val="auto"/>
              </w:rPr>
            </w:pP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Option Shares; and</w:t>
            </w:r>
          </w:p>
        </w:tc>
      </w:tr>
      <w:tr>
        <w:trPr>
          <w:trHeight w:val="338"/>
        </w:trPr>
        <w:tc>
          <w:tcPr>
            <w:tcW w:w="2660" w:type="dxa"/>
            <w:vAlign w:val="bottom"/>
          </w:tcPr>
          <w:p>
            <w:pPr>
              <w:spacing w:after="0"/>
              <w:rPr>
                <w:sz w:val="24"/>
                <w:szCs w:val="24"/>
                <w:color w:val="auto"/>
              </w:rPr>
            </w:pP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 Warrant Shares.</w:t>
            </w:r>
          </w:p>
        </w:tc>
      </w:tr>
      <w:tr>
        <w:trPr>
          <w:trHeight w:val="319"/>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Statement”</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The Company’s automatic shelf registration statement on Form F-3, which became effective automatically</w:t>
            </w:r>
          </w:p>
        </w:tc>
      </w:tr>
      <w:tr>
        <w:trPr>
          <w:trHeight w:val="234"/>
        </w:trPr>
        <w:tc>
          <w:tcPr>
            <w:tcW w:w="2660" w:type="dxa"/>
            <w:vAlign w:val="bottom"/>
          </w:tcPr>
          <w:p>
            <w:pPr>
              <w:spacing w:after="0"/>
              <w:rPr>
                <w:sz w:val="20"/>
                <w:szCs w:val="20"/>
                <w:color w:val="auto"/>
              </w:rPr>
            </w:pP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upon filing on 12 April 2024.</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“Relevant Moment”</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Each time when one or more Registered Securities are issued by the Company.</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“Resolutions”</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Each of the following:</w:t>
            </w:r>
          </w:p>
        </w:tc>
      </w:tr>
      <w:tr>
        <w:trPr>
          <w:trHeight w:val="338"/>
        </w:trPr>
        <w:tc>
          <w:tcPr>
            <w:tcW w:w="266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1"/>
              </w:rPr>
              <w:t>a. </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written resolutions of the Board, dated 21 July 2025;</w:t>
            </w:r>
          </w:p>
        </w:tc>
      </w:tr>
      <w:tr>
        <w:trPr>
          <w:trHeight w:val="338"/>
        </w:trPr>
        <w:tc>
          <w:tcPr>
            <w:tcW w:w="266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73"/>
              </w:rPr>
              <w:t>b. </w:t>
            </w: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AGM Documents; and</w:t>
            </w:r>
          </w:p>
        </w:tc>
      </w:tr>
      <w:tr>
        <w:trPr>
          <w:trHeight w:val="338"/>
        </w:trPr>
        <w:tc>
          <w:tcPr>
            <w:tcW w:w="266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1"/>
              </w:rPr>
              <w:t>c. </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written resolutions of the pricing committee established by the Board, dated 22 July 2025.</w:t>
            </w:r>
          </w:p>
        </w:tc>
      </w:tr>
      <w:tr>
        <w:trPr>
          <w:trHeight w:val="3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“Reviewed Documents”</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Each Deed of Issue, the Warrant Agreements and the Underwriting Agreement.</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Underwriters, as defined in the Underwriting Agreement.</w:t>
            </w: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underwriting agreement between the Company and the Underwriters in connection with the Offering,</w:t>
            </w:r>
          </w:p>
        </w:tc>
      </w:tr>
      <w:tr>
        <w:trPr>
          <w:trHeight w:val="234"/>
        </w:trPr>
        <w:tc>
          <w:tcPr>
            <w:tcW w:w="2660" w:type="dxa"/>
            <w:vAlign w:val="bottom"/>
          </w:tcPr>
          <w:p>
            <w:pPr>
              <w:spacing w:after="0"/>
              <w:rPr>
                <w:sz w:val="20"/>
                <w:szCs w:val="20"/>
                <w:color w:val="auto"/>
              </w:rPr>
            </w:pP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dated 22 July 2025.</w:t>
            </w: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Agreement”</w:t>
            </w: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form of pre-funded ordinary shares purchase warrant agreement to be entered into between the</w:t>
            </w:r>
          </w:p>
        </w:tc>
      </w:tr>
      <w:tr>
        <w:trPr>
          <w:trHeight w:val="234"/>
        </w:trPr>
        <w:tc>
          <w:tcPr>
            <w:tcW w:w="2660" w:type="dxa"/>
            <w:vAlign w:val="bottom"/>
          </w:tcPr>
          <w:p>
            <w:pPr>
              <w:spacing w:after="0"/>
              <w:rPr>
                <w:sz w:val="20"/>
                <w:szCs w:val="20"/>
                <w:color w:val="auto"/>
              </w:rPr>
            </w:pPr>
          </w:p>
        </w:tc>
        <w:tc>
          <w:tcPr>
            <w:tcW w:w="8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Company and certain investors, in the form reviewed by us.</w:t>
            </w:r>
          </w:p>
        </w:tc>
      </w:tr>
      <w:tr>
        <w:trPr>
          <w:trHeight w:val="364"/>
        </w:trPr>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20" w:type="dxa"/>
            <w:vAlign w:val="bottom"/>
          </w:tcPr>
          <w:p>
            <w:pPr>
              <w:jc w:val="right"/>
              <w:ind w:right="5170"/>
              <w:spacing w:after="0"/>
              <w:rPr>
                <w:sz w:val="20"/>
                <w:szCs w:val="20"/>
                <w:color w:val="auto"/>
              </w:rPr>
            </w:pPr>
            <w:r>
              <w:rPr>
                <w:rFonts w:ascii="Times New Roman" w:cs="Times New Roman" w:eastAsia="Times New Roman" w:hAnsi="Times New Roman"/>
                <w:sz w:val="18"/>
                <w:szCs w:val="18"/>
                <w:color w:val="auto"/>
              </w:rPr>
              <w:t>11</w:t>
            </w:r>
          </w:p>
        </w:tc>
      </w:tr>
    </w:tbl>
    <w:p>
      <w:pPr>
        <w:jc w:val="right"/>
        <w:ind w:right="5170"/>
        <w:spacing w:after="0"/>
        <w:rPr>
          <w:sz w:val="20"/>
          <w:szCs w:val="20"/>
          <w:color w:val="auto"/>
        </w:rPr>
        <w:sectPr>
          <w:pgSz w:w="11900" w:h="16838" w:orient="portrait"/>
          <w:cols w:equalWidth="0" w:num="1">
            <w:col w:w="10860"/>
          </w:cols>
          <w:pgMar w:left="440" w:top="630" w:right="5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183515</wp:posOffset>
            </wp:positionV>
            <wp:extent cx="11398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“Warrant Shares”</w:t>
      </w:r>
    </w:p>
    <w:p>
      <w:pPr>
        <w:spacing w:after="0" w:line="20" w:lineRule="exact"/>
        <w:rPr>
          <w:sz w:val="20"/>
          <w:szCs w:val="20"/>
          <w:color w:val="auto"/>
        </w:rPr>
      </w:pPr>
      <w:r>
        <w:rPr>
          <w:sz w:val="20"/>
          <w:szCs w:val="20"/>
          <w:color w:val="auto"/>
        </w:rPr>
        <w:br w:type="column"/>
      </w:r>
    </w:p>
    <w:p>
      <w:pPr>
        <w:ind w:right="760"/>
        <w:spacing w:after="0" w:line="282" w:lineRule="auto"/>
        <w:rPr>
          <w:sz w:val="20"/>
          <w:szCs w:val="20"/>
          <w:color w:val="auto"/>
        </w:rPr>
      </w:pPr>
      <w:r>
        <w:rPr>
          <w:rFonts w:ascii="Times New Roman" w:cs="Times New Roman" w:eastAsia="Times New Roman" w:hAnsi="Times New Roman"/>
          <w:sz w:val="18"/>
          <w:szCs w:val="18"/>
          <w:color w:val="auto"/>
        </w:rPr>
        <w:t>Up to 500,000 Ordinary Shares underlying the Warrants issuable upon exercise of the Warrants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-622300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-528320</wp:posOffset>
            </wp:positionV>
            <wp:extent cx="113982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2480" w:space="720"/>
            <w:col w:w="7780"/>
          </w:cols>
          <w:pgMar w:left="440" w:top="630" w:right="47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pre-funded warrants for Ordinary Shares issuable by the Company pursuant to any Warrant Agreement.</w:t>
      </w:r>
    </w:p>
    <w:p>
      <w:pPr>
        <w:spacing w:after="0" w:line="169" w:lineRule="exact"/>
        <w:rPr>
          <w:sz w:val="20"/>
          <w:szCs w:val="20"/>
          <w:color w:val="auto"/>
        </w:rPr>
      </w:pPr>
    </w:p>
    <w:p>
      <w:pPr>
        <w:sectPr>
          <w:pgSz w:w="11900" w:h="16838" w:orient="portrait"/>
          <w:cols w:equalWidth="0" w:num="2">
            <w:col w:w="2480" w:space="720"/>
            <w:col w:w="7780"/>
          </w:cols>
          <w:pgMar w:left="440" w:top="63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630" w:right="479"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171450</wp:posOffset>
            </wp:positionV>
            <wp:extent cx="1988820" cy="2489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888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United States</w:t>
      </w:r>
    </w:p>
    <w:p>
      <w:pPr>
        <w:spacing w:after="0" w:line="139" w:lineRule="exact"/>
        <w:rPr>
          <w:sz w:val="20"/>
          <w:szCs w:val="20"/>
          <w:color w:val="auto"/>
        </w:rPr>
      </w:pPr>
    </w:p>
    <w:tbl>
      <w:tblPr>
        <w:tblLayout w:type="fixed"/>
        <w:tblInd w:w="4880" w:type="dxa"/>
        <w:tblCellMar>
          <w:top w:w="0" w:type="dxa"/>
          <w:left w:w="0" w:type="dxa"/>
          <w:bottom w:w="0" w:type="dxa"/>
          <w:right w:w="0" w:type="dxa"/>
        </w:tblCellMar>
      </w:tblPr>
      <w:tr>
        <w:trPr>
          <w:trHeight w:val="216"/>
        </w:trPr>
        <w:tc>
          <w:tcPr>
            <w:tcW w:w="2560" w:type="dxa"/>
            <w:vAlign w:val="bottom"/>
            <w:vMerge w:val="restart"/>
          </w:tcPr>
          <w:p>
            <w:pPr>
              <w:jc w:val="center"/>
              <w:ind w:right="1090"/>
              <w:spacing w:after="0"/>
              <w:rPr>
                <w:sz w:val="20"/>
                <w:szCs w:val="20"/>
                <w:color w:val="auto"/>
              </w:rPr>
            </w:pPr>
            <w:r>
              <w:rPr>
                <w:rFonts w:ascii="Times New Roman" w:cs="Times New Roman" w:eastAsia="Times New Roman" w:hAnsi="Times New Roman"/>
                <w:sz w:val="18"/>
                <w:szCs w:val="18"/>
                <w:color w:val="auto"/>
                <w:w w:val="99"/>
              </w:rPr>
              <w:t>+1 212 446 4800</w:t>
            </w:r>
          </w:p>
        </w:tc>
        <w:tc>
          <w:tcPr>
            <w:tcW w:w="24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Facsimile:</w:t>
            </w:r>
          </w:p>
        </w:tc>
        <w:tc>
          <w:tcPr>
            <w:tcW w:w="0" w:type="dxa"/>
            <w:vAlign w:val="bottom"/>
          </w:tcPr>
          <w:p>
            <w:pPr>
              <w:spacing w:after="0"/>
              <w:rPr>
                <w:sz w:val="1"/>
                <w:szCs w:val="1"/>
                <w:color w:val="auto"/>
              </w:rPr>
            </w:pPr>
          </w:p>
        </w:tc>
      </w:tr>
      <w:tr>
        <w:trPr>
          <w:trHeight w:val="113"/>
        </w:trPr>
        <w:tc>
          <w:tcPr>
            <w:tcW w:w="2560" w:type="dxa"/>
            <w:vAlign w:val="bottom"/>
            <w:vMerge w:val="continue"/>
          </w:tcPr>
          <w:p>
            <w:pPr>
              <w:spacing w:after="0"/>
              <w:rPr>
                <w:sz w:val="9"/>
                <w:szCs w:val="9"/>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+1 212 446 4900</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25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www.kirkland.com</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July 24, 2025</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Emmy Noetherweg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2333 BK Leiden, The Netherlands</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Prospectus Supplement to Registration Statement on Form F-3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issuing this opinion letter in our capacity as special U.S. counsel to Pharvaris N.V., a Dutch public company with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“Company”), in connection with the issuance and sale of (i) an aggregate of 9,562,000 shares (the “Offered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ordinary shares, €0.12 per share (the “Ordinary Shares”) (which includes 1,312,000 Ordinary Shares that were exercised as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to purchase additional Ordinary Shares) and (ii) pre-funded warrants (the “Pre-Funded Warrants”) to purchase an aggregate of 500,000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 “Warrant Shares” and, together with the Offered Shares, the “Shares”), pursuant to an underwriting agreement, dated July 22,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by and among the Company and Morgan Stanley &amp; Co. LLC and Leerink Partners LLC, as representatives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In accordance with the Securities Act of 1933, as amended (the “Securities Act”),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“SEC”) on April 12, 2024 a Registration Statement on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F-3ASR (Registration No. 333-278650), which became effective automatically upon filing (the “Registration Statement”), including a base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12, 2024 and a preliminary prospectus supplement dated July 22, 2025 (the “Preliminary Prospectus Supplement”) and the final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dated July 22, 2025 (the “Final Prospectus Supplement” and, together with the Preliminary Prospectus Supplement, 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w:t>
      </w:r>
    </w:p>
    <w:p>
      <w:pPr>
        <w:spacing w:after="0" w:line="20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opinions hereinafter expressed, we have examined the Registration Statement, the Prospectus Supplement, the Underwriting Agreement, the form of Pre-Funded Warrant, the corporate and organizational documents of the Company, and originals or copies, certified and otherwise identified to our satisfaction, of such other documents, corporate or limited liability company records, certificates of public officials and other instruments as we have deemed necessary as a basis for the opinions expressed herein. Insofar as the opinions expressed herein involve factual matters, we have relied (without independent factual investigation), to the extent we deemed proper or necessary, upon certificates of, and other communications with, officers and employees of the Company and upon certificates of public officials.</w:t>
      </w:r>
    </w:p>
    <w:p>
      <w:pPr>
        <w:spacing w:after="0" w:line="363"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Austin Bay Area Beijing Boston Brussels Chicago Dallas Frankfurt Hong Kong Houston London Los Angeles Miami Munich Paris Philadelphia Riyadh Salt Lake City Shanghai Washington, D.C.</w:t>
      </w:r>
    </w:p>
    <w:p>
      <w:pPr>
        <w:sectPr>
          <w:pgSz w:w="11900" w:h="16838" w:orient="portrait"/>
          <w:cols w:equalWidth="0" w:num="1">
            <w:col w:w="11020"/>
          </w:cols>
          <w:pgMar w:left="440" w:top="121"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2959735</wp:posOffset>
            </wp:positionH>
            <wp:positionV relativeFrom="page">
              <wp:posOffset>337820</wp:posOffset>
            </wp:positionV>
            <wp:extent cx="163703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637030" cy="274320"/>
                    </a:xfrm>
                    <a:prstGeom prst="rect">
                      <a:avLst/>
                    </a:prstGeom>
                    <a:noFill/>
                  </pic:spPr>
                </pic:pic>
              </a:graphicData>
            </a:graphic>
          </wp:anchor>
        </w:drawing>
        <w:t>Pharvaris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opinion, we have assumed the authenticity of all documents submitted to us as originals, the conformity to the originals of all documents submitted to us as copies and the authenticity of the originals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As to any facts material to the opinions expressed herein which we have not independently established or verified, we have relied upon statements and representations of officers and other representatives of the Company and others.</w:t>
      </w:r>
    </w:p>
    <w:p>
      <w:pPr>
        <w:spacing w:after="0" w:line="18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assumptions, qualifications and limitations identified in this opinion, we are of the opinion that, assuming the Pre-Funded Warrants have been duly authorized, executed and delivered by the parties thereto, and delivered in accordance with the terms thereof, the Pre-Funded Warrants are legal, valid and binding obligations of the Company, enforceable against the Company in accordance with their terms.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Each opinion (an “enforceability opinion”) in this letter that any security is a valid and binding obligation or is enforceable in accordance with its terms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In addition, we do not express any opinion as to the enforceability of any rights to contribution or indemnification which may be violative of public policy underlying any law, rule or regulation (including any federal or state securities law, rule or regulation). “General principles of equity” include, but are not limited to: principles limiting the availability of specific performance and injunctive relief; principles which limit the availability of a remedy under certain circumstances where another remedy has been elected; principles requiring reasonableness, good faith and fair dealing in the performance and enforcement of an agreement by the party seeking enforcement; principles which may permit a party to cure a material failure to perform its obligations; and principles affording equitable defenses such as waiver, laches and estoppel. We express no opinion with respect to the enforceability of any provision which purports to waive the benefit of usury laws.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w:t>
      </w:r>
    </w:p>
    <w:p>
      <w:pPr>
        <w:spacing w:after="0" w:line="19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We have assumed the indentures, purchase contract agreement, warrant agreement and unit agreement referenced in the numbered paragraphs above will be governed by the law of the State of New York.</w:t>
      </w:r>
    </w:p>
    <w:p>
      <w:pPr>
        <w:sectPr>
          <w:pgSz w:w="11900" w:h="16838" w:orient="portrait"/>
          <w:cols w:equalWidth="0" w:num="1">
            <w:col w:w="10960"/>
          </w:cols>
          <w:pgMar w:left="440" w:top="116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2959735</wp:posOffset>
            </wp:positionH>
            <wp:positionV relativeFrom="page">
              <wp:posOffset>337820</wp:posOffset>
            </wp:positionV>
            <wp:extent cx="163703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637030" cy="274320"/>
                    </a:xfrm>
                    <a:prstGeom prst="rect">
                      <a:avLst/>
                    </a:prstGeom>
                    <a:noFill/>
                  </pic:spPr>
                </pic:pic>
              </a:graphicData>
            </a:graphic>
          </wp:anchor>
        </w:drawing>
        <w:t>Pharvaris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24,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and is not to be used, circulated, quoted or otherwise relied upon or otherwise referred to by any other person for any other purpose.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Company’s Current Report on Form 6-K, which is incorporated by reference into the Registration Statement, and is not to be used, circulated, quoted or otherwise relied upon for any other purposes.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5.2 to the Company’s Current Report on Form 6-K and its incorporation by reference into the Registration Statement. We also consent to the reference to our firm under the heading “Legal Matters” in the Prospectus Supplement and the Registration Statement. In giving this consent, we do not thereby admit that we are in the category of persons whose consent is required under Section 7 of the Act of the rules and regulations of the Commission.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Kirkland &amp; Ellis LLP</w:t>
      </w:r>
    </w:p>
    <w:sectPr>
      <w:pgSz w:w="11900" w:h="16838" w:orient="portrait"/>
      <w:cols w:equalWidth="0" w:num="1">
        <w:col w:w="10940"/>
      </w:cols>
      <w:pgMar w:left="440" w:top="116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
      <w:numFmt w:val="bullet"/>
      <w:start w:val="1"/>
    </w:lvl>
  </w:abstractNum>
  <w:abstractNum w:abstractNumId="1">
    <w:nsid w:val="5072367"/>
    <w:multiLevelType w:val="hybridMultilevel"/>
    <w:lvl w:ilvl="0">
      <w:lvlJc w:val="left"/>
      <w:lvlText w:val=" "/>
      <w:numFmt w:val="bullet"/>
      <w:start w:val="1"/>
    </w:lvl>
  </w:abstractNum>
  <w:abstractNum w:abstractNumId="2">
    <w:nsid w:val="3804823E"/>
    <w:multiLevelType w:val="hybridMultilevel"/>
    <w:lvl w:ilvl="0">
      <w:lvlJc w:val="left"/>
      <w:lvlText w:val="%1."/>
      <w:numFmt w:val="decimal"/>
      <w:start w:val="1"/>
    </w:lvl>
    <w:lvl w:ilvl="1">
      <w:lvlJc w:val="left"/>
      <w:lvlText w:val="(%2)"/>
      <w:numFmt w:val="lowerLetter"/>
      <w:start w:val="1"/>
    </w:lvl>
  </w:abstractNum>
  <w:abstractNum w:abstractNumId="3">
    <w:nsid w:val="77465F01"/>
    <w:multiLevelType w:val="hybridMultilevel"/>
    <w:lvl w:ilvl="0">
      <w:lvlJc w:val="left"/>
      <w:lvlText w:val="(%1)"/>
      <w:numFmt w:val="lowerLetter"/>
      <w:start w:val="3"/>
    </w:lvl>
  </w:abstractNum>
  <w:abstractNum w:abstractNumId="4">
    <w:nsid w:val="7724C67E"/>
    <w:multiLevelType w:val="hybridMultilevel"/>
    <w:lvl w:ilvl="0">
      <w:lvlJc w:val="left"/>
      <w:lvlText w:val="(%1)"/>
      <w:numFmt w:val="lowerLetter"/>
      <w:start w:val="5"/>
    </w:lvl>
  </w:abstractNum>
  <w:abstractNum w:abstractNumId="5">
    <w:nsid w:val="5C482A97"/>
    <w:multiLevelType w:val="hybridMultilevel"/>
    <w:lvl w:ilvl="0">
      <w:lvlJc w:val="left"/>
      <w:lvlText w:val="%1"/>
      <w:numFmt w:val="lowerLetter"/>
      <w:start w:val="1"/>
    </w:lvl>
    <w:lvl w:ilvl="1">
      <w:lvlJc w:val="left"/>
      <w:lvlText w:val="(%2)"/>
      <w:numFmt w:val="lowerLetter"/>
      <w:start w:val="11"/>
    </w:lvl>
  </w:abstractNum>
  <w:abstractNum w:abstractNumId="6">
    <w:nsid w:val="2463B9EA"/>
    <w:multiLevelType w:val="hybridMultilevel"/>
    <w:lvl w:ilvl="0">
      <w:lvlJc w:val="left"/>
      <w:lvlText w:val="(%1)"/>
      <w:numFmt w:val="lowerLetter"/>
      <w:start w:val="9"/>
    </w:lvl>
    <w:lvl w:ilvl="1">
      <w:lvlJc w:val="left"/>
      <w:lvlText w:val="%2"/>
      <w:numFmt w:val="lowerLetter"/>
      <w:start w:val="1"/>
    </w:lvl>
  </w:abstractNum>
  <w:abstractNum w:abstractNumId="7">
    <w:nsid w:val="5E884ADC"/>
    <w:multiLevelType w:val="hybridMultilevel"/>
    <w:lvl w:ilvl="0">
      <w:lvlJc w:val="left"/>
      <w:lvlText w:val="%1"/>
      <w:numFmt w:val="lowerLetter"/>
      <w:start w:val="1"/>
    </w:lvl>
    <w:lvl w:ilvl="1">
      <w:lvlJc w:val="left"/>
      <w:lvlText w:val="(%2)"/>
      <w:numFmt w:val="lowerLetter"/>
      <w:start w:val="16"/>
    </w:lvl>
  </w:abstractNum>
  <w:abstractNum w:abstractNumId="8">
    <w:nsid w:val="51EAD36B"/>
    <w:multiLevelType w:val="hybridMultilevel"/>
    <w:lvl w:ilvl="0">
      <w:lvlJc w:val="left"/>
      <w:lvlText w:val="(%1)"/>
      <w:numFmt w:val="lowerLetter"/>
      <w:start w:val="61"/>
    </w:lvl>
    <w:lvl w:ilvl="1">
      <w:lvlJc w:val="left"/>
      <w:lvlText w:val="(%2)"/>
      <w:numFmt w:val="lowerLetter"/>
      <w:start w:val="19"/>
    </w:lvl>
  </w:abstractNum>
  <w:abstractNum w:abstractNumId="9">
    <w:nsid w:val="2D517796"/>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0">
    <w:nsid w:val="580BD78F"/>
    <w:multiLevelType w:val="hybridMultilevel"/>
    <w:lvl w:ilvl="0">
      <w:lvlJc w:val="left"/>
      <w:lvlText w:val="(%1)"/>
      <w:numFmt w:val="lowerLetter"/>
      <w:start w:val="21"/>
    </w:lvl>
  </w:abstractNum>
  <w:abstractNum w:abstractNumId="11">
    <w:nsid w:val="153EA438"/>
    <w:multiLevelType w:val="hybridMultilevel"/>
    <w:lvl w:ilvl="0">
      <w:lvlJc w:val="left"/>
      <w:lvlText w:val="(%1)"/>
      <w:numFmt w:val="lowerLetter"/>
      <w:start w:val="24"/>
    </w:lvl>
  </w:abstractNum>
  <w:abstractNum w:abstractNumId="12">
    <w:nsid w:val="3855585C"/>
    <w:multiLevelType w:val="hybridMultilevel"/>
    <w:lvl w:ilvl="0">
      <w:lvlJc w:val="left"/>
      <w:lvlText w:val="(%1)"/>
      <w:numFmt w:val="lowerLetter"/>
      <w:start w:val="27"/>
    </w:lvl>
  </w:abstractNum>
  <w:abstractNum w:abstractNumId="13">
    <w:nsid w:val="70A64E2A"/>
    <w:multiLevelType w:val="hybridMultilevel"/>
    <w:lvl w:ilvl="0">
      <w:lvlJc w:val="left"/>
      <w:lvlText w:val="(%1)"/>
      <w:numFmt w:val="lowerLetter"/>
      <w:start w:val="31"/>
    </w:lvl>
  </w:abstractNum>
  <w:abstractNum w:abstractNumId="14">
    <w:nsid w:val="6A2342EC"/>
    <w:multiLevelType w:val="hybridMultilevel"/>
    <w:lvl w:ilvl="0">
      <w:lvlJc w:val="left"/>
      <w:lvlText w:val="(%1)"/>
      <w:numFmt w:val="lowerLetter"/>
      <w:start w:val="33"/>
    </w:lvl>
  </w:abstractNum>
  <w:abstractNum w:abstractNumId="15">
    <w:nsid w:val="2A487CB0"/>
    <w:multiLevelType w:val="hybridMultilevel"/>
    <w:lvl w:ilvl="0">
      <w:lvlJc w:val="left"/>
      <w:lvlText w:val="(%1)"/>
      <w:numFmt w:val="lowerLetter"/>
      <w:start w:val="36"/>
    </w:lvl>
  </w:abstractNum>
  <w:abstractNum w:abstractNumId="16">
    <w:nsid w:val="1D4ED43B"/>
    <w:multiLevelType w:val="hybridMultilevel"/>
    <w:lvl w:ilvl="0">
      <w:lvlJc w:val="left"/>
      <w:lvlText w:val="%1"/>
      <w:numFmt w:val="lowerLetter"/>
      <w:start w:val="1"/>
    </w:lvl>
    <w:lvl w:ilvl="1">
      <w:lvlJc w:val="left"/>
      <w:lvlText w:val="(%2)"/>
      <w:numFmt w:val="lowerLetter"/>
      <w:start w:val="40"/>
    </w:lvl>
  </w:abstractNum>
  <w:abstractNum w:abstractNumId="17">
    <w:nsid w:val="725A06FB"/>
    <w:multiLevelType w:val="hybridMultilevel"/>
    <w:lvl w:ilvl="0">
      <w:lvlJc w:val="left"/>
      <w:lvlText w:val="(%1)"/>
      <w:numFmt w:val="lowerLetter"/>
      <w:start w:val="9"/>
    </w:lvl>
    <w:lvl w:ilvl="1">
      <w:lvlJc w:val="left"/>
      <w:lvlText w:val="(%2)"/>
      <w:numFmt w:val="lowerLetter"/>
      <w:start w:val="44"/>
    </w:lvl>
  </w:abstractNum>
  <w:abstractNum w:abstractNumId="18">
    <w:nsid w:val="2CD89A32"/>
    <w:multiLevelType w:val="hybridMultilevel"/>
    <w:lvl w:ilvl="0">
      <w:lvlJc w:val="left"/>
      <w:lvlText w:val="(%1)"/>
      <w:numFmt w:val="lowerLetter"/>
      <w:start w:val="45"/>
    </w:lvl>
  </w:abstractNum>
  <w:abstractNum w:abstractNumId="19">
    <w:nsid w:val="57E4CCAF"/>
    <w:multiLevelType w:val="hybridMultilevel"/>
    <w:lvl w:ilvl="0">
      <w:lvlJc w:val="left"/>
      <w:lvlText w:val="(%1)"/>
      <w:numFmt w:val="lowerLetter"/>
      <w:start w:val="51"/>
    </w:lvl>
  </w:abstractNum>
  <w:abstractNum w:abstractNumId="20">
    <w:nsid w:val="7A6D8D3C"/>
    <w:multiLevelType w:val="hybridMultilevel"/>
    <w:lvl w:ilvl="0">
      <w:lvlJc w:val="left"/>
      <w:lvlText w:val="%1."/>
      <w:numFmt w:val="decimal"/>
      <w:start w:val="2"/>
    </w:lvl>
  </w:abstractNum>
  <w:abstractNum w:abstractNumId="21">
    <w:nsid w:val="4B588F54"/>
    <w:multiLevelType w:val="hybridMultilevel"/>
    <w:lvl w:ilvl="0">
      <w:lvlJc w:val="left"/>
      <w:lvlText w:val="%1."/>
      <w:numFmt w:val="decimal"/>
      <w:start w:val="3"/>
    </w:lvl>
  </w:abstractNum>
  <w:abstractNum w:abstractNumId="22">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6DE91B18"/>
    <w:multiLevelType w:val="hybridMultilevel"/>
    <w:lvl w:ilvl="0">
      <w:lvlJc w:val="left"/>
      <w:lvlText w:val="(%1)"/>
      <w:numFmt w:val="lowerLetter"/>
      <w:start w:val="3"/>
    </w:lvl>
  </w:abstractNum>
  <w:abstractNum w:abstractNumId="24">
    <w:nsid w:val="38437FDB"/>
    <w:multiLevelType w:val="hybridMultilevel"/>
    <w:lvl w:ilvl="0">
      <w:lvlJc w:val="left"/>
      <w:lvlText w:val="(%1)"/>
      <w:numFmt w:val="lowerLetter"/>
      <w:start w:val="6"/>
    </w:lvl>
  </w:abstractNum>
  <w:abstractNum w:abstractNumId="25">
    <w:nsid w:val="7644A45C"/>
    <w:multiLevelType w:val="hybridMultilevel"/>
    <w:lvl w:ilvl="0">
      <w:lvlJc w:val="left"/>
      <w:lvlText w:val="(%1)"/>
      <w:numFmt w:val="lowerLetter"/>
      <w:start w:val="8"/>
    </w:lvl>
    <w:lvl w:ilvl="1">
      <w:lvlJc w:val="left"/>
      <w:lvlText w:val="(%2)"/>
      <w:numFmt w:val="lowerLetter"/>
      <w:start w:val="9"/>
    </w:lvl>
  </w:abstractNum>
  <w:abstractNum w:abstractNumId="26">
    <w:nsid w:val="32FFF902"/>
    <w:multiLevelType w:val="hybridMultilevel"/>
    <w:lvl w:ilvl="0">
      <w:lvlJc w:val="left"/>
      <w:lvlText w:val="%1"/>
      <w:numFmt w:val="lowerLetter"/>
      <w:start w:val="1"/>
    </w:lvl>
    <w:lvl w:ilvl="1">
      <w:lvlJc w:val="left"/>
      <w:lvlText w:val="(%2)"/>
      <w:numFmt w:val="lowerRoman"/>
      <w:start w:val="2"/>
    </w:lvl>
  </w:abstractNum>
  <w:abstractNum w:abstractNumId="27">
    <w:nsid w:val="684A481A"/>
    <w:multiLevelType w:val="hybridMultilevel"/>
    <w:lvl w:ilvl="0">
      <w:lvlJc w:val="left"/>
      <w:lvlText w:val="(%1)"/>
      <w:numFmt w:val="lowerLetter"/>
      <w:start w:val="14"/>
    </w:lvl>
    <w:lvl w:ilvl="1">
      <w:lvlJc w:val="left"/>
      <w:lvlText w:val="%2"/>
      <w:numFmt w:val="lowerRoman"/>
      <w:start w:val="1"/>
    </w:lvl>
  </w:abstractNum>
  <w:abstractNum w:abstractNumId="28">
    <w:nsid w:val="579478FE"/>
    <w:multiLevelType w:val="hybridMultilevel"/>
    <w:lvl w:ilvl="0">
      <w:lvlJc w:val="left"/>
      <w:lvlText w:val="%1."/>
      <w:numFmt w:val="decimal"/>
      <w:start w:val="6"/>
    </w:lvl>
    <w:lvl w:ilvl="1">
      <w:lvlJc w:val="left"/>
      <w:lvlText w:val="(%2)"/>
      <w:numFmt w:val="lowerLetter"/>
      <w:start w:val="1"/>
    </w:lvl>
  </w:abstractNum>
  <w:abstractNum w:abstractNumId="29">
    <w:nsid w:val="749ABB43"/>
    <w:multiLevelType w:val="hybridMultilevel"/>
    <w:lvl w:ilvl="0">
      <w:lvlJc w:val="left"/>
      <w:lvlText w:val="(%1)"/>
      <w:numFmt w:val="lowerLetter"/>
      <w:start w:val="6"/>
    </w:lvl>
  </w:abstractNum>
  <w:abstractNum w:abstractNumId="30">
    <w:nsid w:val="3DC240FB"/>
    <w:multiLevelType w:val="hybridMultilevel"/>
    <w:lvl w:ilvl="0">
      <w:lvlJc w:val="left"/>
      <w:lvlText w:val="(%1)"/>
      <w:numFmt w:val="lowerRoman"/>
      <w:start w:val="6"/>
    </w:lvl>
    <w:lvl w:ilvl="1">
      <w:lvlJc w:val="left"/>
      <w:lvlText w:val="(%2)"/>
      <w:numFmt w:val="lowerLetter"/>
      <w:start w:val="10"/>
    </w:lvl>
  </w:abstractNum>
  <w:abstractNum w:abstractNumId="31">
    <w:nsid w:val="1BA026FA"/>
    <w:multiLevelType w:val="hybridMultilevel"/>
    <w:lvl w:ilvl="0">
      <w:lvlJc w:val="left"/>
      <w:lvlText w:val="(%1)"/>
      <w:numFmt w:val="lowerLetter"/>
      <w:start w:val="13"/>
    </w:lvl>
  </w:abstractNum>
  <w:abstractNum w:abstractNumId="32">
    <w:nsid w:val="79A1DEAA"/>
    <w:multiLevelType w:val="hybridMultilevel"/>
    <w:lvl w:ilvl="0">
      <w:lvlJc w:val="left"/>
      <w:lvlText w:val="(%1)"/>
      <w:numFmt w:val="lowerRoman"/>
      <w:start w:val="3"/>
    </w:lvl>
    <w:lvl w:ilvl="1">
      <w:lvlJc w:val="left"/>
      <w:lvlText w:val="%2."/>
      <w:numFmt w:val="decimal"/>
      <w:start w:val="7"/>
    </w:lvl>
  </w:abstractNum>
  <w:abstractNum w:abstractNumId="33">
    <w:nsid w:val="75C6C33A"/>
    <w:multiLevelType w:val="hybridMultilevel"/>
    <w:lvl w:ilvl="0">
      <w:lvlJc w:val="left"/>
      <w:lvlText w:val="(%1)"/>
      <w:numFmt w:val="lowerLetter"/>
      <w:start w:val="2"/>
    </w:lvl>
  </w:abstractNum>
  <w:abstractNum w:abstractNumId="34">
    <w:nsid w:val="12E685FB"/>
    <w:multiLevelType w:val="hybridMultilevel"/>
    <w:lvl w:ilvl="0">
      <w:lvlJc w:val="left"/>
      <w:lvlText w:val="(%1)"/>
      <w:numFmt w:val="lowerLetter"/>
      <w:start w:val="4"/>
    </w:lvl>
  </w:abstractNum>
  <w:abstractNum w:abstractNumId="35">
    <w:nsid w:val="70C6A529"/>
    <w:multiLevelType w:val="hybridMultilevel"/>
    <w:lvl w:ilvl="0">
      <w:lvlJc w:val="left"/>
      <w:lvlText w:val="%1"/>
      <w:numFmt w:val="lowerLetter"/>
      <w:start w:val="1"/>
    </w:lvl>
    <w:lvl w:ilvl="1">
      <w:lvlJc w:val="left"/>
      <w:lvlText w:val="(%2)"/>
      <w:numFmt w:val="lowerLetter"/>
      <w:start w:val="5"/>
    </w:lvl>
  </w:abstractNum>
  <w:abstractNum w:abstractNumId="36">
    <w:nsid w:val="520EEDD1"/>
    <w:multiLevelType w:val="hybridMultilevel"/>
    <w:lvl w:ilvl="0">
      <w:lvlJc w:val="left"/>
      <w:lvlText w:val="(%1)"/>
      <w:numFmt w:val="lowerLetter"/>
      <w:start w:val="35"/>
    </w:lvl>
    <w:lvl w:ilvl="1">
      <w:lvlJc w:val="left"/>
      <w:lvlText w:val="%2"/>
      <w:numFmt w:val="lowerLetter"/>
      <w:start w:val="1"/>
    </w:lvl>
  </w:abstractNum>
  <w:abstractNum w:abstractNumId="37">
    <w:nsid w:val="374A3FE6"/>
    <w:multiLevelType w:val="hybridMultilevel"/>
    <w:lvl w:ilvl="0">
      <w:lvlJc w:val="left"/>
      <w:lvlText w:val="%1."/>
      <w:numFmt w:val="decimal"/>
      <w:start w:val="9"/>
    </w:lvl>
  </w:abstractNum>
  <w:abstractNum w:abstractNumId="38">
    <w:nsid w:val="4F4EF005"/>
    <w:multiLevelType w:val="hybridMultilevel"/>
    <w:lvl w:ilvl="0">
      <w:lvlJc w:val="left"/>
      <w:lvlText w:val="%1."/>
      <w:numFmt w:val="decimal"/>
      <w:start w:val="11"/>
    </w:lvl>
  </w:abstractNum>
  <w:abstractNum w:abstractNumId="39">
    <w:nsid w:val="23F9C13C"/>
    <w:multiLevelType w:val="hybridMultilevel"/>
    <w:lvl w:ilvl="0">
      <w:lvlJc w:val="left"/>
      <w:lvlText w:val="%1"/>
      <w:numFmt w:val="decimal"/>
      <w:start w:val="1"/>
    </w:lvl>
    <w:lvl w:ilvl="1">
      <w:lvlJc w:val="left"/>
      <w:lvlText w:val="(%2)"/>
      <w:numFmt w:val="lowerLetter"/>
      <w:start w:val="2"/>
    </w:lvl>
  </w:abstractNum>
  <w:abstractNum w:abstractNumId="40">
    <w:nsid w:val="649BB77C"/>
    <w:multiLevelType w:val="hybridMultilevel"/>
    <w:lvl w:ilvl="0">
      <w:lvlJc w:val="left"/>
      <w:lvlText w:val="%1."/>
      <w:numFmt w:val="decimal"/>
      <w:start w:val="12"/>
    </w:lvl>
    <w:lvl w:ilvl="1">
      <w:lvlJc w:val="left"/>
      <w:lvlText w:val="(%2)"/>
      <w:numFmt w:val="lowerLetter"/>
      <w:start w:val="2"/>
    </w:lvl>
  </w:abstractNum>
  <w:abstractNum w:abstractNumId="41">
    <w:nsid w:val="275AC794"/>
    <w:multiLevelType w:val="hybridMultilevel"/>
    <w:lvl w:ilvl="0">
      <w:lvlJc w:val="left"/>
      <w:lvlText w:val="%1"/>
      <w:numFmt w:val="upperLetter"/>
      <w:start w:val="35"/>
    </w:lvl>
    <w:lvl w:ilvl="1">
      <w:lvlJc w:val="left"/>
      <w:lvlText w:val="%2."/>
      <w:numFmt w:val="decimal"/>
      <w:start w:val="13"/>
    </w:lvl>
  </w:abstractNum>
  <w:abstractNum w:abstractNumId="42">
    <w:nsid w:val="39386575"/>
    <w:multiLevelType w:val="hybridMultilevel"/>
    <w:lvl w:ilvl="0">
      <w:lvlJc w:val="left"/>
      <w:lvlText w:val="%1."/>
      <w:numFmt w:val="decimal"/>
      <w:start w:val="14"/>
    </w:lvl>
    <w:lvl w:ilvl="1">
      <w:lvlJc w:val="left"/>
      <w:lvlText w:val="(%2)"/>
      <w:numFmt w:val="lowerLetter"/>
      <w:start w:val="2"/>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 "/>
      <w:numFmt w:val="bullet"/>
      <w:start w:val="1"/>
    </w:lvl>
  </w:abstractNum>
  <w:abstractNum w:abstractNumId="45">
    <w:nsid w:val="235BA861"/>
    <w:multiLevelType w:val="hybridMultilevel"/>
    <w:lvl w:ilvl="0">
      <w:lvlJc w:val="left"/>
      <w:lvlText w:val=" "/>
      <w:numFmt w:val="bullet"/>
      <w:start w:val="1"/>
    </w:lvl>
  </w:abstractNum>
  <w:abstractNum w:abstractNumId="46">
    <w:nsid w:val="47398C89"/>
    <w:multiLevelType w:val="hybridMultilevel"/>
    <w:lvl w:ilvl="0">
      <w:lvlJc w:val="left"/>
      <w:lvlText w:val="(%1)"/>
      <w:numFmt w:val="upperLetter"/>
      <w:start w:val="5"/>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1"/>
    </w:lvl>
    <w:lvl w:ilvl="1">
      <w:lvlJc w:val="left"/>
      <w:lvlText w:val="(%2)"/>
      <w:numFmt w:val="lowerRoman"/>
      <w:start w:val="1"/>
    </w:lvl>
  </w:abstractNum>
  <w:abstractNum w:abstractNumId="49">
    <w:nsid w:val="741226BB"/>
    <w:multiLevelType w:val="hybridMultilevel"/>
    <w:lvl w:ilvl="0">
      <w:lvlJc w:val="left"/>
      <w:lvlText w:val="(%1)"/>
      <w:numFmt w:val="lowerRoman"/>
      <w:start w:val="2"/>
    </w:lvl>
  </w:abstractNum>
  <w:abstractNum w:abstractNumId="50">
    <w:nsid w:val="D34B6A8"/>
    <w:multiLevelType w:val="hybridMultilevel"/>
    <w:lvl w:ilvl="0">
      <w:lvlJc w:val="left"/>
      <w:lvlText w:val="(%1)"/>
      <w:numFmt w:val="lowerLetter"/>
      <w:start w:val="3"/>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4"/>
    </w:lvl>
  </w:abstractNum>
  <w:abstractNum w:abstractNumId="53">
    <w:nsid w:val="61574095"/>
    <w:multiLevelType w:val="hybridMultilevel"/>
    <w:lvl w:ilvl="0">
      <w:lvlJc w:val="left"/>
      <w:lvlText w:val="(%1)"/>
      <w:numFmt w:val="lowerLetter"/>
      <w:start w:val="5"/>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3"/>
    </w:lvl>
    <w:lvl w:ilvl="1">
      <w:lvlJc w:val="left"/>
      <w:lvlText w:val="(%2)"/>
      <w:numFmt w:val="lowerRoman"/>
      <w:start w:val="1"/>
    </w:lvl>
  </w:abstractNum>
  <w:abstractNum w:abstractNumId="57">
    <w:nsid w:val="310C50B3"/>
    <w:multiLevelType w:val="hybridMultilevel"/>
    <w:lvl w:ilvl="0">
      <w:lvlJc w:val="left"/>
      <w:lvlText w:val="%1"/>
      <w:numFmt w:val="lowerLetter"/>
      <w:start w:val="1"/>
    </w:lvl>
    <w:lvl w:ilvl="1">
      <w:lvlJc w:val="left"/>
      <w:lvlText w:val="(%2)"/>
      <w:numFmt w:val="lowerRoman"/>
      <w:start w:val="2"/>
    </w:lvl>
  </w:abstractNum>
  <w:abstractNum w:abstractNumId="58">
    <w:nsid w:val="5FF87E05"/>
    <w:multiLevelType w:val="hybridMultilevel"/>
    <w:lvl w:ilvl="0">
      <w:lvlJc w:val="left"/>
      <w:lvlText w:val="(%1)"/>
      <w:numFmt w:val="lowerLetter"/>
      <w:start w:val="6"/>
    </w:lvl>
    <w:lvl w:ilvl="1">
      <w:lvlJc w:val="left"/>
      <w:lvlText w:val="(%2)"/>
      <w:numFmt w:val="lowerRoman"/>
      <w:start w:val="1"/>
    </w:lvl>
  </w:abstractNum>
  <w:abstractNum w:abstractNumId="59">
    <w:nsid w:val="2F305DEF"/>
    <w:multiLevelType w:val="hybridMultilevel"/>
    <w:lvl w:ilvl="0">
      <w:lvlJc w:val="left"/>
      <w:lvlText w:val="(%1)"/>
      <w:numFmt w:val="lowerRoman"/>
      <w:start w:val="2"/>
    </w:lvl>
  </w:abstractNum>
  <w:abstractNum w:abstractNumId="60">
    <w:nsid w:val="25A70BF7"/>
    <w:multiLevelType w:val="hybridMultilevel"/>
    <w:lvl w:ilvl="0">
      <w:lvlJc w:val="left"/>
      <w:lvlText w:val="(%1)"/>
      <w:numFmt w:val="lowerLetter"/>
      <w:start w:val="8"/>
    </w:lvl>
  </w:abstractNum>
  <w:abstractNum w:abstractNumId="61">
    <w:nsid w:val="1DBABF00"/>
    <w:multiLevelType w:val="hybridMultilevel"/>
    <w:lvl w:ilvl="0">
      <w:lvlJc w:val="left"/>
      <w:lvlText w:val="(%1)"/>
      <w:numFmt w:val="lowerLetter"/>
      <w:start w:val="14"/>
    </w:lvl>
  </w:abstractNum>
  <w:abstractNum w:abstractNumId="62">
    <w:nsid w:val="4AD084E9"/>
    <w:multiLevelType w:val="hybridMultilevel"/>
    <w:lvl w:ilvl="0">
      <w:lvlJc w:val="left"/>
      <w:lvlText w:val="(%1)"/>
      <w:numFmt w:val="decimal"/>
      <w:start w:val="2"/>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5"/>
    </w:lvl>
  </w:abstractNum>
  <w:abstractNum w:abstractNumId="65">
    <w:nsid w:val="5DB70AE5"/>
    <w:multiLevelType w:val="hybridMultilevel"/>
    <w:lvl w:ilvl="0">
      <w:lvlJc w:val="left"/>
      <w:lvlText w:val="%1."/>
      <w:numFmt w:val="lowerLetter"/>
      <w:start w:val="13"/>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upperLetter"/>
      <w:start w:val="1"/>
    </w:lvl>
  </w:abstractNum>
  <w:abstractNum w:abstractNumId="68">
    <w:nsid w:val="15014ACB"/>
    <w:multiLevelType w:val="hybridMultilevel"/>
    <w:lvl w:ilvl="0">
      <w:lvlJc w:val="left"/>
      <w:lvlText w:val="%1."/>
      <w:numFmt w:val="upperLetter"/>
      <w:start w:val="4"/>
    </w:lvl>
    <w:lvl w:ilvl="1">
      <w:lvlJc w:val="left"/>
      <w:lvlText w:val="%2."/>
      <w:numFmt w:val="lowerLetter"/>
      <w:start w:val="1"/>
    </w:lvl>
  </w:abstractNum>
  <w:abstractNum w:abstractNumId="69">
    <w:nsid w:val="5F5E7FD0"/>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2025-07-24T15:27:10Z</dcterms:created>
  <dcterms:modified xsi:type="dcterms:W3CDTF">2025-07-24T15:27:10Z</dcterms:modified>
</cp:coreProperties>
</file>