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Pharvaris N.V.</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Euro 0.12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N69605108</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N69605108</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Bain Capital Life Sciences Fund,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1,640,817.00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1,640,817.00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1,640,817.00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N69605108</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BCIP Life Sciences Associates,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167,950.00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167,950.00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167,950.00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N69605108</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Bain Capital Life Sciences Opportunities III,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993,314.00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993,314.00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993,314.00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4"/>
        <w:gridCol w:w="8896"/>
        <w:gridCol w:w="155"/>
      </w:tblGrid>
      <w:tr>
        <w:trPr/>
        <w:tc>
          <w:tcPr>
            <w:tcW w:w="1154" w:type="dxa"/>
            <w:tcBorders/>
            <w:vAlign w:val="center"/>
          </w:tcPr>
          <w:p>
            <w:pPr>
              <w:pStyle w:val="TableContents"/>
              <w:bidi w:val="0"/>
              <w:spacing w:before="0" w:after="283"/>
              <w:jc w:val="left"/>
              <w:rPr/>
            </w:pPr>
            <w:r>
              <w:rPr/>
              <w:t>Item 1.</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issuer: </w:t>
            </w:r>
          </w:p>
          <w:p>
            <w:pPr>
              <w:pStyle w:val="TableContents"/>
              <w:bidi w:val="0"/>
              <w:spacing w:before="0" w:after="0"/>
              <w:jc w:val="left"/>
              <w:rPr/>
            </w:pPr>
            <w:r>
              <w:rPr/>
              <w:t>Pharvaris N.V.</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Emmy Noetherweg 2, 2333 BK Leiden, The Netherlands.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2.</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filed jointly by Bain Capital Life Sciences Fund, L.P., a Cayman Islands exempted limited partnership ("BCLS Fund I"), BCIP Life Sciences Associates, LP, a Delaware limited partnership ("BCIPLS"), and Bain Capital Life Sciences Opportunities III, LP, a Delaware limited partnership ("BCLS Fund III Opportunities" and, together with BCLS Fund I and BCIPLS, the "Reporting Persons"). Bain Capital Life Sciences Investors, LLC, a Delaware limited liability company ("BCLSI"), is the general partner of Bain Capital Life Sciences Partners, LP, a Cayman Islands exempted limited partnership ("BCLSP"), which is the general partner of BCLS Fund I. BCLSI is also the manager of Bain Capital Life Sciences III General Partner, LLC, a Delaware limited liability company ("BCLS Fund III GP"), which is the general partner of Bain Capital Life Sciences Fund III, L.P., a Delaware limited partnership ("BCLS Fund III"), which is the sole member of Bain Capital Life Sciences Opportunities III GP, LLC, a Delaware limited liability company ("BCLS Fund III Opportunities GP"), which is the general partner of BCLS Fund III Opportunities. Boylston Coinvestors, LLC, a Delaware limited liability company ("Boylston" and, together with the Reporting Persons, BCLSI, BCLSP, BCLS Fund III GP, BCLS Fund III and BCLS Fund III Opportunities GP, the "Bain Capital Life Sciences Entities"), is the general partner of BCIPLS. BCLSI governs the investment strategy and decision-making process with respect to investments held by BCIPLS. As a result, BCLSI may be deemed to share voting and dispositive power with respect to the securities held by the Reporting Persons. The Reporting Persons have entered into a Joint Filing Agreement, dated February 17, 2026, pursuant to which the Reporting Persons have agreed to file this Schedule 13G jointly in accordance with the provisions of Rule 13d-1(k)(1) promulgated under the Act.</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for each of the Bain Capital Life Sciences Entities is 200 Clarendon Street, Boston, Massachusetts 02116.</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jc w:val="left"/>
              <w:rPr/>
            </w:pPr>
            <w:r>
              <w:rPr/>
              <w:t xml:space="preserve">Citizenship: </w:t>
            </w:r>
          </w:p>
          <w:p>
            <w:pPr>
              <w:pStyle w:val="TableContents"/>
              <w:bidi w:val="0"/>
              <w:spacing w:before="0" w:after="0"/>
              <w:jc w:val="left"/>
              <w:rPr/>
            </w:pPr>
            <w:r>
              <w:rPr/>
              <w:t>See Item 2(a) hereof.</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Euro 0.12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jc w:val="left"/>
              <w:rPr/>
            </w:pPr>
            <w:r>
              <w:rPr/>
              <w:t xml:space="preserve">CUSIP No.: </w:t>
            </w:r>
          </w:p>
          <w:p>
            <w:pPr>
              <w:pStyle w:val="TableContents"/>
              <w:bidi w:val="0"/>
              <w:spacing w:before="0" w:after="0"/>
              <w:jc w:val="left"/>
              <w:rPr/>
            </w:pPr>
            <w:r>
              <w:rPr/>
              <w:t>N69605108</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3.</w:t>
            </w:r>
          </w:p>
        </w:tc>
        <w:tc>
          <w:tcPr>
            <w:tcW w:w="889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(f)</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(g)</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(h)</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(j)</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(k)</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9051" w:type="dxa"/>
            <w:gridSpan w:val="2"/>
            <w:tcBorders/>
            <w:vAlign w:val="center"/>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4.</w:t>
            </w:r>
          </w:p>
        </w:tc>
        <w:tc>
          <w:tcPr>
            <w:tcW w:w="889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As of the close of business on December 31, 2025, (i) BCLS Fund I held 1,640,817 Ordinary Shares, representing approximately 2.5% of the outstanding Ordinary Shares, (ii) BCIPLS held 167,950 Ordinary Shares, representing approximately 0.3% of the outstanding Ordinary Shares, and (iii) BCLS Fund III Opportunities held 993,314 Ordinary Shares, representing approximately 1.5% of the Outstanding Ordinary Shares. As a result of the foregoing and the relationships described in Item 2(a), the Reporting Persons may be deemed to collectively beneficially own an aggregate of 2,802,081 Ordinary Shares as of December 31, 2025, representing approximately 4.3% of the outstanding Ordinary Shares. The percentage of the outstanding Ordinary Shares held by the Reporting Persons is based on 64,959,454 Ordinary Shares outstanding as of September 30, 2025, as reported by the Issuer in its Form 6-K filed with the Securities and Exchange Commission on November 12, 2025.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4(a) hereof.  %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4(a)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4(a)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5.</w:t>
            </w:r>
          </w:p>
        </w:tc>
        <w:tc>
          <w:tcPr>
            <w:tcW w:w="889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6.</w:t>
            </w:r>
          </w:p>
        </w:tc>
        <w:tc>
          <w:tcPr>
            <w:tcW w:w="889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7.</w:t>
            </w:r>
          </w:p>
        </w:tc>
        <w:tc>
          <w:tcPr>
            <w:tcW w:w="889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8.</w:t>
            </w:r>
          </w:p>
        </w:tc>
        <w:tc>
          <w:tcPr>
            <w:tcW w:w="889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9.</w:t>
            </w:r>
          </w:p>
        </w:tc>
        <w:tc>
          <w:tcPr>
            <w:tcW w:w="889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884" w:type="dxa"/>
        <w:jc w:val="left"/>
        <w:tblInd w:w="0" w:type="dxa"/>
        <w:tblLayout w:type="fixed"/>
        <w:tblCellMar>
          <w:top w:w="28" w:type="dxa"/>
          <w:left w:w="28" w:type="dxa"/>
          <w:bottom w:w="28" w:type="dxa"/>
          <w:right w:w="28" w:type="dxa"/>
        </w:tblCellMar>
      </w:tblPr>
      <w:tblGrid>
        <w:gridCol w:w="3942"/>
        <w:gridCol w:w="3942"/>
      </w:tblGrid>
      <w:tr>
        <w:trPr/>
        <w:tc>
          <w:tcPr>
            <w:tcW w:w="3942" w:type="dxa"/>
            <w:tcBorders/>
            <w:vAlign w:val="center"/>
          </w:tcPr>
          <w:p>
            <w:pPr>
              <w:pStyle w:val="TableContents"/>
              <w:bidi w:val="0"/>
              <w:spacing w:before="0" w:after="0"/>
              <w:jc w:val="left"/>
              <w:rPr/>
            </w:pPr>
            <w:r>
              <w:rPr/>
              <w:t> </w:t>
            </w:r>
          </w:p>
          <w:tbl>
            <w:tblPr>
              <w:tblW w:w="3766" w:type="dxa"/>
              <w:jc w:val="left"/>
              <w:tblInd w:w="0" w:type="dxa"/>
              <w:tblLayout w:type="fixed"/>
              <w:tblCellMar>
                <w:top w:w="28" w:type="dxa"/>
                <w:left w:w="28" w:type="dxa"/>
                <w:bottom w:w="28" w:type="dxa"/>
                <w:right w:w="28" w:type="dxa"/>
              </w:tblCellMar>
            </w:tblPr>
            <w:tblGrid>
              <w:gridCol w:w="3766"/>
            </w:tblGrid>
            <w:tr>
              <w:trPr/>
              <w:tc>
                <w:tcPr>
                  <w:tcW w:w="3766" w:type="dxa"/>
                  <w:tcBorders/>
                  <w:vAlign w:val="center"/>
                </w:tcPr>
                <w:p>
                  <w:pPr>
                    <w:pStyle w:val="TableContents"/>
                    <w:bidi w:val="0"/>
                    <w:spacing w:before="0" w:after="0"/>
                    <w:jc w:val="left"/>
                    <w:rPr/>
                  </w:pPr>
                  <w:r>
                    <w:rPr/>
                    <w:t>Bain Capital Life Sciences Fund, L.P.</w:t>
                  </w:r>
                </w:p>
              </w:tc>
            </w:tr>
          </w:tbl>
          <w:p>
            <w:pPr>
              <w:pStyle w:val="TableContents"/>
              <w:bidi w:val="0"/>
              <w:spacing w:before="0" w:after="283"/>
              <w:jc w:val="left"/>
              <w:rPr/>
            </w:pPr>
            <w:r>
              <w:rPr/>
            </w:r>
          </w:p>
        </w:tc>
        <w:tc>
          <w:tcPr>
            <w:tcW w:w="3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Ricky Sun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Ricky Sun, Partner of Bain Capital Life Sciences Investors, LLC</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02/17/2026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7242" w:type="dxa"/>
        <w:jc w:val="left"/>
        <w:tblInd w:w="0" w:type="dxa"/>
        <w:tblLayout w:type="fixed"/>
        <w:tblCellMar>
          <w:top w:w="28" w:type="dxa"/>
          <w:left w:w="28" w:type="dxa"/>
          <w:bottom w:w="28" w:type="dxa"/>
          <w:right w:w="28" w:type="dxa"/>
        </w:tblCellMar>
      </w:tblPr>
      <w:tblGrid>
        <w:gridCol w:w="3621"/>
        <w:gridCol w:w="3621"/>
      </w:tblGrid>
      <w:tr>
        <w:trPr/>
        <w:tc>
          <w:tcPr>
            <w:tcW w:w="3621" w:type="dxa"/>
            <w:tcBorders/>
            <w:vAlign w:val="center"/>
          </w:tcPr>
          <w:p>
            <w:pPr>
              <w:pStyle w:val="TableContents"/>
              <w:bidi w:val="0"/>
              <w:spacing w:before="0" w:after="0"/>
              <w:jc w:val="left"/>
              <w:rPr/>
            </w:pPr>
            <w:r>
              <w:rPr/>
              <w:t> </w:t>
            </w:r>
          </w:p>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0"/>
                    <w:jc w:val="left"/>
                    <w:rPr/>
                  </w:pPr>
                  <w:r>
                    <w:rPr/>
                    <w:t>BCIP Life Sciences Associates, LP</w:t>
                  </w:r>
                </w:p>
              </w:tc>
            </w:tr>
          </w:tbl>
          <w:p>
            <w:pPr>
              <w:pStyle w:val="TableContents"/>
              <w:bidi w:val="0"/>
              <w:spacing w:before="0" w:after="283"/>
              <w:jc w:val="left"/>
              <w:rPr/>
            </w:pPr>
            <w:r>
              <w:rPr/>
            </w:r>
          </w:p>
        </w:tc>
        <w:tc>
          <w:tcPr>
            <w:tcW w:w="36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4"/>
        <w:gridCol w:w="4251"/>
      </w:tblGrid>
      <w:tr>
        <w:trPr/>
        <w:tc>
          <w:tcPr>
            <w:tcW w:w="59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Ricky Sun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Ricky Sun, Authorized Signatory of Boylston Coinvestors, LLC</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02/17/2026</w:t>
                  </w:r>
                </w:p>
              </w:tc>
            </w:tr>
          </w:tbl>
          <w:p>
            <w:pPr>
              <w:pStyle w:val="TableContents"/>
              <w:bidi w:val="0"/>
              <w:spacing w:before="0" w:after="283"/>
              <w:jc w:val="left"/>
              <w:rPr/>
            </w:pPr>
            <w:r>
              <w:rPr/>
            </w:r>
          </w:p>
        </w:tc>
        <w:tc>
          <w:tcPr>
            <w:tcW w:w="4251" w:type="dxa"/>
            <w:tcBorders/>
            <w:vAlign w:val="center"/>
          </w:tcPr>
          <w:p>
            <w:pPr>
              <w:pStyle w:val="TableContents"/>
              <w:bidi w:val="0"/>
              <w:spacing w:before="0" w:after="283"/>
              <w:jc w:val="left"/>
              <w:rPr>
                <w:sz w:val="4"/>
                <w:szCs w:val="4"/>
              </w:rPr>
            </w:pPr>
            <w:r>
              <w:rPr>
                <w:sz w:val="4"/>
                <w:szCs w:val="4"/>
              </w:rPr>
            </w:r>
          </w:p>
        </w:tc>
      </w:tr>
    </w:tbl>
    <w:tbl>
      <w:tblPr>
        <w:tblW w:w="9766" w:type="dxa"/>
        <w:jc w:val="left"/>
        <w:tblInd w:w="0" w:type="dxa"/>
        <w:tblLayout w:type="fixed"/>
        <w:tblCellMar>
          <w:top w:w="28" w:type="dxa"/>
          <w:left w:w="28" w:type="dxa"/>
          <w:bottom w:w="28" w:type="dxa"/>
          <w:right w:w="28" w:type="dxa"/>
        </w:tblCellMar>
      </w:tblPr>
      <w:tblGrid>
        <w:gridCol w:w="4883"/>
        <w:gridCol w:w="4883"/>
      </w:tblGrid>
      <w:tr>
        <w:trPr/>
        <w:tc>
          <w:tcPr>
            <w:tcW w:w="4883" w:type="dxa"/>
            <w:tcBorders/>
            <w:vAlign w:val="center"/>
          </w:tcPr>
          <w:p>
            <w:pPr>
              <w:pStyle w:val="TableContents"/>
              <w:bidi w:val="0"/>
              <w:spacing w:before="0" w:after="0"/>
              <w:jc w:val="left"/>
              <w:rPr/>
            </w:pPr>
            <w:r>
              <w:rPr/>
              <w:t> </w:t>
            </w:r>
          </w:p>
          <w:tbl>
            <w:tblPr>
              <w:tblW w:w="4726" w:type="dxa"/>
              <w:jc w:val="left"/>
              <w:tblInd w:w="0" w:type="dxa"/>
              <w:tblLayout w:type="fixed"/>
              <w:tblCellMar>
                <w:top w:w="28" w:type="dxa"/>
                <w:left w:w="28" w:type="dxa"/>
                <w:bottom w:w="28" w:type="dxa"/>
                <w:right w:w="28" w:type="dxa"/>
              </w:tblCellMar>
            </w:tblPr>
            <w:tblGrid>
              <w:gridCol w:w="4726"/>
            </w:tblGrid>
            <w:tr>
              <w:trPr/>
              <w:tc>
                <w:tcPr>
                  <w:tcW w:w="4726" w:type="dxa"/>
                  <w:tcBorders/>
                  <w:vAlign w:val="center"/>
                </w:tcPr>
                <w:p>
                  <w:pPr>
                    <w:pStyle w:val="TableContents"/>
                    <w:bidi w:val="0"/>
                    <w:spacing w:before="0" w:after="0"/>
                    <w:jc w:val="left"/>
                    <w:rPr/>
                  </w:pPr>
                  <w:r>
                    <w:rPr/>
                    <w:t>Bain Capital Life Sciences Opportunities III, LP</w:t>
                  </w:r>
                </w:p>
              </w:tc>
            </w:tr>
          </w:tbl>
          <w:p>
            <w:pPr>
              <w:pStyle w:val="TableContents"/>
              <w:bidi w:val="0"/>
              <w:spacing w:before="0" w:after="283"/>
              <w:jc w:val="left"/>
              <w:rPr/>
            </w:pPr>
            <w:r>
              <w:rPr/>
            </w:r>
          </w:p>
        </w:tc>
        <w:tc>
          <w:tcPr>
            <w:tcW w:w="48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Ricky Sun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Ricky Sun, Partner of Bain Capital Life Sciences Investors, LLC</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02/17/2026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1480</Words>
  <Characters>7818</Characters>
  <CharactersWithSpaces>9249</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