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4"/>
          <w:szCs w:val="4"/>
          <w:color w:val="auto"/>
        </w:rPr>
        <w:t>;caia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40640</wp:posOffset>
            </wp:positionV>
            <wp:extent cx="154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54610</wp:posOffset>
            </wp:positionV>
            <wp:extent cx="1543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3920" w:right="2880" w:hanging="3912"/>
        <w:spacing w:after="0" w:line="367" w:lineRule="auto"/>
        <w:tabs>
          <w:tab w:leader="none" w:pos="348"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3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3280"/>
        <w:spacing w:after="0"/>
        <w:tabs>
          <w:tab w:leader="none" w:pos="6660" w:val="left"/>
          <w:tab w:leader="none" w:pos="79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3556000</wp:posOffset>
            </wp:positionH>
            <wp:positionV relativeFrom="paragraph">
              <wp:posOffset>-8255</wp:posOffset>
            </wp:positionV>
            <wp:extent cx="1444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4625"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Date of event requiring this shell company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36195</wp:posOffset>
            </wp:positionV>
            <wp:extent cx="1543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Pharvaris N.V.</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1543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J.H. Oortweg 21</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CH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+31 (0)71 203 6410</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Berndt Modig,</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Chief Executive Officer</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 +31 (0)71 203 6410</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J.H. Oortweg 21, 2333 CH Leiden, The Netherlands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62230</wp:posOffset>
            </wp:positionV>
            <wp:extent cx="1543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p>
    <w:p>
      <w:pPr>
        <w:spacing w:after="0" w:line="40"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Sophia Hudson, P.C.</w:t>
      </w:r>
    </w:p>
    <w:p>
      <w:pPr>
        <w:spacing w:after="0" w:line="42"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Kirkland &amp; Ellis LLP</w:t>
      </w:r>
    </w:p>
    <w:p>
      <w:pPr>
        <w:spacing w:after="0" w:line="42"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601 Lexington Avenue</w:t>
      </w:r>
    </w:p>
    <w:p>
      <w:pPr>
        <w:spacing w:after="0" w:line="42"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New York, NY 10022 Phone: (212) 446-4750</w:t>
      </w:r>
    </w:p>
    <w:p>
      <w:pPr>
        <w:spacing w:after="0" w:line="42"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Fax: (212) 446-4900</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Trading</w:t>
            </w: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98"/>
              </w:rPr>
              <w:t>Name of each exchange</w:t>
            </w:r>
          </w:p>
        </w:tc>
      </w:tr>
      <w:tr>
        <w:trPr>
          <w:trHeight w:val="13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Title of each class</w:t>
            </w:r>
          </w:p>
        </w:tc>
        <w:tc>
          <w:tcPr>
            <w:tcW w:w="100" w:type="dxa"/>
            <w:vAlign w:val="bottom"/>
          </w:tcPr>
          <w:p>
            <w:pPr>
              <w:spacing w:after="0"/>
              <w:rPr>
                <w:sz w:val="11"/>
                <w:szCs w:val="11"/>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Symbol(s)</w:t>
            </w:r>
          </w:p>
        </w:tc>
        <w:tc>
          <w:tcPr>
            <w:tcW w:w="120" w:type="dxa"/>
            <w:vAlign w:val="bottom"/>
          </w:tcPr>
          <w:p>
            <w:pPr>
              <w:spacing w:after="0"/>
              <w:rPr>
                <w:sz w:val="11"/>
                <w:szCs w:val="11"/>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on which registered</w:t>
            </w:r>
          </w:p>
        </w:tc>
      </w:tr>
      <w:tr>
        <w:trPr>
          <w:trHeight w:val="208"/>
        </w:trPr>
        <w:tc>
          <w:tcPr>
            <w:tcW w:w="3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Ordinary shares, par value €0.12 per share</w:t>
            </w:r>
          </w:p>
        </w:tc>
        <w:tc>
          <w:tcPr>
            <w:tcW w:w="3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PHVS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jc w:val="center"/>
        <w:ind w:right="-19"/>
        <w:spacing w:after="0"/>
        <w:rPr>
          <w:sz w:val="20"/>
          <w:szCs w:val="20"/>
          <w:color w:val="auto"/>
        </w:rPr>
      </w:pPr>
      <w:r>
        <w:rPr>
          <w:rFonts w:ascii="Arial" w:cs="Arial" w:eastAsia="Arial" w:hAnsi="Arial"/>
          <w:sz w:val="13"/>
          <w:szCs w:val="13"/>
          <w:b w:val="1"/>
          <w:bCs w:val="1"/>
          <w:color w:val="auto"/>
        </w:rPr>
        <w:t>Securities registered or to be registered pursuant to Section 12(g) of the Act: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for which there is a reporting obligation pursuant to Section 15(d) of the Act: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36195</wp:posOffset>
            </wp:positionV>
            <wp:extent cx="1543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7040" w:type="dxa"/>
            <w:vAlign w:val="bottom"/>
          </w:tcPr>
          <w:p>
            <w:pPr>
              <w:spacing w:after="0"/>
              <w:rPr>
                <w:sz w:val="20"/>
                <w:szCs w:val="20"/>
                <w:color w:val="auto"/>
              </w:rPr>
            </w:pPr>
            <w:r>
              <w:rPr>
                <w:rFonts w:ascii="Arial" w:cs="Arial" w:eastAsia="Arial" w:hAnsi="Arial"/>
                <w:sz w:val="13"/>
                <w:szCs w:val="13"/>
                <w:color w:val="auto"/>
              </w:rPr>
              <w:t>The number of outstanding common shares as of December 31, 2021 was 33,151,881.</w:t>
            </w:r>
          </w:p>
        </w:tc>
        <w:tc>
          <w:tcPr>
            <w:tcW w:w="1120" w:type="dxa"/>
            <w:vAlign w:val="bottom"/>
          </w:tcPr>
          <w:p>
            <w:pPr>
              <w:spacing w:after="0"/>
              <w:rPr>
                <w:sz w:val="14"/>
                <w:szCs w:val="14"/>
                <w:color w:val="auto"/>
              </w:rPr>
            </w:pPr>
          </w:p>
        </w:tc>
      </w:tr>
      <w:tr>
        <w:trPr>
          <w:trHeight w:val="145"/>
        </w:trPr>
        <w:tc>
          <w:tcPr>
            <w:tcW w:w="7040" w:type="dxa"/>
            <w:vAlign w:val="bottom"/>
          </w:tcPr>
          <w:p>
            <w:pPr>
              <w:spacing w:after="0" w:line="144" w:lineRule="exact"/>
              <w:rPr>
                <w:sz w:val="20"/>
                <w:szCs w:val="20"/>
                <w:color w:val="auto"/>
              </w:rPr>
            </w:pPr>
            <w:r>
              <w:rPr>
                <w:rFonts w:ascii="Arial" w:cs="Arial" w:eastAsia="Arial" w:hAnsi="Arial"/>
                <w:sz w:val="13"/>
                <w:szCs w:val="13"/>
                <w:color w:val="auto"/>
              </w:rPr>
              <w:t>Indicate by check mark if the registrant is a well-known seasoned issuer, as defined in Rule 405 of the Securities</w:t>
            </w:r>
          </w:p>
        </w:tc>
        <w:tc>
          <w:tcPr>
            <w:tcW w:w="1120" w:type="dxa"/>
            <w:vAlign w:val="bottom"/>
          </w:tcPr>
          <w:p>
            <w:pPr>
              <w:spacing w:after="0"/>
              <w:rPr>
                <w:sz w:val="12"/>
                <w:szCs w:val="12"/>
                <w:color w:val="auto"/>
              </w:rPr>
            </w:pPr>
          </w:p>
        </w:tc>
      </w:tr>
      <w:tr>
        <w:trPr>
          <w:trHeight w:val="128"/>
        </w:trPr>
        <w:tc>
          <w:tcPr>
            <w:tcW w:w="7040" w:type="dxa"/>
            <w:vAlign w:val="bottom"/>
          </w:tcPr>
          <w:p>
            <w:pPr>
              <w:spacing w:after="0" w:line="128" w:lineRule="exact"/>
              <w:rPr>
                <w:sz w:val="20"/>
                <w:szCs w:val="20"/>
                <w:color w:val="auto"/>
              </w:rPr>
            </w:pPr>
            <w:r>
              <w:rPr>
                <w:rFonts w:ascii="Arial" w:cs="Arial" w:eastAsia="Arial" w:hAnsi="Arial"/>
                <w:sz w:val="13"/>
                <w:szCs w:val="13"/>
                <w:color w:val="auto"/>
              </w:rPr>
              <w:t>Act.</w:t>
            </w:r>
          </w:p>
        </w:tc>
        <w:tc>
          <w:tcPr>
            <w:tcW w:w="1120" w:type="dxa"/>
            <w:vAlign w:val="bottom"/>
          </w:tcPr>
          <w:p>
            <w:pPr>
              <w:jc w:val="right"/>
              <w:spacing w:after="0" w:line="128" w:lineRule="exact"/>
              <w:rPr>
                <w:sz w:val="20"/>
                <w:szCs w:val="20"/>
                <w:color w:val="auto"/>
              </w:rPr>
            </w:pPr>
            <w:r>
              <w:rPr>
                <w:rFonts w:ascii="Arial" w:cs="Arial" w:eastAsia="Arial" w:hAnsi="Arial"/>
                <w:sz w:val="13"/>
                <w:szCs w:val="13"/>
                <w:color w:val="auto"/>
              </w:rPr>
              <w:t>Yes</w:t>
            </w:r>
          </w:p>
        </w:tc>
      </w:tr>
      <w:tr>
        <w:trPr>
          <w:trHeight w:val="199"/>
        </w:trPr>
        <w:tc>
          <w:tcPr>
            <w:tcW w:w="70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4" w:lineRule="exact"/>
        <w:rPr>
          <w:sz w:val="24"/>
          <w:szCs w:val="24"/>
          <w:color w:val="auto"/>
        </w:rPr>
      </w:pPr>
    </w:p>
    <w:p>
      <w:pPr>
        <w:ind w:right="120"/>
        <w:spacing w:after="0" w:line="198" w:lineRule="exact"/>
        <w:rPr>
          <w:sz w:val="20"/>
          <w:szCs w:val="20"/>
          <w:color w:val="auto"/>
        </w:rPr>
      </w:pPr>
      <w:r>
        <w:rPr>
          <w:rFonts w:ascii="Arial" w:cs="Arial" w:eastAsia="Arial" w:hAnsi="Arial"/>
          <w:sz w:val="12"/>
          <w:szCs w:val="12"/>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Note </w:t>
      </w:r>
      <w:r>
        <w:rPr>
          <w:rFonts w:ascii="Arial" w:cs="Arial" w:eastAsia="Arial" w:hAnsi="Arial"/>
          <w:sz w:val="12"/>
          <w:szCs w:val="12"/>
          <w:color w:val="auto"/>
        </w:rPr>
        <w:t>– Checking the box above will not relieve any registrant required to file reports pursuant to Section 13 or 15(d) of the Securities Exchange Act of 1934 from their obligations under those Sections.</w:t>
      </w:r>
    </w:p>
    <w:p>
      <w:pPr>
        <w:spacing w:after="0" w:line="31" w:lineRule="exact"/>
        <w:rPr>
          <w:sz w:val="24"/>
          <w:szCs w:val="24"/>
          <w:color w:val="auto"/>
        </w:rPr>
      </w:pPr>
    </w:p>
    <w:p>
      <w:pPr>
        <w:ind w:right="360"/>
        <w:spacing w:after="0" w:line="17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6" w:lineRule="exact"/>
        <w:rPr>
          <w:sz w:val="24"/>
          <w:szCs w:val="24"/>
          <w:color w:val="auto"/>
        </w:rPr>
      </w:pPr>
    </w:p>
    <w:p>
      <w:pPr>
        <w:ind w:right="120"/>
        <w:spacing w:after="0" w:line="170" w:lineRule="exact"/>
        <w:rPr>
          <w:sz w:val="20"/>
          <w:szCs w:val="20"/>
          <w:color w:val="auto"/>
        </w:rPr>
      </w:pPr>
      <w:r>
        <w:rPr>
          <w:rFonts w:ascii="Arial" w:cs="Arial" w:eastAsia="Arial" w:hAnsi="Arial"/>
          <w:sz w:val="13"/>
          <w:szCs w:val="13"/>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ectPr>
          <w:pgSz w:w="11900" w:h="16838" w:orient="portrait"/>
          <w:cols w:equalWidth="0" w:num="1">
            <w:col w:w="11220"/>
          </w:cols>
          <w:pgMar w:left="320" w:top="233" w:right="359" w:bottom="1440" w:gutter="0" w:footer="0" w:header="0"/>
        </w:sectPr>
      </w:pP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See definition of “large accelerated filer, “accelerated filer,” and “emerging growth company” in Rule 12b-2 of the Exchange Act.</w:t>
      </w:r>
    </w:p>
    <w:p>
      <w:pPr>
        <w:spacing w:after="0" w:line="19" w:lineRule="exact"/>
        <w:rPr>
          <w:sz w:val="24"/>
          <w:szCs w:val="24"/>
          <w:color w:val="auto"/>
        </w:rPr>
      </w:pPr>
    </w:p>
    <w:p>
      <w:pPr>
        <w:ind w:left="20"/>
        <w:spacing w:after="0" w:line="150" w:lineRule="exact"/>
        <w:tabs>
          <w:tab w:leader="none" w:pos="1940" w:val="left"/>
          <w:tab w:leader="none" w:pos="4640" w:val="left"/>
          <w:tab w:leader="none" w:pos="6040" w:val="left"/>
          <w:tab w:leader="none" w:pos="880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Non-accelerated Filer</w:t>
      </w:r>
    </w:p>
    <w:p>
      <w:pPr>
        <w:spacing w:after="0" w:line="18" w:lineRule="exact"/>
        <w:rPr>
          <w:sz w:val="24"/>
          <w:szCs w:val="24"/>
          <w:color w:val="auto"/>
        </w:rPr>
      </w:pPr>
    </w:p>
    <w:p>
      <w:pPr>
        <w:ind w:left="882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3" w:lineRule="exact"/>
        <w:rPr>
          <w:sz w:val="24"/>
          <w:szCs w:val="24"/>
          <w:color w:val="auto"/>
        </w:rPr>
      </w:pPr>
    </w:p>
    <w:p>
      <w:pPr>
        <w:sectPr>
          <w:pgSz w:w="11900" w:h="16838" w:orient="portrait"/>
          <w:cols w:equalWidth="0" w:num="2">
            <w:col w:w="10340" w:space="720"/>
            <w:col w:w="160"/>
          </w:cols>
          <w:pgMar w:left="320" w:top="233" w:right="359" w:bottom="1440" w:gutter="0" w:footer="0" w:header="0"/>
          <w:type w:val="continuous"/>
        </w:sectPr>
      </w:pPr>
    </w:p>
    <w:p>
      <w:pPr>
        <w:ind w:right="260"/>
        <w:spacing w:after="0" w:line="170"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440" w:hanging="432"/>
        <w:spacing w:after="0" w:line="181" w:lineRule="auto"/>
        <w:tabs>
          <w:tab w:leader="none" w:pos="440" w:val="left"/>
        </w:tabs>
        <w:numPr>
          <w:ilvl w:val="0"/>
          <w:numId w:val="5"/>
        </w:numPr>
        <w:rPr>
          <w:rFonts w:ascii="Arial" w:cs="Arial" w:eastAsia="Arial" w:hAnsi="Arial"/>
          <w:sz w:val="22"/>
          <w:szCs w:val="22"/>
          <w:color w:val="auto"/>
          <w:vertAlign w:val="superscript"/>
        </w:rPr>
      </w:pPr>
      <w:r>
        <w:rPr>
          <w:rFonts w:ascii="Arial" w:cs="Arial" w:eastAsia="Arial" w:hAnsi="Arial"/>
          <w:sz w:val="11"/>
          <w:szCs w:val="11"/>
          <w:color w:val="auto"/>
        </w:rPr>
        <w:t>The term “new or revised financial accounting standard” refers to any update issued by the Financial Accounting Standards Board to its Accounting Standards Codification after April 5, 2012.</w:t>
      </w:r>
    </w:p>
    <w:p>
      <w:pPr>
        <w:spacing w:after="0" w:line="49" w:lineRule="exact"/>
        <w:rPr>
          <w:sz w:val="24"/>
          <w:szCs w:val="24"/>
          <w:color w:val="auto"/>
        </w:rPr>
      </w:pPr>
    </w:p>
    <w:p>
      <w:pPr>
        <w:spacing w:after="0" w:line="16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16" w:lineRule="exact"/>
        <w:rPr>
          <w:sz w:val="24"/>
          <w:szCs w:val="24"/>
          <w:color w:val="auto"/>
        </w:rPr>
      </w:pPr>
    </w:p>
    <w:p>
      <w:pPr>
        <w:ind w:left="1040" w:right="20" w:hanging="3438"/>
        <w:spacing w:after="0" w:line="166" w:lineRule="exact"/>
        <w:tabs>
          <w:tab w:leader="none" w:pos="1020" w:val="left"/>
        </w:tabs>
        <w:rPr>
          <w:sz w:val="20"/>
          <w:szCs w:val="20"/>
          <w:color w:val="auto"/>
        </w:rPr>
      </w:pPr>
      <w:r>
        <w:rPr>
          <w:rFonts w:ascii="Arial" w:cs="Arial" w:eastAsia="Arial" w:hAnsi="Arial"/>
          <w:sz w:val="13"/>
          <w:szCs w:val="13"/>
          <w:color w:val="auto"/>
        </w:rPr>
        <w:t>U.S. GAAP</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International Financial Reporting Standards as issued by the International</w:t>
      </w:r>
      <w:r>
        <w:rPr>
          <w:rFonts w:ascii="MS PGothic" w:cs="MS PGothic" w:eastAsia="MS PGothic" w:hAnsi="MS PGothic"/>
          <w:sz w:val="13"/>
          <w:szCs w:val="13"/>
          <w:color w:val="auto"/>
        </w:rPr>
        <w:t xml:space="preserve"> ☒ </w:t>
      </w:r>
      <w:r>
        <w:rPr>
          <w:rFonts w:ascii="Arial" w:cs="Arial" w:eastAsia="Arial" w:hAnsi="Arial"/>
          <w:sz w:val="13"/>
          <w:szCs w:val="13"/>
          <w:color w:val="auto"/>
        </w:rPr>
        <w:t>Other</w:t>
      </w:r>
      <w:r>
        <w:rPr>
          <w:rFonts w:ascii="MS PGothic" w:cs="MS PGothic" w:eastAsia="MS PGothic" w:hAnsi="MS PGothic"/>
          <w:sz w:val="13"/>
          <w:szCs w:val="13"/>
          <w:color w:val="auto"/>
        </w:rPr>
        <w:t xml:space="preserve"> ☐ </w:t>
      </w:r>
      <w:r>
        <w:rPr>
          <w:rFonts w:ascii="Arial" w:cs="Arial" w:eastAsia="Arial" w:hAnsi="Arial"/>
          <w:sz w:val="13"/>
          <w:szCs w:val="13"/>
          <w:color w:val="auto"/>
        </w:rPr>
        <w:t>Accounting Standards Board</w:t>
      </w:r>
    </w:p>
    <w:p>
      <w:pPr>
        <w:spacing w:after="0" w:line="158" w:lineRule="exact"/>
        <w:rPr>
          <w:sz w:val="24"/>
          <w:szCs w:val="24"/>
          <w:color w:val="auto"/>
        </w:rPr>
      </w:pPr>
    </w:p>
    <w:p>
      <w:pPr>
        <w:ind w:right="1360"/>
        <w:spacing w:after="0" w:line="194"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3"/>
          <w:szCs w:val="13"/>
          <w:color w:val="auto"/>
        </w:rPr>
        <w:t>☐</w:t>
      </w:r>
      <w:r>
        <w:rPr>
          <w:rFonts w:ascii="Arial" w:cs="Arial" w:eastAsia="Arial" w:hAnsi="Arial"/>
          <w:sz w:val="13"/>
          <w:szCs w:val="13"/>
          <w:color w:val="auto"/>
        </w:rPr>
        <w:t xml:space="preserve"> Item 17 </w:t>
      </w:r>
      <w:r>
        <w:rPr>
          <w:rFonts w:ascii="MS PGothic" w:cs="MS PGothic" w:eastAsia="MS PGothic" w:hAnsi="MS PGothic"/>
          <w:sz w:val="13"/>
          <w:szCs w:val="13"/>
          <w:color w:val="auto"/>
        </w:rPr>
        <w:t>☐</w:t>
      </w:r>
      <w:r>
        <w:rPr>
          <w:rFonts w:ascii="Arial" w:cs="Arial" w:eastAsia="Arial" w:hAnsi="Arial"/>
          <w:sz w:val="13"/>
          <w:szCs w:val="13"/>
          <w:color w:val="auto"/>
        </w:rPr>
        <w:t xml:space="preserve"> Item 18 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151765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260" w:type="dxa"/>
            <w:vAlign w:val="bottom"/>
            <w:gridSpan w:val="50"/>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3"/>
        </w:trPr>
        <w:tc>
          <w:tcPr>
            <w:tcW w:w="5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40" w:type="dxa"/>
            <w:vAlign w:val="bottom"/>
            <w:gridSpan w:val="7"/>
          </w:tcPr>
          <w:p>
            <w:pPr>
              <w:jc w:val="center"/>
              <w:ind w:right="4040"/>
              <w:spacing w:after="0"/>
              <w:rPr>
                <w:sz w:val="20"/>
                <w:szCs w:val="20"/>
                <w:color w:val="auto"/>
              </w:rPr>
            </w:pPr>
            <w:r>
              <w:rPr>
                <w:rFonts w:ascii="Arial" w:cs="Arial" w:eastAsia="Arial" w:hAnsi="Arial"/>
                <w:sz w:val="16"/>
                <w:szCs w:val="16"/>
                <w:b w:val="1"/>
                <w:bCs w:val="1"/>
                <w:color w:val="auto"/>
                <w:w w:val="99"/>
              </w:rPr>
              <w:t>Pharvaris N.V.</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900" w:type="dxa"/>
            <w:vAlign w:val="bottom"/>
            <w:gridSpan w:val="10"/>
          </w:tcPr>
          <w:p>
            <w:pPr>
              <w:jc w:val="center"/>
              <w:ind w:right="3360"/>
              <w:spacing w:after="0"/>
              <w:rPr>
                <w:sz w:val="20"/>
                <w:szCs w:val="20"/>
                <w:color w:val="auto"/>
              </w:rPr>
            </w:pPr>
            <w:r>
              <w:rPr>
                <w:rFonts w:ascii="Arial" w:cs="Arial" w:eastAsia="Arial" w:hAnsi="Arial"/>
                <w:sz w:val="16"/>
                <w:szCs w:val="16"/>
                <w:b w:val="1"/>
                <w:bCs w:val="1"/>
                <w:color w:val="auto"/>
              </w:rPr>
              <w:t>TABLE OF CONTENTS</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2"/>
        </w:trPr>
        <w:tc>
          <w:tcPr>
            <w:tcW w:w="5880" w:type="dxa"/>
            <w:vAlign w:val="bottom"/>
            <w:gridSpan w:val="48"/>
            <w:vMerge w:val="restart"/>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CAUTIONARY STATEMENT REGARDING FORWARD-LOOKING STATEMENTS</w:t>
              </w:r>
            </w:hyperlink>
          </w:p>
        </w:tc>
        <w:tc>
          <w:tcPr>
            <w:tcW w:w="4380" w:type="dxa"/>
            <w:vAlign w:val="bottom"/>
            <w:gridSpan w:val="2"/>
            <w:vMerge w:val="restart"/>
          </w:tcPr>
          <w:p>
            <w:pPr>
              <w:spacing w:after="0"/>
              <w:rPr>
                <w:sz w:val="24"/>
                <w:szCs w:val="2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4"/>
        </w:trPr>
        <w:tc>
          <w:tcPr>
            <w:tcW w:w="5880" w:type="dxa"/>
            <w:vAlign w:val="bottom"/>
            <w:tcBorders>
              <w:bottom w:val="single" w:sz="8" w:color="0000EE"/>
            </w:tcBorders>
            <w:gridSpan w:val="48"/>
            <w:vMerge w:val="continue"/>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10260" w:type="dxa"/>
            <w:vAlign w:val="bottom"/>
            <w:gridSpan w:val="50"/>
          </w:tcPr>
          <w:p>
            <w:pPr>
              <w:spacing w:after="0" w:line="183" w:lineRule="exact"/>
              <w:rPr>
                <w:rFonts w:ascii="Arial" w:cs="Arial" w:eastAsia="Arial" w:hAnsi="Arial"/>
                <w:sz w:val="16"/>
                <w:szCs w:val="16"/>
                <w:color w:val="0000EE"/>
              </w:rPr>
            </w:pPr>
            <w:hyperlink w:anchor="page6">
              <w:r>
                <w:rPr>
                  <w:rFonts w:ascii="Arial" w:cs="Arial" w:eastAsia="Arial" w:hAnsi="Arial"/>
                  <w:sz w:val="16"/>
                  <w:szCs w:val="16"/>
                  <w:color w:val="0000EE"/>
                </w:rPr>
                <w:t>ENFORCEABILITY OF JUDGMENTS</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96"/>
              </w:rPr>
            </w:pPr>
            <w:hyperlink w:anchor="page7">
              <w:r>
                <w:rPr>
                  <w:rFonts w:ascii="Arial" w:cs="Arial" w:eastAsia="Arial" w:hAnsi="Arial"/>
                  <w:sz w:val="16"/>
                  <w:szCs w:val="16"/>
                  <w:color w:val="0000EE"/>
                  <w:w w:val="96"/>
                </w:rPr>
                <w:t>PART I</w:t>
              </w:r>
            </w:hyperlink>
          </w:p>
        </w:tc>
        <w:tc>
          <w:tcPr>
            <w:tcW w:w="6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0000EE"/>
            </w:tcBorders>
            <w:gridSpan w:val="46"/>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ITEM 1. IDENTITY OF DIRECTORS, SENIOR MANAGEMENT AND ADVISERS</w:t>
              </w:r>
            </w:hyperlink>
          </w:p>
        </w:tc>
        <w:tc>
          <w:tcPr>
            <w:tcW w:w="4460" w:type="dxa"/>
            <w:vAlign w:val="bottom"/>
            <w:gridSpan w:val="4"/>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2440" w:type="dxa"/>
            <w:vAlign w:val="bottom"/>
            <w:tcBorders>
              <w:bottom w:val="single" w:sz="8" w:color="0000EE"/>
            </w:tcBorders>
            <w:gridSpan w:val="34"/>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Directors and senior management</w:t>
              </w:r>
            </w:hyperlink>
          </w:p>
        </w:tc>
        <w:tc>
          <w:tcPr>
            <w:tcW w:w="6700" w:type="dxa"/>
            <w:vAlign w:val="bottom"/>
            <w:gridSpan w:val="14"/>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620" w:type="dxa"/>
            <w:vAlign w:val="bottom"/>
            <w:tcBorders>
              <w:bottom w:val="single" w:sz="8" w:color="0000EE"/>
            </w:tcBorders>
            <w:gridSpan w:val="5"/>
          </w:tcPr>
          <w:p>
            <w:pPr>
              <w:spacing w:after="0" w:line="183" w:lineRule="exact"/>
              <w:rPr>
                <w:rFonts w:ascii="Arial" w:cs="Arial" w:eastAsia="Arial" w:hAnsi="Arial"/>
                <w:sz w:val="16"/>
                <w:szCs w:val="16"/>
                <w:color w:val="0000EE"/>
                <w:w w:val="97"/>
              </w:rPr>
            </w:pPr>
            <w:hyperlink w:anchor="page7">
              <w:r>
                <w:rPr>
                  <w:rFonts w:ascii="Arial" w:cs="Arial" w:eastAsia="Arial" w:hAnsi="Arial"/>
                  <w:sz w:val="16"/>
                  <w:szCs w:val="16"/>
                  <w:color w:val="0000EE"/>
                  <w:w w:val="97"/>
                </w:rPr>
                <w:t>Advisers</w:t>
              </w:r>
            </w:hyperlink>
          </w:p>
        </w:tc>
        <w:tc>
          <w:tcPr>
            <w:tcW w:w="8520" w:type="dxa"/>
            <w:vAlign w:val="bottom"/>
            <w:gridSpan w:val="43"/>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600" w:type="dxa"/>
            <w:vAlign w:val="bottom"/>
            <w:tcBorders>
              <w:bottom w:val="single" w:sz="8" w:color="0000EE"/>
            </w:tcBorders>
            <w:gridSpan w:val="4"/>
          </w:tcPr>
          <w:p>
            <w:pPr>
              <w:spacing w:after="0" w:line="183" w:lineRule="exact"/>
              <w:rPr>
                <w:rFonts w:ascii="Arial" w:cs="Arial" w:eastAsia="Arial" w:hAnsi="Arial"/>
                <w:sz w:val="16"/>
                <w:szCs w:val="16"/>
                <w:color w:val="0000EE"/>
                <w:w w:val="98"/>
              </w:rPr>
            </w:pPr>
            <w:hyperlink w:anchor="page7">
              <w:r>
                <w:rPr>
                  <w:rFonts w:ascii="Arial" w:cs="Arial" w:eastAsia="Arial" w:hAnsi="Arial"/>
                  <w:sz w:val="16"/>
                  <w:szCs w:val="16"/>
                  <w:color w:val="0000EE"/>
                  <w:w w:val="98"/>
                </w:rPr>
                <w:t>Auditors</w:t>
              </w:r>
            </w:hyperlink>
          </w:p>
        </w:tc>
        <w:tc>
          <w:tcPr>
            <w:tcW w:w="8540" w:type="dxa"/>
            <w:vAlign w:val="bottom"/>
            <w:gridSpan w:val="44"/>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10260" w:type="dxa"/>
            <w:vAlign w:val="bottom"/>
            <w:gridSpan w:val="50"/>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ITEM 2. OFFER STATISTICS AND EXPECTED TIMETABLE</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1020" w:type="dxa"/>
            <w:vAlign w:val="bottom"/>
            <w:tcBorders>
              <w:top w:val="single" w:sz="8" w:color="0000EE"/>
              <w:bottom w:val="single" w:sz="8" w:color="0000EE"/>
            </w:tcBorders>
            <w:gridSpan w:val="10"/>
          </w:tcPr>
          <w:p>
            <w:pPr>
              <w:spacing w:after="0" w:line="183" w:lineRule="exact"/>
              <w:rPr>
                <w:rFonts w:ascii="Arial" w:cs="Arial" w:eastAsia="Arial" w:hAnsi="Arial"/>
                <w:sz w:val="16"/>
                <w:szCs w:val="16"/>
                <w:color w:val="0000EE"/>
                <w:w w:val="98"/>
              </w:rPr>
            </w:pPr>
            <w:hyperlink w:anchor="page7">
              <w:r>
                <w:rPr>
                  <w:rFonts w:ascii="Arial" w:cs="Arial" w:eastAsia="Arial" w:hAnsi="Arial"/>
                  <w:sz w:val="16"/>
                  <w:szCs w:val="16"/>
                  <w:color w:val="0000EE"/>
                  <w:w w:val="98"/>
                </w:rPr>
                <w:t>Offer statistics</w:t>
              </w:r>
            </w:hyperlink>
          </w:p>
        </w:tc>
        <w:tc>
          <w:tcPr>
            <w:tcW w:w="2220" w:type="dxa"/>
            <w:vAlign w:val="bottom"/>
            <w:tcBorders>
              <w:top w:val="single" w:sz="8" w:color="0000EE"/>
            </w:tcBorders>
            <w:gridSpan w:val="28"/>
          </w:tcPr>
          <w:p>
            <w:pPr>
              <w:spacing w:after="0"/>
              <w:rPr>
                <w:sz w:val="15"/>
                <w:szCs w:val="15"/>
                <w:color w:val="auto"/>
              </w:rPr>
            </w:pPr>
          </w:p>
        </w:tc>
        <w:tc>
          <w:tcPr>
            <w:tcW w:w="5900" w:type="dxa"/>
            <w:vAlign w:val="bottom"/>
            <w:gridSpan w:val="10"/>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2260" w:type="dxa"/>
            <w:vAlign w:val="bottom"/>
            <w:tcBorders>
              <w:bottom w:val="single" w:sz="8" w:color="0000EE"/>
            </w:tcBorders>
            <w:gridSpan w:val="31"/>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Method and expected timetable</w:t>
              </w:r>
            </w:hyperlink>
          </w:p>
        </w:tc>
        <w:tc>
          <w:tcPr>
            <w:tcW w:w="6880" w:type="dxa"/>
            <w:vAlign w:val="bottom"/>
            <w:gridSpan w:val="17"/>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0000EE"/>
            </w:tcBorders>
            <w:gridSpan w:val="11"/>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ITEM 3. KEY INFORMATION</w:t>
              </w:r>
            </w:hyperlink>
          </w:p>
        </w:tc>
        <w:tc>
          <w:tcPr>
            <w:tcW w:w="8140" w:type="dxa"/>
            <w:vAlign w:val="bottom"/>
            <w:gridSpan w:val="39"/>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9140" w:type="dxa"/>
            <w:vAlign w:val="bottom"/>
            <w:gridSpan w:val="48"/>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Reserved</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2300" w:type="dxa"/>
            <w:vAlign w:val="bottom"/>
            <w:tcBorders>
              <w:bottom w:val="single" w:sz="8" w:color="0000EE"/>
            </w:tcBorders>
            <w:gridSpan w:val="32"/>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Capitalization and indebtedness</w:t>
              </w:r>
            </w:hyperlink>
          </w:p>
        </w:tc>
        <w:tc>
          <w:tcPr>
            <w:tcW w:w="6840" w:type="dxa"/>
            <w:vAlign w:val="bottom"/>
            <w:gridSpan w:val="16"/>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3020" w:type="dxa"/>
            <w:vAlign w:val="bottom"/>
            <w:tcBorders>
              <w:bottom w:val="single" w:sz="8" w:color="0000EE"/>
            </w:tcBorders>
            <w:gridSpan w:val="37"/>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Reasons for the offer and use of proceeds</w:t>
              </w:r>
            </w:hyperlink>
          </w:p>
        </w:tc>
        <w:tc>
          <w:tcPr>
            <w:tcW w:w="6120" w:type="dxa"/>
            <w:vAlign w:val="bottom"/>
            <w:gridSpan w:val="11"/>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D.</w:t>
            </w:r>
          </w:p>
        </w:tc>
        <w:tc>
          <w:tcPr>
            <w:tcW w:w="9140" w:type="dxa"/>
            <w:vAlign w:val="bottom"/>
            <w:gridSpan w:val="48"/>
          </w:tcPr>
          <w:p>
            <w:pPr>
              <w:spacing w:after="0" w:line="183" w:lineRule="exact"/>
              <w:rPr>
                <w:rFonts w:ascii="Arial" w:cs="Arial" w:eastAsia="Arial" w:hAnsi="Arial"/>
                <w:sz w:val="16"/>
                <w:szCs w:val="16"/>
                <w:color w:val="0000EE"/>
              </w:rPr>
            </w:pPr>
            <w:hyperlink w:anchor="page7">
              <w:r>
                <w:rPr>
                  <w:rFonts w:ascii="Arial" w:cs="Arial" w:eastAsia="Arial" w:hAnsi="Arial"/>
                  <w:sz w:val="16"/>
                  <w:szCs w:val="16"/>
                  <w:color w:val="0000EE"/>
                </w:rPr>
                <w:t>Risk factors</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Borders>
              <w:bottom w:val="single" w:sz="8" w:color="0000EE"/>
            </w:tcBorders>
            <w:gridSpan w:val="31"/>
          </w:tcPr>
          <w:p>
            <w:pPr>
              <w:spacing w:after="0" w:line="183" w:lineRule="exact"/>
              <w:rPr>
                <w:rFonts w:ascii="Arial" w:cs="Arial" w:eastAsia="Arial" w:hAnsi="Arial"/>
                <w:sz w:val="16"/>
                <w:szCs w:val="16"/>
                <w:color w:val="0000EE"/>
              </w:rPr>
            </w:pPr>
            <w:hyperlink w:anchor="page44">
              <w:r>
                <w:rPr>
                  <w:rFonts w:ascii="Arial" w:cs="Arial" w:eastAsia="Arial" w:hAnsi="Arial"/>
                  <w:sz w:val="16"/>
                  <w:szCs w:val="16"/>
                  <w:color w:val="0000EE"/>
                </w:rPr>
                <w:t>ITEM 4. INFORMATION ON THE COMPANY</w:t>
              </w:r>
            </w:hyperlink>
          </w:p>
        </w:tc>
        <w:tc>
          <w:tcPr>
            <w:tcW w:w="7000" w:type="dxa"/>
            <w:vAlign w:val="bottom"/>
            <w:gridSpan w:val="19"/>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2960" w:type="dxa"/>
            <w:vAlign w:val="bottom"/>
            <w:tcBorders>
              <w:bottom w:val="single" w:sz="8" w:color="0000EE"/>
            </w:tcBorders>
            <w:gridSpan w:val="36"/>
          </w:tcPr>
          <w:p>
            <w:pPr>
              <w:spacing w:after="0" w:line="183" w:lineRule="exact"/>
              <w:rPr>
                <w:rFonts w:ascii="Arial" w:cs="Arial" w:eastAsia="Arial" w:hAnsi="Arial"/>
                <w:sz w:val="16"/>
                <w:szCs w:val="16"/>
                <w:color w:val="0000EE"/>
              </w:rPr>
            </w:pPr>
            <w:hyperlink w:anchor="page44">
              <w:r>
                <w:rPr>
                  <w:rFonts w:ascii="Arial" w:cs="Arial" w:eastAsia="Arial" w:hAnsi="Arial"/>
                  <w:sz w:val="16"/>
                  <w:szCs w:val="16"/>
                  <w:color w:val="0000EE"/>
                </w:rPr>
                <w:t>History and development of the company</w:t>
              </w:r>
            </w:hyperlink>
          </w:p>
        </w:tc>
        <w:tc>
          <w:tcPr>
            <w:tcW w:w="6180" w:type="dxa"/>
            <w:vAlign w:val="bottom"/>
            <w:gridSpan w:val="12"/>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1380" w:type="dxa"/>
            <w:vAlign w:val="bottom"/>
            <w:tcBorders>
              <w:bottom w:val="single" w:sz="8" w:color="0000EE"/>
            </w:tcBorders>
            <w:gridSpan w:val="17"/>
          </w:tcPr>
          <w:p>
            <w:pPr>
              <w:spacing w:after="0" w:line="183" w:lineRule="exact"/>
              <w:rPr>
                <w:rFonts w:ascii="Arial" w:cs="Arial" w:eastAsia="Arial" w:hAnsi="Arial"/>
                <w:sz w:val="16"/>
                <w:szCs w:val="16"/>
                <w:color w:val="0000EE"/>
                <w:w w:val="98"/>
              </w:rPr>
            </w:pPr>
            <w:hyperlink w:anchor="page44">
              <w:r>
                <w:rPr>
                  <w:rFonts w:ascii="Arial" w:cs="Arial" w:eastAsia="Arial" w:hAnsi="Arial"/>
                  <w:sz w:val="16"/>
                  <w:szCs w:val="16"/>
                  <w:color w:val="0000EE"/>
                  <w:w w:val="98"/>
                </w:rPr>
                <w:t>Business Overview</w:t>
              </w:r>
            </w:hyperlink>
          </w:p>
        </w:tc>
        <w:tc>
          <w:tcPr>
            <w:tcW w:w="7760" w:type="dxa"/>
            <w:vAlign w:val="bottom"/>
            <w:gridSpan w:val="31"/>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1720" w:type="dxa"/>
            <w:vAlign w:val="bottom"/>
            <w:tcBorders>
              <w:bottom w:val="single" w:sz="8" w:color="0000EE"/>
            </w:tcBorders>
            <w:gridSpan w:val="24"/>
          </w:tcPr>
          <w:p>
            <w:pPr>
              <w:spacing w:after="0" w:line="183" w:lineRule="exact"/>
              <w:rPr>
                <w:rFonts w:ascii="Arial" w:cs="Arial" w:eastAsia="Arial" w:hAnsi="Arial"/>
                <w:sz w:val="16"/>
                <w:szCs w:val="16"/>
                <w:color w:val="0000EE"/>
              </w:rPr>
            </w:pPr>
            <w:hyperlink w:anchor="page74">
              <w:r>
                <w:rPr>
                  <w:rFonts w:ascii="Arial" w:cs="Arial" w:eastAsia="Arial" w:hAnsi="Arial"/>
                  <w:sz w:val="16"/>
                  <w:szCs w:val="16"/>
                  <w:color w:val="0000EE"/>
                </w:rPr>
                <w:t>Organizational structure</w:t>
              </w:r>
            </w:hyperlink>
          </w:p>
        </w:tc>
        <w:tc>
          <w:tcPr>
            <w:tcW w:w="7420" w:type="dxa"/>
            <w:vAlign w:val="bottom"/>
            <w:gridSpan w:val="24"/>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D.</w:t>
            </w:r>
          </w:p>
        </w:tc>
        <w:tc>
          <w:tcPr>
            <w:tcW w:w="2240" w:type="dxa"/>
            <w:vAlign w:val="bottom"/>
            <w:tcBorders>
              <w:bottom w:val="single" w:sz="8" w:color="0000EE"/>
            </w:tcBorders>
            <w:gridSpan w:val="30"/>
          </w:tcPr>
          <w:p>
            <w:pPr>
              <w:spacing w:after="0" w:line="183" w:lineRule="exact"/>
              <w:rPr>
                <w:rFonts w:ascii="Arial" w:cs="Arial" w:eastAsia="Arial" w:hAnsi="Arial"/>
                <w:sz w:val="16"/>
                <w:szCs w:val="16"/>
                <w:color w:val="0000EE"/>
                <w:w w:val="98"/>
              </w:rPr>
            </w:pPr>
            <w:hyperlink w:anchor="page74">
              <w:r>
                <w:rPr>
                  <w:rFonts w:ascii="Arial" w:cs="Arial" w:eastAsia="Arial" w:hAnsi="Arial"/>
                  <w:sz w:val="16"/>
                  <w:szCs w:val="16"/>
                  <w:color w:val="0000EE"/>
                  <w:w w:val="98"/>
                </w:rPr>
                <w:t>Property, plants and equipment</w:t>
              </w:r>
            </w:hyperlink>
          </w:p>
        </w:tc>
        <w:tc>
          <w:tcPr>
            <w:tcW w:w="6900" w:type="dxa"/>
            <w:vAlign w:val="bottom"/>
            <w:gridSpan w:val="18"/>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3"/>
        </w:trPr>
        <w:tc>
          <w:tcPr>
            <w:tcW w:w="10260" w:type="dxa"/>
            <w:vAlign w:val="bottom"/>
            <w:gridSpan w:val="50"/>
          </w:tcPr>
          <w:p>
            <w:pPr>
              <w:spacing w:after="0" w:line="183" w:lineRule="exact"/>
              <w:rPr>
                <w:rFonts w:ascii="Arial" w:cs="Arial" w:eastAsia="Arial" w:hAnsi="Arial"/>
                <w:sz w:val="16"/>
                <w:szCs w:val="16"/>
                <w:color w:val="0000EE"/>
              </w:rPr>
            </w:pPr>
            <w:hyperlink w:anchor="page75">
              <w:r>
                <w:rPr>
                  <w:rFonts w:ascii="Arial" w:cs="Arial" w:eastAsia="Arial" w:hAnsi="Arial"/>
                  <w:sz w:val="16"/>
                  <w:szCs w:val="16"/>
                  <w:color w:val="0000EE"/>
                </w:rPr>
                <w:t>ITEM 4A. UNRESOLVED STAFF COMMENTS</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16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60" w:type="dxa"/>
            <w:vAlign w:val="bottom"/>
            <w:tcBorders>
              <w:bottom w:val="single" w:sz="8" w:color="0000EE"/>
            </w:tcBorders>
            <w:gridSpan w:val="42"/>
          </w:tcPr>
          <w:p>
            <w:pPr>
              <w:spacing w:after="0" w:line="183" w:lineRule="exact"/>
              <w:rPr>
                <w:rFonts w:ascii="Arial" w:cs="Arial" w:eastAsia="Arial" w:hAnsi="Arial"/>
                <w:sz w:val="16"/>
                <w:szCs w:val="16"/>
                <w:color w:val="0000EE"/>
              </w:rPr>
            </w:pPr>
            <w:hyperlink w:anchor="page75">
              <w:r>
                <w:rPr>
                  <w:rFonts w:ascii="Arial" w:cs="Arial" w:eastAsia="Arial" w:hAnsi="Arial"/>
                  <w:sz w:val="16"/>
                  <w:szCs w:val="16"/>
                  <w:color w:val="0000EE"/>
                </w:rPr>
                <w:t>ITEM 5. OPERATING AND FINANCIAL REVIEW AND PROSPECTS</w:t>
              </w:r>
            </w:hyperlink>
          </w:p>
        </w:tc>
        <w:tc>
          <w:tcPr>
            <w:tcW w:w="5300" w:type="dxa"/>
            <w:vAlign w:val="bottom"/>
            <w:gridSpan w:val="8"/>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1240" w:type="dxa"/>
            <w:vAlign w:val="bottom"/>
            <w:tcBorders>
              <w:bottom w:val="single" w:sz="8" w:color="0000EE"/>
            </w:tcBorders>
            <w:gridSpan w:val="14"/>
          </w:tcPr>
          <w:p>
            <w:pPr>
              <w:spacing w:after="0" w:line="183" w:lineRule="exact"/>
              <w:rPr>
                <w:rFonts w:ascii="Arial" w:cs="Arial" w:eastAsia="Arial" w:hAnsi="Arial"/>
                <w:sz w:val="16"/>
                <w:szCs w:val="16"/>
                <w:color w:val="0000EE"/>
              </w:rPr>
            </w:pPr>
            <w:hyperlink w:anchor="page75">
              <w:r>
                <w:rPr>
                  <w:rFonts w:ascii="Arial" w:cs="Arial" w:eastAsia="Arial" w:hAnsi="Arial"/>
                  <w:sz w:val="16"/>
                  <w:szCs w:val="16"/>
                  <w:color w:val="0000EE"/>
                </w:rPr>
                <w:t>Operating results</w:t>
              </w:r>
            </w:hyperlink>
          </w:p>
        </w:tc>
        <w:tc>
          <w:tcPr>
            <w:tcW w:w="7900" w:type="dxa"/>
            <w:vAlign w:val="bottom"/>
            <w:gridSpan w:val="34"/>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2240" w:type="dxa"/>
            <w:vAlign w:val="bottom"/>
            <w:tcBorders>
              <w:bottom w:val="single" w:sz="8" w:color="0000EE"/>
            </w:tcBorders>
            <w:gridSpan w:val="30"/>
          </w:tcPr>
          <w:p>
            <w:pPr>
              <w:spacing w:after="0" w:line="183" w:lineRule="exact"/>
              <w:rPr>
                <w:rFonts w:ascii="Arial" w:cs="Arial" w:eastAsia="Arial" w:hAnsi="Arial"/>
                <w:sz w:val="16"/>
                <w:szCs w:val="16"/>
                <w:color w:val="0000EE"/>
              </w:rPr>
            </w:pPr>
            <w:hyperlink w:anchor="page81">
              <w:r>
                <w:rPr>
                  <w:rFonts w:ascii="Arial" w:cs="Arial" w:eastAsia="Arial" w:hAnsi="Arial"/>
                  <w:sz w:val="16"/>
                  <w:szCs w:val="16"/>
                  <w:color w:val="0000EE"/>
                </w:rPr>
                <w:t>Liquidity and capital resources</w:t>
              </w:r>
            </w:hyperlink>
          </w:p>
        </w:tc>
        <w:tc>
          <w:tcPr>
            <w:tcW w:w="6900" w:type="dxa"/>
            <w:vAlign w:val="bottom"/>
            <w:gridSpan w:val="18"/>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3900" w:type="dxa"/>
            <w:vAlign w:val="bottom"/>
            <w:tcBorders>
              <w:bottom w:val="single" w:sz="8" w:color="0000EE"/>
            </w:tcBorders>
            <w:gridSpan w:val="41"/>
          </w:tcPr>
          <w:p>
            <w:pPr>
              <w:spacing w:after="0" w:line="183" w:lineRule="exact"/>
              <w:rPr>
                <w:rFonts w:ascii="Arial" w:cs="Arial" w:eastAsia="Arial" w:hAnsi="Arial"/>
                <w:sz w:val="16"/>
                <w:szCs w:val="16"/>
                <w:color w:val="0000EE"/>
              </w:rPr>
            </w:pPr>
            <w:hyperlink w:anchor="page83">
              <w:r>
                <w:rPr>
                  <w:rFonts w:ascii="Arial" w:cs="Arial" w:eastAsia="Arial" w:hAnsi="Arial"/>
                  <w:sz w:val="16"/>
                  <w:szCs w:val="16"/>
                  <w:color w:val="0000EE"/>
                </w:rPr>
                <w:t>Research and development, patents and licenses, etc.</w:t>
              </w:r>
            </w:hyperlink>
          </w:p>
        </w:tc>
        <w:tc>
          <w:tcPr>
            <w:tcW w:w="5240" w:type="dxa"/>
            <w:vAlign w:val="bottom"/>
            <w:gridSpan w:val="7"/>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D.</w:t>
            </w:r>
          </w:p>
        </w:tc>
        <w:tc>
          <w:tcPr>
            <w:tcW w:w="1260" w:type="dxa"/>
            <w:vAlign w:val="bottom"/>
            <w:tcBorders>
              <w:bottom w:val="single" w:sz="8" w:color="0000EE"/>
            </w:tcBorders>
            <w:gridSpan w:val="15"/>
          </w:tcPr>
          <w:p>
            <w:pPr>
              <w:spacing w:after="0" w:line="183" w:lineRule="exact"/>
              <w:rPr>
                <w:rFonts w:ascii="Arial" w:cs="Arial" w:eastAsia="Arial" w:hAnsi="Arial"/>
                <w:sz w:val="16"/>
                <w:szCs w:val="16"/>
                <w:color w:val="0000EE"/>
                <w:w w:val="98"/>
              </w:rPr>
            </w:pPr>
            <w:hyperlink w:anchor="page83">
              <w:r>
                <w:rPr>
                  <w:rFonts w:ascii="Arial" w:cs="Arial" w:eastAsia="Arial" w:hAnsi="Arial"/>
                  <w:sz w:val="16"/>
                  <w:szCs w:val="16"/>
                  <w:color w:val="0000EE"/>
                  <w:w w:val="98"/>
                </w:rPr>
                <w:t>Trend information</w:t>
              </w:r>
            </w:hyperlink>
          </w:p>
        </w:tc>
        <w:tc>
          <w:tcPr>
            <w:tcW w:w="7880" w:type="dxa"/>
            <w:vAlign w:val="bottom"/>
            <w:gridSpan w:val="33"/>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E.</w:t>
            </w:r>
          </w:p>
        </w:tc>
        <w:tc>
          <w:tcPr>
            <w:tcW w:w="2060" w:type="dxa"/>
            <w:vAlign w:val="bottom"/>
            <w:tcBorders>
              <w:bottom w:val="single" w:sz="8" w:color="0000EE"/>
            </w:tcBorders>
            <w:gridSpan w:val="27"/>
          </w:tcPr>
          <w:p>
            <w:pPr>
              <w:spacing w:after="0" w:line="183" w:lineRule="exact"/>
              <w:rPr>
                <w:rFonts w:ascii="Arial" w:cs="Arial" w:eastAsia="Arial" w:hAnsi="Arial"/>
                <w:sz w:val="16"/>
                <w:szCs w:val="16"/>
                <w:color w:val="0000EE"/>
              </w:rPr>
            </w:pPr>
            <w:hyperlink w:anchor="page83">
              <w:r>
                <w:rPr>
                  <w:rFonts w:ascii="Arial" w:cs="Arial" w:eastAsia="Arial" w:hAnsi="Arial"/>
                  <w:sz w:val="16"/>
                  <w:szCs w:val="16"/>
                  <w:color w:val="0000EE"/>
                </w:rPr>
                <w:t>Critical accounting estimates</w:t>
              </w:r>
            </w:hyperlink>
          </w:p>
        </w:tc>
        <w:tc>
          <w:tcPr>
            <w:tcW w:w="7080" w:type="dxa"/>
            <w:vAlign w:val="bottom"/>
            <w:gridSpan w:val="21"/>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3"/>
        </w:trPr>
        <w:tc>
          <w:tcPr>
            <w:tcW w:w="4920" w:type="dxa"/>
            <w:vAlign w:val="bottom"/>
            <w:tcBorders>
              <w:bottom w:val="single" w:sz="8" w:color="0000EE"/>
            </w:tcBorders>
            <w:gridSpan w:val="41"/>
          </w:tcPr>
          <w:p>
            <w:pPr>
              <w:spacing w:after="0" w:line="183" w:lineRule="exact"/>
              <w:rPr>
                <w:rFonts w:ascii="Arial" w:cs="Arial" w:eastAsia="Arial" w:hAnsi="Arial"/>
                <w:sz w:val="16"/>
                <w:szCs w:val="16"/>
                <w:color w:val="0000EE"/>
              </w:rPr>
            </w:pPr>
            <w:hyperlink w:anchor="page84">
              <w:r>
                <w:rPr>
                  <w:rFonts w:ascii="Arial" w:cs="Arial" w:eastAsia="Arial" w:hAnsi="Arial"/>
                  <w:sz w:val="16"/>
                  <w:szCs w:val="16"/>
                  <w:color w:val="0000EE"/>
                </w:rPr>
                <w:t>ITEM 6. DIRECTORS, SENIOR MANAGEMENT AND EMPLOYEES</w:t>
              </w:r>
            </w:hyperlink>
          </w:p>
        </w:tc>
        <w:tc>
          <w:tcPr>
            <w:tcW w:w="5340" w:type="dxa"/>
            <w:vAlign w:val="bottom"/>
            <w:gridSpan w:val="9"/>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2440" w:type="dxa"/>
            <w:vAlign w:val="bottom"/>
            <w:tcBorders>
              <w:bottom w:val="single" w:sz="8" w:color="0000EE"/>
            </w:tcBorders>
            <w:gridSpan w:val="34"/>
          </w:tcPr>
          <w:p>
            <w:pPr>
              <w:spacing w:after="0" w:line="183" w:lineRule="exact"/>
              <w:rPr>
                <w:rFonts w:ascii="Arial" w:cs="Arial" w:eastAsia="Arial" w:hAnsi="Arial"/>
                <w:sz w:val="16"/>
                <w:szCs w:val="16"/>
                <w:color w:val="0000EE"/>
              </w:rPr>
            </w:pPr>
            <w:hyperlink w:anchor="page84">
              <w:r>
                <w:rPr>
                  <w:rFonts w:ascii="Arial" w:cs="Arial" w:eastAsia="Arial" w:hAnsi="Arial"/>
                  <w:sz w:val="16"/>
                  <w:szCs w:val="16"/>
                  <w:color w:val="0000EE"/>
                </w:rPr>
                <w:t>Directors and senior management</w:t>
              </w:r>
            </w:hyperlink>
          </w:p>
        </w:tc>
        <w:tc>
          <w:tcPr>
            <w:tcW w:w="6700" w:type="dxa"/>
            <w:vAlign w:val="bottom"/>
            <w:gridSpan w:val="14"/>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1060" w:type="dxa"/>
            <w:vAlign w:val="bottom"/>
            <w:tcBorders>
              <w:bottom w:val="single" w:sz="8" w:color="0000EE"/>
            </w:tcBorders>
            <w:gridSpan w:val="11"/>
          </w:tcPr>
          <w:p>
            <w:pPr>
              <w:spacing w:after="0" w:line="183" w:lineRule="exact"/>
              <w:rPr>
                <w:rFonts w:ascii="Arial" w:cs="Arial" w:eastAsia="Arial" w:hAnsi="Arial"/>
                <w:sz w:val="16"/>
                <w:szCs w:val="16"/>
                <w:color w:val="0000EE"/>
                <w:w w:val="98"/>
              </w:rPr>
            </w:pPr>
            <w:hyperlink w:anchor="page87">
              <w:r>
                <w:rPr>
                  <w:rFonts w:ascii="Arial" w:cs="Arial" w:eastAsia="Arial" w:hAnsi="Arial"/>
                  <w:sz w:val="16"/>
                  <w:szCs w:val="16"/>
                  <w:color w:val="0000EE"/>
                  <w:w w:val="98"/>
                </w:rPr>
                <w:t>Compensation</w:t>
              </w:r>
            </w:hyperlink>
          </w:p>
        </w:tc>
        <w:tc>
          <w:tcPr>
            <w:tcW w:w="8080" w:type="dxa"/>
            <w:vAlign w:val="bottom"/>
            <w:gridSpan w:val="37"/>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9140" w:type="dxa"/>
            <w:vAlign w:val="bottom"/>
            <w:gridSpan w:val="48"/>
          </w:tcPr>
          <w:p>
            <w:pPr>
              <w:spacing w:after="0" w:line="183" w:lineRule="exact"/>
              <w:rPr>
                <w:rFonts w:ascii="Arial" w:cs="Arial" w:eastAsia="Arial" w:hAnsi="Arial"/>
                <w:sz w:val="16"/>
                <w:szCs w:val="16"/>
                <w:color w:val="0000EE"/>
              </w:rPr>
            </w:pPr>
            <w:hyperlink w:anchor="page91">
              <w:r>
                <w:rPr>
                  <w:rFonts w:ascii="Arial" w:cs="Arial" w:eastAsia="Arial" w:hAnsi="Arial"/>
                  <w:sz w:val="16"/>
                  <w:szCs w:val="16"/>
                  <w:color w:val="0000EE"/>
                </w:rPr>
                <w:t>Board practices</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D.</w:t>
            </w:r>
          </w:p>
        </w:tc>
        <w:tc>
          <w:tcPr>
            <w:tcW w:w="84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0000EE"/>
              </w:rPr>
            </w:pPr>
            <w:hyperlink w:anchor="page93">
              <w:r>
                <w:rPr>
                  <w:rFonts w:ascii="Arial" w:cs="Arial" w:eastAsia="Arial" w:hAnsi="Arial"/>
                  <w:sz w:val="16"/>
                  <w:szCs w:val="16"/>
                  <w:color w:val="0000EE"/>
                </w:rPr>
                <w:t>Employees</w:t>
              </w:r>
            </w:hyperlink>
          </w:p>
        </w:tc>
        <w:tc>
          <w:tcPr>
            <w:tcW w:w="280" w:type="dxa"/>
            <w:vAlign w:val="bottom"/>
            <w:tcBorders>
              <w:top w:val="single" w:sz="8" w:color="0000EE"/>
            </w:tcBorders>
            <w:gridSpan w:val="5"/>
          </w:tcPr>
          <w:p>
            <w:pPr>
              <w:spacing w:after="0"/>
              <w:rPr>
                <w:sz w:val="15"/>
                <w:szCs w:val="15"/>
                <w:color w:val="auto"/>
              </w:rPr>
            </w:pPr>
          </w:p>
        </w:tc>
        <w:tc>
          <w:tcPr>
            <w:tcW w:w="8020" w:type="dxa"/>
            <w:vAlign w:val="bottom"/>
            <w:gridSpan w:val="36"/>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E.</w:t>
            </w:r>
          </w:p>
        </w:tc>
        <w:tc>
          <w:tcPr>
            <w:tcW w:w="1220" w:type="dxa"/>
            <w:vAlign w:val="bottom"/>
            <w:tcBorders>
              <w:bottom w:val="single" w:sz="8" w:color="0000EE"/>
            </w:tcBorders>
            <w:gridSpan w:val="13"/>
          </w:tcPr>
          <w:p>
            <w:pPr>
              <w:spacing w:after="0" w:line="183" w:lineRule="exact"/>
              <w:rPr>
                <w:rFonts w:ascii="Arial" w:cs="Arial" w:eastAsia="Arial" w:hAnsi="Arial"/>
                <w:sz w:val="16"/>
                <w:szCs w:val="16"/>
                <w:color w:val="0000EE"/>
                <w:w w:val="99"/>
              </w:rPr>
            </w:pPr>
            <w:hyperlink w:anchor="page93">
              <w:r>
                <w:rPr>
                  <w:rFonts w:ascii="Arial" w:cs="Arial" w:eastAsia="Arial" w:hAnsi="Arial"/>
                  <w:sz w:val="16"/>
                  <w:szCs w:val="16"/>
                  <w:color w:val="0000EE"/>
                  <w:w w:val="99"/>
                </w:rPr>
                <w:t>Share ownership</w:t>
              </w:r>
            </w:hyperlink>
          </w:p>
        </w:tc>
        <w:tc>
          <w:tcPr>
            <w:tcW w:w="7920" w:type="dxa"/>
            <w:vAlign w:val="bottom"/>
            <w:gridSpan w:val="35"/>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3"/>
        </w:trPr>
        <w:tc>
          <w:tcPr>
            <w:tcW w:w="10260" w:type="dxa"/>
            <w:vAlign w:val="bottom"/>
            <w:gridSpan w:val="50"/>
          </w:tcPr>
          <w:p>
            <w:pPr>
              <w:spacing w:after="0" w:line="183" w:lineRule="exact"/>
              <w:rPr>
                <w:rFonts w:ascii="Arial" w:cs="Arial" w:eastAsia="Arial" w:hAnsi="Arial"/>
                <w:sz w:val="16"/>
                <w:szCs w:val="16"/>
                <w:color w:val="0000EE"/>
              </w:rPr>
            </w:pPr>
            <w:hyperlink w:anchor="page93">
              <w:r>
                <w:rPr>
                  <w:rFonts w:ascii="Arial" w:cs="Arial" w:eastAsia="Arial" w:hAnsi="Arial"/>
                  <w:sz w:val="16"/>
                  <w:szCs w:val="16"/>
                  <w:color w:val="0000EE"/>
                </w:rPr>
                <w:t>ITEM 7. MAJOR SHAREHOLDERS AND RELATED PARTY TRANSACTIONS</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4500" w:type="dxa"/>
            <w:vAlign w:val="bottom"/>
            <w:tcBorders>
              <w:top w:val="single" w:sz="8" w:color="0000EE"/>
            </w:tcBorders>
            <w:gridSpan w:val="43"/>
          </w:tcPr>
          <w:p>
            <w:pPr>
              <w:spacing w:after="0" w:line="183" w:lineRule="exact"/>
              <w:rPr>
                <w:rFonts w:ascii="Arial" w:cs="Arial" w:eastAsia="Arial" w:hAnsi="Arial"/>
                <w:sz w:val="16"/>
                <w:szCs w:val="16"/>
                <w:color w:val="0000EE"/>
              </w:rPr>
            </w:pPr>
            <w:hyperlink w:anchor="page93">
              <w:r>
                <w:rPr>
                  <w:rFonts w:ascii="Arial" w:cs="Arial" w:eastAsia="Arial" w:hAnsi="Arial"/>
                  <w:sz w:val="16"/>
                  <w:szCs w:val="16"/>
                  <w:color w:val="0000EE"/>
                </w:rPr>
                <w:t>Major shareholders</w:t>
              </w:r>
            </w:hyperlink>
          </w:p>
        </w:tc>
        <w:tc>
          <w:tcPr>
            <w:tcW w:w="4640" w:type="dxa"/>
            <w:vAlign w:val="bottom"/>
            <w:gridSpan w:val="5"/>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1880" w:type="dxa"/>
            <w:vAlign w:val="bottom"/>
            <w:tcBorders>
              <w:bottom w:val="single" w:sz="8" w:color="0000EE"/>
            </w:tcBorders>
            <w:gridSpan w:val="26"/>
          </w:tcPr>
          <w:p>
            <w:pPr>
              <w:spacing w:after="0" w:line="183" w:lineRule="exact"/>
              <w:rPr>
                <w:rFonts w:ascii="Arial" w:cs="Arial" w:eastAsia="Arial" w:hAnsi="Arial"/>
                <w:sz w:val="16"/>
                <w:szCs w:val="16"/>
                <w:color w:val="0000EE"/>
              </w:rPr>
            </w:pPr>
            <w:hyperlink w:anchor="page96">
              <w:r>
                <w:rPr>
                  <w:rFonts w:ascii="Arial" w:cs="Arial" w:eastAsia="Arial" w:hAnsi="Arial"/>
                  <w:sz w:val="16"/>
                  <w:szCs w:val="16"/>
                  <w:color w:val="0000EE"/>
                </w:rPr>
                <w:t>Related party transactions</w:t>
              </w:r>
            </w:hyperlink>
          </w:p>
        </w:tc>
        <w:tc>
          <w:tcPr>
            <w:tcW w:w="7260" w:type="dxa"/>
            <w:vAlign w:val="bottom"/>
            <w:gridSpan w:val="22"/>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9140" w:type="dxa"/>
            <w:vAlign w:val="bottom"/>
            <w:gridSpan w:val="48"/>
          </w:tcPr>
          <w:p>
            <w:pPr>
              <w:spacing w:after="0" w:line="183" w:lineRule="exact"/>
              <w:rPr>
                <w:rFonts w:ascii="Arial" w:cs="Arial" w:eastAsia="Arial" w:hAnsi="Arial"/>
                <w:sz w:val="16"/>
                <w:szCs w:val="16"/>
                <w:color w:val="0000EE"/>
              </w:rPr>
            </w:pPr>
            <w:hyperlink w:anchor="page97">
              <w:r>
                <w:rPr>
                  <w:rFonts w:ascii="Arial" w:cs="Arial" w:eastAsia="Arial" w:hAnsi="Arial"/>
                  <w:sz w:val="16"/>
                  <w:szCs w:val="16"/>
                  <w:color w:val="0000EE"/>
                </w:rPr>
                <w:t>Interests of Experts and Counsel</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40" w:type="dxa"/>
            <w:vAlign w:val="bottom"/>
            <w:tcBorders>
              <w:bottom w:val="single" w:sz="8" w:color="0000EE"/>
            </w:tcBorders>
            <w:gridSpan w:val="22"/>
          </w:tcPr>
          <w:p>
            <w:pPr>
              <w:spacing w:after="0" w:line="183" w:lineRule="exact"/>
              <w:rPr>
                <w:rFonts w:ascii="Arial" w:cs="Arial" w:eastAsia="Arial" w:hAnsi="Arial"/>
                <w:sz w:val="16"/>
                <w:szCs w:val="16"/>
                <w:color w:val="0000EE"/>
              </w:rPr>
            </w:pPr>
            <w:hyperlink w:anchor="page97">
              <w:r>
                <w:rPr>
                  <w:rFonts w:ascii="Arial" w:cs="Arial" w:eastAsia="Arial" w:hAnsi="Arial"/>
                  <w:sz w:val="16"/>
                  <w:szCs w:val="16"/>
                  <w:color w:val="0000EE"/>
                </w:rPr>
                <w:t>ITEM 8. FINANCIAL INFORMATION</w:t>
              </w:r>
            </w:hyperlink>
          </w:p>
        </w:tc>
        <w:tc>
          <w:tcPr>
            <w:tcW w:w="7620" w:type="dxa"/>
            <w:vAlign w:val="bottom"/>
            <w:gridSpan w:val="28"/>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4000" w:type="dxa"/>
            <w:vAlign w:val="bottom"/>
            <w:tcBorders>
              <w:bottom w:val="single" w:sz="8" w:color="0000EE"/>
            </w:tcBorders>
            <w:gridSpan w:val="42"/>
          </w:tcPr>
          <w:p>
            <w:pPr>
              <w:spacing w:after="0" w:line="183" w:lineRule="exact"/>
              <w:rPr>
                <w:rFonts w:ascii="Arial" w:cs="Arial" w:eastAsia="Arial" w:hAnsi="Arial"/>
                <w:sz w:val="16"/>
                <w:szCs w:val="16"/>
                <w:color w:val="0000EE"/>
              </w:rPr>
            </w:pPr>
            <w:hyperlink w:anchor="page97">
              <w:r>
                <w:rPr>
                  <w:rFonts w:ascii="Arial" w:cs="Arial" w:eastAsia="Arial" w:hAnsi="Arial"/>
                  <w:sz w:val="16"/>
                  <w:szCs w:val="16"/>
                  <w:color w:val="0000EE"/>
                </w:rPr>
                <w:t>Consolidated statements and other financial information</w:t>
              </w:r>
            </w:hyperlink>
          </w:p>
        </w:tc>
        <w:tc>
          <w:tcPr>
            <w:tcW w:w="5140" w:type="dxa"/>
            <w:vAlign w:val="bottom"/>
            <w:gridSpan w:val="6"/>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1400" w:type="dxa"/>
            <w:vAlign w:val="bottom"/>
            <w:tcBorders>
              <w:bottom w:val="single" w:sz="8" w:color="0000EE"/>
            </w:tcBorders>
            <w:gridSpan w:val="18"/>
          </w:tcPr>
          <w:p>
            <w:pPr>
              <w:spacing w:after="0" w:line="183" w:lineRule="exact"/>
              <w:rPr>
                <w:rFonts w:ascii="Arial" w:cs="Arial" w:eastAsia="Arial" w:hAnsi="Arial"/>
                <w:sz w:val="16"/>
                <w:szCs w:val="16"/>
                <w:color w:val="0000EE"/>
                <w:w w:val="99"/>
              </w:rPr>
            </w:pPr>
            <w:hyperlink w:anchor="page98">
              <w:r>
                <w:rPr>
                  <w:rFonts w:ascii="Arial" w:cs="Arial" w:eastAsia="Arial" w:hAnsi="Arial"/>
                  <w:sz w:val="16"/>
                  <w:szCs w:val="16"/>
                  <w:color w:val="0000EE"/>
                  <w:w w:val="99"/>
                </w:rPr>
                <w:t>Significant changes</w:t>
              </w:r>
            </w:hyperlink>
          </w:p>
        </w:tc>
        <w:tc>
          <w:tcPr>
            <w:tcW w:w="7740" w:type="dxa"/>
            <w:vAlign w:val="bottom"/>
            <w:gridSpan w:val="30"/>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10260" w:type="dxa"/>
            <w:vAlign w:val="bottom"/>
            <w:gridSpan w:val="50"/>
          </w:tcPr>
          <w:p>
            <w:pPr>
              <w:spacing w:after="0" w:line="183" w:lineRule="exact"/>
              <w:rPr>
                <w:rFonts w:ascii="Arial" w:cs="Arial" w:eastAsia="Arial" w:hAnsi="Arial"/>
                <w:sz w:val="16"/>
                <w:szCs w:val="16"/>
                <w:color w:val="0000EE"/>
              </w:rPr>
            </w:pPr>
            <w:hyperlink w:anchor="page98">
              <w:r>
                <w:rPr>
                  <w:rFonts w:ascii="Arial" w:cs="Arial" w:eastAsia="Arial" w:hAnsi="Arial"/>
                  <w:sz w:val="16"/>
                  <w:szCs w:val="16"/>
                  <w:color w:val="0000EE"/>
                </w:rPr>
                <w:t>ITEM 9. THE OFFER AND LISTING</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1860" w:type="dxa"/>
            <w:vAlign w:val="bottom"/>
            <w:tcBorders>
              <w:bottom w:val="single" w:sz="8" w:color="0000EE"/>
            </w:tcBorders>
            <w:gridSpan w:val="25"/>
          </w:tcPr>
          <w:p>
            <w:pPr>
              <w:spacing w:after="0" w:line="183" w:lineRule="exact"/>
              <w:rPr>
                <w:rFonts w:ascii="Arial" w:cs="Arial" w:eastAsia="Arial" w:hAnsi="Arial"/>
                <w:sz w:val="16"/>
                <w:szCs w:val="16"/>
                <w:color w:val="0000EE"/>
                <w:w w:val="99"/>
              </w:rPr>
            </w:pPr>
            <w:hyperlink w:anchor="page98">
              <w:r>
                <w:rPr>
                  <w:rFonts w:ascii="Arial" w:cs="Arial" w:eastAsia="Arial" w:hAnsi="Arial"/>
                  <w:sz w:val="16"/>
                  <w:szCs w:val="16"/>
                  <w:color w:val="0000EE"/>
                  <w:w w:val="99"/>
                </w:rPr>
                <w:t>Offering and listing details</w:t>
              </w:r>
            </w:hyperlink>
          </w:p>
        </w:tc>
        <w:tc>
          <w:tcPr>
            <w:tcW w:w="7280" w:type="dxa"/>
            <w:vAlign w:val="bottom"/>
            <w:gridSpan w:val="23"/>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9140" w:type="dxa"/>
            <w:vAlign w:val="bottom"/>
            <w:gridSpan w:val="48"/>
          </w:tcPr>
          <w:p>
            <w:pPr>
              <w:spacing w:after="0" w:line="183" w:lineRule="exact"/>
              <w:rPr>
                <w:rFonts w:ascii="Arial" w:cs="Arial" w:eastAsia="Arial" w:hAnsi="Arial"/>
                <w:sz w:val="16"/>
                <w:szCs w:val="16"/>
                <w:color w:val="0000EE"/>
              </w:rPr>
            </w:pPr>
            <w:hyperlink w:anchor="page98">
              <w:r>
                <w:rPr>
                  <w:rFonts w:ascii="Arial" w:cs="Arial" w:eastAsia="Arial" w:hAnsi="Arial"/>
                  <w:sz w:val="16"/>
                  <w:szCs w:val="16"/>
                  <w:color w:val="0000EE"/>
                </w:rPr>
                <w:t>Plan of distribution</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58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8"/>
              </w:rPr>
            </w:pPr>
            <w:hyperlink w:anchor="page98">
              <w:r>
                <w:rPr>
                  <w:rFonts w:ascii="Arial" w:cs="Arial" w:eastAsia="Arial" w:hAnsi="Arial"/>
                  <w:sz w:val="16"/>
                  <w:szCs w:val="16"/>
                  <w:color w:val="0000EE"/>
                  <w:w w:val="98"/>
                </w:rPr>
                <w:t>Markets</w:t>
              </w:r>
            </w:hyperlink>
          </w:p>
        </w:tc>
        <w:tc>
          <w:tcPr>
            <w:tcW w:w="800" w:type="dxa"/>
            <w:vAlign w:val="bottom"/>
            <w:tcBorders>
              <w:top w:val="single" w:sz="8" w:color="0000EE"/>
            </w:tcBorders>
            <w:gridSpan w:val="14"/>
          </w:tcPr>
          <w:p>
            <w:pPr>
              <w:spacing w:after="0"/>
              <w:rPr>
                <w:sz w:val="15"/>
                <w:szCs w:val="15"/>
                <w:color w:val="auto"/>
              </w:rPr>
            </w:pPr>
          </w:p>
        </w:tc>
        <w:tc>
          <w:tcPr>
            <w:tcW w:w="7760" w:type="dxa"/>
            <w:vAlign w:val="bottom"/>
            <w:gridSpan w:val="31"/>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D.</w:t>
            </w:r>
          </w:p>
        </w:tc>
        <w:tc>
          <w:tcPr>
            <w:tcW w:w="9140" w:type="dxa"/>
            <w:vAlign w:val="bottom"/>
            <w:gridSpan w:val="48"/>
          </w:tcPr>
          <w:p>
            <w:pPr>
              <w:spacing w:after="0" w:line="183" w:lineRule="exact"/>
              <w:rPr>
                <w:rFonts w:ascii="Arial" w:cs="Arial" w:eastAsia="Arial" w:hAnsi="Arial"/>
                <w:sz w:val="16"/>
                <w:szCs w:val="16"/>
                <w:color w:val="0000EE"/>
              </w:rPr>
            </w:pPr>
            <w:hyperlink w:anchor="page98">
              <w:r>
                <w:rPr>
                  <w:rFonts w:ascii="Arial" w:cs="Arial" w:eastAsia="Arial" w:hAnsi="Arial"/>
                  <w:sz w:val="16"/>
                  <w:szCs w:val="16"/>
                  <w:color w:val="0000EE"/>
                </w:rPr>
                <w:t>Selling shareholders</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E.</w:t>
            </w:r>
          </w:p>
        </w:tc>
        <w:tc>
          <w:tcPr>
            <w:tcW w:w="54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7"/>
              </w:rPr>
            </w:pPr>
            <w:hyperlink w:anchor="page98">
              <w:r>
                <w:rPr>
                  <w:rFonts w:ascii="Arial" w:cs="Arial" w:eastAsia="Arial" w:hAnsi="Arial"/>
                  <w:sz w:val="16"/>
                  <w:szCs w:val="16"/>
                  <w:color w:val="0000EE"/>
                  <w:w w:val="97"/>
                </w:rPr>
                <w:t>Dilution</w:t>
              </w:r>
            </w:hyperlink>
          </w:p>
        </w:tc>
        <w:tc>
          <w:tcPr>
            <w:tcW w:w="940" w:type="dxa"/>
            <w:vAlign w:val="bottom"/>
            <w:tcBorders>
              <w:top w:val="single" w:sz="8" w:color="0000EE"/>
            </w:tcBorders>
            <w:gridSpan w:val="17"/>
          </w:tcPr>
          <w:p>
            <w:pPr>
              <w:spacing w:after="0"/>
              <w:rPr>
                <w:sz w:val="15"/>
                <w:szCs w:val="15"/>
                <w:color w:val="auto"/>
              </w:rPr>
            </w:pPr>
          </w:p>
        </w:tc>
        <w:tc>
          <w:tcPr>
            <w:tcW w:w="7660" w:type="dxa"/>
            <w:vAlign w:val="bottom"/>
            <w:gridSpan w:val="29"/>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F.</w:t>
            </w:r>
          </w:p>
        </w:tc>
        <w:tc>
          <w:tcPr>
            <w:tcW w:w="1580" w:type="dxa"/>
            <w:vAlign w:val="bottom"/>
            <w:tcBorders>
              <w:bottom w:val="single" w:sz="8" w:color="0000EE"/>
            </w:tcBorders>
            <w:gridSpan w:val="21"/>
          </w:tcPr>
          <w:p>
            <w:pPr>
              <w:spacing w:after="0" w:line="183" w:lineRule="exact"/>
              <w:rPr>
                <w:rFonts w:ascii="Arial" w:cs="Arial" w:eastAsia="Arial" w:hAnsi="Arial"/>
                <w:sz w:val="16"/>
                <w:szCs w:val="16"/>
                <w:color w:val="0000EE"/>
                <w:w w:val="99"/>
              </w:rPr>
            </w:pPr>
            <w:hyperlink w:anchor="page98">
              <w:r>
                <w:rPr>
                  <w:rFonts w:ascii="Arial" w:cs="Arial" w:eastAsia="Arial" w:hAnsi="Arial"/>
                  <w:sz w:val="16"/>
                  <w:szCs w:val="16"/>
                  <w:color w:val="0000EE"/>
                  <w:w w:val="99"/>
                </w:rPr>
                <w:t>Expenses of the issue</w:t>
              </w:r>
            </w:hyperlink>
          </w:p>
        </w:tc>
        <w:tc>
          <w:tcPr>
            <w:tcW w:w="7560" w:type="dxa"/>
            <w:vAlign w:val="bottom"/>
            <w:gridSpan w:val="27"/>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10260" w:type="dxa"/>
            <w:vAlign w:val="bottom"/>
            <w:gridSpan w:val="50"/>
          </w:tcPr>
          <w:p>
            <w:pPr>
              <w:spacing w:after="0" w:line="183" w:lineRule="exact"/>
              <w:rPr>
                <w:rFonts w:ascii="Arial" w:cs="Arial" w:eastAsia="Arial" w:hAnsi="Arial"/>
                <w:sz w:val="16"/>
                <w:szCs w:val="16"/>
                <w:color w:val="0000EE"/>
              </w:rPr>
            </w:pPr>
            <w:hyperlink w:anchor="page98">
              <w:r>
                <w:rPr>
                  <w:rFonts w:ascii="Arial" w:cs="Arial" w:eastAsia="Arial" w:hAnsi="Arial"/>
                  <w:sz w:val="16"/>
                  <w:szCs w:val="16"/>
                  <w:color w:val="0000EE"/>
                </w:rPr>
                <w:t>ITEM 10. ADDITIONAL INFORMATION</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1720" w:type="dxa"/>
            <w:vAlign w:val="bottom"/>
            <w:tcBorders>
              <w:top w:val="single" w:sz="8" w:color="0000EE"/>
            </w:tcBorders>
            <w:gridSpan w:val="24"/>
          </w:tcPr>
          <w:p>
            <w:pPr>
              <w:spacing w:after="0" w:line="183" w:lineRule="exact"/>
              <w:rPr>
                <w:rFonts w:ascii="Arial" w:cs="Arial" w:eastAsia="Arial" w:hAnsi="Arial"/>
                <w:sz w:val="16"/>
                <w:szCs w:val="16"/>
                <w:color w:val="0000EE"/>
              </w:rPr>
            </w:pPr>
            <w:hyperlink w:anchor="page98">
              <w:r>
                <w:rPr>
                  <w:rFonts w:ascii="Arial" w:cs="Arial" w:eastAsia="Arial" w:hAnsi="Arial"/>
                  <w:sz w:val="16"/>
                  <w:szCs w:val="16"/>
                  <w:color w:val="0000EE"/>
                </w:rPr>
                <w:t>Share capital</w:t>
              </w:r>
            </w:hyperlink>
          </w:p>
        </w:tc>
        <w:tc>
          <w:tcPr>
            <w:tcW w:w="7420" w:type="dxa"/>
            <w:vAlign w:val="bottom"/>
            <w:gridSpan w:val="24"/>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2940" w:type="dxa"/>
            <w:vAlign w:val="bottom"/>
            <w:tcBorders>
              <w:bottom w:val="single" w:sz="8" w:color="0000EE"/>
            </w:tcBorders>
            <w:gridSpan w:val="35"/>
          </w:tcPr>
          <w:p>
            <w:pPr>
              <w:spacing w:after="0" w:line="183" w:lineRule="exact"/>
              <w:rPr>
                <w:rFonts w:ascii="Arial" w:cs="Arial" w:eastAsia="Arial" w:hAnsi="Arial"/>
                <w:sz w:val="16"/>
                <w:szCs w:val="16"/>
                <w:color w:val="0000EE"/>
              </w:rPr>
            </w:pPr>
            <w:hyperlink w:anchor="page99">
              <w:r>
                <w:rPr>
                  <w:rFonts w:ascii="Arial" w:cs="Arial" w:eastAsia="Arial" w:hAnsi="Arial"/>
                  <w:sz w:val="16"/>
                  <w:szCs w:val="16"/>
                  <w:color w:val="0000EE"/>
                </w:rPr>
                <w:t>Memorandum and Articles of Association</w:t>
              </w:r>
            </w:hyperlink>
          </w:p>
        </w:tc>
        <w:tc>
          <w:tcPr>
            <w:tcW w:w="6200" w:type="dxa"/>
            <w:vAlign w:val="bottom"/>
            <w:gridSpan w:val="13"/>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1280" w:type="dxa"/>
            <w:vAlign w:val="bottom"/>
            <w:tcBorders>
              <w:bottom w:val="single" w:sz="8" w:color="0000EE"/>
            </w:tcBorders>
            <w:gridSpan w:val="16"/>
          </w:tcPr>
          <w:p>
            <w:pPr>
              <w:spacing w:after="0" w:line="183" w:lineRule="exact"/>
              <w:rPr>
                <w:rFonts w:ascii="Arial" w:cs="Arial" w:eastAsia="Arial" w:hAnsi="Arial"/>
                <w:sz w:val="16"/>
                <w:szCs w:val="16"/>
                <w:color w:val="0000EE"/>
                <w:w w:val="99"/>
              </w:rPr>
            </w:pPr>
            <w:hyperlink w:anchor="page99">
              <w:r>
                <w:rPr>
                  <w:rFonts w:ascii="Arial" w:cs="Arial" w:eastAsia="Arial" w:hAnsi="Arial"/>
                  <w:sz w:val="16"/>
                  <w:szCs w:val="16"/>
                  <w:color w:val="0000EE"/>
                  <w:w w:val="99"/>
                </w:rPr>
                <w:t>Material contracts</w:t>
              </w:r>
            </w:hyperlink>
          </w:p>
        </w:tc>
        <w:tc>
          <w:tcPr>
            <w:tcW w:w="7860" w:type="dxa"/>
            <w:vAlign w:val="bottom"/>
            <w:gridSpan w:val="32"/>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D.</w:t>
            </w:r>
          </w:p>
        </w:tc>
        <w:tc>
          <w:tcPr>
            <w:tcW w:w="9140" w:type="dxa"/>
            <w:vAlign w:val="bottom"/>
            <w:gridSpan w:val="48"/>
          </w:tcPr>
          <w:p>
            <w:pPr>
              <w:spacing w:after="0" w:line="183" w:lineRule="exact"/>
              <w:rPr>
                <w:rFonts w:ascii="Arial" w:cs="Arial" w:eastAsia="Arial" w:hAnsi="Arial"/>
                <w:sz w:val="16"/>
                <w:szCs w:val="16"/>
                <w:color w:val="0000EE"/>
              </w:rPr>
            </w:pPr>
            <w:hyperlink w:anchor="page99">
              <w:r>
                <w:rPr>
                  <w:rFonts w:ascii="Arial" w:cs="Arial" w:eastAsia="Arial" w:hAnsi="Arial"/>
                  <w:sz w:val="16"/>
                  <w:szCs w:val="16"/>
                  <w:color w:val="0000EE"/>
                </w:rPr>
                <w:t>Exchange controls</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E.</w:t>
            </w:r>
          </w:p>
        </w:tc>
        <w:tc>
          <w:tcPr>
            <w:tcW w:w="60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4"/>
              </w:rPr>
            </w:pPr>
            <w:hyperlink w:anchor="page99">
              <w:r>
                <w:rPr>
                  <w:rFonts w:ascii="Arial" w:cs="Arial" w:eastAsia="Arial" w:hAnsi="Arial"/>
                  <w:sz w:val="16"/>
                  <w:szCs w:val="16"/>
                  <w:color w:val="0000EE"/>
                  <w:w w:val="94"/>
                </w:rPr>
                <w:t>Taxation</w:t>
              </w:r>
            </w:hyperlink>
          </w:p>
        </w:tc>
        <w:tc>
          <w:tcPr>
            <w:tcW w:w="780" w:type="dxa"/>
            <w:vAlign w:val="bottom"/>
            <w:tcBorders>
              <w:top w:val="single" w:sz="8" w:color="0000EE"/>
            </w:tcBorders>
            <w:gridSpan w:val="13"/>
          </w:tcPr>
          <w:p>
            <w:pPr>
              <w:spacing w:after="0"/>
              <w:rPr>
                <w:sz w:val="15"/>
                <w:szCs w:val="15"/>
                <w:color w:val="auto"/>
              </w:rPr>
            </w:pPr>
          </w:p>
        </w:tc>
        <w:tc>
          <w:tcPr>
            <w:tcW w:w="7760" w:type="dxa"/>
            <w:vAlign w:val="bottom"/>
            <w:gridSpan w:val="31"/>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F.</w:t>
            </w:r>
          </w:p>
        </w:tc>
        <w:tc>
          <w:tcPr>
            <w:tcW w:w="2080" w:type="dxa"/>
            <w:vAlign w:val="bottom"/>
            <w:tcBorders>
              <w:bottom w:val="single" w:sz="8" w:color="0000EE"/>
            </w:tcBorders>
            <w:gridSpan w:val="28"/>
          </w:tcPr>
          <w:p>
            <w:pPr>
              <w:spacing w:after="0" w:line="183" w:lineRule="exact"/>
              <w:rPr>
                <w:rFonts w:ascii="Arial" w:cs="Arial" w:eastAsia="Arial" w:hAnsi="Arial"/>
                <w:sz w:val="16"/>
                <w:szCs w:val="16"/>
                <w:color w:val="0000EE"/>
              </w:rPr>
            </w:pPr>
            <w:hyperlink w:anchor="page105">
              <w:r>
                <w:rPr>
                  <w:rFonts w:ascii="Arial" w:cs="Arial" w:eastAsia="Arial" w:hAnsi="Arial"/>
                  <w:sz w:val="16"/>
                  <w:szCs w:val="16"/>
                  <w:color w:val="0000EE"/>
                </w:rPr>
                <w:t>Dividends and paying agents</w:t>
              </w:r>
            </w:hyperlink>
          </w:p>
        </w:tc>
        <w:tc>
          <w:tcPr>
            <w:tcW w:w="7060" w:type="dxa"/>
            <w:vAlign w:val="bottom"/>
            <w:gridSpan w:val="20"/>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G.</w:t>
            </w:r>
          </w:p>
        </w:tc>
        <w:tc>
          <w:tcPr>
            <w:tcW w:w="9140" w:type="dxa"/>
            <w:vAlign w:val="bottom"/>
            <w:gridSpan w:val="48"/>
          </w:tcPr>
          <w:p>
            <w:pPr>
              <w:spacing w:after="0" w:line="183" w:lineRule="exact"/>
              <w:rPr>
                <w:rFonts w:ascii="Arial" w:cs="Arial" w:eastAsia="Arial" w:hAnsi="Arial"/>
                <w:sz w:val="16"/>
                <w:szCs w:val="16"/>
                <w:color w:val="0000EE"/>
              </w:rPr>
            </w:pPr>
            <w:hyperlink w:anchor="page106">
              <w:r>
                <w:rPr>
                  <w:rFonts w:ascii="Arial" w:cs="Arial" w:eastAsia="Arial" w:hAnsi="Arial"/>
                  <w:sz w:val="16"/>
                  <w:szCs w:val="16"/>
                  <w:color w:val="0000EE"/>
                </w:rPr>
                <w:t>Statement by experts</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Borders>
              <w:right w:val="single" w:sz="8" w:color="0000EE"/>
            </w:tcBorders>
            <w:gridSpan w:val="11"/>
            <w:shd w:val="clear" w:color="auto" w:fill="0000EE"/>
          </w:tcPr>
          <w:p>
            <w:pPr>
              <w:spacing w:after="0" w:line="20" w:lineRule="exact"/>
              <w:rPr>
                <w:sz w:val="1"/>
                <w:szCs w:val="1"/>
                <w:color w:val="auto"/>
              </w:rPr>
            </w:pPr>
          </w:p>
        </w:tc>
        <w:tc>
          <w:tcPr>
            <w:tcW w:w="46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2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H.</w:t>
            </w:r>
          </w:p>
        </w:tc>
        <w:tc>
          <w:tcPr>
            <w:tcW w:w="9140" w:type="dxa"/>
            <w:vAlign w:val="bottom"/>
            <w:gridSpan w:val="48"/>
          </w:tcPr>
          <w:p>
            <w:pPr>
              <w:spacing w:after="0" w:line="183" w:lineRule="exact"/>
              <w:rPr>
                <w:rFonts w:ascii="Arial" w:cs="Arial" w:eastAsia="Arial" w:hAnsi="Arial"/>
                <w:sz w:val="16"/>
                <w:szCs w:val="16"/>
                <w:color w:val="0000EE"/>
              </w:rPr>
            </w:pPr>
            <w:hyperlink w:anchor="page106">
              <w:r>
                <w:rPr>
                  <w:rFonts w:ascii="Arial" w:cs="Arial" w:eastAsia="Arial" w:hAnsi="Arial"/>
                  <w:sz w:val="16"/>
                  <w:szCs w:val="16"/>
                  <w:color w:val="0000EE"/>
                </w:rPr>
                <w:t>Documents on display</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Borders>
              <w:right w:val="single" w:sz="8" w:color="0000EE"/>
            </w:tcBorders>
            <w:gridSpan w:val="11"/>
            <w:shd w:val="clear" w:color="auto" w:fill="0000EE"/>
          </w:tcPr>
          <w:p>
            <w:pPr>
              <w:spacing w:after="0" w:line="20" w:lineRule="exact"/>
              <w:rPr>
                <w:sz w:val="1"/>
                <w:szCs w:val="1"/>
                <w:color w:val="auto"/>
              </w:rPr>
            </w:pPr>
          </w:p>
        </w:tc>
        <w:tc>
          <w:tcPr>
            <w:tcW w:w="52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2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6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I.</w:t>
            </w:r>
          </w:p>
        </w:tc>
        <w:tc>
          <w:tcPr>
            <w:tcW w:w="1600" w:type="dxa"/>
            <w:vAlign w:val="bottom"/>
            <w:tcBorders>
              <w:bottom w:val="single" w:sz="8" w:color="0000EE"/>
            </w:tcBorders>
            <w:gridSpan w:val="22"/>
          </w:tcPr>
          <w:p>
            <w:pPr>
              <w:spacing w:after="0" w:line="183" w:lineRule="exact"/>
              <w:rPr>
                <w:rFonts w:ascii="Arial" w:cs="Arial" w:eastAsia="Arial" w:hAnsi="Arial"/>
                <w:sz w:val="16"/>
                <w:szCs w:val="16"/>
                <w:color w:val="0000EE"/>
                <w:w w:val="99"/>
              </w:rPr>
            </w:pPr>
            <w:hyperlink w:anchor="page106">
              <w:r>
                <w:rPr>
                  <w:rFonts w:ascii="Arial" w:cs="Arial" w:eastAsia="Arial" w:hAnsi="Arial"/>
                  <w:sz w:val="16"/>
                  <w:szCs w:val="16"/>
                  <w:color w:val="0000EE"/>
                  <w:w w:val="99"/>
                </w:rPr>
                <w:t>Subsidiary information</w:t>
              </w:r>
            </w:hyperlink>
          </w:p>
        </w:tc>
        <w:tc>
          <w:tcPr>
            <w:tcW w:w="7540" w:type="dxa"/>
            <w:vAlign w:val="bottom"/>
            <w:gridSpan w:val="26"/>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83"/>
        </w:trPr>
        <w:tc>
          <w:tcPr>
            <w:tcW w:w="10260" w:type="dxa"/>
            <w:vAlign w:val="bottom"/>
            <w:gridSpan w:val="50"/>
          </w:tcPr>
          <w:p>
            <w:pPr>
              <w:spacing w:after="0" w:line="183" w:lineRule="exact"/>
              <w:rPr>
                <w:rFonts w:ascii="Arial" w:cs="Arial" w:eastAsia="Arial" w:hAnsi="Arial"/>
                <w:sz w:val="16"/>
                <w:szCs w:val="16"/>
                <w:color w:val="0000EE"/>
              </w:rPr>
            </w:pPr>
            <w:hyperlink w:anchor="page106">
              <w:r>
                <w:rPr>
                  <w:rFonts w:ascii="Arial" w:cs="Arial" w:eastAsia="Arial" w:hAnsi="Arial"/>
                  <w:sz w:val="16"/>
                  <w:szCs w:val="16"/>
                  <w:color w:val="0000EE"/>
                </w:rPr>
                <w:t>ITEM 11. QUANTITATIVE AND QUALITATIVE DISCLOSURES ABOUT MARKET RISK</w:t>
              </w:r>
            </w:hyperlink>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82"/>
        </w:trPr>
        <w:tc>
          <w:tcPr>
            <w:tcW w:w="6260" w:type="dxa"/>
            <w:vAlign w:val="bottom"/>
            <w:tcBorders>
              <w:top w:val="single" w:sz="8" w:color="0000EE"/>
            </w:tcBorders>
            <w:gridSpan w:val="49"/>
          </w:tcPr>
          <w:p>
            <w:pPr>
              <w:spacing w:after="0" w:line="183" w:lineRule="exact"/>
              <w:rPr>
                <w:rFonts w:ascii="Arial" w:cs="Arial" w:eastAsia="Arial" w:hAnsi="Arial"/>
                <w:sz w:val="16"/>
                <w:szCs w:val="16"/>
                <w:color w:val="0000EE"/>
              </w:rPr>
            </w:pPr>
            <w:hyperlink w:anchor="page106">
              <w:r>
                <w:rPr>
                  <w:rFonts w:ascii="Arial" w:cs="Arial" w:eastAsia="Arial" w:hAnsi="Arial"/>
                  <w:sz w:val="16"/>
                  <w:szCs w:val="16"/>
                  <w:color w:val="0000EE"/>
                </w:rPr>
                <w:t>ITEM 12. DESCRIPTION OF SECURITIES OTHER THAN EQUITY SECURITIES</w:t>
              </w:r>
            </w:hyperlink>
          </w:p>
        </w:tc>
        <w:tc>
          <w:tcPr>
            <w:tcW w:w="400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4740" w:type="dxa"/>
            <w:vAlign w:val="bottom"/>
            <w:tcBorders>
              <w:top w:val="single" w:sz="8" w:color="0000EE"/>
            </w:tcBorders>
            <w:gridSpan w:val="45"/>
          </w:tcPr>
          <w:p>
            <w:pPr>
              <w:spacing w:after="0" w:line="183" w:lineRule="exact"/>
              <w:rPr>
                <w:rFonts w:ascii="Arial" w:cs="Arial" w:eastAsia="Arial" w:hAnsi="Arial"/>
                <w:sz w:val="16"/>
                <w:szCs w:val="16"/>
                <w:color w:val="0000EE"/>
              </w:rPr>
            </w:pPr>
            <w:hyperlink w:anchor="page106">
              <w:r>
                <w:rPr>
                  <w:rFonts w:ascii="Arial" w:cs="Arial" w:eastAsia="Arial" w:hAnsi="Arial"/>
                  <w:sz w:val="16"/>
                  <w:szCs w:val="16"/>
                  <w:color w:val="0000EE"/>
                </w:rPr>
                <w:t>Debt securities</w:t>
              </w:r>
            </w:hyperlink>
          </w:p>
        </w:tc>
        <w:tc>
          <w:tcPr>
            <w:tcW w:w="4400" w:type="dxa"/>
            <w:vAlign w:val="bottom"/>
            <w:gridSpan w:val="3"/>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9520" w:type="dxa"/>
            <w:vAlign w:val="bottom"/>
            <w:gridSpan w:val="38"/>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700" w:type="dxa"/>
            <w:vAlign w:val="bottom"/>
          </w:tcPr>
          <w:p>
            <w:pPr>
              <w:spacing w:after="0"/>
              <w:rPr>
                <w:sz w:val="16"/>
                <w:szCs w:val="16"/>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90"/>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B.</w:t>
            </w:r>
          </w:p>
        </w:tc>
        <w:tc>
          <w:tcPr>
            <w:tcW w:w="8400" w:type="dxa"/>
            <w:vAlign w:val="bottom"/>
            <w:gridSpan w:val="35"/>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Warrants and rights</w:t>
              </w:r>
            </w:hyperlink>
          </w:p>
        </w:tc>
        <w:tc>
          <w:tcPr>
            <w:tcW w:w="17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1400" w:type="dxa"/>
            <w:vAlign w:val="bottom"/>
            <w:tcBorders>
              <w:top w:val="single" w:sz="8" w:color="0000EE"/>
            </w:tcBorders>
            <w:gridSpan w:val="11"/>
          </w:tcPr>
          <w:p>
            <w:pPr>
              <w:spacing w:after="0" w:line="183" w:lineRule="exact"/>
              <w:rPr>
                <w:rFonts w:ascii="Arial" w:cs="Arial" w:eastAsia="Arial" w:hAnsi="Arial"/>
                <w:sz w:val="16"/>
                <w:szCs w:val="16"/>
                <w:color w:val="0000EE"/>
              </w:rPr>
            </w:pPr>
            <w:hyperlink w:anchor="page106">
              <w:r>
                <w:rPr>
                  <w:rFonts w:ascii="Arial" w:cs="Arial" w:eastAsia="Arial" w:hAnsi="Arial"/>
                  <w:sz w:val="16"/>
                  <w:szCs w:val="16"/>
                  <w:color w:val="0000EE"/>
                </w:rPr>
                <w:t>Other securities</w:t>
              </w:r>
            </w:hyperlink>
          </w:p>
        </w:tc>
        <w:tc>
          <w:tcPr>
            <w:tcW w:w="7000" w:type="dxa"/>
            <w:vAlign w:val="bottom"/>
            <w:gridSpan w:val="24"/>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102</w:t>
            </w: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D.</w:t>
            </w:r>
          </w:p>
        </w:tc>
        <w:tc>
          <w:tcPr>
            <w:tcW w:w="8400" w:type="dxa"/>
            <w:vAlign w:val="bottom"/>
            <w:gridSpan w:val="35"/>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American Depositary Shares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183"/>
        </w:trPr>
        <w:tc>
          <w:tcPr>
            <w:tcW w:w="1120" w:type="dxa"/>
            <w:vAlign w:val="bottom"/>
            <w:gridSpan w:val="3"/>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PART II</w:t>
              </w:r>
            </w:hyperlink>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9520" w:type="dxa"/>
            <w:vAlign w:val="bottom"/>
            <w:gridSpan w:val="38"/>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ITEM 13. DEFAULTS, DIVIDEND ARREARAGES AND DELINQUENCIES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183"/>
        </w:trPr>
        <w:tc>
          <w:tcPr>
            <w:tcW w:w="5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4200" w:type="dxa"/>
            <w:vAlign w:val="bottom"/>
            <w:tcBorders>
              <w:top w:val="single" w:sz="8" w:color="0000EE"/>
            </w:tcBorders>
            <w:gridSpan w:val="27"/>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Defaults</w:t>
              </w:r>
            </w:hyperlink>
          </w:p>
        </w:tc>
        <w:tc>
          <w:tcPr>
            <w:tcW w:w="4200" w:type="dxa"/>
            <w:vAlign w:val="bottom"/>
            <w:gridSpan w:val="8"/>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1880" w:type="dxa"/>
            <w:vAlign w:val="bottom"/>
            <w:tcBorders>
              <w:bottom w:val="single" w:sz="8" w:color="0000EE"/>
            </w:tcBorders>
            <w:gridSpan w:val="14"/>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Arrears and delinquencies</w:t>
              </w:r>
            </w:hyperlink>
          </w:p>
        </w:tc>
        <w:tc>
          <w:tcPr>
            <w:tcW w:w="6520" w:type="dxa"/>
            <w:vAlign w:val="bottom"/>
            <w:gridSpan w:val="21"/>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183"/>
        </w:trPr>
        <w:tc>
          <w:tcPr>
            <w:tcW w:w="8080" w:type="dxa"/>
            <w:vAlign w:val="bottom"/>
            <w:tcBorders>
              <w:bottom w:val="single" w:sz="8" w:color="0000EE"/>
            </w:tcBorders>
            <w:gridSpan w:val="37"/>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ITEM 14. MATERIAL MODIFICATIONS TO THE RIGHTS OF SECURITY HOLDERS AND USE OF PROCEEDS</w:t>
              </w:r>
            </w:hyperlink>
          </w:p>
        </w:tc>
        <w:tc>
          <w:tcPr>
            <w:tcW w:w="1440" w:type="dxa"/>
            <w:vAlign w:val="bottom"/>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8400" w:type="dxa"/>
            <w:vAlign w:val="bottom"/>
            <w:gridSpan w:val="35"/>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Material modifications to instruments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2620" w:type="dxa"/>
            <w:vAlign w:val="bottom"/>
            <w:tcBorders>
              <w:top w:val="single" w:sz="8" w:color="0000EE"/>
            </w:tcBorders>
            <w:gridSpan w:val="21"/>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Material modifications to rights</w:t>
              </w:r>
            </w:hyperlink>
          </w:p>
        </w:tc>
        <w:tc>
          <w:tcPr>
            <w:tcW w:w="5780" w:type="dxa"/>
            <w:vAlign w:val="bottom"/>
            <w:gridSpan w:val="14"/>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8400" w:type="dxa"/>
            <w:vAlign w:val="bottom"/>
            <w:gridSpan w:val="35"/>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Withdrawal or substitution of assets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D.</w:t>
            </w:r>
          </w:p>
        </w:tc>
        <w:tc>
          <w:tcPr>
            <w:tcW w:w="2600" w:type="dxa"/>
            <w:vAlign w:val="bottom"/>
            <w:tcBorders>
              <w:bottom w:val="single" w:sz="8" w:color="0000EE"/>
            </w:tcBorders>
            <w:gridSpan w:val="20"/>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Change in trustees or paying agents</w:t>
              </w:r>
            </w:hyperlink>
          </w:p>
        </w:tc>
        <w:tc>
          <w:tcPr>
            <w:tcW w:w="5800" w:type="dxa"/>
            <w:vAlign w:val="bottom"/>
            <w:gridSpan w:val="15"/>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E.</w:t>
            </w:r>
          </w:p>
        </w:tc>
        <w:tc>
          <w:tcPr>
            <w:tcW w:w="1200" w:type="dxa"/>
            <w:vAlign w:val="bottom"/>
            <w:tcBorders>
              <w:bottom w:val="single" w:sz="8" w:color="0000EE"/>
            </w:tcBorders>
            <w:gridSpan w:val="9"/>
          </w:tcPr>
          <w:p>
            <w:pPr>
              <w:spacing w:after="0" w:line="183" w:lineRule="exact"/>
              <w:rPr>
                <w:rFonts w:ascii="Arial" w:cs="Arial" w:eastAsia="Arial" w:hAnsi="Arial"/>
                <w:sz w:val="16"/>
                <w:szCs w:val="16"/>
                <w:color w:val="0000EE"/>
                <w:w w:val="99"/>
              </w:rPr>
            </w:pPr>
            <w:hyperlink w:anchor="page107">
              <w:r>
                <w:rPr>
                  <w:rFonts w:ascii="Arial" w:cs="Arial" w:eastAsia="Arial" w:hAnsi="Arial"/>
                  <w:sz w:val="16"/>
                  <w:szCs w:val="16"/>
                  <w:color w:val="0000EE"/>
                  <w:w w:val="99"/>
                </w:rPr>
                <w:t>Use of Proceeds</w:t>
              </w:r>
            </w:hyperlink>
          </w:p>
        </w:tc>
        <w:tc>
          <w:tcPr>
            <w:tcW w:w="7200" w:type="dxa"/>
            <w:vAlign w:val="bottom"/>
            <w:gridSpan w:val="26"/>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183"/>
        </w:trPr>
        <w:tc>
          <w:tcPr>
            <w:tcW w:w="9520" w:type="dxa"/>
            <w:vAlign w:val="bottom"/>
            <w:gridSpan w:val="38"/>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ITEM 15. CONTROLS AND PROCEDURES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8400" w:type="dxa"/>
            <w:vAlign w:val="bottom"/>
            <w:gridSpan w:val="35"/>
          </w:tcPr>
          <w:p>
            <w:pPr>
              <w:spacing w:after="0" w:line="183" w:lineRule="exact"/>
              <w:rPr>
                <w:rFonts w:ascii="Arial" w:cs="Arial" w:eastAsia="Arial" w:hAnsi="Arial"/>
                <w:sz w:val="16"/>
                <w:szCs w:val="16"/>
                <w:color w:val="0000EE"/>
              </w:rPr>
            </w:pPr>
            <w:hyperlink w:anchor="page107">
              <w:r>
                <w:rPr>
                  <w:rFonts w:ascii="Arial" w:cs="Arial" w:eastAsia="Arial" w:hAnsi="Arial"/>
                  <w:sz w:val="16"/>
                  <w:szCs w:val="16"/>
                  <w:color w:val="0000EE"/>
                </w:rPr>
                <w:t>Disclosure Controls and Procedures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103</w:t>
            </w: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5320" w:type="dxa"/>
            <w:vAlign w:val="bottom"/>
            <w:tcBorders>
              <w:bottom w:val="single" w:sz="8" w:color="0000EE"/>
            </w:tcBorders>
            <w:gridSpan w:val="29"/>
          </w:tcPr>
          <w:p>
            <w:pPr>
              <w:spacing w:after="0" w:line="183" w:lineRule="exact"/>
              <w:rPr>
                <w:rFonts w:ascii="Arial" w:cs="Arial" w:eastAsia="Arial" w:hAnsi="Arial"/>
                <w:sz w:val="16"/>
                <w:szCs w:val="16"/>
                <w:color w:val="0000EE"/>
              </w:rPr>
            </w:pPr>
            <w:hyperlink w:anchor="page108">
              <w:r>
                <w:rPr>
                  <w:rFonts w:ascii="Arial" w:cs="Arial" w:eastAsia="Arial" w:hAnsi="Arial"/>
                  <w:sz w:val="16"/>
                  <w:szCs w:val="16"/>
                  <w:color w:val="0000EE"/>
                </w:rPr>
                <w:t>Management’s Annual Report on Internal Control over Financial Reporting</w:t>
              </w:r>
            </w:hyperlink>
          </w:p>
        </w:tc>
        <w:tc>
          <w:tcPr>
            <w:tcW w:w="3080" w:type="dxa"/>
            <w:vAlign w:val="bottom"/>
            <w:gridSpan w:val="6"/>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104</w:t>
            </w: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4280" w:type="dxa"/>
            <w:vAlign w:val="bottom"/>
            <w:tcBorders>
              <w:bottom w:val="single" w:sz="8" w:color="0000EE"/>
            </w:tcBorders>
            <w:gridSpan w:val="28"/>
          </w:tcPr>
          <w:p>
            <w:pPr>
              <w:spacing w:after="0" w:line="183" w:lineRule="exact"/>
              <w:rPr>
                <w:rFonts w:ascii="Arial" w:cs="Arial" w:eastAsia="Arial" w:hAnsi="Arial"/>
                <w:sz w:val="16"/>
                <w:szCs w:val="16"/>
                <w:color w:val="0000EE"/>
              </w:rPr>
            </w:pPr>
            <w:hyperlink w:anchor="page108">
              <w:r>
                <w:rPr>
                  <w:rFonts w:ascii="Arial" w:cs="Arial" w:eastAsia="Arial" w:hAnsi="Arial"/>
                  <w:sz w:val="16"/>
                  <w:szCs w:val="16"/>
                  <w:color w:val="0000EE"/>
                </w:rPr>
                <w:t>Attestation Report of the Registered Public Accounting Firm</w:t>
              </w:r>
            </w:hyperlink>
          </w:p>
        </w:tc>
        <w:tc>
          <w:tcPr>
            <w:tcW w:w="4120" w:type="dxa"/>
            <w:vAlign w:val="bottom"/>
            <w:gridSpan w:val="7"/>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104</w:t>
            </w: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D.</w:t>
            </w:r>
          </w:p>
        </w:tc>
        <w:tc>
          <w:tcPr>
            <w:tcW w:w="8400" w:type="dxa"/>
            <w:vAlign w:val="bottom"/>
            <w:gridSpan w:val="35"/>
          </w:tcPr>
          <w:p>
            <w:pPr>
              <w:spacing w:after="0" w:line="183" w:lineRule="exact"/>
              <w:rPr>
                <w:rFonts w:ascii="Arial" w:cs="Arial" w:eastAsia="Arial" w:hAnsi="Arial"/>
                <w:sz w:val="16"/>
                <w:szCs w:val="16"/>
                <w:color w:val="0000EE"/>
              </w:rPr>
            </w:pPr>
            <w:hyperlink w:anchor="page108">
              <w:r>
                <w:rPr>
                  <w:rFonts w:ascii="Arial" w:cs="Arial" w:eastAsia="Arial" w:hAnsi="Arial"/>
                  <w:sz w:val="16"/>
                  <w:szCs w:val="16"/>
                  <w:color w:val="0000EE"/>
                </w:rPr>
                <w:t>Changes in Internal Control over Financial Reporting</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104</w:t>
            </w:r>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1600" w:type="dxa"/>
            <w:vAlign w:val="bottom"/>
            <w:tcBorders>
              <w:bottom w:val="single" w:sz="8" w:color="0000EE"/>
            </w:tcBorders>
            <w:gridSpan w:val="6"/>
          </w:tcPr>
          <w:p>
            <w:pPr>
              <w:spacing w:after="0" w:line="183" w:lineRule="exact"/>
              <w:rPr>
                <w:rFonts w:ascii="Arial" w:cs="Arial" w:eastAsia="Arial" w:hAnsi="Arial"/>
                <w:sz w:val="16"/>
                <w:szCs w:val="16"/>
                <w:color w:val="0000EE"/>
              </w:rPr>
            </w:pPr>
            <w:hyperlink w:anchor="page108">
              <w:r>
                <w:rPr>
                  <w:rFonts w:ascii="Arial" w:cs="Arial" w:eastAsia="Arial" w:hAnsi="Arial"/>
                  <w:sz w:val="16"/>
                  <w:szCs w:val="16"/>
                  <w:color w:val="0000EE"/>
                </w:rPr>
                <w:t>ITEM 16. RESERVED</w:t>
              </w:r>
            </w:hyperlink>
          </w:p>
        </w:tc>
        <w:tc>
          <w:tcPr>
            <w:tcW w:w="7920" w:type="dxa"/>
            <w:vAlign w:val="bottom"/>
            <w:gridSpan w:val="32"/>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104</w:t>
            </w:r>
          </w:p>
        </w:tc>
      </w:tr>
      <w:tr>
        <w:trPr>
          <w:trHeight w:val="183"/>
        </w:trPr>
        <w:tc>
          <w:tcPr>
            <w:tcW w:w="9520" w:type="dxa"/>
            <w:vAlign w:val="bottom"/>
            <w:gridSpan w:val="38"/>
          </w:tcPr>
          <w:p>
            <w:pPr>
              <w:spacing w:after="0" w:line="183" w:lineRule="exact"/>
              <w:rPr>
                <w:rFonts w:ascii="Arial" w:cs="Arial" w:eastAsia="Arial" w:hAnsi="Arial"/>
                <w:sz w:val="16"/>
                <w:szCs w:val="16"/>
                <w:color w:val="0000EE"/>
              </w:rPr>
            </w:pPr>
            <w:hyperlink w:anchor="page108">
              <w:r>
                <w:rPr>
                  <w:rFonts w:ascii="Arial" w:cs="Arial" w:eastAsia="Arial" w:hAnsi="Arial"/>
                  <w:sz w:val="16"/>
                  <w:szCs w:val="16"/>
                  <w:color w:val="0000EE"/>
                </w:rPr>
                <w:t>ITEM 16A. AUDIT COMMITTEE FINANCIAL EXPERT</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104</w:t>
            </w:r>
          </w:p>
        </w:tc>
      </w:tr>
      <w:tr>
        <w:trPr>
          <w:trHeight w:val="183"/>
        </w:trPr>
        <w:tc>
          <w:tcPr>
            <w:tcW w:w="224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color w:val="0000EE"/>
              </w:rPr>
            </w:pPr>
            <w:hyperlink w:anchor="page108">
              <w:r>
                <w:rPr>
                  <w:rFonts w:ascii="Arial" w:cs="Arial" w:eastAsia="Arial" w:hAnsi="Arial"/>
                  <w:sz w:val="16"/>
                  <w:szCs w:val="16"/>
                  <w:color w:val="0000EE"/>
                </w:rPr>
                <w:t>ITEM 16B. CODE OF ETHICS</w:t>
              </w:r>
            </w:hyperlink>
          </w:p>
        </w:tc>
        <w:tc>
          <w:tcPr>
            <w:tcW w:w="1660" w:type="dxa"/>
            <w:vAlign w:val="bottom"/>
            <w:tcBorders>
              <w:top w:val="single" w:sz="8" w:color="0000EE"/>
            </w:tcBorders>
            <w:gridSpan w:val="14"/>
          </w:tcPr>
          <w:p>
            <w:pPr>
              <w:spacing w:after="0"/>
              <w:rPr>
                <w:sz w:val="15"/>
                <w:szCs w:val="15"/>
                <w:color w:val="auto"/>
              </w:rPr>
            </w:pPr>
          </w:p>
        </w:tc>
        <w:tc>
          <w:tcPr>
            <w:tcW w:w="5620" w:type="dxa"/>
            <w:vAlign w:val="bottom"/>
            <w:gridSpan w:val="13"/>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104</w:t>
            </w:r>
          </w:p>
        </w:tc>
      </w:tr>
      <w:tr>
        <w:trPr>
          <w:trHeight w:val="183"/>
        </w:trPr>
        <w:tc>
          <w:tcPr>
            <w:tcW w:w="9520" w:type="dxa"/>
            <w:vAlign w:val="bottom"/>
            <w:gridSpan w:val="38"/>
          </w:tcPr>
          <w:p>
            <w:pPr>
              <w:spacing w:after="0" w:line="183" w:lineRule="exact"/>
              <w:rPr>
                <w:rFonts w:ascii="Arial" w:cs="Arial" w:eastAsia="Arial" w:hAnsi="Arial"/>
                <w:sz w:val="16"/>
                <w:szCs w:val="16"/>
                <w:color w:val="0000EE"/>
              </w:rPr>
            </w:pPr>
            <w:hyperlink w:anchor="page109">
              <w:r>
                <w:rPr>
                  <w:rFonts w:ascii="Arial" w:cs="Arial" w:eastAsia="Arial" w:hAnsi="Arial"/>
                  <w:sz w:val="16"/>
                  <w:szCs w:val="16"/>
                  <w:color w:val="0000EE"/>
                </w:rPr>
                <w:t>ITEM 16C. PRINCIPAL ACCOUNTANT FEES AND SERVICES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183"/>
        </w:trPr>
        <w:tc>
          <w:tcPr>
            <w:tcW w:w="5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jc w:val="right"/>
              <w:ind w:right="59"/>
              <w:spacing w:after="0" w:line="183" w:lineRule="exact"/>
              <w:rPr>
                <w:sz w:val="20"/>
                <w:szCs w:val="20"/>
                <w:color w:val="auto"/>
              </w:rPr>
            </w:pPr>
            <w:r>
              <w:rPr>
                <w:rFonts w:ascii="Arial" w:cs="Arial" w:eastAsia="Arial" w:hAnsi="Arial"/>
                <w:sz w:val="16"/>
                <w:szCs w:val="16"/>
                <w:color w:val="auto"/>
              </w:rPr>
              <w:t>A.</w:t>
            </w:r>
          </w:p>
        </w:tc>
        <w:tc>
          <w:tcPr>
            <w:tcW w:w="3420" w:type="dxa"/>
            <w:vAlign w:val="bottom"/>
            <w:tcBorders>
              <w:top w:val="single" w:sz="8" w:color="0000EE"/>
            </w:tcBorders>
            <w:gridSpan w:val="23"/>
          </w:tcPr>
          <w:p>
            <w:pPr>
              <w:spacing w:after="0" w:line="183" w:lineRule="exact"/>
              <w:rPr>
                <w:rFonts w:ascii="Arial" w:cs="Arial" w:eastAsia="Arial" w:hAnsi="Arial"/>
                <w:sz w:val="16"/>
                <w:szCs w:val="16"/>
                <w:color w:val="0000EE"/>
              </w:rPr>
            </w:pPr>
            <w:hyperlink w:anchor="page109">
              <w:r>
                <w:rPr>
                  <w:rFonts w:ascii="Arial" w:cs="Arial" w:eastAsia="Arial" w:hAnsi="Arial"/>
                  <w:sz w:val="16"/>
                  <w:szCs w:val="16"/>
                  <w:color w:val="0000EE"/>
                </w:rPr>
                <w:t>Audit Fees</w:t>
              </w:r>
            </w:hyperlink>
          </w:p>
        </w:tc>
        <w:tc>
          <w:tcPr>
            <w:tcW w:w="4980" w:type="dxa"/>
            <w:vAlign w:val="bottom"/>
            <w:gridSpan w:val="12"/>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B.</w:t>
            </w:r>
          </w:p>
        </w:tc>
        <w:tc>
          <w:tcPr>
            <w:tcW w:w="8400" w:type="dxa"/>
            <w:vAlign w:val="bottom"/>
            <w:gridSpan w:val="35"/>
          </w:tcPr>
          <w:p>
            <w:pPr>
              <w:spacing w:after="0" w:line="183" w:lineRule="exact"/>
              <w:rPr>
                <w:rFonts w:ascii="Arial" w:cs="Arial" w:eastAsia="Arial" w:hAnsi="Arial"/>
                <w:sz w:val="16"/>
                <w:szCs w:val="16"/>
                <w:color w:val="0000EE"/>
              </w:rPr>
            </w:pPr>
            <w:hyperlink w:anchor="page109">
              <w:r>
                <w:rPr>
                  <w:rFonts w:ascii="Arial" w:cs="Arial" w:eastAsia="Arial" w:hAnsi="Arial"/>
                  <w:sz w:val="16"/>
                  <w:szCs w:val="16"/>
                  <w:color w:val="0000EE"/>
                </w:rPr>
                <w:t>Audit-Related Fees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C.</w:t>
            </w:r>
          </w:p>
        </w:tc>
        <w:tc>
          <w:tcPr>
            <w:tcW w:w="66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5"/>
              </w:rPr>
            </w:pPr>
            <w:hyperlink w:anchor="page109">
              <w:r>
                <w:rPr>
                  <w:rFonts w:ascii="Arial" w:cs="Arial" w:eastAsia="Arial" w:hAnsi="Arial"/>
                  <w:sz w:val="16"/>
                  <w:szCs w:val="16"/>
                  <w:color w:val="0000EE"/>
                  <w:w w:val="95"/>
                </w:rPr>
                <w:t>Tax Fees</w:t>
              </w:r>
            </w:hyperlink>
          </w:p>
        </w:tc>
        <w:tc>
          <w:tcPr>
            <w:tcW w:w="720" w:type="dxa"/>
            <w:vAlign w:val="bottom"/>
            <w:tcBorders>
              <w:top w:val="single" w:sz="8" w:color="0000EE"/>
            </w:tcBorders>
            <w:gridSpan w:val="5"/>
          </w:tcPr>
          <w:p>
            <w:pPr>
              <w:spacing w:after="0"/>
              <w:rPr>
                <w:sz w:val="15"/>
                <w:szCs w:val="15"/>
                <w:color w:val="auto"/>
              </w:rPr>
            </w:pPr>
          </w:p>
        </w:tc>
        <w:tc>
          <w:tcPr>
            <w:tcW w:w="7020" w:type="dxa"/>
            <w:vAlign w:val="bottom"/>
            <w:gridSpan w:val="25"/>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D.</w:t>
            </w:r>
          </w:p>
        </w:tc>
        <w:tc>
          <w:tcPr>
            <w:tcW w:w="1040" w:type="dxa"/>
            <w:vAlign w:val="bottom"/>
            <w:tcBorders>
              <w:bottom w:val="single" w:sz="8" w:color="0000EE"/>
            </w:tcBorders>
            <w:gridSpan w:val="7"/>
          </w:tcPr>
          <w:p>
            <w:pPr>
              <w:spacing w:after="0" w:line="183" w:lineRule="exact"/>
              <w:rPr>
                <w:rFonts w:ascii="Arial" w:cs="Arial" w:eastAsia="Arial" w:hAnsi="Arial"/>
                <w:sz w:val="16"/>
                <w:szCs w:val="16"/>
                <w:color w:val="0000EE"/>
                <w:w w:val="99"/>
              </w:rPr>
            </w:pPr>
            <w:hyperlink w:anchor="page109">
              <w:r>
                <w:rPr>
                  <w:rFonts w:ascii="Arial" w:cs="Arial" w:eastAsia="Arial" w:hAnsi="Arial"/>
                  <w:sz w:val="16"/>
                  <w:szCs w:val="16"/>
                  <w:color w:val="0000EE"/>
                  <w:w w:val="99"/>
                </w:rPr>
                <w:t>All Other Fees</w:t>
              </w:r>
            </w:hyperlink>
          </w:p>
        </w:tc>
        <w:tc>
          <w:tcPr>
            <w:tcW w:w="7360" w:type="dxa"/>
            <w:vAlign w:val="bottom"/>
            <w:gridSpan w:val="28"/>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E.</w:t>
            </w:r>
          </w:p>
        </w:tc>
        <w:tc>
          <w:tcPr>
            <w:tcW w:w="8400" w:type="dxa"/>
            <w:vAlign w:val="bottom"/>
            <w:gridSpan w:val="35"/>
          </w:tcPr>
          <w:p>
            <w:pPr>
              <w:spacing w:after="0" w:line="183" w:lineRule="exact"/>
              <w:rPr>
                <w:rFonts w:ascii="Arial" w:cs="Arial" w:eastAsia="Arial" w:hAnsi="Arial"/>
                <w:sz w:val="16"/>
                <w:szCs w:val="16"/>
                <w:color w:val="0000EE"/>
              </w:rPr>
            </w:pPr>
            <w:hyperlink w:anchor="page109">
              <w:r>
                <w:rPr>
                  <w:rFonts w:ascii="Arial" w:cs="Arial" w:eastAsia="Arial" w:hAnsi="Arial"/>
                  <w:sz w:val="16"/>
                  <w:szCs w:val="16"/>
                  <w:color w:val="0000EE"/>
                </w:rPr>
                <w:t>Audit Committee’s Pre-Approval Policies and Procedures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20" w:type="dxa"/>
            <w:vAlign w:val="bottom"/>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F.</w:t>
            </w:r>
          </w:p>
        </w:tc>
        <w:tc>
          <w:tcPr>
            <w:tcW w:w="5640" w:type="dxa"/>
            <w:vAlign w:val="bottom"/>
            <w:tcBorders>
              <w:bottom w:val="single" w:sz="8" w:color="0000EE"/>
            </w:tcBorders>
            <w:gridSpan w:val="31"/>
          </w:tcPr>
          <w:p>
            <w:pPr>
              <w:spacing w:after="0" w:line="183" w:lineRule="exact"/>
              <w:rPr>
                <w:rFonts w:ascii="Arial" w:cs="Arial" w:eastAsia="Arial" w:hAnsi="Arial"/>
                <w:sz w:val="16"/>
                <w:szCs w:val="16"/>
                <w:color w:val="0000EE"/>
              </w:rPr>
            </w:pPr>
            <w:hyperlink w:anchor="page109">
              <w:r>
                <w:rPr>
                  <w:rFonts w:ascii="Arial" w:cs="Arial" w:eastAsia="Arial" w:hAnsi="Arial"/>
                  <w:sz w:val="16"/>
                  <w:szCs w:val="16"/>
                  <w:color w:val="0000EE"/>
                </w:rPr>
                <w:t>Audit Work Performed by Other Than Principal Accountant if Greater than 50%</w:t>
              </w:r>
            </w:hyperlink>
          </w:p>
        </w:tc>
        <w:tc>
          <w:tcPr>
            <w:tcW w:w="2760" w:type="dxa"/>
            <w:vAlign w:val="bottom"/>
            <w:gridSpan w:val="4"/>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183"/>
        </w:trPr>
        <w:tc>
          <w:tcPr>
            <w:tcW w:w="6540" w:type="dxa"/>
            <w:vAlign w:val="bottom"/>
            <w:tcBorders>
              <w:bottom w:val="single" w:sz="8" w:color="0000EE"/>
            </w:tcBorders>
            <w:gridSpan w:val="33"/>
          </w:tcPr>
          <w:p>
            <w:pPr>
              <w:spacing w:after="0" w:line="183" w:lineRule="exact"/>
              <w:rPr>
                <w:rFonts w:ascii="Arial" w:cs="Arial" w:eastAsia="Arial" w:hAnsi="Arial"/>
                <w:sz w:val="16"/>
                <w:szCs w:val="16"/>
                <w:color w:val="0000EE"/>
              </w:rPr>
            </w:pPr>
            <w:hyperlink w:anchor="page109">
              <w:r>
                <w:rPr>
                  <w:rFonts w:ascii="Arial" w:cs="Arial" w:eastAsia="Arial" w:hAnsi="Arial"/>
                  <w:sz w:val="16"/>
                  <w:szCs w:val="16"/>
                  <w:color w:val="0000EE"/>
                </w:rPr>
                <w:t>ITEM 16D. EXEMPTIONS FROM THE LISTING STANDARDS FOR AUDIT COMMITTEES</w:t>
              </w:r>
            </w:hyperlink>
          </w:p>
        </w:tc>
        <w:tc>
          <w:tcPr>
            <w:tcW w:w="2980" w:type="dxa"/>
            <w:vAlign w:val="bottom"/>
            <w:gridSpan w:val="5"/>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183"/>
        </w:trPr>
        <w:tc>
          <w:tcPr>
            <w:tcW w:w="9520" w:type="dxa"/>
            <w:vAlign w:val="bottom"/>
            <w:gridSpan w:val="38"/>
          </w:tcPr>
          <w:p>
            <w:pPr>
              <w:spacing w:after="0" w:line="183" w:lineRule="exact"/>
              <w:rPr>
                <w:rFonts w:ascii="Arial" w:cs="Arial" w:eastAsia="Arial" w:hAnsi="Arial"/>
                <w:sz w:val="16"/>
                <w:szCs w:val="16"/>
                <w:color w:val="0000EE"/>
              </w:rPr>
            </w:pPr>
            <w:hyperlink w:anchor="page109">
              <w:r>
                <w:rPr>
                  <w:rFonts w:ascii="Arial" w:cs="Arial" w:eastAsia="Arial" w:hAnsi="Arial"/>
                  <w:sz w:val="16"/>
                  <w:szCs w:val="16"/>
                  <w:color w:val="0000EE"/>
                </w:rPr>
                <w:t>ITEM 16E. PURCHASES OF EQUITY SECURITIES BY THE ISSUER AND AFFILIATED PURCHASERS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183"/>
        </w:trPr>
        <w:tc>
          <w:tcPr>
            <w:tcW w:w="7540" w:type="dxa"/>
            <w:vAlign w:val="bottom"/>
            <w:tcBorders>
              <w:top w:val="single" w:sz="8" w:color="0000EE"/>
            </w:tcBorders>
            <w:gridSpan w:val="36"/>
          </w:tcPr>
          <w:p>
            <w:pPr>
              <w:spacing w:after="0" w:line="183" w:lineRule="exact"/>
              <w:rPr>
                <w:rFonts w:ascii="Arial" w:cs="Arial" w:eastAsia="Arial" w:hAnsi="Arial"/>
                <w:sz w:val="16"/>
                <w:szCs w:val="16"/>
                <w:color w:val="0000EE"/>
              </w:rPr>
            </w:pPr>
            <w:hyperlink w:anchor="page109">
              <w:r>
                <w:rPr>
                  <w:rFonts w:ascii="Arial" w:cs="Arial" w:eastAsia="Arial" w:hAnsi="Arial"/>
                  <w:sz w:val="16"/>
                  <w:szCs w:val="16"/>
                  <w:color w:val="0000EE"/>
                </w:rPr>
                <w:t>ITEM 16F. CHANGE IN REGISTRANT’S CERTIFYING ACCOUNTANT</w:t>
              </w:r>
            </w:hyperlink>
          </w:p>
        </w:tc>
        <w:tc>
          <w:tcPr>
            <w:tcW w:w="1980" w:type="dxa"/>
            <w:vAlign w:val="bottom"/>
            <w:gridSpan w:val="2"/>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183"/>
        </w:trPr>
        <w:tc>
          <w:tcPr>
            <w:tcW w:w="5100" w:type="dxa"/>
            <w:vAlign w:val="bottom"/>
            <w:tcBorders>
              <w:top w:val="single" w:sz="8" w:color="0000EE"/>
            </w:tcBorders>
            <w:gridSpan w:val="28"/>
          </w:tcPr>
          <w:p>
            <w:pPr>
              <w:spacing w:after="0" w:line="183" w:lineRule="exact"/>
              <w:rPr>
                <w:rFonts w:ascii="Arial" w:cs="Arial" w:eastAsia="Arial" w:hAnsi="Arial"/>
                <w:sz w:val="16"/>
                <w:szCs w:val="16"/>
                <w:color w:val="0000EE"/>
              </w:rPr>
            </w:pPr>
            <w:hyperlink w:anchor="page109">
              <w:r>
                <w:rPr>
                  <w:rFonts w:ascii="Arial" w:cs="Arial" w:eastAsia="Arial" w:hAnsi="Arial"/>
                  <w:sz w:val="16"/>
                  <w:szCs w:val="16"/>
                  <w:color w:val="0000EE"/>
                </w:rPr>
                <w:t>ITEM 16G. CORPORATE GOVERNANCE</w:t>
              </w:r>
            </w:hyperlink>
          </w:p>
        </w:tc>
        <w:tc>
          <w:tcPr>
            <w:tcW w:w="4420" w:type="dxa"/>
            <w:vAlign w:val="bottom"/>
            <w:gridSpan w:val="10"/>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183"/>
        </w:trPr>
        <w:tc>
          <w:tcPr>
            <w:tcW w:w="3040" w:type="dxa"/>
            <w:vAlign w:val="bottom"/>
            <w:tcBorders>
              <w:top w:val="single" w:sz="8" w:color="0000EE"/>
            </w:tcBorders>
            <w:gridSpan w:val="18"/>
          </w:tcPr>
          <w:p>
            <w:pPr>
              <w:spacing w:after="0" w:line="183" w:lineRule="exact"/>
              <w:rPr>
                <w:rFonts w:ascii="Arial" w:cs="Arial" w:eastAsia="Arial" w:hAnsi="Arial"/>
                <w:sz w:val="16"/>
                <w:szCs w:val="16"/>
                <w:color w:val="0000EE"/>
              </w:rPr>
            </w:pPr>
            <w:hyperlink w:anchor="page109">
              <w:r>
                <w:rPr>
                  <w:rFonts w:ascii="Arial" w:cs="Arial" w:eastAsia="Arial" w:hAnsi="Arial"/>
                  <w:sz w:val="16"/>
                  <w:szCs w:val="16"/>
                  <w:color w:val="0000EE"/>
                </w:rPr>
                <w:t>ITEM 16H. MINE SAFETY DISCLOSURE</w:t>
              </w:r>
            </w:hyperlink>
          </w:p>
        </w:tc>
        <w:tc>
          <w:tcPr>
            <w:tcW w:w="6480" w:type="dxa"/>
            <w:vAlign w:val="bottom"/>
            <w:gridSpan w:val="20"/>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140" w:type="dxa"/>
            <w:vAlign w:val="bottom"/>
            <w:gridSpan w:val="1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9520" w:type="dxa"/>
            <w:vAlign w:val="bottom"/>
            <w:gridSpan w:val="38"/>
          </w:tcPr>
          <w:p>
            <w:pPr>
              <w:spacing w:after="0" w:line="169" w:lineRule="exact"/>
              <w:rPr>
                <w:rFonts w:ascii="Arial" w:cs="Arial" w:eastAsia="Arial" w:hAnsi="Arial"/>
                <w:sz w:val="16"/>
                <w:szCs w:val="16"/>
                <w:color w:val="0000EE"/>
              </w:rPr>
            </w:pPr>
            <w:hyperlink w:anchor="page109">
              <w:r>
                <w:rPr>
                  <w:rFonts w:ascii="Arial" w:cs="Arial" w:eastAsia="Arial" w:hAnsi="Arial"/>
                  <w:sz w:val="16"/>
                  <w:szCs w:val="16"/>
                  <w:color w:val="0000EE"/>
                </w:rPr>
                <w:t>ITEM 16I. DISCLOSURE REGARDING FOREIGN JURISDICTIONS THAT PREVENT INSPECTIONS</w:t>
              </w:r>
            </w:hyperlink>
          </w:p>
        </w:tc>
        <w:tc>
          <w:tcPr>
            <w:tcW w:w="1700" w:type="dxa"/>
            <w:vAlign w:val="bottom"/>
          </w:tcPr>
          <w:p>
            <w:pPr>
              <w:jc w:val="right"/>
              <w:spacing w:after="0" w:line="169" w:lineRule="exact"/>
              <w:rPr>
                <w:sz w:val="20"/>
                <w:szCs w:val="20"/>
                <w:color w:val="auto"/>
              </w:rPr>
            </w:pPr>
            <w:r>
              <w:rPr>
                <w:rFonts w:ascii="Arial" w:cs="Arial" w:eastAsia="Arial" w:hAnsi="Arial"/>
                <w:sz w:val="16"/>
                <w:szCs w:val="16"/>
                <w:color w:val="auto"/>
              </w:rPr>
              <w:t>105</w:t>
            </w:r>
          </w:p>
        </w:tc>
      </w:tr>
      <w:tr>
        <w:trPr>
          <w:trHeight w:val="196"/>
        </w:trPr>
        <w:tc>
          <w:tcPr>
            <w:tcW w:w="1120" w:type="dxa"/>
            <w:vAlign w:val="bottom"/>
            <w:tcBorders>
              <w:top w:val="single" w:sz="8" w:color="0000EE"/>
            </w:tcBorders>
            <w:gridSpan w:val="3"/>
          </w:tcPr>
          <w:p>
            <w:pPr>
              <w:spacing w:after="0"/>
              <w:rPr>
                <w:rFonts w:ascii="Arial" w:cs="Arial" w:eastAsia="Arial" w:hAnsi="Arial"/>
                <w:sz w:val="16"/>
                <w:szCs w:val="16"/>
                <w:color w:val="0000EE"/>
              </w:rPr>
            </w:pPr>
            <w:hyperlink w:anchor="page110">
              <w:r>
                <w:rPr>
                  <w:rFonts w:ascii="Arial" w:cs="Arial" w:eastAsia="Arial" w:hAnsi="Arial"/>
                  <w:sz w:val="16"/>
                  <w:szCs w:val="16"/>
                  <w:color w:val="0000EE"/>
                </w:rPr>
                <w:t>PART III</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340" w:type="dxa"/>
            <w:vAlign w:val="bottom"/>
            <w:gridSpan w:val="1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2680" w:type="dxa"/>
            <w:vAlign w:val="bottom"/>
            <w:tcBorders>
              <w:bottom w:val="single" w:sz="8" w:color="0000EE"/>
            </w:tcBorders>
            <w:gridSpan w:val="16"/>
          </w:tcPr>
          <w:p>
            <w:pPr>
              <w:spacing w:after="0" w:line="183" w:lineRule="exact"/>
              <w:rPr>
                <w:rFonts w:ascii="Arial" w:cs="Arial" w:eastAsia="Arial" w:hAnsi="Arial"/>
                <w:sz w:val="16"/>
                <w:szCs w:val="16"/>
                <w:color w:val="0000EE"/>
              </w:rPr>
            </w:pPr>
            <w:hyperlink w:anchor="page110">
              <w:r>
                <w:rPr>
                  <w:rFonts w:ascii="Arial" w:cs="Arial" w:eastAsia="Arial" w:hAnsi="Arial"/>
                  <w:sz w:val="16"/>
                  <w:szCs w:val="16"/>
                  <w:color w:val="0000EE"/>
                </w:rPr>
                <w:t>ITEM 17. FINANCIAL STATEMENTS</w:t>
              </w:r>
            </w:hyperlink>
          </w:p>
        </w:tc>
        <w:tc>
          <w:tcPr>
            <w:tcW w:w="6840" w:type="dxa"/>
            <w:vAlign w:val="bottom"/>
            <w:gridSpan w:val="22"/>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106</w:t>
            </w:r>
          </w:p>
        </w:tc>
      </w:tr>
      <w:tr>
        <w:trPr>
          <w:trHeight w:val="183"/>
        </w:trPr>
        <w:tc>
          <w:tcPr>
            <w:tcW w:w="9520" w:type="dxa"/>
            <w:vAlign w:val="bottom"/>
            <w:gridSpan w:val="38"/>
          </w:tcPr>
          <w:p>
            <w:pPr>
              <w:spacing w:after="0" w:line="183" w:lineRule="exact"/>
              <w:rPr>
                <w:rFonts w:ascii="Arial" w:cs="Arial" w:eastAsia="Arial" w:hAnsi="Arial"/>
                <w:sz w:val="16"/>
                <w:szCs w:val="16"/>
                <w:color w:val="0000EE"/>
              </w:rPr>
            </w:pPr>
            <w:hyperlink w:anchor="page110">
              <w:r>
                <w:rPr>
                  <w:rFonts w:ascii="Arial" w:cs="Arial" w:eastAsia="Arial" w:hAnsi="Arial"/>
                  <w:sz w:val="16"/>
                  <w:szCs w:val="16"/>
                  <w:color w:val="0000EE"/>
                </w:rPr>
                <w:t>ITEM 18. FINANCIAL STATEMENTS</w:t>
              </w:r>
            </w:hyperlink>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106</w:t>
            </w:r>
          </w:p>
        </w:tc>
      </w:tr>
      <w:tr>
        <w:trPr>
          <w:trHeight w:val="183"/>
        </w:trPr>
        <w:tc>
          <w:tcPr>
            <w:tcW w:w="128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rPr>
            </w:pPr>
            <w:hyperlink w:anchor="page110">
              <w:r>
                <w:rPr>
                  <w:rFonts w:ascii="Arial" w:cs="Arial" w:eastAsia="Arial" w:hAnsi="Arial"/>
                  <w:sz w:val="16"/>
                  <w:szCs w:val="16"/>
                  <w:color w:val="0000EE"/>
                </w:rPr>
                <w:t>ITEM 19. Exhibits</w:t>
              </w:r>
            </w:hyperlink>
          </w:p>
        </w:tc>
        <w:tc>
          <w:tcPr>
            <w:tcW w:w="1380" w:type="dxa"/>
            <w:vAlign w:val="bottom"/>
            <w:tcBorders>
              <w:top w:val="single" w:sz="8" w:color="0000EE"/>
            </w:tcBorders>
            <w:gridSpan w:val="11"/>
          </w:tcPr>
          <w:p>
            <w:pPr>
              <w:spacing w:after="0"/>
              <w:rPr>
                <w:sz w:val="15"/>
                <w:szCs w:val="15"/>
                <w:color w:val="auto"/>
              </w:rPr>
            </w:pPr>
          </w:p>
        </w:tc>
        <w:tc>
          <w:tcPr>
            <w:tcW w:w="6860" w:type="dxa"/>
            <w:vAlign w:val="bottom"/>
            <w:gridSpan w:val="23"/>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106</w:t>
            </w:r>
          </w:p>
        </w:tc>
      </w:tr>
      <w:tr>
        <w:trPr>
          <w:trHeight w:val="183"/>
        </w:trPr>
        <w:tc>
          <w:tcPr>
            <w:tcW w:w="3180" w:type="dxa"/>
            <w:vAlign w:val="bottom"/>
            <w:tcBorders>
              <w:bottom w:val="single" w:sz="8" w:color="0000EE"/>
            </w:tcBorders>
            <w:gridSpan w:val="19"/>
          </w:tcPr>
          <w:p>
            <w:pPr>
              <w:spacing w:after="0" w:line="183" w:lineRule="exact"/>
              <w:rPr>
                <w:rFonts w:ascii="Arial" w:cs="Arial" w:eastAsia="Arial" w:hAnsi="Arial"/>
                <w:sz w:val="16"/>
                <w:szCs w:val="16"/>
                <w:color w:val="0000EE"/>
              </w:rPr>
            </w:pPr>
            <w:hyperlink w:anchor="page113">
              <w:r>
                <w:rPr>
                  <w:rFonts w:ascii="Arial" w:cs="Arial" w:eastAsia="Arial" w:hAnsi="Arial"/>
                  <w:sz w:val="16"/>
                  <w:szCs w:val="16"/>
                  <w:color w:val="0000EE"/>
                </w:rPr>
                <w:t>Index to Consolidated Financial Statements</w:t>
              </w:r>
            </w:hyperlink>
          </w:p>
        </w:tc>
        <w:tc>
          <w:tcPr>
            <w:tcW w:w="6340" w:type="dxa"/>
            <w:vAlign w:val="bottom"/>
            <w:gridSpan w:val="19"/>
          </w:tcPr>
          <w:p>
            <w:pPr>
              <w:spacing w:after="0"/>
              <w:rPr>
                <w:sz w:val="15"/>
                <w:szCs w:val="15"/>
                <w:color w:val="auto"/>
              </w:rPr>
            </w:pPr>
          </w:p>
        </w:tc>
        <w:tc>
          <w:tcPr>
            <w:tcW w:w="1700" w:type="dxa"/>
            <w:vAlign w:val="bottom"/>
          </w:tcPr>
          <w:p>
            <w:pPr>
              <w:jc w:val="right"/>
              <w:spacing w:after="0" w:line="183" w:lineRule="exact"/>
              <w:rPr>
                <w:sz w:val="20"/>
                <w:szCs w:val="20"/>
                <w:color w:val="auto"/>
              </w:rPr>
            </w:pPr>
            <w:r>
              <w:rPr>
                <w:rFonts w:ascii="Arial" w:cs="Arial" w:eastAsia="Arial" w:hAnsi="Arial"/>
                <w:sz w:val="16"/>
                <w:szCs w:val="16"/>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7" w:lineRule="exact"/>
        <w:rPr>
          <w:sz w:val="20"/>
          <w:szCs w:val="20"/>
          <w:color w:val="auto"/>
        </w:rPr>
      </w:pPr>
    </w:p>
    <w:p>
      <w:pPr>
        <w:ind w:left="120" w:right="860" w:firstLine="415"/>
        <w:spacing w:after="0" w:line="285" w:lineRule="auto"/>
        <w:rPr>
          <w:sz w:val="20"/>
          <w:szCs w:val="20"/>
          <w:color w:val="auto"/>
        </w:rPr>
      </w:pPr>
      <w:r>
        <w:rPr>
          <w:rFonts w:ascii="Arial" w:cs="Arial" w:eastAsia="Arial" w:hAnsi="Arial"/>
          <w:sz w:val="14"/>
          <w:szCs w:val="14"/>
          <w:color w:val="auto"/>
        </w:rPr>
        <w:t>Unless otherwise indicated or the context otherwise requires, all references in this Annual Report on Form 20-F, or this Annual Report, to “Pharvaris N.V.,” “Pharvaris,” the “Company,” “we,” “our,” “ours,” “us” or similar terms refer to Pharvaris N.V. and its subsidiaries.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Presentation of Financial and Other Information</w:t>
      </w:r>
    </w:p>
    <w:p>
      <w:pPr>
        <w:spacing w:after="0" w:line="316" w:lineRule="exact"/>
        <w:rPr>
          <w:sz w:val="20"/>
          <w:szCs w:val="20"/>
          <w:color w:val="auto"/>
        </w:rPr>
      </w:pPr>
    </w:p>
    <w:p>
      <w:pPr>
        <w:jc w:val="both"/>
        <w:ind w:left="120" w:right="80" w:firstLine="435"/>
        <w:spacing w:after="0" w:line="256" w:lineRule="auto"/>
        <w:rPr>
          <w:sz w:val="20"/>
          <w:szCs w:val="20"/>
          <w:color w:val="auto"/>
        </w:rPr>
      </w:pPr>
      <w:r>
        <w:rPr>
          <w:rFonts w:ascii="Arial" w:cs="Arial" w:eastAsia="Arial" w:hAnsi="Arial"/>
          <w:sz w:val="16"/>
          <w:szCs w:val="16"/>
          <w:color w:val="auto"/>
        </w:rPr>
        <w:t>We report under International Financial Reporting Standards, or IFRS, as issued by the International Accounting Standards Board, or the IASB. None of the consolidated financial statements in this Annual Report were prepared in accordance with generally accepted accounting principles in the United States, or U.S. GAAP. We present our consolidated financial statements in euros and in accordance with IFRS, as issued by the IASB. We have made rounding adjustments to some of the figures included in this Annual Report. Accordingly, numerical figures shown as totals in some tables may not be an arithmetic aggregation of the figures that preceded them.</w:t>
      </w:r>
    </w:p>
    <w:p>
      <w:pPr>
        <w:spacing w:after="0" w:line="126" w:lineRule="exact"/>
        <w:rPr>
          <w:sz w:val="20"/>
          <w:szCs w:val="20"/>
          <w:color w:val="auto"/>
        </w:rPr>
      </w:pPr>
    </w:p>
    <w:p>
      <w:pPr>
        <w:jc w:val="both"/>
        <w:ind w:left="120" w:firstLine="439"/>
        <w:spacing w:after="0" w:line="266" w:lineRule="auto"/>
        <w:rPr>
          <w:sz w:val="20"/>
          <w:szCs w:val="20"/>
          <w:color w:val="auto"/>
        </w:rPr>
      </w:pPr>
      <w:r>
        <w:rPr>
          <w:rFonts w:ascii="Arial" w:cs="Arial" w:eastAsia="Arial" w:hAnsi="Arial"/>
          <w:sz w:val="16"/>
          <w:szCs w:val="16"/>
          <w:color w:val="auto"/>
        </w:rPr>
        <w:t>Unless otherwise indicated, all references in this Annual Report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17" w:lineRule="exact"/>
        <w:rPr>
          <w:sz w:val="20"/>
          <w:szCs w:val="20"/>
          <w:color w:val="auto"/>
        </w:rPr>
      </w:pPr>
    </w:p>
    <w:p>
      <w:pPr>
        <w:jc w:val="both"/>
        <w:ind w:left="120" w:right="260" w:firstLine="428"/>
        <w:spacing w:after="0" w:line="266" w:lineRule="auto"/>
        <w:rPr>
          <w:sz w:val="20"/>
          <w:szCs w:val="20"/>
          <w:color w:val="auto"/>
        </w:rPr>
      </w:pPr>
      <w:r>
        <w:rPr>
          <w:rFonts w:ascii="Arial" w:cs="Arial" w:eastAsia="Arial" w:hAnsi="Arial"/>
          <w:sz w:val="16"/>
          <w:szCs w:val="16"/>
          <w:color w:val="auto"/>
        </w:rPr>
        <w:t>In connection with our initial public offering in the first quarter of 2021, we converted the legal form of our company under Dutch law from a private company with limited liability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to a public company with limited liability (</w:t>
      </w:r>
      <w:r>
        <w:rPr>
          <w:rFonts w:ascii="Arial" w:cs="Arial" w:eastAsia="Arial" w:hAnsi="Arial"/>
          <w:sz w:val="16"/>
          <w:szCs w:val="16"/>
          <w:i w:val="1"/>
          <w:iCs w:val="1"/>
          <w:color w:val="auto"/>
        </w:rPr>
        <w:t>naamloze</w:t>
      </w:r>
      <w:r>
        <w:rPr>
          <w:rFonts w:ascii="Arial" w:cs="Arial" w:eastAsia="Arial" w:hAnsi="Arial"/>
          <w:sz w:val="16"/>
          <w:szCs w:val="16"/>
          <w:color w:val="auto"/>
        </w:rPr>
        <w:t xml:space="preserve"> </w:t>
      </w:r>
      <w:r>
        <w:rPr>
          <w:rFonts w:ascii="Arial" w:cs="Arial" w:eastAsia="Arial" w:hAnsi="Arial"/>
          <w:sz w:val="16"/>
          <w:szCs w:val="16"/>
          <w:i w:val="1"/>
          <w:iCs w:val="1"/>
          <w:color w:val="auto"/>
        </w:rPr>
        <w:t>vennootschap</w:t>
      </w:r>
      <w:r>
        <w:rPr>
          <w:rFonts w:ascii="Arial" w:cs="Arial" w:eastAsia="Arial" w:hAnsi="Arial"/>
          <w:sz w:val="16"/>
          <w:szCs w:val="16"/>
          <w:color w:val="auto"/>
        </w:rPr>
        <w:t>) and changed our name from Pharvaris B.V. to Pharvaris N.V.</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Market and Industry Data</w:t>
      </w:r>
    </w:p>
    <w:p>
      <w:pPr>
        <w:spacing w:after="0" w:line="113" w:lineRule="exact"/>
        <w:rPr>
          <w:sz w:val="20"/>
          <w:szCs w:val="20"/>
          <w:color w:val="auto"/>
        </w:rPr>
      </w:pPr>
    </w:p>
    <w:p>
      <w:pPr>
        <w:ind w:left="120" w:right="40" w:firstLine="439"/>
        <w:spacing w:after="0" w:line="256" w:lineRule="auto"/>
        <w:rPr>
          <w:sz w:val="20"/>
          <w:szCs w:val="20"/>
          <w:color w:val="auto"/>
        </w:rPr>
      </w:pPr>
      <w:r>
        <w:rPr>
          <w:rFonts w:ascii="Arial" w:cs="Arial" w:eastAsia="Arial" w:hAnsi="Arial"/>
          <w:sz w:val="16"/>
          <w:szCs w:val="16"/>
          <w:color w:val="auto"/>
        </w:rPr>
        <w:t>The information in this Annual Report that has been sourced from third parties has been accurately reproduced and, as far as we are aware and able to ascertain from the information published by that third-party, no facts have been omitted that would render the reproduced information inaccurate or misleading. Industry publications generally state that their information is obtained from sources they believe reliable but that the accuracy and completeness of such information is not guaranteed and that the projections they contain are based on a number of significant assumptions. We are not aware of any exhaustive industry or market reports that cover or address our specific markets.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Trademarks</w:t>
      </w:r>
    </w:p>
    <w:p>
      <w:pPr>
        <w:spacing w:after="0" w:line="113" w:lineRule="exact"/>
        <w:rPr>
          <w:sz w:val="20"/>
          <w:szCs w:val="20"/>
          <w:color w:val="auto"/>
        </w:rPr>
      </w:pPr>
    </w:p>
    <w:p>
      <w:pPr>
        <w:ind w:left="120" w:firstLine="441"/>
        <w:spacing w:after="0" w:line="259" w:lineRule="auto"/>
        <w:rPr>
          <w:sz w:val="20"/>
          <w:szCs w:val="20"/>
          <w:color w:val="auto"/>
        </w:rPr>
      </w:pPr>
      <w:r>
        <w:rPr>
          <w:rFonts w:ascii="Arial" w:cs="Arial" w:eastAsia="Arial" w:hAnsi="Arial"/>
          <w:sz w:val="16"/>
          <w:szCs w:val="16"/>
          <w:color w:val="auto"/>
        </w:rPr>
        <w:t>All trademarks, trade names and service marks appearing in this Annual Report are the property of their respective owners. Solely for convenience, the trademarks and trade names in this Annual Report are referred to without the symbols ® and ™,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21" w:lineRule="exact"/>
        <w:rPr>
          <w:sz w:val="20"/>
          <w:szCs w:val="20"/>
          <w:color w:val="auto"/>
        </w:rPr>
      </w:pPr>
    </w:p>
    <w:p>
      <w:pPr>
        <w:ind w:left="120" w:firstLine="440"/>
        <w:spacing w:after="0" w:line="251" w:lineRule="auto"/>
        <w:rPr>
          <w:sz w:val="20"/>
          <w:szCs w:val="20"/>
          <w:color w:val="auto"/>
        </w:rPr>
      </w:pPr>
      <w:r>
        <w:rPr>
          <w:rFonts w:ascii="Arial" w:cs="Arial" w:eastAsia="Arial" w:hAnsi="Arial"/>
          <w:sz w:val="16"/>
          <w:szCs w:val="16"/>
          <w:color w:val="auto"/>
        </w:rPr>
        <w:t>This Annual Report contains certain statements that are or may be forward-looking statements with respect to us, our industry and our business that involve substantial risks and uncertainties. All statements other than statements of historical fact contained in this Annual Report,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77" w:lineRule="exact"/>
        <w:rPr>
          <w:sz w:val="20"/>
          <w:szCs w:val="20"/>
          <w:color w:val="auto"/>
        </w:rPr>
      </w:pPr>
    </w:p>
    <w:p>
      <w:pPr>
        <w:ind w:left="1080" w:right="220" w:hanging="411"/>
        <w:spacing w:after="0" w:line="28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timing, progress or success of our clinical development programs, especially for PHVS416 and PHVS719, which are in early-stage clinical trials;</w:t>
      </w:r>
    </w:p>
    <w:p>
      <w:pPr>
        <w:spacing w:after="0" w:line="47" w:lineRule="exact"/>
        <w:rPr>
          <w:rFonts w:ascii="Arial" w:cs="Arial" w:eastAsia="Arial" w:hAnsi="Arial"/>
          <w:sz w:val="16"/>
          <w:szCs w:val="16"/>
          <w:color w:val="auto"/>
        </w:rPr>
      </w:pPr>
    </w:p>
    <w:p>
      <w:pPr>
        <w:ind w:left="1080" w:right="800" w:hanging="411"/>
        <w:spacing w:after="0" w:line="28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associated with the COVID-19 pandemic, which may adversely impact our business, nonclinical studies and clinical trials, the timing of regulatory approvals and the value of our ordinary shares;</w:t>
      </w:r>
    </w:p>
    <w:p>
      <w:pPr>
        <w:spacing w:after="0" w:line="47" w:lineRule="exact"/>
        <w:rPr>
          <w:rFonts w:ascii="Arial" w:cs="Arial" w:eastAsia="Arial" w:hAnsi="Arial"/>
          <w:sz w:val="16"/>
          <w:szCs w:val="16"/>
          <w:color w:val="auto"/>
        </w:rPr>
      </w:pPr>
    </w:p>
    <w:p>
      <w:pPr>
        <w:ind w:left="1080" w:right="280" w:hanging="411"/>
        <w:spacing w:after="0" w:line="28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timing, costs and other limitations involved in obtaining regulatory approval for our product candidates PHVS416 and PHVS719 or any other product candidate that we may develop in the future;</w:t>
      </w:r>
    </w:p>
    <w:p>
      <w:pPr>
        <w:spacing w:after="0" w:line="47" w:lineRule="exact"/>
        <w:rPr>
          <w:rFonts w:ascii="Arial" w:cs="Arial" w:eastAsia="Arial" w:hAnsi="Arial"/>
          <w:sz w:val="16"/>
          <w:szCs w:val="16"/>
          <w:color w:val="auto"/>
        </w:rPr>
      </w:pPr>
    </w:p>
    <w:p>
      <w:pPr>
        <w:ind w:left="1080" w:right="560" w:hanging="411"/>
        <w:spacing w:after="0" w:line="28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market, commercialize and achieve market acceptance for our product candidates PHVS416 and PHVS719 or any of our other product candidates that we may develop in the future, if approved;</w:t>
      </w:r>
    </w:p>
    <w:p>
      <w:pPr>
        <w:spacing w:after="0" w:line="47"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53" w:lineRule="exact"/>
        <w:rPr>
          <w:rFonts w:ascii="Arial" w:cs="Arial" w:eastAsia="Arial" w:hAnsi="Arial"/>
          <w:sz w:val="16"/>
          <w:szCs w:val="16"/>
          <w:color w:val="auto"/>
        </w:rPr>
      </w:pPr>
    </w:p>
    <w:p>
      <w:pPr>
        <w:ind w:left="1080" w:right="240" w:hanging="411"/>
        <w:spacing w:after="0" w:line="28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7"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disruptions at the FDA and other government agencies;</w:t>
      </w:r>
    </w:p>
    <w:p>
      <w:pPr>
        <w:spacing w:after="0" w:line="153" w:lineRule="exact"/>
        <w:rPr>
          <w:rFonts w:ascii="Arial" w:cs="Arial" w:eastAsia="Arial" w:hAnsi="Arial"/>
          <w:sz w:val="16"/>
          <w:szCs w:val="16"/>
          <w:color w:val="auto"/>
        </w:rPr>
      </w:pPr>
    </w:p>
    <w:p>
      <w:pPr>
        <w:ind w:left="1080" w:right="100" w:hanging="411"/>
        <w:spacing w:after="0" w:line="28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7"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raise capital when needed and on acceptable terms;</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outcome and timing of price negotiations with governmental authorities;</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compete in the pharmaceutical industry and with competitive generic products;</w:t>
      </w:r>
    </w:p>
    <w:p>
      <w:pPr>
        <w:spacing w:after="0" w:line="153" w:lineRule="exact"/>
        <w:rPr>
          <w:rFonts w:ascii="Arial" w:cs="Arial" w:eastAsia="Arial" w:hAnsi="Arial"/>
          <w:sz w:val="16"/>
          <w:szCs w:val="16"/>
          <w:color w:val="auto"/>
        </w:rPr>
      </w:pPr>
    </w:p>
    <w:p>
      <w:pPr>
        <w:ind w:left="1080" w:right="600" w:hanging="411"/>
        <w:spacing w:after="0" w:line="28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7"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53" w:lineRule="exact"/>
        <w:rPr>
          <w:rFonts w:ascii="Arial" w:cs="Arial" w:eastAsia="Arial" w:hAnsi="Arial"/>
          <w:sz w:val="16"/>
          <w:szCs w:val="16"/>
          <w:color w:val="auto"/>
        </w:rPr>
      </w:pPr>
    </w:p>
    <w:p>
      <w:pPr>
        <w:ind w:left="1080" w:right="640" w:hanging="411"/>
        <w:spacing w:after="0" w:line="28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7"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loss of any of our key personnel;</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estimates of market sizes and anticipated uses of our product candidates;</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estimates of future performance;</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53" w:lineRule="exact"/>
        <w:rPr>
          <w:rFonts w:ascii="Arial" w:cs="Arial" w:eastAsia="Arial" w:hAnsi="Arial"/>
          <w:sz w:val="16"/>
          <w:szCs w:val="16"/>
          <w:color w:val="auto"/>
        </w:rPr>
      </w:pPr>
    </w:p>
    <w:p>
      <w:pPr>
        <w:ind w:left="1080" w:right="480" w:hanging="411"/>
        <w:spacing w:after="0" w:line="28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47"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 or a foreign private issuer; and</w:t>
      </w:r>
    </w:p>
    <w:p>
      <w:pPr>
        <w:spacing w:after="0" w:line="153" w:lineRule="exact"/>
        <w:rPr>
          <w:rFonts w:ascii="Arial" w:cs="Arial" w:eastAsia="Arial" w:hAnsi="Arial"/>
          <w:sz w:val="16"/>
          <w:szCs w:val="16"/>
          <w:color w:val="auto"/>
        </w:rPr>
      </w:pPr>
    </w:p>
    <w:p>
      <w:pPr>
        <w:ind w:left="1080" w:hanging="411"/>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general market, political and economic conditions, including as a result of the current conflict between Russia and Ukraine.</w:t>
      </w:r>
    </w:p>
    <w:p>
      <w:pPr>
        <w:sectPr>
          <w:pgSz w:w="11900" w:h="16838" w:orient="portrait"/>
          <w:cols w:equalWidth="0" w:num="1">
            <w:col w:w="11220"/>
          </w:cols>
          <w:pgMar w:left="320" w:top="125" w:right="359" w:bottom="1440"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120" w:right="40" w:firstLine="440"/>
        <w:spacing w:after="0" w:line="252" w:lineRule="auto"/>
        <w:rPr>
          <w:sz w:val="20"/>
          <w:szCs w:val="20"/>
          <w:color w:val="auto"/>
        </w:rPr>
      </w:pPr>
      <w:r>
        <w:rPr>
          <w:rFonts w:ascii="Arial" w:cs="Arial" w:eastAsia="Arial" w:hAnsi="Arial"/>
          <w:sz w:val="16"/>
          <w:szCs w:val="16"/>
          <w:color w:val="auto"/>
        </w:rPr>
        <w:t>You should refer to the “ITEM 3. KEY INFORMATION—D. Risk factors.” section of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Annual Report.</w:t>
      </w:r>
    </w:p>
    <w:p>
      <w:pPr>
        <w:spacing w:after="0" w:line="183"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0"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6"/>
          <w:szCs w:val="16"/>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ENFORCEABILITY OF JUDGMENTS</w:t>
      </w:r>
    </w:p>
    <w:p>
      <w:pPr>
        <w:spacing w:after="0" w:line="221" w:lineRule="exact"/>
        <w:rPr>
          <w:sz w:val="20"/>
          <w:szCs w:val="20"/>
          <w:color w:val="auto"/>
        </w:rPr>
      </w:pPr>
    </w:p>
    <w:p>
      <w:pPr>
        <w:ind w:right="340" w:firstLine="443"/>
        <w:spacing w:after="0" w:line="286" w:lineRule="auto"/>
        <w:rPr>
          <w:sz w:val="20"/>
          <w:szCs w:val="20"/>
          <w:color w:val="auto"/>
        </w:rPr>
      </w:pPr>
      <w:r>
        <w:rPr>
          <w:rFonts w:ascii="Arial" w:cs="Arial" w:eastAsia="Arial" w:hAnsi="Arial"/>
          <w:sz w:val="16"/>
          <w:szCs w:val="16"/>
          <w:color w:val="auto"/>
        </w:rPr>
        <w:t>The ability of shareholders in certain countries other than the Netherlands, in particular in the United States, to bring an action against us may be limited under Dutch law. We are incorporated under the laws of the Netherlands and have our statutory seat (</w:t>
      </w:r>
      <w:r>
        <w:rPr>
          <w:rFonts w:ascii="Arial" w:cs="Arial" w:eastAsia="Arial" w:hAnsi="Arial"/>
          <w:sz w:val="16"/>
          <w:szCs w:val="16"/>
          <w:i w:val="1"/>
          <w:iCs w:val="1"/>
          <w:color w:val="auto"/>
        </w:rPr>
        <w:t>statutaire zetel</w:t>
      </w:r>
      <w:r>
        <w:rPr>
          <w:rFonts w:ascii="Arial" w:cs="Arial" w:eastAsia="Arial" w:hAnsi="Arial"/>
          <w:sz w:val="16"/>
          <w:szCs w:val="16"/>
          <w:color w:val="auto"/>
        </w:rPr>
        <w:t>) in Leiden, the Netherlands.</w:t>
      </w:r>
    </w:p>
    <w:p>
      <w:pPr>
        <w:spacing w:after="0" w:line="156" w:lineRule="exact"/>
        <w:rPr>
          <w:sz w:val="20"/>
          <w:szCs w:val="20"/>
          <w:color w:val="auto"/>
        </w:rPr>
      </w:pPr>
    </w:p>
    <w:p>
      <w:pPr>
        <w:ind w:right="180" w:firstLine="445"/>
        <w:spacing w:after="0" w:line="259" w:lineRule="auto"/>
        <w:rPr>
          <w:sz w:val="20"/>
          <w:szCs w:val="20"/>
          <w:color w:val="auto"/>
        </w:rPr>
      </w:pPr>
      <w:r>
        <w:rPr>
          <w:rFonts w:ascii="Arial" w:cs="Arial" w:eastAsia="Arial" w:hAnsi="Arial"/>
          <w:sz w:val="16"/>
          <w:szCs w:val="16"/>
          <w:color w:val="auto"/>
        </w:rPr>
        <w:t>The majority of the members of the Board are resident of countries other than the United States. All or a substantial proportion of the assets of these individuals are located outside the United States. Our assets are predominantly located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78" w:lineRule="exact"/>
        <w:rPr>
          <w:sz w:val="20"/>
          <w:szCs w:val="20"/>
          <w:color w:val="auto"/>
        </w:rPr>
      </w:pPr>
    </w:p>
    <w:p>
      <w:pPr>
        <w:ind w:firstLine="445"/>
        <w:spacing w:after="0" w:line="249" w:lineRule="auto"/>
        <w:rPr>
          <w:sz w:val="20"/>
          <w:szCs w:val="20"/>
          <w:color w:val="auto"/>
        </w:rPr>
      </w:pPr>
      <w:r>
        <w:rPr>
          <w:rFonts w:ascii="Arial" w:cs="Arial" w:eastAsia="Arial" w:hAnsi="Arial"/>
          <w:sz w:val="16"/>
          <w:szCs w:val="16"/>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6"/>
          <w:szCs w:val="16"/>
          <w:i w:val="1"/>
          <w:iCs w:val="1"/>
          <w:color w:val="auto"/>
        </w:rPr>
        <w:t>behoorlijke</w:t>
      </w:r>
      <w:r>
        <w:rPr>
          <w:rFonts w:ascii="Arial" w:cs="Arial" w:eastAsia="Arial" w:hAnsi="Arial"/>
          <w:sz w:val="16"/>
          <w:szCs w:val="16"/>
          <w:color w:val="auto"/>
        </w:rPr>
        <w:t xml:space="preserve"> </w:t>
      </w:r>
      <w:r>
        <w:rPr>
          <w:rFonts w:ascii="Arial" w:cs="Arial" w:eastAsia="Arial" w:hAnsi="Arial"/>
          <w:sz w:val="16"/>
          <w:szCs w:val="16"/>
          <w:i w:val="1"/>
          <w:iCs w:val="1"/>
          <w:color w:val="auto"/>
        </w:rPr>
        <w:t>rechtspleging</w:t>
      </w:r>
      <w:r>
        <w:rPr>
          <w:rFonts w:ascii="Arial" w:cs="Arial" w:eastAsia="Arial" w:hAnsi="Arial"/>
          <w:sz w:val="16"/>
          <w:szCs w:val="16"/>
          <w:color w:val="auto"/>
        </w:rPr>
        <w:t>), (iii) is not contrary to the public policy of the Netherlands, and (iv) is not incompatible with (a) a prior judgment of a Dutch court rendered in a</w:t>
      </w:r>
      <w:r>
        <w:rPr>
          <w:rFonts w:ascii="Arial" w:cs="Arial" w:eastAsia="Arial" w:hAnsi="Arial"/>
          <w:sz w:val="16"/>
          <w:szCs w:val="16"/>
          <w:i w:val="1"/>
          <w:iCs w:val="1"/>
          <w:color w:val="auto"/>
        </w:rPr>
        <w:t xml:space="preserve"> </w:t>
      </w:r>
      <w:r>
        <w:rPr>
          <w:rFonts w:ascii="Arial" w:cs="Arial" w:eastAsia="Arial" w:hAnsi="Arial"/>
          <w:sz w:val="16"/>
          <w:szCs w:val="16"/>
          <w:color w:val="auto"/>
        </w:rPr>
        <w:t>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6"/>
          <w:szCs w:val="16"/>
          <w:i w:val="1"/>
          <w:iCs w:val="1"/>
          <w:color w:val="auto"/>
        </w:rPr>
        <w:t>openbare orde</w:t>
      </w:r>
      <w:r>
        <w:rPr>
          <w:rFonts w:ascii="Arial" w:cs="Arial" w:eastAsia="Arial" w:hAnsi="Arial"/>
          <w:sz w:val="16"/>
          <w:szCs w:val="16"/>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Arial" w:cs="Arial" w:eastAsia="Arial" w:hAnsi="Arial"/>
          <w:sz w:val="16"/>
          <w:szCs w:val="16"/>
          <w:i w:val="1"/>
          <w:iCs w:val="1"/>
          <w:color w:val="auto"/>
        </w:rPr>
        <w:t>Wetboek van Burgerlijke Rechtsvordering</w:t>
      </w:r>
      <w:r>
        <w:rPr>
          <w:rFonts w:ascii="Arial" w:cs="Arial" w:eastAsia="Arial" w:hAnsi="Arial"/>
          <w:sz w:val="16"/>
          <w:szCs w:val="16"/>
          <w:color w:val="auto"/>
        </w:rPr>
        <w:t>). Based on the foregoing, there can be no assurance that U.S. investors will be able to enforce any judgments obtained in U.S. courts in civil and commercial matters, including judgments under the U.S. federal securities laws.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221" w:lineRule="exact"/>
        <w:rPr>
          <w:sz w:val="20"/>
          <w:szCs w:val="20"/>
          <w:color w:val="auto"/>
        </w:rPr>
      </w:pPr>
    </w:p>
    <w:p>
      <w:pPr>
        <w:ind w:left="860" w:hanging="420"/>
        <w:spacing w:after="0"/>
        <w:tabs>
          <w:tab w:leader="none" w:pos="8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860" w:hanging="420"/>
        <w:spacing w:after="0"/>
        <w:tabs>
          <w:tab w:leader="none" w:pos="8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Advisers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860" w:hanging="420"/>
        <w:spacing w:after="0"/>
        <w:tabs>
          <w:tab w:leader="none" w:pos="8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Auditors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21" w:lineRule="exact"/>
        <w:rPr>
          <w:sz w:val="20"/>
          <w:szCs w:val="20"/>
          <w:color w:val="auto"/>
        </w:rPr>
      </w:pPr>
    </w:p>
    <w:p>
      <w:pPr>
        <w:ind w:left="860" w:hanging="420"/>
        <w:spacing w:after="0"/>
        <w:tabs>
          <w:tab w:leader="none" w:pos="8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Offer statistics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860" w:hanging="420"/>
        <w:spacing w:after="0"/>
        <w:tabs>
          <w:tab w:leader="none" w:pos="8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Method and expected timetable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3. KEY INFORMATION</w:t>
      </w:r>
    </w:p>
    <w:p>
      <w:pPr>
        <w:spacing w:after="0" w:line="221" w:lineRule="exact"/>
        <w:rPr>
          <w:sz w:val="20"/>
          <w:szCs w:val="20"/>
          <w:color w:val="auto"/>
        </w:rPr>
      </w:pPr>
    </w:p>
    <w:p>
      <w:pPr>
        <w:ind w:left="860" w:hanging="420"/>
        <w:spacing w:after="0"/>
        <w:tabs>
          <w:tab w:leader="none" w:pos="8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369" w:lineRule="exact"/>
        <w:rPr>
          <w:rFonts w:ascii="Arial" w:cs="Arial" w:eastAsia="Arial" w:hAnsi="Arial"/>
          <w:sz w:val="16"/>
          <w:szCs w:val="16"/>
          <w:b w:val="1"/>
          <w:bCs w:val="1"/>
          <w:color w:val="auto"/>
        </w:rPr>
      </w:pPr>
    </w:p>
    <w:p>
      <w:pPr>
        <w:ind w:left="860" w:hanging="420"/>
        <w:spacing w:after="0"/>
        <w:tabs>
          <w:tab w:leader="none" w:pos="8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and indebtedness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860" w:hanging="420"/>
        <w:spacing w:after="0"/>
        <w:tabs>
          <w:tab w:leader="none" w:pos="8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Reasons for the offer and use of proceeds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860" w:hanging="420"/>
        <w:spacing w:after="0"/>
        <w:tabs>
          <w:tab w:leader="none" w:pos="8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156" w:lineRule="exact"/>
        <w:rPr>
          <w:sz w:val="20"/>
          <w:szCs w:val="20"/>
          <w:color w:val="auto"/>
        </w:rPr>
      </w:pPr>
    </w:p>
    <w:p>
      <w:pPr>
        <w:ind w:firstLine="445"/>
        <w:spacing w:after="0" w:line="255"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Annual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Summary Risk Factors</w:t>
      </w:r>
    </w:p>
    <w:p>
      <w:pPr>
        <w:spacing w:after="0" w:line="111" w:lineRule="exact"/>
        <w:rPr>
          <w:sz w:val="20"/>
          <w:szCs w:val="20"/>
          <w:color w:val="auto"/>
        </w:rPr>
      </w:pPr>
    </w:p>
    <w:p>
      <w:pPr>
        <w:ind w:left="860" w:right="120" w:hanging="420"/>
        <w:spacing w:after="0" w:line="266"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63" w:lineRule="exact"/>
        <w:rPr>
          <w:rFonts w:ascii="Arial" w:cs="Arial" w:eastAsia="Arial" w:hAnsi="Arial"/>
          <w:sz w:val="16"/>
          <w:szCs w:val="16"/>
          <w:color w:val="auto"/>
        </w:rPr>
      </w:pPr>
    </w:p>
    <w:p>
      <w:pPr>
        <w:ind w:left="860" w:right="420" w:hanging="420"/>
        <w:spacing w:after="0" w:line="286"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47" w:lineRule="exact"/>
        <w:rPr>
          <w:rFonts w:ascii="Arial" w:cs="Arial" w:eastAsia="Arial" w:hAnsi="Arial"/>
          <w:sz w:val="16"/>
          <w:szCs w:val="16"/>
          <w:color w:val="auto"/>
        </w:rPr>
      </w:pPr>
    </w:p>
    <w:p>
      <w:pPr>
        <w:ind w:left="860" w:right="420" w:hanging="420"/>
        <w:spacing w:after="0" w:line="286"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business and operations may be adversely affected by a variety of events outside our control, including, but not limited to, outbreaks of infectious diseases such as the recent COVID-19 pandemic and political instability such as the recent conflict in Ukraine.</w:t>
      </w:r>
    </w:p>
    <w:p>
      <w:pPr>
        <w:spacing w:after="0" w:line="47" w:lineRule="exact"/>
        <w:rPr>
          <w:rFonts w:ascii="Arial" w:cs="Arial" w:eastAsia="Arial" w:hAnsi="Arial"/>
          <w:sz w:val="16"/>
          <w:szCs w:val="16"/>
          <w:color w:val="auto"/>
        </w:rPr>
      </w:pPr>
    </w:p>
    <w:p>
      <w:pPr>
        <w:ind w:left="860" w:right="120" w:hanging="420"/>
        <w:spacing w:after="0" w:line="256"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heavily dependent on the success of our product candidates PHVS416 and PHVS719, which are in early-stage development and have not yet been assessed for efficacy in a clinical trial.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860" w:hanging="420"/>
        <w:spacing w:after="0" w:line="253"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experience setbacks in our clinical trials, including delays in commencing, conducting or completing our clinical trials. Moreover, we have established proof-of-mechanism for PHA121 and have designed and advanced our future clinical development program based on a clinical trial that assessed a surrogate assessment,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267" w:lineRule="exact"/>
        <w:rPr>
          <w:rFonts w:ascii="Arial" w:cs="Arial" w:eastAsia="Arial" w:hAnsi="Arial"/>
          <w:sz w:val="16"/>
          <w:szCs w:val="16"/>
          <w:color w:val="auto"/>
        </w:rPr>
      </w:pPr>
    </w:p>
    <w:p>
      <w:pPr>
        <w:ind w:left="860" w:hanging="420"/>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Clinical trials of our product candidates may not uncover all possible adverse effects that patients may experience.</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can be no assurance that we will be able to obtain or, if obtained, maintain orphan drug status.</w:t>
      </w:r>
    </w:p>
    <w:p>
      <w:pPr>
        <w:spacing w:after="0" w:line="153" w:lineRule="exact"/>
        <w:rPr>
          <w:rFonts w:ascii="Arial" w:cs="Arial" w:eastAsia="Arial" w:hAnsi="Arial"/>
          <w:sz w:val="16"/>
          <w:szCs w:val="16"/>
          <w:color w:val="auto"/>
        </w:rPr>
      </w:pPr>
    </w:p>
    <w:p>
      <w:pPr>
        <w:ind w:left="860" w:right="40" w:hanging="420"/>
        <w:spacing w:after="0" w:line="259"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69" w:lineRule="exact"/>
        <w:rPr>
          <w:rFonts w:ascii="Arial" w:cs="Arial" w:eastAsia="Arial" w:hAnsi="Arial"/>
          <w:sz w:val="16"/>
          <w:szCs w:val="16"/>
          <w:color w:val="auto"/>
        </w:rPr>
      </w:pPr>
    </w:p>
    <w:p>
      <w:pPr>
        <w:ind w:left="860" w:right="400" w:hanging="420"/>
        <w:spacing w:after="0" w:line="28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market opportunities for our product candidates may also be smaller than currently anticipated, lowering our potential revenue.</w:t>
      </w:r>
    </w:p>
    <w:p>
      <w:pPr>
        <w:spacing w:after="0" w:line="153" w:lineRule="exact"/>
        <w:rPr>
          <w:rFonts w:ascii="Arial" w:cs="Arial" w:eastAsia="Arial" w:hAnsi="Arial"/>
          <w:sz w:val="16"/>
          <w:szCs w:val="16"/>
          <w:color w:val="auto"/>
        </w:rPr>
      </w:pPr>
    </w:p>
    <w:p>
      <w:pPr>
        <w:ind w:left="860" w:hanging="420"/>
        <w:spacing w:after="0" w:line="26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63" w:lineRule="exact"/>
        <w:rPr>
          <w:rFonts w:ascii="Arial" w:cs="Arial" w:eastAsia="Arial" w:hAnsi="Arial"/>
          <w:sz w:val="16"/>
          <w:szCs w:val="16"/>
          <w:color w:val="auto"/>
        </w:rPr>
      </w:pPr>
    </w:p>
    <w:p>
      <w:pPr>
        <w:ind w:left="860" w:right="220" w:hanging="420"/>
        <w:spacing w:after="0" w:line="28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Governments and/or pricing authorities, especially in the European Union, often impose strict price and access controls, which may adversely affect our future profitability.</w:t>
      </w:r>
    </w:p>
    <w:p>
      <w:pPr>
        <w:spacing w:after="0" w:line="47" w:lineRule="exact"/>
        <w:rPr>
          <w:rFonts w:ascii="Arial" w:cs="Arial" w:eastAsia="Arial" w:hAnsi="Arial"/>
          <w:sz w:val="16"/>
          <w:szCs w:val="16"/>
          <w:color w:val="auto"/>
        </w:rPr>
      </w:pPr>
    </w:p>
    <w:p>
      <w:pPr>
        <w:ind w:left="860" w:right="260" w:hanging="420"/>
        <w:spacing w:after="0" w:line="28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47" w:lineRule="exact"/>
        <w:rPr>
          <w:rFonts w:ascii="Arial" w:cs="Arial" w:eastAsia="Arial" w:hAnsi="Arial"/>
          <w:sz w:val="16"/>
          <w:szCs w:val="16"/>
          <w:color w:val="auto"/>
        </w:rPr>
      </w:pPr>
    </w:p>
    <w:p>
      <w:pPr>
        <w:ind w:left="860" w:right="1180" w:hanging="420"/>
        <w:spacing w:after="0" w:line="28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47" w:lineRule="exact"/>
        <w:rPr>
          <w:rFonts w:ascii="Arial" w:cs="Arial" w:eastAsia="Arial" w:hAnsi="Arial"/>
          <w:sz w:val="16"/>
          <w:szCs w:val="16"/>
          <w:color w:val="auto"/>
        </w:rPr>
      </w:pPr>
    </w:p>
    <w:p>
      <w:pPr>
        <w:ind w:left="860" w:right="80" w:hanging="420"/>
        <w:spacing w:after="0" w:line="26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63" w:lineRule="exact"/>
        <w:rPr>
          <w:rFonts w:ascii="Arial" w:cs="Arial" w:eastAsia="Arial" w:hAnsi="Arial"/>
          <w:sz w:val="16"/>
          <w:szCs w:val="16"/>
          <w:color w:val="auto"/>
        </w:rPr>
      </w:pPr>
    </w:p>
    <w:p>
      <w:pPr>
        <w:ind w:left="860" w:right="720" w:hanging="420"/>
        <w:spacing w:after="0" w:line="28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47" w:lineRule="exact"/>
        <w:rPr>
          <w:rFonts w:ascii="Arial" w:cs="Arial" w:eastAsia="Arial" w:hAnsi="Arial"/>
          <w:sz w:val="16"/>
          <w:szCs w:val="16"/>
          <w:color w:val="auto"/>
        </w:rPr>
      </w:pPr>
    </w:p>
    <w:p>
      <w:pPr>
        <w:ind w:left="860" w:hanging="420"/>
        <w:spacing w:after="0" w:line="26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63" w:lineRule="exact"/>
        <w:rPr>
          <w:rFonts w:ascii="Arial" w:cs="Arial" w:eastAsia="Arial" w:hAnsi="Arial"/>
          <w:sz w:val="16"/>
          <w:szCs w:val="16"/>
          <w:color w:val="auto"/>
        </w:rPr>
      </w:pPr>
    </w:p>
    <w:p>
      <w:pPr>
        <w:ind w:left="860" w:right="100" w:hanging="420"/>
        <w:spacing w:after="0" w:line="259"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69" w:lineRule="exact"/>
        <w:rPr>
          <w:rFonts w:ascii="Arial" w:cs="Arial" w:eastAsia="Arial" w:hAnsi="Arial"/>
          <w:sz w:val="16"/>
          <w:szCs w:val="16"/>
          <w:color w:val="auto"/>
        </w:rPr>
      </w:pPr>
    </w:p>
    <w:p>
      <w:pPr>
        <w:ind w:left="860" w:right="60" w:hanging="420"/>
        <w:spacing w:after="0" w:line="26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fail to make required payments to AnalytiCon Discovery GmbH, or AnalytiCon, under the terms of the agreement pursuant to which we acquired certain of our core intellectual property, AnalytiCon may exercise remedies that would materially and adversely affect our business and results of operations.</w:t>
      </w:r>
    </w:p>
    <w:p>
      <w:pPr>
        <w:spacing w:after="0" w:line="63" w:lineRule="exact"/>
        <w:rPr>
          <w:rFonts w:ascii="Arial" w:cs="Arial" w:eastAsia="Arial" w:hAnsi="Arial"/>
          <w:sz w:val="16"/>
          <w:szCs w:val="16"/>
          <w:color w:val="auto"/>
        </w:rPr>
      </w:pPr>
    </w:p>
    <w:p>
      <w:pPr>
        <w:ind w:left="860" w:hanging="420"/>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market price of our ordinary shares is likely to be highly volatile.</w:t>
      </w:r>
    </w:p>
    <w:p>
      <w:pPr>
        <w:spacing w:after="0" w:line="153" w:lineRule="exact"/>
        <w:rPr>
          <w:rFonts w:ascii="Arial" w:cs="Arial" w:eastAsia="Arial" w:hAnsi="Arial"/>
          <w:sz w:val="16"/>
          <w:szCs w:val="16"/>
          <w:color w:val="auto"/>
        </w:rPr>
      </w:pPr>
    </w:p>
    <w:p>
      <w:pPr>
        <w:ind w:left="860" w:right="140" w:hanging="420"/>
        <w:spacing w:after="0" w:line="28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do not currently intend to pay dividends on our securities and, consequently, your ability to achieve a return on your investment will depend on appreciation in the price of our ordinary shares.</w:t>
      </w:r>
    </w:p>
    <w:p>
      <w:pPr>
        <w:spacing w:after="0" w:line="47" w:lineRule="exact"/>
        <w:rPr>
          <w:rFonts w:ascii="Arial" w:cs="Arial" w:eastAsia="Arial" w:hAnsi="Arial"/>
          <w:sz w:val="16"/>
          <w:szCs w:val="16"/>
          <w:color w:val="auto"/>
        </w:rPr>
      </w:pPr>
    </w:p>
    <w:p>
      <w:pPr>
        <w:ind w:left="860" w:right="420" w:hanging="420"/>
        <w:spacing w:after="0" w:line="286"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a passive foreign investment company, or a PFIC, which could result in adverse U.S. federal income tax consequences to U.S. investors.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Financial Position</w:t>
      </w:r>
    </w:p>
    <w:p>
      <w:pPr>
        <w:spacing w:after="0" w:line="113" w:lineRule="exact"/>
        <w:rPr>
          <w:sz w:val="20"/>
          <w:szCs w:val="20"/>
          <w:color w:val="auto"/>
        </w:rPr>
      </w:pPr>
    </w:p>
    <w:p>
      <w:pPr>
        <w:ind w:right="360" w:firstLine="445"/>
        <w:spacing w:after="0" w:line="270" w:lineRule="auto"/>
        <w:rPr>
          <w:sz w:val="20"/>
          <w:szCs w:val="20"/>
          <w:color w:val="auto"/>
        </w:rPr>
      </w:pPr>
      <w:r>
        <w:rPr>
          <w:rFonts w:ascii="Arial" w:cs="Arial" w:eastAsia="Arial" w:hAnsi="Arial"/>
          <w:sz w:val="16"/>
          <w:szCs w:val="16"/>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52"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commercialization. To date, we have financed our operations primarily through sales of equity. We expect to continue to incur significant expenses and increasing operating losses for the foreseeable future. We anticipate that our expenses will increase substantially if and as we:</w:t>
      </w:r>
    </w:p>
    <w:p>
      <w:pPr>
        <w:spacing w:after="0" w:line="48" w:lineRule="exact"/>
        <w:rPr>
          <w:sz w:val="20"/>
          <w:szCs w:val="20"/>
          <w:color w:val="auto"/>
        </w:rPr>
      </w:pPr>
    </w:p>
    <w:p>
      <w:pPr>
        <w:ind w:left="860" w:hanging="420"/>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 clinical development of our current product candidates;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seek to identify additional product candidates and initiate clinical trials for such additional product candidates;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acquire or in-license other products and technologies or enter into collaboration arrangements with regards to product discovery;</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seek marketing approvals for our product candidates that successfully complete clinical trials;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 sales, commercialization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hire additional personnel;</w:t>
      </w:r>
    </w:p>
    <w:p>
      <w:pPr>
        <w:spacing w:after="0" w:line="153" w:lineRule="exact"/>
        <w:rPr>
          <w:rFonts w:ascii="Arial" w:cs="Arial" w:eastAsia="Arial" w:hAnsi="Arial"/>
          <w:sz w:val="16"/>
          <w:szCs w:val="16"/>
          <w:color w:val="auto"/>
        </w:rPr>
      </w:pPr>
    </w:p>
    <w:p>
      <w:pPr>
        <w:ind w:left="860" w:right="300" w:hanging="420"/>
        <w:spacing w:after="0" w:line="286"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planned future commercialization efforts; and</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 to incur increased costs as a result of operating as a public company.</w:t>
      </w:r>
    </w:p>
    <w:p>
      <w:pPr>
        <w:spacing w:after="0" w:line="262" w:lineRule="exact"/>
        <w:rPr>
          <w:sz w:val="20"/>
          <w:szCs w:val="20"/>
          <w:color w:val="auto"/>
        </w:rPr>
      </w:pPr>
    </w:p>
    <w:p>
      <w:pPr>
        <w:ind w:right="60" w:firstLine="445"/>
        <w:spacing w:after="0" w:line="252"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nonclinical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293" w:lineRule="exact"/>
        <w:rPr>
          <w:sz w:val="20"/>
          <w:szCs w:val="20"/>
          <w:color w:val="auto"/>
        </w:rPr>
      </w:pPr>
    </w:p>
    <w:p>
      <w:pPr>
        <w:ind w:left="460" w:right="240"/>
        <w:spacing w:after="0" w:line="270" w:lineRule="auto"/>
        <w:rPr>
          <w:sz w:val="20"/>
          <w:szCs w:val="20"/>
          <w:color w:val="auto"/>
        </w:rPr>
      </w:pPr>
      <w:r>
        <w:rPr>
          <w:rFonts w:ascii="Arial" w:cs="Arial" w:eastAsia="Arial" w:hAnsi="Arial"/>
          <w:sz w:val="16"/>
          <w:szCs w:val="16"/>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52" w:lineRule="exact"/>
        <w:rPr>
          <w:sz w:val="20"/>
          <w:szCs w:val="20"/>
          <w:color w:val="auto"/>
        </w:rPr>
      </w:pPr>
    </w:p>
    <w:p>
      <w:pPr>
        <w:ind w:right="20" w:firstLine="445"/>
        <w:spacing w:after="0" w:line="249" w:lineRule="auto"/>
        <w:rPr>
          <w:sz w:val="20"/>
          <w:szCs w:val="20"/>
          <w:color w:val="auto"/>
        </w:rPr>
      </w:pPr>
      <w:r>
        <w:rPr>
          <w:rFonts w:ascii="Arial" w:cs="Arial" w:eastAsia="Arial" w:hAnsi="Arial"/>
          <w:sz w:val="16"/>
          <w:szCs w:val="16"/>
          <w:color w:val="auto"/>
        </w:rPr>
        <w:t>We expect our expenses to increase in parallel with our ongoing activities, particularly as we continue our discovery and nonclinical development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nonclinical studies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382"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48" w:lineRule="exact"/>
        <w:rPr>
          <w:sz w:val="20"/>
          <w:szCs w:val="20"/>
          <w:color w:val="auto"/>
        </w:rPr>
      </w:pPr>
    </w:p>
    <w:p>
      <w:pPr>
        <w:ind w:left="860" w:hanging="420"/>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progress and cost of our discovery and nonclinical development;</w:t>
      </w:r>
    </w:p>
    <w:p>
      <w:pPr>
        <w:spacing w:after="0" w:line="153" w:lineRule="exact"/>
        <w:rPr>
          <w:rFonts w:ascii="Arial" w:cs="Arial" w:eastAsia="Arial" w:hAnsi="Arial"/>
          <w:sz w:val="16"/>
          <w:szCs w:val="16"/>
          <w:color w:val="auto"/>
        </w:rPr>
      </w:pPr>
    </w:p>
    <w:p>
      <w:pPr>
        <w:ind w:left="860" w:right="100" w:hanging="420"/>
        <w:spacing w:after="0" w:line="286"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costs associated with any future investigator-sponsored clinical trials;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53" w:lineRule="exact"/>
        <w:rPr>
          <w:rFonts w:ascii="Arial" w:cs="Arial" w:eastAsia="Arial" w:hAnsi="Arial"/>
          <w:sz w:val="16"/>
          <w:szCs w:val="16"/>
          <w:color w:val="auto"/>
        </w:rPr>
      </w:pPr>
    </w:p>
    <w:p>
      <w:pPr>
        <w:ind w:left="860" w:right="640" w:hanging="420"/>
        <w:spacing w:after="0" w:line="286"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costs and capital expenditures associated with process optimizations and nonclinical and clinical manufacturing;</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ind w:left="860" w:hanging="420"/>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acquiring or licensing additional products or technologies, if any;</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of any delays caused by the COVID-19 pandemic and associated restrictions;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operating as a public company in the United States.</w:t>
      </w:r>
    </w:p>
    <w:p>
      <w:pPr>
        <w:spacing w:after="0" w:line="262"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resulting from the COVID-19 pandemic or other factors, could adversely impact our ability to access capital as and when needed. If we are unable to obtain sufficient funding in a timely manner or on commercially acceptable terms, we may have 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299"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 to our product candidates or technologies.</w:t>
      </w:r>
    </w:p>
    <w:p>
      <w:pPr>
        <w:spacing w:after="0" w:line="33"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We may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could negatively affect our financial condition.</w:t>
      </w:r>
    </w:p>
    <w:p>
      <w:pPr>
        <w:spacing w:after="0" w:line="111" w:lineRule="exact"/>
        <w:rPr>
          <w:sz w:val="20"/>
          <w:szCs w:val="20"/>
          <w:color w:val="auto"/>
        </w:rPr>
      </w:pPr>
    </w:p>
    <w:p>
      <w:pPr>
        <w:ind w:right="140" w:firstLine="445"/>
        <w:spacing w:after="0" w:line="254" w:lineRule="auto"/>
        <w:rPr>
          <w:sz w:val="20"/>
          <w:szCs w:val="20"/>
          <w:color w:val="auto"/>
        </w:rPr>
      </w:pPr>
      <w:r>
        <w:rPr>
          <w:rFonts w:ascii="Arial" w:cs="Arial" w:eastAsia="Arial" w:hAnsi="Arial"/>
          <w:sz w:val="16"/>
          <w:szCs w:val="16"/>
          <w:color w:val="auto"/>
        </w:rPr>
        <w:t>Our consolidated financial statements are presented in euros. We mainly operate via our Dutch and Swiss entities, but we also conduct business in the United States and the United Kingdom. Therefore, we have expenses denominated in U.S. dollars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the euro and the Swiss franc and the British pound sterling, which may have a significant impact on our reported results of operations and cash flows from period to period.</w:t>
      </w:r>
    </w:p>
    <w:p>
      <w:pPr>
        <w:spacing w:after="0" w:line="292" w:lineRule="exact"/>
        <w:rPr>
          <w:sz w:val="20"/>
          <w:szCs w:val="20"/>
          <w:color w:val="auto"/>
        </w:rPr>
      </w:pPr>
    </w:p>
    <w:p>
      <w:pPr>
        <w:ind w:left="460" w:right="40"/>
        <w:spacing w:after="0" w:line="262"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59" w:lineRule="exact"/>
        <w:rPr>
          <w:sz w:val="20"/>
          <w:szCs w:val="20"/>
          <w:color w:val="auto"/>
        </w:rPr>
      </w:pPr>
    </w:p>
    <w:p>
      <w:pPr>
        <w:ind w:firstLine="445"/>
        <w:spacing w:after="0" w:line="25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Section 404 of the Sarbanes-Oxley Act requires management of public companies to develop and implement internal control over financial reporting and to evaluate the effectiveness thereof.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consolidated financial statements as of and for the fiscal year ended December 31, 2021,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77" w:lineRule="exact"/>
        <w:rPr>
          <w:sz w:val="20"/>
          <w:szCs w:val="20"/>
          <w:color w:val="auto"/>
        </w:rPr>
      </w:pPr>
    </w:p>
    <w:p>
      <w:pPr>
        <w:ind w:left="860" w:right="120" w:hanging="420"/>
        <w:spacing w:after="0" w:line="266"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63" w:lineRule="exact"/>
        <w:rPr>
          <w:rFonts w:ascii="Arial" w:cs="Arial" w:eastAsia="Arial" w:hAnsi="Arial"/>
          <w:sz w:val="16"/>
          <w:szCs w:val="16"/>
          <w:color w:val="auto"/>
        </w:rPr>
      </w:pPr>
    </w:p>
    <w:p>
      <w:pPr>
        <w:ind w:left="860" w:right="400" w:hanging="420"/>
        <w:spacing w:after="0" w:line="286"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 (i) design and maintain formal accounting policies, procedures and controls over the fair presentation of our financial</w:t>
      </w:r>
    </w:p>
    <w:p>
      <w:pPr>
        <w:sectPr>
          <w:pgSz w:w="11900" w:h="16838" w:orient="portrait"/>
          <w:cols w:equalWidth="0" w:num="1">
            <w:col w:w="11220"/>
          </w:cols>
          <w:pgMar w:left="320" w:top="125" w:right="35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860" w:right="260"/>
        <w:spacing w:after="0" w:line="266" w:lineRule="auto"/>
        <w:rPr>
          <w:sz w:val="20"/>
          <w:szCs w:val="20"/>
          <w:color w:val="auto"/>
        </w:rPr>
      </w:pPr>
      <w:r>
        <w:rPr>
          <w:rFonts w:ascii="Arial" w:cs="Arial" w:eastAsia="Arial" w:hAnsi="Arial"/>
          <w:sz w:val="16"/>
          <w:szCs w:val="16"/>
          <w:color w:val="auto"/>
        </w:rPr>
        <w:t>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71" w:lineRule="exact"/>
        <w:rPr>
          <w:sz w:val="20"/>
          <w:szCs w:val="20"/>
          <w:color w:val="auto"/>
        </w:rPr>
      </w:pPr>
    </w:p>
    <w:p>
      <w:pPr>
        <w:ind w:right="20" w:firstLine="445"/>
        <w:spacing w:after="0" w:line="249" w:lineRule="auto"/>
        <w:rPr>
          <w:sz w:val="20"/>
          <w:szCs w:val="20"/>
          <w:color w:val="auto"/>
        </w:rPr>
      </w:pPr>
      <w:r>
        <w:rPr>
          <w:rFonts w:ascii="Arial" w:cs="Arial" w:eastAsia="Arial" w:hAnsi="Arial"/>
          <w:sz w:val="16"/>
          <w:szCs w:val="16"/>
          <w:color w:val="auto"/>
        </w:rPr>
        <w:t>Although several oversight and control activities are performed, not all activities are formalized and documented properly throughout the year. In addition, where control activities are dependent on information used in a control, we have not always performed or documented controls to determine the completeness and accuracy of such information. We also did not always have controls in place to monitor control activities and identify control deficiencies. To remediate the identified material weaknesses we have taken, and continue to take, various actions including, among other things: (i) hiring additional qualified accounting and financial reporting personnel, (ii) further developing and documenting our risk assessment matrix and scoping, to identify key processes and controls, (iii) further developing and implementing our formal policies, processes, and internal controls relating to our key processes, including financial reporting; and (iv) conducting an assessment of accounting systems, and potential selection of a new accounting system in the future. As we continue with the remediation of our material weaknesses, we may determine that additional or other measures may be necessary to address and remediate the material weaknesses, depending on the circumstances and the Company needs.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weaknesses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91" w:lineRule="exact"/>
        <w:rPr>
          <w:sz w:val="20"/>
          <w:szCs w:val="20"/>
          <w:color w:val="auto"/>
        </w:rPr>
      </w:pPr>
    </w:p>
    <w:p>
      <w:pPr>
        <w:ind w:right="20" w:firstLine="670"/>
        <w:spacing w:after="0" w:line="250" w:lineRule="auto"/>
        <w:rPr>
          <w:sz w:val="20"/>
          <w:szCs w:val="20"/>
          <w:color w:val="auto"/>
        </w:rPr>
      </w:pPr>
      <w:r>
        <w:rPr>
          <w:rFonts w:ascii="Arial" w:cs="Arial" w:eastAsia="Arial" w:hAnsi="Arial"/>
          <w:sz w:val="16"/>
          <w:szCs w:val="16"/>
          <w:color w:val="auto"/>
        </w:rPr>
        <w:t>Our management is required to assess the effectiveness of our internal controls over financial reporting on an annual basis pursuant to SOX 404(a). However, our independent registered public accounting firm was not required to attest to the effectiveness of our internal control over financial reporting and will not be so required for as long as we are an “emerging growth company” under the JOBS Act. We could be an “emerging growth company” until December 31, 2026 (the last day of our fiscal year following the fifth anniversary of our initial public offering in February 2021).The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require us to incur the expense of remediation and investors may lose confidence in the accuracy and completeness of our financial reports which could cause the market price of our ordinary shares to decline and also restrict our future access to the capital markets.</w:t>
      </w:r>
    </w:p>
    <w:p>
      <w:pPr>
        <w:spacing w:after="0" w:line="3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could be also subject to sanctions or investigations by Nasdaq, the SEC or other regulatory authorities.</w:t>
      </w:r>
    </w:p>
    <w:p>
      <w:pPr>
        <w:spacing w:after="0" w:line="3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tax liability may be materially different from what is reflected in our income tax provisions and related balance sheet accounts.</w:t>
      </w:r>
    </w:p>
    <w:p>
      <w:pPr>
        <w:spacing w:after="0" w:line="111" w:lineRule="exact"/>
        <w:rPr>
          <w:sz w:val="20"/>
          <w:szCs w:val="20"/>
          <w:color w:val="auto"/>
        </w:rPr>
      </w:pPr>
    </w:p>
    <w:p>
      <w:pPr>
        <w:ind w:right="60" w:firstLine="445"/>
        <w:spacing w:after="0" w:line="250" w:lineRule="auto"/>
        <w:rPr>
          <w:sz w:val="20"/>
          <w:szCs w:val="20"/>
          <w:color w:val="auto"/>
        </w:rPr>
      </w:pPr>
      <w:r>
        <w:rPr>
          <w:rFonts w:ascii="Arial" w:cs="Arial" w:eastAsia="Arial" w:hAnsi="Arial"/>
          <w:sz w:val="16"/>
          <w:szCs w:val="16"/>
          <w:color w:val="auto"/>
        </w:rPr>
        <w:t>We are subject to taxation in the Netherlands, Switzerland, the United States, and other jurisdictions. Our future effective income tax rate may be impacted by a number of factors, including the geographic composition of our worldwide taxable income and our ability to allocate debt and expenses effectively.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anti-tax avoidance measures proposed by the European Committee) or successfully challenge the manner in which our income taxes are currently recognized or calculated or the transfer pricing policies employed by us (including policies set forth in any advance pricing agreements entered into with any taxing authorities), our income tax expense could increase, which would adversely impact our cash flow and profitability. Furthermore, in many of these jurisdictions,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ability to use our net operating losses to offset future taxable income may be subject to certain limitations.</w:t>
      </w:r>
    </w:p>
    <w:p>
      <w:pPr>
        <w:spacing w:after="0" w:line="111" w:lineRule="exact"/>
        <w:rPr>
          <w:sz w:val="20"/>
          <w:szCs w:val="20"/>
          <w:color w:val="auto"/>
        </w:rPr>
      </w:pPr>
    </w:p>
    <w:p>
      <w:pPr>
        <w:ind w:firstLine="445"/>
        <w:spacing w:after="0" w:line="254" w:lineRule="auto"/>
        <w:rPr>
          <w:sz w:val="20"/>
          <w:szCs w:val="20"/>
          <w:color w:val="auto"/>
        </w:rPr>
      </w:pPr>
      <w:r>
        <w:rPr>
          <w:rFonts w:ascii="Arial" w:cs="Arial" w:eastAsia="Arial" w:hAnsi="Arial"/>
          <w:sz w:val="16"/>
          <w:szCs w:val="16"/>
          <w:color w:val="auto"/>
        </w:rPr>
        <w:t>Our ability to use our net operating losses, or NOLs, in the Netherlands and Switzerland is currently limited and may be further limited. In particular, the use of NOLs is subject to limitation in Switzerland and may expire if unused after a seven-year period. As of January 1, 2022 an indefinite loss-carry forward will apply in the Netherlands. However, both the carry forward (indefinite) and carry back (one year) tax loss relief will be limited to 50% of the taxable profit to the extent it exceeds EUR 1 million, calculated per financial year. As a result of transitional law, tax losses incurred in the financial years that started on or after January 1, 2013 also fall under the new scheme that came into effect on January 1, 2022 and will therefore be indefinite, but subject to the new limitations as of January 1, 2022.</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the Development and Clinical Testing of Our Product Candidates</w:t>
      </w:r>
    </w:p>
    <w:p>
      <w:pPr>
        <w:spacing w:after="0" w:line="113" w:lineRule="exact"/>
        <w:rPr>
          <w:sz w:val="20"/>
          <w:szCs w:val="20"/>
          <w:color w:val="auto"/>
        </w:rPr>
      </w:pPr>
    </w:p>
    <w:p>
      <w:pPr>
        <w:ind w:left="460" w:right="340"/>
        <w:spacing w:after="0" w:line="294" w:lineRule="auto"/>
        <w:rPr>
          <w:sz w:val="20"/>
          <w:szCs w:val="20"/>
          <w:color w:val="auto"/>
        </w:rPr>
      </w:pPr>
      <w:r>
        <w:rPr>
          <w:rFonts w:ascii="Arial" w:cs="Arial" w:eastAsia="Arial" w:hAnsi="Arial"/>
          <w:sz w:val="16"/>
          <w:szCs w:val="16"/>
          <w:b w:val="1"/>
          <w:bCs w:val="1"/>
          <w:i w:val="1"/>
          <w:iCs w:val="1"/>
          <w:color w:val="auto"/>
        </w:rPr>
        <w:t>We are heavily dependent on the success of our product candidates PHVS416 and PHVS719 , which are in early-stage development and have not yet been assessed for efficacy in a clinical trial. We cannot give any assurance that either product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5" w:lineRule="exact"/>
        <w:rPr>
          <w:sz w:val="20"/>
          <w:szCs w:val="20"/>
          <w:color w:val="auto"/>
        </w:rPr>
      </w:pPr>
    </w:p>
    <w:p>
      <w:pPr>
        <w:ind w:left="460" w:right="1180"/>
        <w:spacing w:after="0" w:line="294" w:lineRule="auto"/>
        <w:rPr>
          <w:sz w:val="20"/>
          <w:szCs w:val="20"/>
          <w:color w:val="auto"/>
        </w:rPr>
      </w:pPr>
      <w:r>
        <w:rPr>
          <w:rFonts w:ascii="Arial" w:cs="Arial" w:eastAsia="Arial" w:hAnsi="Arial"/>
          <w:sz w:val="16"/>
          <w:szCs w:val="16"/>
          <w:b w:val="1"/>
          <w:bCs w:val="1"/>
          <w:i w:val="1"/>
          <w:iCs w:val="1"/>
          <w:color w:val="auto"/>
        </w:rPr>
        <w:t>candidate, or any other compounds in development, will successfully complete clinical trials, receive regulatory approval, be commercialized or be differentiated in the market.</w:t>
      </w:r>
    </w:p>
    <w:p>
      <w:pPr>
        <w:spacing w:after="0" w:line="33" w:lineRule="exact"/>
        <w:rPr>
          <w:sz w:val="20"/>
          <w:szCs w:val="20"/>
          <w:color w:val="auto"/>
        </w:rPr>
      </w:pPr>
    </w:p>
    <w:p>
      <w:pPr>
        <w:ind w:right="60" w:firstLine="445"/>
        <w:spacing w:after="0" w:line="250" w:lineRule="auto"/>
        <w:rPr>
          <w:sz w:val="20"/>
          <w:szCs w:val="20"/>
          <w:color w:val="auto"/>
        </w:rPr>
      </w:pPr>
      <w:r>
        <w:rPr>
          <w:rFonts w:ascii="Arial" w:cs="Arial" w:eastAsia="Arial" w:hAnsi="Arial"/>
          <w:sz w:val="16"/>
          <w:szCs w:val="16"/>
          <w:color w:val="auto"/>
        </w:rPr>
        <w:t>We do not have any drugs that have received regulatory approval and may never be able to develop marketable products. We expect that a substantial portion of our efforts and expenses for the foreseeable future will be devoted to the clinical development of our product candidates, PHVS416 and PHVS719, and as a result, our business currently depends heavily on the successful development, regulatory approval and commercialization of these product candidates. To-date we only have data from preclinical studies and Phase 1 clinical trials in healthy volunteers. We have not conducted a head-to-head comparison of icatibant or any other drug candidate to PHA121 in a clinical trial. We have compared the published data for icatibant to data from our Phase 1 clinical trial of PHA121. Accordingly, the value of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Future clinical trials may not confirm our analyses to-date. The development of PHVS416 and PHVS719 has been and will continue to be a time-consuming and costly process, and may leave us with insufficient resources to advance other programs and product candidates. We cannot be certain that any PHA121-containing product candidate, including PHVS416 and PHVS719, will receive regulatory approval or be successfully commercialized, even if we receive regulatory approval.</w:t>
      </w:r>
    </w:p>
    <w:p>
      <w:pPr>
        <w:spacing w:after="0" w:line="187" w:lineRule="exact"/>
        <w:rPr>
          <w:sz w:val="20"/>
          <w:szCs w:val="20"/>
          <w:color w:val="auto"/>
        </w:rPr>
      </w:pPr>
    </w:p>
    <w:p>
      <w:pPr>
        <w:ind w:right="40" w:firstLine="445"/>
        <w:spacing w:after="0" w:line="249" w:lineRule="auto"/>
        <w:rPr>
          <w:sz w:val="20"/>
          <w:szCs w:val="20"/>
          <w:color w:val="auto"/>
        </w:rPr>
      </w:pPr>
      <w:r>
        <w:rPr>
          <w:rFonts w:ascii="Arial" w:cs="Arial" w:eastAsia="Arial" w:hAnsi="Arial"/>
          <w:sz w:val="16"/>
          <w:szCs w:val="16"/>
          <w:color w:val="auto"/>
        </w:rPr>
        <w:t>The research, testing, manufacturing, safety, efficacy, labeling, approval, sale, advertising promotion, commercialization and distribution of our product candidates are, and will remain, subject to comprehensive regulation by the FDA in the United States, the European Union and the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We have not submitted any marketing authorization applications for any of our product candidates. NDAs and MAs must include extensive nonclinical and clinical data and supporting information to establish the drug candidate’s safety and effectiveness for each desired indication. The nonclinical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nonclinical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PHVS416 and PHVS719 or any other product candidate in the United States, Europe or other jurisdictions will prevent us from commercializing and marketing these products in such jurisdictions.</w:t>
      </w:r>
    </w:p>
    <w:p>
      <w:pPr>
        <w:spacing w:after="0" w:line="190" w:lineRule="exact"/>
        <w:rPr>
          <w:sz w:val="20"/>
          <w:szCs w:val="20"/>
          <w:color w:val="auto"/>
        </w:rPr>
      </w:pPr>
    </w:p>
    <w:p>
      <w:pPr>
        <w:ind w:right="80" w:firstLine="445"/>
        <w:spacing w:after="0" w:line="252" w:lineRule="auto"/>
        <w:rPr>
          <w:sz w:val="20"/>
          <w:szCs w:val="20"/>
          <w:color w:val="auto"/>
        </w:rPr>
      </w:pPr>
      <w:r>
        <w:rPr>
          <w:rFonts w:ascii="Arial" w:cs="Arial" w:eastAsia="Arial" w:hAnsi="Arial"/>
          <w:sz w:val="16"/>
          <w:szCs w:val="16"/>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293" w:lineRule="exact"/>
        <w:rPr>
          <w:sz w:val="20"/>
          <w:szCs w:val="20"/>
          <w:color w:val="auto"/>
        </w:rPr>
      </w:pPr>
    </w:p>
    <w:p>
      <w:pPr>
        <w:ind w:left="460" w:right="300"/>
        <w:spacing w:after="0" w:line="270" w:lineRule="auto"/>
        <w:rPr>
          <w:sz w:val="20"/>
          <w:szCs w:val="20"/>
          <w:color w:val="auto"/>
        </w:rPr>
      </w:pPr>
      <w:r>
        <w:rPr>
          <w:rFonts w:ascii="Arial" w:cs="Arial" w:eastAsia="Arial" w:hAnsi="Arial"/>
          <w:sz w:val="16"/>
          <w:szCs w:val="16"/>
          <w:b w:val="1"/>
          <w:bCs w:val="1"/>
          <w:i w:val="1"/>
          <w:iCs w:val="1"/>
          <w:color w:val="auto"/>
        </w:rPr>
        <w:t>Our business and operations, including ongoing and planned clinical trials, may be adversely affected by a variety of events outside our control, including pandemics, epidemics or outbreaks of infectious diseases, such as the recent COVID-19 pandemic, and political instability, such as the conflict between Russia and Ukraine.</w:t>
      </w:r>
    </w:p>
    <w:p>
      <w:pPr>
        <w:spacing w:after="0" w:line="52" w:lineRule="exact"/>
        <w:rPr>
          <w:sz w:val="20"/>
          <w:szCs w:val="20"/>
          <w:color w:val="auto"/>
        </w:rPr>
      </w:pPr>
    </w:p>
    <w:p>
      <w:pPr>
        <w:ind w:right="40" w:firstLine="445"/>
        <w:spacing w:after="0" w:line="251"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The ongoing spread of variants of the COVID-19 virus may continue to interrupt, or delay, our clinical trial activities, regulatory reviews, manufacturing activities and supply chain. The COVID-19 outbreak delayed, and may continue to delay, enrollment in our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in 2020, we experienced an approximate two-month delay in starting the enrollment of our now completed Phase 1 multiple ascending dose study of PHA121 in healthy volunteers as a result of COVID-19. In addition, even with our distributed operations, employee vaccinations and our observation of social distancing measures, there remains the possibility that key personnel may become ill or are otherwise unable to work, which could affect our operations.</w:t>
      </w:r>
    </w:p>
    <w:p>
      <w:pPr>
        <w:spacing w:after="0" w:line="185" w:lineRule="exact"/>
        <w:rPr>
          <w:sz w:val="20"/>
          <w:szCs w:val="20"/>
          <w:color w:val="auto"/>
        </w:rPr>
      </w:pPr>
    </w:p>
    <w:p>
      <w:pPr>
        <w:ind w:firstLine="445"/>
        <w:spacing w:after="0" w:line="256" w:lineRule="auto"/>
        <w:rPr>
          <w:sz w:val="20"/>
          <w:szCs w:val="20"/>
          <w:color w:val="auto"/>
        </w:rPr>
      </w:pPr>
      <w:r>
        <w:rPr>
          <w:rFonts w:ascii="Arial" w:cs="Arial" w:eastAsia="Arial" w:hAnsi="Arial"/>
          <w:sz w:val="16"/>
          <w:szCs w:val="16"/>
          <w:color w:val="auto"/>
        </w:rPr>
        <w:t>Furthermore, the spread of the virus may affect the operations of key governmental agencies, such as the FDA, which may delay the development of our product candidates. The spread of an infectious disease, including COVID-19, may also result in the inability of our suppliers to deliver components or raw materials, and the inability of our CDMOs to provide supplies of our product candidates for our planned clinical trials, on a timely basis or at all. Further, it may impact the ability of our CROs, including nonclinical CROs, to provide services to support our clinical program. In addition, hospitals may reduce staffing and reduce or postpone certain treatments in response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 If we are unable to meet our milestones it might jeopardize our funding opportunities.</w:t>
      </w:r>
    </w:p>
    <w:p>
      <w:pPr>
        <w:spacing w:after="0" w:line="180"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In addition, the COVID-19 pandemic caused, and is likely to result in further, significant disruptions and uncertainties in global financial markets, which may reduce our ability to access capital on favorable terms or at all. A recession, depression or other sustained adverse market event resulting from the spread of COVID-19 could also materially and adversely affect our business and the value of our ordinary shares. The ultimate impact of the COVID-19 pandemic or a similar health epidemic is uncertain and subject to change. To the extent the COVID-19 pandemic adversely affects our business and financial results, it may also have the effect of heightening many of the other risks described in this “Risk Factors” section, such as those relating to our clinical and nonclinical development operations, manufacturing activities, the supply chain for our ongoing and planned clinical trials and our ability and need to raise additional capital to support our operations.</w:t>
      </w:r>
    </w:p>
    <w:p>
      <w:pPr>
        <w:spacing w:after="0" w:line="181" w:lineRule="exact"/>
        <w:rPr>
          <w:sz w:val="20"/>
          <w:szCs w:val="20"/>
          <w:color w:val="auto"/>
        </w:rPr>
      </w:pPr>
    </w:p>
    <w:p>
      <w:pPr>
        <w:ind w:right="60" w:firstLine="445"/>
        <w:spacing w:after="0" w:line="252" w:lineRule="auto"/>
        <w:rPr>
          <w:sz w:val="20"/>
          <w:szCs w:val="20"/>
          <w:color w:val="auto"/>
        </w:rPr>
      </w:pPr>
      <w:r>
        <w:rPr>
          <w:rFonts w:ascii="Arial" w:cs="Arial" w:eastAsia="Arial" w:hAnsi="Arial"/>
          <w:sz w:val="16"/>
          <w:szCs w:val="16"/>
          <w:color w:val="auto"/>
        </w:rPr>
        <w:t>Moreover, unforeseen global events, such as the armed conflict between Russia and Ukraine, could adversely impact our business and operations. 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study includes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293" w:lineRule="exact"/>
        <w:rPr>
          <w:sz w:val="20"/>
          <w:szCs w:val="20"/>
          <w:color w:val="auto"/>
        </w:rPr>
      </w:pPr>
    </w:p>
    <w:p>
      <w:pPr>
        <w:jc w:val="both"/>
        <w:ind w:left="460" w:right="140"/>
        <w:spacing w:after="0" w:line="270" w:lineRule="auto"/>
        <w:rPr>
          <w:sz w:val="20"/>
          <w:szCs w:val="20"/>
          <w:color w:val="auto"/>
        </w:rPr>
      </w:pPr>
      <w:r>
        <w:rPr>
          <w:rFonts w:ascii="Arial" w:cs="Arial" w:eastAsia="Arial" w:hAnsi="Arial"/>
          <w:sz w:val="16"/>
          <w:szCs w:val="16"/>
          <w:b w:val="1"/>
          <w:bCs w:val="1"/>
          <w:i w:val="1"/>
          <w:iCs w:val="1"/>
          <w:color w:val="auto"/>
        </w:rPr>
        <w:t>Disruptions at FDA, EMA and other government agencies caused by funding shortages or global health concerns such as COVID-19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47" w:lineRule="exact"/>
        <w:rPr>
          <w:sz w:val="20"/>
          <w:szCs w:val="20"/>
          <w:color w:val="auto"/>
        </w:rPr>
      </w:pPr>
    </w:p>
    <w:p>
      <w:pPr>
        <w:ind w:right="60" w:firstLine="445"/>
        <w:spacing w:after="0" w:line="249" w:lineRule="auto"/>
        <w:rPr>
          <w:sz w:val="20"/>
          <w:szCs w:val="20"/>
          <w:color w:val="auto"/>
        </w:rPr>
      </w:pPr>
      <w:r>
        <w:rPr>
          <w:rFonts w:ascii="Arial" w:cs="Arial" w:eastAsia="Arial" w:hAnsi="Arial"/>
          <w:sz w:val="16"/>
          <w:szCs w:val="16"/>
          <w:color w:val="auto"/>
        </w:rPr>
        <w:t>The ability of the FDA, EMA and other comparable government agencies to review and clear or approve new products can be affected by a variety of factors, including government budget and funding levels, statutory, regulatory, and policy changes,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For instance, in response to COVID-19, on March 10, 2020, the FDA announced its intention to postpone most foreign inspections of manufacturing facilities and products. While the FDA subsequently restarted some inspections, following the spread the Omricron COVID-19 variant, such inspectional activities were postponed again. Foreign pre-approval and for-cause inspection assignments that are not deemed mission-critical remain temporarily postponed, while those deemed “mission-critical” are being considered for inspection on a case-by-case basis. Regulatory authorities outside the United States may adopt similar restrictions or other policy measures in response to the COVID-19 pandemic. In addition, regulatory agencies have generally reduced face-to-face interactions relative to the pre-pandemic situation which may impact our ability to reach consensus with regulators. If a prolonged government shutdown occurs, or if global health concerns continue to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design and develop an extended-release formulation.</w:t>
      </w:r>
    </w:p>
    <w:p>
      <w:pPr>
        <w:spacing w:after="0" w:line="111" w:lineRule="exact"/>
        <w:rPr>
          <w:sz w:val="20"/>
          <w:szCs w:val="20"/>
          <w:color w:val="auto"/>
        </w:rPr>
      </w:pPr>
    </w:p>
    <w:p>
      <w:pPr>
        <w:ind w:right="20" w:firstLine="445"/>
        <w:spacing w:after="0" w:line="252" w:lineRule="auto"/>
        <w:rPr>
          <w:sz w:val="20"/>
          <w:szCs w:val="20"/>
          <w:color w:val="auto"/>
        </w:rPr>
      </w:pPr>
      <w:r>
        <w:rPr>
          <w:rFonts w:ascii="Arial" w:cs="Arial" w:eastAsia="Arial" w:hAnsi="Arial"/>
          <w:sz w:val="16"/>
          <w:szCs w:val="16"/>
          <w:color w:val="auto"/>
        </w:rPr>
        <w:t>Our current strategy includes developing an extended-release formulation for the PHA121 prophylactic indication. To date, we have studied a prospective extended-release formulation only in a single clinical study in healthy volunteers. We are planning to conduct an open-label, multiple dose study to assess the PK and safety of the extended-release formulation. If we pursue this development strategy, we expect to file for and obtain patents covering the specific formulation developed, as well as its use for the treatment of HAE.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extended-release formulations and there can be no assurance that we would be able to obtain rights to such patents on attractive financial terms, if at all.</w:t>
      </w:r>
    </w:p>
    <w:p>
      <w:pPr>
        <w:spacing w:after="0" w:line="293" w:lineRule="exact"/>
        <w:rPr>
          <w:sz w:val="20"/>
          <w:szCs w:val="20"/>
          <w:color w:val="auto"/>
        </w:rPr>
      </w:pPr>
    </w:p>
    <w:p>
      <w:pPr>
        <w:ind w:left="460" w:right="20"/>
        <w:spacing w:after="0" w:line="256" w:lineRule="auto"/>
        <w:rPr>
          <w:sz w:val="20"/>
          <w:szCs w:val="20"/>
          <w:color w:val="auto"/>
        </w:rPr>
      </w:pPr>
      <w:r>
        <w:rPr>
          <w:rFonts w:ascii="Arial" w:cs="Arial" w:eastAsia="Arial" w:hAnsi="Arial"/>
          <w:sz w:val="16"/>
          <w:szCs w:val="16"/>
          <w:b w:val="1"/>
          <w:bCs w:val="1"/>
          <w:i w:val="1"/>
          <w:iCs w:val="1"/>
          <w:color w:val="auto"/>
        </w:rPr>
        <w:t>We may experience setbacks in our clinical trials, including delays in commencing, conducting or completing our clinical trials. Moreover, we have established proof-of-mechanism for PHA121 and have designed and advanced our future clinical development program based on a clinical trial that assessed a surrogate endpoint,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460" w:right="800"/>
        <w:spacing w:after="0" w:line="294" w:lineRule="auto"/>
        <w:rPr>
          <w:sz w:val="20"/>
          <w:szCs w:val="20"/>
          <w:color w:val="auto"/>
        </w:rPr>
      </w:pPr>
      <w:r>
        <w:rPr>
          <w:rFonts w:ascii="Arial" w:cs="Arial" w:eastAsia="Arial" w:hAnsi="Arial"/>
          <w:sz w:val="16"/>
          <w:szCs w:val="16"/>
          <w:b w:val="1"/>
          <w:bCs w:val="1"/>
          <w:i w:val="1"/>
          <w:iCs w:val="1"/>
          <w:color w:val="auto"/>
        </w:rPr>
        <w:t>clinical development program could have a material adverse effect on our business, financial condition, results of operations and prospects.</w:t>
      </w:r>
    </w:p>
    <w:p>
      <w:pPr>
        <w:spacing w:after="0" w:line="33" w:lineRule="exact"/>
        <w:rPr>
          <w:sz w:val="20"/>
          <w:szCs w:val="20"/>
          <w:color w:val="auto"/>
        </w:rPr>
      </w:pPr>
    </w:p>
    <w:p>
      <w:pPr>
        <w:ind w:firstLine="445"/>
        <w:spacing w:after="0" w:line="249" w:lineRule="auto"/>
        <w:rPr>
          <w:sz w:val="20"/>
          <w:szCs w:val="20"/>
          <w:color w:val="auto"/>
        </w:rPr>
      </w:pPr>
      <w:r>
        <w:rPr>
          <w:rFonts w:ascii="Arial" w:cs="Arial" w:eastAsia="Arial" w:hAnsi="Arial"/>
          <w:sz w:val="16"/>
          <w:szCs w:val="16"/>
          <w:color w:val="auto"/>
        </w:rPr>
        <w:t xml:space="preserve">Clinical trials are expensive and complex. Each trial can take many years to complete and have uncertain outcomes. Failure of a product can occur at any stage of the testing, including later phases of clinical trials despite having progressed through preclinical and nonclinical studies and early phase clinical trials, for a variety of reasons, such as changes in formulation of the product, differences in patient populations, changes in trial and manufacturing protocols and complexities of larger, multi-center trials, among others. The results from nonclinical studies or early phase clinical trials of a product candidate may not predict the results that will be obtained in later phase clinical trials of the product candidate. For example, we have established proof-of-mechanism for PHA121 and have designed and advanced our future clinical development program based on a clinical trial that assessed a surrogate assessment, as well as modelling of our results from that trial with additional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Even if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w:t>
      </w:r>
    </w:p>
    <w:p>
      <w:pPr>
        <w:spacing w:after="0" w:line="190" w:lineRule="exact"/>
        <w:rPr>
          <w:sz w:val="20"/>
          <w:szCs w:val="20"/>
          <w:color w:val="auto"/>
        </w:rPr>
      </w:pPr>
    </w:p>
    <w:p>
      <w:pPr>
        <w:ind w:right="600" w:firstLine="445"/>
        <w:spacing w:after="0" w:line="286" w:lineRule="auto"/>
        <w:rPr>
          <w:sz w:val="20"/>
          <w:szCs w:val="20"/>
          <w:color w:val="auto"/>
        </w:rPr>
      </w:pPr>
      <w:r>
        <w:rPr>
          <w:rFonts w:ascii="Arial" w:cs="Arial" w:eastAsia="Arial" w:hAnsi="Arial"/>
          <w:sz w:val="16"/>
          <w:szCs w:val="16"/>
          <w:color w:val="auto"/>
        </w:rPr>
        <w:t>We have, and may continue to experience numerous setbacks during, or as a result of, the clinical trial process that could delay or prevent the commencement, conduct and completion of clinical trials or the commercialization of our current and any future programs, such as:</w:t>
      </w:r>
    </w:p>
    <w:p>
      <w:pPr>
        <w:spacing w:after="0" w:line="48" w:lineRule="exact"/>
        <w:rPr>
          <w:sz w:val="20"/>
          <w:szCs w:val="20"/>
          <w:color w:val="auto"/>
        </w:rPr>
      </w:pPr>
    </w:p>
    <w:p>
      <w:pPr>
        <w:jc w:val="both"/>
        <w:ind w:left="860" w:right="460" w:hanging="420"/>
        <w:spacing w:after="0" w:line="266" w:lineRule="auto"/>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the design or implementation of our clinical trials, including with respect to our strategy for sharing Phase 1 and Phase 2 data between PHVS416 and PHVS719 programs and designs for improving the efficiency of our clinical development path;</w:t>
      </w:r>
    </w:p>
    <w:p>
      <w:pPr>
        <w:spacing w:after="0" w:line="63" w:lineRule="exact"/>
        <w:rPr>
          <w:rFonts w:ascii="Arial" w:cs="Arial" w:eastAsia="Arial" w:hAnsi="Arial"/>
          <w:sz w:val="16"/>
          <w:szCs w:val="16"/>
          <w:color w:val="auto"/>
        </w:rPr>
      </w:pPr>
    </w:p>
    <w:p>
      <w:pPr>
        <w:ind w:left="860" w:hanging="420"/>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in obtaining regulatory approval or ethics committee approval to commence a clinical trial;</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of CROs to adequately supervise investigators;</w:t>
      </w:r>
    </w:p>
    <w:p>
      <w:pPr>
        <w:spacing w:after="0" w:line="153" w:lineRule="exact"/>
        <w:rPr>
          <w:rFonts w:ascii="Arial" w:cs="Arial" w:eastAsia="Arial" w:hAnsi="Arial"/>
          <w:sz w:val="16"/>
          <w:szCs w:val="16"/>
          <w:color w:val="auto"/>
        </w:rPr>
      </w:pPr>
    </w:p>
    <w:p>
      <w:pPr>
        <w:ind w:left="860" w:right="240" w:hanging="420"/>
        <w:spacing w:after="0" w:line="286" w:lineRule="auto"/>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recruit sufficient investigators or recruit and enroll sufficient subjects for our clinical trials in a timely manner or at all, including due to the COVID-19 pandemic;</w:t>
      </w:r>
    </w:p>
    <w:p>
      <w:pPr>
        <w:spacing w:after="0" w:line="47" w:lineRule="exact"/>
        <w:rPr>
          <w:rFonts w:ascii="Arial" w:cs="Arial" w:eastAsia="Arial" w:hAnsi="Arial"/>
          <w:sz w:val="16"/>
          <w:szCs w:val="16"/>
          <w:color w:val="auto"/>
        </w:rPr>
      </w:pPr>
    </w:p>
    <w:p>
      <w:pPr>
        <w:ind w:left="860" w:right="620" w:hanging="420"/>
        <w:spacing w:after="0" w:line="286" w:lineRule="auto"/>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 or failure in having subjects complete a trial or return for post-treatment follow-up, including due to the COVID-19 pandemic; or the escalation of the ongoing conflict in Ukraine;</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obtain and maintain the required institutional review board, or IRB, or ethics committee approval at each clinical trial site;</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clinical sites or investigators deviating from trial protocol or dropping out of a trial;</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lack of adequate funding to continue a clinical trial;</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w:t>
      </w:r>
    </w:p>
    <w:p>
      <w:pPr>
        <w:spacing w:after="0" w:line="153" w:lineRule="exact"/>
        <w:rPr>
          <w:rFonts w:ascii="Arial" w:cs="Arial" w:eastAsia="Arial" w:hAnsi="Arial"/>
          <w:sz w:val="16"/>
          <w:szCs w:val="16"/>
          <w:color w:val="auto"/>
        </w:rPr>
      </w:pPr>
    </w:p>
    <w:p>
      <w:pPr>
        <w:ind w:left="860" w:right="60" w:hanging="420"/>
        <w:spacing w:after="0" w:line="286" w:lineRule="auto"/>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47" w:lineRule="exact"/>
        <w:rPr>
          <w:rFonts w:ascii="Arial" w:cs="Arial" w:eastAsia="Arial" w:hAnsi="Arial"/>
          <w:sz w:val="16"/>
          <w:szCs w:val="16"/>
          <w:color w:val="auto"/>
        </w:rPr>
      </w:pPr>
    </w:p>
    <w:p>
      <w:pPr>
        <w:ind w:left="860" w:right="120" w:hanging="420"/>
        <w:spacing w:after="0" w:line="286" w:lineRule="auto"/>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156" w:lineRule="exact"/>
        <w:rPr>
          <w:sz w:val="20"/>
          <w:szCs w:val="20"/>
          <w:color w:val="auto"/>
        </w:rPr>
      </w:pPr>
    </w:p>
    <w:p>
      <w:pPr>
        <w:ind w:right="280" w:firstLine="445"/>
        <w:spacing w:after="0" w:line="259" w:lineRule="auto"/>
        <w:rPr>
          <w:sz w:val="20"/>
          <w:szCs w:val="20"/>
          <w:color w:val="auto"/>
        </w:rPr>
      </w:pPr>
      <w:r>
        <w:rPr>
          <w:rFonts w:ascii="Arial" w:cs="Arial" w:eastAsia="Arial" w:hAnsi="Arial"/>
          <w:sz w:val="16"/>
          <w:szCs w:val="16"/>
          <w:color w:val="auto"/>
        </w:rPr>
        <w:t>Before commencing clinical trials, we are required to apply to country-level regulators before opening sites in their countries. In connection with the expansion of CHAPTER-1, one European country regulator has requested that we provide RAPIDe-1 data before commencing CHAPTER-1 in their country. We have resubmitted our application with additional support, but if we are not able to timely receive their approval or enroll additional patients at sites in other countries, we may not be able to complete CHAPTER-1 on our anticipated timeline.</w:t>
      </w:r>
    </w:p>
    <w:p>
      <w:pPr>
        <w:spacing w:after="0" w:line="178" w:lineRule="exact"/>
        <w:rPr>
          <w:sz w:val="20"/>
          <w:szCs w:val="20"/>
          <w:color w:val="auto"/>
        </w:rPr>
      </w:pPr>
    </w:p>
    <w:p>
      <w:pPr>
        <w:ind w:right="20" w:firstLine="445"/>
        <w:spacing w:after="0" w:line="253" w:lineRule="auto"/>
        <w:rPr>
          <w:sz w:val="20"/>
          <w:szCs w:val="20"/>
          <w:color w:val="auto"/>
        </w:rPr>
      </w:pPr>
      <w:r>
        <w:rPr>
          <w:rFonts w:ascii="Arial" w:cs="Arial" w:eastAsia="Arial" w:hAnsi="Arial"/>
          <w:sz w:val="16"/>
          <w:szCs w:val="16"/>
          <w:color w:val="auto"/>
        </w:rPr>
        <w:t>Moreover, principal investigators for our clinical trials may serve as scientific advisers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1" w:lineRule="exact"/>
        <w:rPr>
          <w:sz w:val="20"/>
          <w:szCs w:val="20"/>
          <w:color w:val="auto"/>
        </w:rPr>
      </w:pPr>
    </w:p>
    <w:p>
      <w:pPr>
        <w:ind w:right="300" w:firstLine="445"/>
        <w:spacing w:after="0" w:line="286" w:lineRule="auto"/>
        <w:rPr>
          <w:sz w:val="20"/>
          <w:szCs w:val="20"/>
          <w:color w:val="auto"/>
        </w:rPr>
      </w:pPr>
      <w:r>
        <w:rPr>
          <w:rFonts w:ascii="Arial" w:cs="Arial" w:eastAsia="Arial" w:hAnsi="Arial"/>
          <w:sz w:val="16"/>
          <w:szCs w:val="16"/>
          <w:color w:val="auto"/>
        </w:rPr>
        <w:t>If we suffer any material delays, negative results or other setbacks in our clinical trials or nonclinical studies or if our clinical trials are put on clinical hold or terminated, we may incur increased costs or be unable to continue development of PHA121, including our product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candidates PHVS416 and PHVS719, which could have a material adverse effect on our business, financial condition, results of operations and prospects.</w:t>
      </w:r>
    </w:p>
    <w:p>
      <w:pPr>
        <w:spacing w:after="0" w:line="331"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33" w:lineRule="exact"/>
        <w:rPr>
          <w:sz w:val="20"/>
          <w:szCs w:val="20"/>
          <w:color w:val="auto"/>
        </w:rPr>
      </w:pPr>
    </w:p>
    <w:p>
      <w:pPr>
        <w:ind w:firstLine="445"/>
        <w:spacing w:after="0" w:line="252"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demonstrate safety and efficacy. We are currently conducting early phase clinical trials and have commenced a Phase 2 trial in the on-demand setting and a Phase 2 trial in the prophylactic setting which we expect will provide critical data for dose selection for late phase clinical trials.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75" w:lineRule="exact"/>
        <w:rPr>
          <w:sz w:val="20"/>
          <w:szCs w:val="20"/>
          <w:color w:val="auto"/>
        </w:rPr>
      </w:pPr>
    </w:p>
    <w:p>
      <w:pPr>
        <w:ind w:left="860" w:hanging="420"/>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eligibility criteria for the study in question;</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availability of existing or experimental treatments affecting our ability to recruit patients;</w:t>
      </w:r>
    </w:p>
    <w:p>
      <w:pPr>
        <w:spacing w:after="0" w:line="153" w:lineRule="exact"/>
        <w:rPr>
          <w:rFonts w:ascii="Arial" w:cs="Arial" w:eastAsia="Arial" w:hAnsi="Arial"/>
          <w:sz w:val="16"/>
          <w:szCs w:val="16"/>
          <w:color w:val="auto"/>
        </w:rPr>
      </w:pPr>
    </w:p>
    <w:p>
      <w:pPr>
        <w:ind w:left="860" w:right="420" w:hanging="420"/>
        <w:spacing w:after="0" w:line="286"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to identify and maintain a sufficient number of trial sites, many of which may already be engaged in other clinical trial programs, including some that may be for the same disease indication;</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delays and difficulties in enrollment due to the COVID-19 pandemic;</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ambiguous or negative interim results of our clinical trials, or results that are inconsistent with earlier results;</w:t>
      </w:r>
    </w:p>
    <w:p>
      <w:pPr>
        <w:spacing w:after="0" w:line="153" w:lineRule="exact"/>
        <w:rPr>
          <w:rFonts w:ascii="Arial" w:cs="Arial" w:eastAsia="Arial" w:hAnsi="Arial"/>
          <w:sz w:val="16"/>
          <w:szCs w:val="16"/>
          <w:color w:val="auto"/>
        </w:rPr>
      </w:pPr>
    </w:p>
    <w:p>
      <w:pPr>
        <w:ind w:left="860" w:hanging="420"/>
        <w:spacing w:after="0" w:line="286"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feedback from the FDA, EMA and any comparable foreign regulatory authority, data safety monitoring boards, or a comparable foreign regulatory authority, or results from earlier stage or concurrent nonclinical studies and clinical trials, that might require modifications to the protocol;</w:t>
      </w:r>
    </w:p>
    <w:p>
      <w:pPr>
        <w:spacing w:after="0" w:line="47" w:lineRule="exact"/>
        <w:rPr>
          <w:rFonts w:ascii="Arial" w:cs="Arial" w:eastAsia="Arial" w:hAnsi="Arial"/>
          <w:sz w:val="16"/>
          <w:szCs w:val="16"/>
          <w:color w:val="auto"/>
        </w:rPr>
      </w:pPr>
    </w:p>
    <w:p>
      <w:pPr>
        <w:ind w:left="860" w:right="320" w:hanging="420"/>
        <w:spacing w:after="0" w:line="286"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decisions by the FDA, EMA and any comparable foreign regulatory authority or us, or recommendations by data safety monitoring boards, to suspend or terminate clinical trials at any time for safety issues or for any other reason; and</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unacceptable risk-benefit profile, perceived or actual, or unforeseen safety issues or adverse effects.</w:t>
      </w:r>
    </w:p>
    <w:p>
      <w:pPr>
        <w:spacing w:after="0" w:line="262" w:lineRule="exact"/>
        <w:rPr>
          <w:sz w:val="20"/>
          <w:szCs w:val="20"/>
          <w:color w:val="auto"/>
        </w:rPr>
      </w:pPr>
    </w:p>
    <w:p>
      <w:pPr>
        <w:ind w:right="40" w:firstLine="445"/>
        <w:spacing w:after="0" w:line="266"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Clinical trials of our product candidates may not uncover all possible adverse effects that patients may experience.</w:t>
      </w:r>
    </w:p>
    <w:p>
      <w:pPr>
        <w:spacing w:after="0" w:line="111" w:lineRule="exact"/>
        <w:rPr>
          <w:sz w:val="20"/>
          <w:szCs w:val="20"/>
          <w:color w:val="auto"/>
        </w:rPr>
      </w:pPr>
    </w:p>
    <w:p>
      <w:pPr>
        <w:ind w:right="40" w:firstLine="445"/>
        <w:spacing w:after="0" w:line="251" w:lineRule="auto"/>
        <w:rPr>
          <w:sz w:val="20"/>
          <w:szCs w:val="20"/>
          <w:color w:val="auto"/>
        </w:rPr>
      </w:pPr>
      <w:r>
        <w:rPr>
          <w:rFonts w:ascii="Arial" w:cs="Arial" w:eastAsia="Arial" w:hAnsi="Arial"/>
          <w:sz w:val="16"/>
          <w:szCs w:val="16"/>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the duration of exposure to the product candidate, and by inclusion and exclusion criteria to a restricted composition of the overall patient population. As a result of such limitations, we cannot be sure that all side effects of our product 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85" w:lineRule="exact"/>
        <w:rPr>
          <w:sz w:val="20"/>
          <w:szCs w:val="20"/>
          <w:color w:val="auto"/>
        </w:rPr>
      </w:pPr>
    </w:p>
    <w:p>
      <w:pPr>
        <w:ind w:right="40" w:firstLine="445"/>
        <w:spacing w:after="0" w:line="256" w:lineRule="auto"/>
        <w:rPr>
          <w:sz w:val="20"/>
          <w:szCs w:val="20"/>
          <w:color w:val="auto"/>
        </w:rPr>
      </w:pPr>
      <w:r>
        <w:rPr>
          <w:rFonts w:ascii="Arial" w:cs="Arial" w:eastAsia="Arial" w:hAnsi="Arial"/>
          <w:sz w:val="16"/>
          <w:szCs w:val="16"/>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290" w:lineRule="exact"/>
        <w:rPr>
          <w:sz w:val="20"/>
          <w:szCs w:val="20"/>
          <w:color w:val="auto"/>
        </w:rPr>
      </w:pPr>
    </w:p>
    <w:p>
      <w:pPr>
        <w:ind w:left="460" w:right="40"/>
        <w:spacing w:after="0" w:line="270" w:lineRule="auto"/>
        <w:rPr>
          <w:sz w:val="20"/>
          <w:szCs w:val="20"/>
          <w:color w:val="auto"/>
        </w:rPr>
      </w:pPr>
      <w:r>
        <w:rPr>
          <w:rFonts w:ascii="Arial" w:cs="Arial" w:eastAsia="Arial" w:hAnsi="Arial"/>
          <w:sz w:val="16"/>
          <w:szCs w:val="16"/>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52" w:lineRule="exact"/>
        <w:rPr>
          <w:sz w:val="20"/>
          <w:szCs w:val="20"/>
          <w:color w:val="auto"/>
        </w:rPr>
      </w:pPr>
    </w:p>
    <w:p>
      <w:pPr>
        <w:ind w:right="260" w:firstLine="445"/>
        <w:spacing w:after="0" w:line="286"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w:t>
      </w:r>
    </w:p>
    <w:p>
      <w:pPr>
        <w:sectPr>
          <w:pgSz w:w="11900" w:h="16838" w:orient="portrait"/>
          <w:cols w:equalWidth="0" w:num="1">
            <w:col w:w="11220"/>
          </w:cols>
          <w:pgMar w:left="320" w:top="125" w:right="35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nonclinical (animal) studies, they may not prove to be safe or effective in subsequent clinical trials. For example, the results of animal studies may not accurately predict human experience. Likewise, early clinical trials may not be predictive of eventual safety or effectiveness results in larger-scale pivotal clinical trials. In this Annual Report we discuss the potency of PHA121 as shown in preclinical and Phase 1 clinical trials. Potency as used in this Annual Report refers to the amount of drug required to produce a pharmacological effect of given intensity and is not a measure of therapeutic efficacy. We do not yet have data from any PHA121 Phase 2 clinical trial to evaluate the potential therapeutic efficacy of PHA121 in HAE patients. The results of preclinical studies and early clinical trials, as well as data from interim analysis of ongoing clinical trials, may not be predictive of the results of ongoing or future clinical trials.</w:t>
      </w:r>
    </w:p>
    <w:p>
      <w:pPr>
        <w:spacing w:after="0" w:line="181" w:lineRule="exact"/>
        <w:rPr>
          <w:sz w:val="20"/>
          <w:szCs w:val="20"/>
          <w:color w:val="auto"/>
        </w:rPr>
      </w:pPr>
    </w:p>
    <w:p>
      <w:pPr>
        <w:ind w:right="80" w:firstLine="445"/>
        <w:spacing w:after="0" w:line="251" w:lineRule="auto"/>
        <w:rPr>
          <w:sz w:val="20"/>
          <w:szCs w:val="20"/>
          <w:color w:val="auto"/>
        </w:rPr>
      </w:pPr>
      <w:r>
        <w:rPr>
          <w:rFonts w:ascii="Arial" w:cs="Arial" w:eastAsia="Arial" w:hAnsi="Arial"/>
          <w:sz w:val="16"/>
          <w:szCs w:val="16"/>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nonclinical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295"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33" w:lineRule="exact"/>
        <w:rPr>
          <w:sz w:val="20"/>
          <w:szCs w:val="20"/>
          <w:color w:val="auto"/>
        </w:rPr>
      </w:pPr>
    </w:p>
    <w:p>
      <w:pPr>
        <w:ind w:firstLine="445"/>
        <w:spacing w:after="0" w:line="25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in pre- and nonclinical animals before initiating clinical trials involving humans. Pre- and nonclinical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In addition, there is a constrained supply of some types of animals for research and nonclinical studies which has arisen as a consequence of the COVID-19 pandemic. This reduction in supply and the prioritization for COVID19-related studies have severely restricted the availability of some types of animals for other pharmaceutical development programs, and has the potential to significantly delay the nonclinical toxicology and developmental and reproductive toxicity studies.</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Regulatory Approval of Our Clinical Development Programs and Our Product Candidates</w:t>
      </w:r>
    </w:p>
    <w:p>
      <w:pPr>
        <w:spacing w:after="0" w:line="113"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33" w:lineRule="exact"/>
        <w:rPr>
          <w:sz w:val="20"/>
          <w:szCs w:val="20"/>
          <w:color w:val="auto"/>
        </w:rPr>
      </w:pPr>
    </w:p>
    <w:p>
      <w:pPr>
        <w:ind w:right="520" w:firstLine="445"/>
        <w:spacing w:after="0" w:line="266"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with or market our product candidates.</w:t>
      </w:r>
    </w:p>
    <w:p>
      <w:pPr>
        <w:spacing w:after="0" w:line="171"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Since the 1990s, many companies have tried but failed to discover oral B2 antagonists, as the bradykinin- B2-receptor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PHVS416 and PHVS719. As discussed under “—Risks Related to the Development and Clinical Testing of Our Product Candidates—We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w:t>
      </w:r>
      <w:r>
        <w:rPr>
          <w:rFonts w:ascii="Arial" w:cs="Arial" w:eastAsia="Arial" w:hAnsi="Arial"/>
          <w:sz w:val="16"/>
          <w:szCs w:val="16"/>
          <w:i w:val="1"/>
          <w:iCs w:val="1"/>
          <w:color w:val="auto"/>
        </w:rPr>
        <w:t>s</w:t>
      </w:r>
      <w:r>
        <w:rPr>
          <w:rFonts w:ascii="Arial" w:cs="Arial" w:eastAsia="Arial" w:hAnsi="Arial"/>
          <w:sz w:val="16"/>
          <w:szCs w:val="16"/>
          <w:color w:val="auto"/>
        </w:rPr>
        <w:t>,” we or our partners may experience any number of unfavorable outcomes during or as a result of nonclinical studies and clinical trials which could delay or prevent regulatory approval of our product candidates, or negatively impact our management’s credibility, our value and our operating results.</w:t>
      </w:r>
    </w:p>
    <w:p>
      <w:pPr>
        <w:spacing w:after="0" w:line="189" w:lineRule="exact"/>
        <w:rPr>
          <w:sz w:val="20"/>
          <w:szCs w:val="20"/>
          <w:color w:val="auto"/>
        </w:rPr>
      </w:pPr>
    </w:p>
    <w:p>
      <w:pPr>
        <w:ind w:right="160" w:firstLine="445"/>
        <w:spacing w:after="0" w:line="254" w:lineRule="auto"/>
        <w:rPr>
          <w:sz w:val="20"/>
          <w:szCs w:val="20"/>
          <w:color w:val="auto"/>
        </w:rPr>
      </w:pPr>
      <w:r>
        <w:rPr>
          <w:rFonts w:ascii="Arial" w:cs="Arial" w:eastAsia="Arial" w:hAnsi="Arial"/>
          <w:sz w:val="16"/>
          <w:szCs w:val="16"/>
          <w:color w:val="auto"/>
        </w:rPr>
        <w:t>We may invest substantial time and resources in preclinical and nonclinical studies, clinical trials, manufacturing and the preparation and submission of various regulatory applications without any assurance that we will obtain regulatory approval or recoup our investment. The FDA and other regulatory authorities exercise substantial discretion with respect to the development and approval of drug product candidates. The number, size and design of nonclinical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74" w:lineRule="exact"/>
        <w:rPr>
          <w:sz w:val="20"/>
          <w:szCs w:val="20"/>
          <w:color w:val="auto"/>
        </w:rPr>
      </w:pPr>
    </w:p>
    <w:p>
      <w:pPr>
        <w:ind w:left="860" w:hanging="420"/>
        <w:spacing w:after="0"/>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manufacturing related issues or concerns;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concerns relating to the product candidate’s safety or efficacy;</w:t>
      </w:r>
    </w:p>
    <w:p>
      <w:pPr>
        <w:spacing w:after="0" w:line="153" w:lineRule="exact"/>
        <w:rPr>
          <w:rFonts w:ascii="Arial" w:cs="Arial" w:eastAsia="Arial" w:hAnsi="Arial"/>
          <w:sz w:val="16"/>
          <w:szCs w:val="16"/>
          <w:color w:val="auto"/>
        </w:rPr>
      </w:pPr>
    </w:p>
    <w:p>
      <w:pPr>
        <w:ind w:left="860" w:right="520" w:hanging="420"/>
        <w:spacing w:after="0" w:line="286"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concerns relating to the design, control or conduct of nonclinical studies and clinical trials including the use of placebo or active controls in blinded studies;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860" w:hanging="420"/>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negative or ambiguous results of any nonclinical study or clinical trial;</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concerns relating to the sufficiency of clinical trial results;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failure of more advanced clinical results to confirm positive results from preclinical studies or earlier clinical trials; or</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development or observation of unexpected safety issues, adverse events or adverse side effects.</w:t>
      </w:r>
    </w:p>
    <w:p>
      <w:pPr>
        <w:spacing w:after="0" w:line="262" w:lineRule="exact"/>
        <w:rPr>
          <w:sz w:val="20"/>
          <w:szCs w:val="20"/>
          <w:color w:val="auto"/>
        </w:rPr>
      </w:pPr>
    </w:p>
    <w:p>
      <w:pPr>
        <w:ind w:right="60" w:firstLine="445"/>
        <w:spacing w:after="0" w:line="266" w:lineRule="auto"/>
        <w:rPr>
          <w:sz w:val="20"/>
          <w:szCs w:val="20"/>
          <w:color w:val="auto"/>
        </w:rPr>
      </w:pPr>
      <w:r>
        <w:rPr>
          <w:rFonts w:ascii="Arial" w:cs="Arial" w:eastAsia="Arial" w:hAnsi="Arial"/>
          <w:sz w:val="16"/>
          <w:szCs w:val="16"/>
          <w:color w:val="auto"/>
        </w:rPr>
        <w:t>Should any of these or other factors affecting our development programs or product candidates occur, regulatory approval of our product candidates could be denied, delayed or have conditions placed upon it. Failure to obtain regulatory approval in a timely manner, in a limited manner or at all would have a material adverse effect on our business, financial condition, results of operations or prospects.</w:t>
      </w:r>
    </w:p>
    <w:p>
      <w:pPr>
        <w:spacing w:after="0" w:line="171"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Additionally, effective as of January 31, 2020, the United Kingdom withdrew from the European Union, a process referred to as “Brexit”. Since a significant proportion of the regulatory framework in the United Kingdom is derived from European Union directives and regulations, the final resolution of the withdrawal of the United Kingdom from the European Union could materially impact the regulatory regime with respect to the approval of any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of our product candidates, which could significantly and materially harm our business.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maintain orphan drug status.</w:t>
      </w:r>
    </w:p>
    <w:p>
      <w:pPr>
        <w:spacing w:after="0" w:line="19" w:lineRule="exact"/>
        <w:rPr>
          <w:sz w:val="20"/>
          <w:szCs w:val="20"/>
          <w:color w:val="auto"/>
        </w:rPr>
      </w:pPr>
    </w:p>
    <w:p>
      <w:pPr>
        <w:ind w:right="20" w:firstLine="445"/>
        <w:spacing w:after="0" w:line="248"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after a recommendation from the EMA’s Committee for Orphan Medicinal Products, the European Commission grants orphan drug designation to promote the development of products that are intended for the diagnosis, prevention or treatment of a life-threatening or chronically debilitating condition either affecting not more than five in 10,000 persons in the European Union or when, without incentives, it is unlikely that marketing of the medicine would generate sufficient returns to justify the investment needed for its development.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88" w:lineRule="exact"/>
        <w:rPr>
          <w:sz w:val="20"/>
          <w:szCs w:val="20"/>
          <w:color w:val="auto"/>
        </w:rPr>
      </w:pPr>
    </w:p>
    <w:p>
      <w:pPr>
        <w:ind w:right="20" w:firstLine="445"/>
        <w:spacing w:after="0" w:line="250" w:lineRule="auto"/>
        <w:rPr>
          <w:sz w:val="20"/>
          <w:szCs w:val="20"/>
          <w:color w:val="auto"/>
        </w:rPr>
      </w:pPr>
      <w:r>
        <w:rPr>
          <w:rFonts w:ascii="Arial" w:cs="Arial" w:eastAsia="Arial" w:hAnsi="Arial"/>
          <w:sz w:val="16"/>
          <w:szCs w:val="16"/>
          <w:color w:val="auto"/>
        </w:rPr>
        <w:t>On March 18, 2022, the FDA granted orphan drug designation to PHA121, the active ingredient in our PHVS416 and PHVS719 product candidates for treatment of bradykinin-mediated angioedema. Even though we have obtained orphan drug exclusivity for PHA121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maintaining market exclusivity for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FDA determines that the request for designation was materially defective. If we fail to obtain or maintain orphan exclusivity for PHA121 or any future products, or if the commercial value of market exclusivity is diminished, our competitive position or financial and commercial prospects could be materially adversely affected.</w:t>
      </w:r>
    </w:p>
    <w:p>
      <w:pPr>
        <w:spacing w:after="0" w:line="299" w:lineRule="exact"/>
        <w:rPr>
          <w:sz w:val="20"/>
          <w:szCs w:val="20"/>
          <w:color w:val="auto"/>
        </w:rPr>
      </w:pPr>
    </w:p>
    <w:p>
      <w:pPr>
        <w:jc w:val="both"/>
        <w:ind w:left="460" w:right="100"/>
        <w:spacing w:after="0" w:line="270" w:lineRule="auto"/>
        <w:rPr>
          <w:sz w:val="20"/>
          <w:szCs w:val="20"/>
          <w:color w:val="auto"/>
        </w:rPr>
      </w:pPr>
      <w:r>
        <w:rPr>
          <w:rFonts w:ascii="Arial" w:cs="Arial" w:eastAsia="Arial" w:hAnsi="Arial"/>
          <w:sz w:val="16"/>
          <w:szCs w:val="16"/>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52" w:lineRule="exact"/>
        <w:rPr>
          <w:sz w:val="20"/>
          <w:szCs w:val="20"/>
          <w:color w:val="auto"/>
        </w:rPr>
      </w:pPr>
    </w:p>
    <w:p>
      <w:pPr>
        <w:ind w:right="20" w:firstLine="445"/>
        <w:spacing w:after="0" w:line="251" w:lineRule="auto"/>
        <w:rPr>
          <w:sz w:val="20"/>
          <w:szCs w:val="20"/>
          <w:color w:val="auto"/>
        </w:rPr>
      </w:pPr>
      <w:r>
        <w:rPr>
          <w:rFonts w:ascii="Arial" w:cs="Arial" w:eastAsia="Arial" w:hAnsi="Arial"/>
          <w:sz w:val="16"/>
          <w:szCs w:val="16"/>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 and corresponding maintenance of records and documents. In addition, we would be subject to other requirements regarding the distribution of drug samples to physicians. We and our suppliers,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85" w:lineRule="exact"/>
        <w:rPr>
          <w:sz w:val="20"/>
          <w:szCs w:val="20"/>
          <w:color w:val="auto"/>
        </w:rPr>
      </w:pPr>
    </w:p>
    <w:p>
      <w:pPr>
        <w:ind w:right="120" w:firstLine="445"/>
        <w:spacing w:after="0" w:line="254" w:lineRule="auto"/>
        <w:rPr>
          <w:sz w:val="20"/>
          <w:szCs w:val="20"/>
          <w:color w:val="auto"/>
        </w:rPr>
      </w:pPr>
      <w:r>
        <w:rPr>
          <w:rFonts w:ascii="Arial" w:cs="Arial" w:eastAsia="Arial" w:hAnsi="Arial"/>
          <w:sz w:val="16"/>
          <w:szCs w:val="16"/>
          <w:color w:val="auto"/>
        </w:rPr>
        <w:t>The FDA, or other regulatory authorities, may also impose significant limitations on the uses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 prescription-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78" w:lineRule="exact"/>
        <w:rPr>
          <w:sz w:val="20"/>
          <w:szCs w:val="20"/>
          <w:color w:val="auto"/>
        </w:rPr>
      </w:pPr>
    </w:p>
    <w:p>
      <w:pPr>
        <w:ind w:right="160" w:firstLine="445"/>
        <w:spacing w:after="0" w:line="266" w:lineRule="auto"/>
        <w:rPr>
          <w:sz w:val="20"/>
          <w:szCs w:val="20"/>
          <w:color w:val="auto"/>
        </w:rPr>
      </w:pPr>
      <w:r>
        <w:rPr>
          <w:rFonts w:ascii="Arial" w:cs="Arial" w:eastAsia="Arial" w:hAnsi="Arial"/>
          <w:sz w:val="16"/>
          <w:szCs w:val="16"/>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71" w:lineRule="exact"/>
        <w:rPr>
          <w:sz w:val="20"/>
          <w:szCs w:val="20"/>
          <w:color w:val="auto"/>
        </w:rPr>
      </w:pPr>
    </w:p>
    <w:p>
      <w:pPr>
        <w:ind w:right="100" w:firstLine="445"/>
        <w:spacing w:after="0" w:line="250" w:lineRule="auto"/>
        <w:rPr>
          <w:sz w:val="20"/>
          <w:szCs w:val="20"/>
          <w:color w:val="auto"/>
        </w:rPr>
      </w:pPr>
      <w:r>
        <w:rPr>
          <w:rFonts w:ascii="Arial" w:cs="Arial" w:eastAsia="Arial" w:hAnsi="Arial"/>
          <w:sz w:val="16"/>
          <w:szCs w:val="16"/>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new drug application, or NDA, and financial penalties. If we are subject to any of these sanctions, our competitive position or financial and commercial prospects could be materially adversely affected.</w:t>
      </w:r>
    </w:p>
    <w:p>
      <w:pPr>
        <w:spacing w:after="0" w:line="299"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33" w:lineRule="exact"/>
        <w:rPr>
          <w:sz w:val="20"/>
          <w:szCs w:val="20"/>
          <w:color w:val="auto"/>
        </w:rPr>
      </w:pPr>
    </w:p>
    <w:p>
      <w:pPr>
        <w:ind w:right="120" w:firstLine="445"/>
        <w:spacing w:after="0" w:line="259" w:lineRule="auto"/>
        <w:rPr>
          <w:sz w:val="20"/>
          <w:szCs w:val="20"/>
          <w:color w:val="auto"/>
        </w:rPr>
      </w:pPr>
      <w:r>
        <w:rPr>
          <w:rFonts w:ascii="Arial" w:cs="Arial" w:eastAsia="Arial" w:hAnsi="Arial"/>
          <w:sz w:val="16"/>
          <w:szCs w:val="16"/>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 commercialization testing or restrict or regulate post-approval activities and affect our ability, or the ability of our future collaborators, to profitably sell any product candidates for which we obtain marketing approval.</w:t>
      </w:r>
    </w:p>
    <w:p>
      <w:pPr>
        <w:spacing w:after="0" w:line="178" w:lineRule="exact"/>
        <w:rPr>
          <w:sz w:val="20"/>
          <w:szCs w:val="20"/>
          <w:color w:val="auto"/>
        </w:rPr>
      </w:pPr>
    </w:p>
    <w:p>
      <w:pPr>
        <w:ind w:right="60" w:firstLine="445"/>
        <w:spacing w:after="0" w:line="256" w:lineRule="auto"/>
        <w:rPr>
          <w:sz w:val="20"/>
          <w:szCs w:val="20"/>
          <w:color w:val="auto"/>
        </w:rPr>
      </w:pPr>
      <w:r>
        <w:rPr>
          <w:rFonts w:ascii="Arial" w:cs="Arial" w:eastAsia="Arial" w:hAnsi="Arial"/>
          <w:sz w:val="16"/>
          <w:szCs w:val="16"/>
          <w:color w:val="auto"/>
        </w:rPr>
        <w:t>Among policy makers and payors in various jurisdictions, there is significant interest in promoting changes in healthcare systems with the stated goals of containing healthcare costs, improving quality and/or expanding access. For example,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180" w:lineRule="exact"/>
        <w:rPr>
          <w:sz w:val="20"/>
          <w:szCs w:val="20"/>
          <w:color w:val="auto"/>
        </w:rPr>
      </w:pPr>
    </w:p>
    <w:p>
      <w:pPr>
        <w:ind w:right="80" w:firstLine="445"/>
        <w:spacing w:after="0" w:line="250" w:lineRule="auto"/>
        <w:rPr>
          <w:sz w:val="20"/>
          <w:szCs w:val="20"/>
          <w:color w:val="auto"/>
        </w:rPr>
      </w:pPr>
      <w:r>
        <w:rPr>
          <w:rFonts w:ascii="Arial" w:cs="Arial" w:eastAsia="Arial" w:hAnsi="Arial"/>
          <w:sz w:val="16"/>
          <w:szCs w:val="16"/>
          <w:color w:val="auto"/>
        </w:rPr>
        <w:t>Since its enactment there have been judicial, Presidential and Congressional challenges to certain aspects of the ACA, and we expect there will be additional challenges and amendments to the ACA. While Congress has not enacted legislation to comprehensively repeal the ACA, at least two bills affecting the implementation of the ACA have been signed into law, including the repeal, effective January 1, 2019, of the tax based shared responsibility payment imposed by the ACA on certain individuals who fail to maintain qualifying health coverage for all or part of a year, which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(i.e., whether the entire ACA was therefore also unconstitutional). The Supreme Court of the United States granted certiorari on March 2, 2020, heard oral arguments on the case on November 10, 2020, and on June 17, 2021 issued its opinion ruling that Texas and other states that initially challenged the individual mandate did not have standing.</w:t>
      </w:r>
    </w:p>
    <w:p>
      <w:pPr>
        <w:spacing w:after="0" w:line="189" w:lineRule="exact"/>
        <w:rPr>
          <w:sz w:val="20"/>
          <w:szCs w:val="20"/>
          <w:color w:val="auto"/>
        </w:rPr>
      </w:pPr>
    </w:p>
    <w:p>
      <w:pPr>
        <w:ind w:right="40" w:firstLine="445"/>
        <w:spacing w:after="0" w:line="252" w:lineRule="auto"/>
        <w:rPr>
          <w:sz w:val="20"/>
          <w:szCs w:val="20"/>
          <w:color w:val="auto"/>
        </w:rPr>
      </w:pPr>
      <w:r>
        <w:rPr>
          <w:rFonts w:ascii="Arial" w:cs="Arial" w:eastAsia="Arial" w:hAnsi="Arial"/>
          <w:sz w:val="16"/>
          <w:szCs w:val="16"/>
          <w:color w:val="auto"/>
        </w:rPr>
        <w:t>Further,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While the Biden administration has proposed to repeal or roll-back certain of the actions taken by the Trump administration, in the coming years,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83"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 the Budget Control Act of 2011, which, among other things, led to aggregate reductions to Medicare payments to providers of up to 2% per financial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 These new laws may result in additional reductions in Medicare and other healthcare funding.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firstLine="445"/>
        <w:spacing w:after="0" w:line="249" w:lineRule="auto"/>
        <w:rPr>
          <w:sz w:val="20"/>
          <w:szCs w:val="20"/>
          <w:color w:val="auto"/>
        </w:rPr>
      </w:pPr>
      <w:r>
        <w:rPr>
          <w:rFonts w:ascii="Arial" w:cs="Arial" w:eastAsia="Arial" w:hAnsi="Arial"/>
          <w:sz w:val="16"/>
          <w:szCs w:val="16"/>
          <w:color w:val="auto"/>
        </w:rPr>
        <w:t>Further, in the United States, there has been heightened governmental scrutiny recently over the manner in which drug manufacturers set prices for their marketed products. For instance,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this executive order is implemented, the “most-favored-nation” price would generally reflect the lowest price, after certain adjustments, for a pharmaceutical product sold in an economically comparable member country of the Organisation for Economic Co-operation and Development. On December 28, 2020, the U.S. District Court for the Northern District of California issued a preliminary injunction halting implementation of the executive order nationwide pending completion of the notice and comment process, and on August 10, 2021, the Centers for Medicare</w:t>
      </w:r>
    </w:p>
    <w:p>
      <w:pPr>
        <w:spacing w:after="0" w:line="1" w:lineRule="exact"/>
        <w:rPr>
          <w:sz w:val="20"/>
          <w:szCs w:val="20"/>
          <w:color w:val="auto"/>
        </w:rPr>
      </w:pPr>
    </w:p>
    <w:p>
      <w:pPr>
        <w:ind w:right="400" w:firstLine="8"/>
        <w:spacing w:after="0" w:line="252" w:lineRule="auto"/>
        <w:tabs>
          <w:tab w:leader="none" w:pos="153" w:val="left"/>
        </w:tabs>
        <w:numPr>
          <w:ilvl w:val="0"/>
          <w:numId w:val="25"/>
        </w:numPr>
        <w:rPr>
          <w:rFonts w:ascii="Arial" w:cs="Arial" w:eastAsia="Arial" w:hAnsi="Arial"/>
          <w:sz w:val="16"/>
          <w:szCs w:val="16"/>
          <w:color w:val="auto"/>
        </w:rPr>
      </w:pPr>
      <w:r>
        <w:rPr>
          <w:rFonts w:ascii="Arial" w:cs="Arial" w:eastAsia="Arial" w:hAnsi="Arial"/>
          <w:sz w:val="16"/>
          <w:szCs w:val="16"/>
          <w:color w:val="auto"/>
        </w:rPr>
        <w:t>Medicaid Services, or CMS, an agency within the U.S. Department of Health and Human Services, published a proposed rule that would rescind the “most-favored nation” pricing model for Medicare Part B drugs. However, the U.S. Congress continues to conduct inquiries into the prescription drug industry’s pricing practices, and at the state level in the United States, legislatures are also increasingly passing legislation and states are implementing regulations designed to control spending on, and patient out of pocket costs for, drug products.</w:t>
      </w:r>
    </w:p>
    <w:p>
      <w:pPr>
        <w:spacing w:after="0" w:line="183" w:lineRule="exact"/>
        <w:rPr>
          <w:sz w:val="20"/>
          <w:szCs w:val="20"/>
          <w:color w:val="auto"/>
        </w:rPr>
      </w:pPr>
    </w:p>
    <w:p>
      <w:pPr>
        <w:ind w:right="80" w:firstLine="445"/>
        <w:spacing w:after="0" w:line="254" w:lineRule="auto"/>
        <w:rPr>
          <w:sz w:val="20"/>
          <w:szCs w:val="20"/>
          <w:color w:val="auto"/>
        </w:rPr>
      </w:pPr>
      <w:r>
        <w:rPr>
          <w:rFonts w:ascii="Arial" w:cs="Arial" w:eastAsia="Arial" w:hAnsi="Arial"/>
          <w:sz w:val="16"/>
          <w:szCs w:val="16"/>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82" w:lineRule="exact"/>
        <w:rPr>
          <w:sz w:val="20"/>
          <w:szCs w:val="20"/>
          <w:color w:val="auto"/>
        </w:rPr>
      </w:pPr>
    </w:p>
    <w:p>
      <w:pPr>
        <w:ind w:right="60" w:firstLine="445"/>
        <w:spacing w:after="0" w:line="259" w:lineRule="auto"/>
        <w:rPr>
          <w:sz w:val="20"/>
          <w:szCs w:val="20"/>
          <w:color w:val="auto"/>
        </w:rPr>
      </w:pPr>
      <w:r>
        <w:rPr>
          <w:rFonts w:ascii="Arial" w:cs="Arial" w:eastAsia="Arial" w:hAnsi="Arial"/>
          <w:sz w:val="16"/>
          <w:szCs w:val="16"/>
          <w:color w:val="auto"/>
        </w:rPr>
        <w:t>These efforts and other healthcare reform measures that may be adopted in the future may result in more rigorous coverage criteria and in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178" w:lineRule="exact"/>
        <w:rPr>
          <w:sz w:val="20"/>
          <w:szCs w:val="20"/>
          <w:color w:val="auto"/>
        </w:rPr>
      </w:pPr>
    </w:p>
    <w:p>
      <w:pPr>
        <w:ind w:right="100" w:firstLine="445"/>
        <w:spacing w:after="0" w:line="286"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Operations</w:t>
      </w:r>
    </w:p>
    <w:p>
      <w:pPr>
        <w:spacing w:after="0" w:line="113"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prioritize development of certain programs and our decision to pursue these programs may prove to be unsuccessful as they may never receive regulatory approval or achieve profitability.</w:t>
      </w:r>
    </w:p>
    <w:p>
      <w:pPr>
        <w:spacing w:after="0" w:line="141" w:lineRule="exact"/>
        <w:rPr>
          <w:sz w:val="20"/>
          <w:szCs w:val="20"/>
          <w:color w:val="auto"/>
        </w:rPr>
      </w:pPr>
    </w:p>
    <w:p>
      <w:pPr>
        <w:ind w:right="40" w:firstLine="445"/>
        <w:spacing w:after="0" w:line="253" w:lineRule="auto"/>
        <w:rPr>
          <w:sz w:val="20"/>
          <w:szCs w:val="20"/>
          <w:color w:val="auto"/>
        </w:rPr>
      </w:pPr>
      <w:r>
        <w:rPr>
          <w:rFonts w:ascii="Arial" w:cs="Arial" w:eastAsia="Arial" w:hAnsi="Arial"/>
          <w:sz w:val="16"/>
          <w:szCs w:val="16"/>
          <w:color w:val="auto"/>
        </w:rPr>
        <w:t>Because we have limited resources and access to capital to fund our operations, we must decide which product candidates to pursue and the amount of resources to allocate to each product candidate. As such, we are currently primarily focused on the development of PHVS416 and PHVS719. These, and future decisions concerning the allocation of capabilities, infrastructure, management and financial resources towards particular programs or therapeutic areas may not lead to the development of viable commercial products and may divert resources from better opportunities. Similarly, these and future decisions to delay or terminate product development programs could cause us to miss valuable opportunities. If we make incorrect determinations regarding the market potential of our product candidates or misread trends in the pharmaceutical industry, our business, financial condition and results of operations could be materially adversely affected.</w:t>
      </w:r>
    </w:p>
    <w:p>
      <w:pPr>
        <w:spacing w:after="0" w:line="291" w:lineRule="exact"/>
        <w:rPr>
          <w:sz w:val="20"/>
          <w:szCs w:val="20"/>
          <w:color w:val="auto"/>
        </w:rPr>
      </w:pPr>
    </w:p>
    <w:p>
      <w:pPr>
        <w:ind w:left="460" w:right="100"/>
        <w:spacing w:after="0" w:line="270" w:lineRule="auto"/>
        <w:rPr>
          <w:sz w:val="20"/>
          <w:szCs w:val="20"/>
          <w:color w:val="auto"/>
        </w:rPr>
      </w:pPr>
      <w:r>
        <w:rPr>
          <w:rFonts w:ascii="Arial" w:cs="Arial" w:eastAsia="Arial" w:hAnsi="Arial"/>
          <w:sz w:val="16"/>
          <w:szCs w:val="16"/>
          <w:b w:val="1"/>
          <w:bCs w:val="1"/>
          <w:i w:val="1"/>
          <w:iCs w:val="1"/>
          <w:color w:val="auto"/>
        </w:rPr>
        <w:t>If we cannot manufacture our product candidates in sufficient amounts, with CDMOs or ourselves, at acceptable costs and on a timely basis, we may be unable to supply sufficient product candidates for nonclinical studies or clinical trials or to support commercialization of our product candidates, if approved.</w:t>
      </w:r>
    </w:p>
    <w:p>
      <w:pPr>
        <w:spacing w:after="0" w:line="52" w:lineRule="exact"/>
        <w:rPr>
          <w:sz w:val="20"/>
          <w:szCs w:val="20"/>
          <w:color w:val="auto"/>
        </w:rPr>
      </w:pPr>
    </w:p>
    <w:p>
      <w:pPr>
        <w:ind w:right="40" w:firstLine="445"/>
        <w:spacing w:after="0" w:line="256"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80"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In addition, we currently rely on a small number of CDMOs for the production of certain of our product candidates and, as a result, face certain additional risks relating to our manufacturing operations. A single significant disruptive event at the manufacturing operations of one of our CDMOs can have a material adverse effect on our business, prospects, financial condition and results of operations. In addition, one of our CDMOs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CDMOs are unable to meet our demand for our product candidates or their services, we could experience delays in our research and development activities, planned clinical trials or commercialization of approved products. In the first quarter of 2021, we learned that one of our CDMOs discovered a packaging issue with certain batches of packaging of softgel capsules for our RAPIDe-1 trial. The issue was investigated and we commenced the RAPIDe-1 trial for on-demand treatment of HAE attacks in February 2021. Finding alternative CDMOs or suppliers of acceptable quality who can deliver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56"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187" w:lineRule="exact"/>
        <w:rPr>
          <w:sz w:val="20"/>
          <w:szCs w:val="20"/>
          <w:color w:val="auto"/>
        </w:rPr>
      </w:pPr>
    </w:p>
    <w:p>
      <w:pPr>
        <w:ind w:right="100" w:firstLine="445"/>
        <w:spacing w:after="0" w:line="254" w:lineRule="auto"/>
        <w:rPr>
          <w:sz w:val="20"/>
          <w:szCs w:val="20"/>
          <w:color w:val="auto"/>
        </w:rPr>
      </w:pPr>
      <w:r>
        <w:rPr>
          <w:rFonts w:ascii="Arial" w:cs="Arial" w:eastAsia="Arial" w:hAnsi="Arial"/>
          <w:sz w:val="16"/>
          <w:szCs w:val="16"/>
          <w:color w:val="auto"/>
        </w:rPr>
        <w:t>We expect that development of our own manufacturing facilities could provide us with enhanced control of material supply for our product candidates for the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82" w:lineRule="exact"/>
        <w:rPr>
          <w:sz w:val="20"/>
          <w:szCs w:val="20"/>
          <w:color w:val="auto"/>
        </w:rPr>
      </w:pPr>
    </w:p>
    <w:p>
      <w:pPr>
        <w:ind w:right="260" w:firstLine="445"/>
        <w:spacing w:after="0" w:line="266" w:lineRule="auto"/>
        <w:rPr>
          <w:sz w:val="20"/>
          <w:szCs w:val="20"/>
          <w:color w:val="auto"/>
        </w:rPr>
      </w:pPr>
      <w:r>
        <w:rPr>
          <w:rFonts w:ascii="Arial" w:cs="Arial" w:eastAsia="Arial" w:hAnsi="Arial"/>
          <w:sz w:val="16"/>
          <w:szCs w:val="16"/>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81" w:lineRule="exact"/>
        <w:rPr>
          <w:sz w:val="20"/>
          <w:szCs w:val="20"/>
          <w:color w:val="auto"/>
        </w:rPr>
      </w:pPr>
    </w:p>
    <w:p>
      <w:pPr>
        <w:ind w:left="460" w:right="360"/>
        <w:spacing w:after="0" w:line="326" w:lineRule="auto"/>
        <w:rPr>
          <w:sz w:val="20"/>
          <w:szCs w:val="20"/>
          <w:color w:val="auto"/>
        </w:rPr>
      </w:pPr>
      <w:r>
        <w:rPr>
          <w:rFonts w:ascii="Arial" w:cs="Arial" w:eastAsia="Arial" w:hAnsi="Arial"/>
          <w:sz w:val="16"/>
          <w:szCs w:val="16"/>
          <w:b w:val="1"/>
          <w:bCs w:val="1"/>
          <w:i w:val="1"/>
          <w:iCs w:val="1"/>
          <w:color w:val="auto"/>
        </w:rPr>
        <w:t xml:space="preserve">Manufacturing issues may arise that could increase product and regulatory approval costs or delay commercialization of our products. </w:t>
      </w:r>
      <w:r>
        <w:rPr>
          <w:rFonts w:ascii="Arial" w:cs="Arial" w:eastAsia="Arial" w:hAnsi="Arial"/>
          <w:sz w:val="16"/>
          <w:szCs w:val="16"/>
          <w:color w:val="auto"/>
        </w:rPr>
        <w:t>As the manufacturing processes are scaled up they may reveal manufacturing challenges or previously unknown impurities that could require</w:t>
      </w:r>
    </w:p>
    <w:p>
      <w:pPr>
        <w:ind w:right="60"/>
        <w:spacing w:after="0" w:line="256" w:lineRule="auto"/>
        <w:rPr>
          <w:sz w:val="20"/>
          <w:szCs w:val="20"/>
          <w:color w:val="auto"/>
        </w:rPr>
      </w:pPr>
      <w:r>
        <w:rPr>
          <w:rFonts w:ascii="Arial" w:cs="Arial" w:eastAsia="Arial" w:hAnsi="Arial"/>
          <w:sz w:val="16"/>
          <w:szCs w:val="16"/>
          <w:color w:val="auto"/>
        </w:rPr>
        <w:t>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 increases in our operating expenses, or failure to obtain or maintain approval for our products. Our reliance on third-party manufacturers entails risks, including the following:</w:t>
      </w:r>
    </w:p>
    <w:p>
      <w:pPr>
        <w:spacing w:after="0" w:line="178" w:lineRule="exact"/>
        <w:rPr>
          <w:sz w:val="20"/>
          <w:szCs w:val="20"/>
          <w:color w:val="auto"/>
        </w:rPr>
      </w:pPr>
    </w:p>
    <w:p>
      <w:pPr>
        <w:ind w:left="860" w:hanging="420"/>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to meet our product specifications, including product formulation, and quality requirements consistently;</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delay or inability to procure or expand sufficient manufacturing capacity;</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manufacturing and product quality issues, including those related to scale-up of manufacturing;</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failure to comply with cGMP and similar quality standards;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pacing w:after="0" w:line="153" w:lineRule="exact"/>
        <w:rPr>
          <w:rFonts w:ascii="Arial" w:cs="Arial" w:eastAsia="Arial" w:hAnsi="Arial"/>
          <w:sz w:val="16"/>
          <w:szCs w:val="16"/>
          <w:color w:val="auto"/>
        </w:rPr>
      </w:pPr>
    </w:p>
    <w:p>
      <w:pPr>
        <w:ind w:left="860" w:right="200" w:hanging="420"/>
        <w:spacing w:after="0" w:line="286"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operations of our third-party manufacturers or suppliers could be disrupted by conditions unrelated to our business or operations, including the bankruptcy of the manufacturer or supplier;</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carrier disruptions or increased costs that are beyond our control; and</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failure to deliver our products under specified storage conditions and in a timely manner.</w:t>
      </w:r>
    </w:p>
    <w:p>
      <w:pPr>
        <w:spacing w:after="0" w:line="262"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281"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Our third-party manufacturers or suppliers may use potent chemical agents and hazardous materials, and any claims relating to improper handling, storage or disposal of these materials could be time consuming or costly.</w:t>
      </w:r>
    </w:p>
    <w:p>
      <w:pPr>
        <w:spacing w:after="0" w:line="33" w:lineRule="exact"/>
        <w:rPr>
          <w:sz w:val="20"/>
          <w:szCs w:val="20"/>
          <w:color w:val="auto"/>
        </w:rPr>
      </w:pPr>
    </w:p>
    <w:p>
      <w:pPr>
        <w:ind w:right="60" w:firstLine="445"/>
        <w:spacing w:after="0" w:line="254" w:lineRule="auto"/>
        <w:rPr>
          <w:sz w:val="20"/>
          <w:szCs w:val="20"/>
          <w:color w:val="auto"/>
        </w:rPr>
      </w:pPr>
      <w:r>
        <w:rPr>
          <w:rFonts w:ascii="Arial" w:cs="Arial" w:eastAsia="Arial" w:hAnsi="Arial"/>
          <w:sz w:val="16"/>
          <w:szCs w:val="16"/>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and we may be sued for any injury or contamination that results from our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156" w:lineRule="exact"/>
        <w:rPr>
          <w:sz w:val="20"/>
          <w:szCs w:val="20"/>
          <w:color w:val="auto"/>
        </w:rPr>
      </w:pPr>
    </w:p>
    <w:p>
      <w:pPr>
        <w:ind w:firstLine="445"/>
        <w:spacing w:after="0" w:line="259"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88" w:lineRule="exact"/>
        <w:rPr>
          <w:sz w:val="20"/>
          <w:szCs w:val="20"/>
          <w:color w:val="auto"/>
        </w:rPr>
      </w:pPr>
    </w:p>
    <w:p>
      <w:pPr>
        <w:ind w:left="460" w:right="100"/>
        <w:spacing w:after="0" w:line="258" w:lineRule="auto"/>
        <w:rPr>
          <w:sz w:val="20"/>
          <w:szCs w:val="20"/>
          <w:color w:val="auto"/>
        </w:rPr>
      </w:pPr>
      <w:r>
        <w:rPr>
          <w:rFonts w:ascii="Arial" w:cs="Arial" w:eastAsia="Arial" w:hAnsi="Arial"/>
          <w:sz w:val="16"/>
          <w:szCs w:val="16"/>
          <w:b w:val="1"/>
          <w:bCs w:val="1"/>
          <w:i w:val="1"/>
          <w:iCs w:val="1"/>
          <w:color w:val="auto"/>
        </w:rPr>
        <w:t>Our activities rely heavily on sensitive and personal materials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62" w:lineRule="exact"/>
        <w:rPr>
          <w:sz w:val="20"/>
          <w:szCs w:val="20"/>
          <w:color w:val="auto"/>
        </w:rPr>
      </w:pPr>
    </w:p>
    <w:p>
      <w:pPr>
        <w:ind w:right="40" w:firstLine="445"/>
        <w:spacing w:after="0" w:line="251" w:lineRule="auto"/>
        <w:rPr>
          <w:sz w:val="20"/>
          <w:szCs w:val="20"/>
          <w:color w:val="auto"/>
        </w:rPr>
      </w:pPr>
      <w:r>
        <w:rPr>
          <w:rFonts w:ascii="Arial" w:cs="Arial" w:eastAsia="Arial" w:hAnsi="Arial"/>
          <w:sz w:val="16"/>
          <w:szCs w:val="16"/>
          <w:color w:val="auto"/>
        </w:rPr>
        <w:t>As a result of our clinical development, we will have access to very sensitive data regarding the patients enrolled in our clinical trials, and our current and future product candidates will rely on the use of patient and 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U.S.Health Insurance Portability and Accountability Act, or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and could harm our ability to initiate and complete clinical trials.</w:t>
      </w:r>
    </w:p>
    <w:p>
      <w:pPr>
        <w:spacing w:after="0" w:line="185" w:lineRule="exact"/>
        <w:rPr>
          <w:sz w:val="20"/>
          <w:szCs w:val="20"/>
          <w:color w:val="auto"/>
        </w:rPr>
      </w:pPr>
    </w:p>
    <w:p>
      <w:pPr>
        <w:ind w:right="20" w:firstLine="445"/>
        <w:spacing w:after="0" w:line="249" w:lineRule="auto"/>
        <w:rPr>
          <w:sz w:val="20"/>
          <w:szCs w:val="20"/>
          <w:color w:val="auto"/>
        </w:rPr>
      </w:pPr>
      <w:r>
        <w:rPr>
          <w:rFonts w:ascii="Arial" w:cs="Arial" w:eastAsia="Arial" w:hAnsi="Arial"/>
          <w:sz w:val="16"/>
          <w:szCs w:val="16"/>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the CJEU, declared the Privacy Shield to be invalid. The CJEU upheld the validity of the standard contractual clauses, or SCCs, as a legal mechanism to transfer personal data but companies relying on SCCs will—subject to additional guidance from regulators in the EEA– need to evaluate and implement supplementary measures that provide privacy protections additional to those provided under SCCs. In turn, the findings of the CJEU will have significant implications for cross-border data flows. Further, the GDPR provides that countries in the EEA may establish their own laws and regulations further restricting the processing of certain personal data, including genetic data, biometric data, and health data.</w:t>
      </w:r>
    </w:p>
    <w:p>
      <w:pPr>
        <w:spacing w:after="0" w:line="380" w:lineRule="exact"/>
        <w:rPr>
          <w:sz w:val="20"/>
          <w:szCs w:val="20"/>
          <w:color w:val="auto"/>
        </w:rPr>
      </w:pPr>
    </w:p>
    <w:p>
      <w:pPr>
        <w:ind w:right="20" w:firstLine="445"/>
        <w:spacing w:after="0" w:line="250" w:lineRule="auto"/>
        <w:rPr>
          <w:sz w:val="20"/>
          <w:szCs w:val="20"/>
          <w:color w:val="auto"/>
        </w:rPr>
      </w:pPr>
      <w:r>
        <w:rPr>
          <w:rFonts w:ascii="Arial" w:cs="Arial" w:eastAsia="Arial" w:hAnsi="Arial"/>
          <w:sz w:val="16"/>
          <w:szCs w:val="16"/>
          <w:color w:val="auto"/>
        </w:rPr>
        <w:t>We have relatively limited experience with the relevant privacy and security policies, practices and regulations, and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89" w:lineRule="exact"/>
        <w:rPr>
          <w:sz w:val="20"/>
          <w:szCs w:val="20"/>
          <w:color w:val="auto"/>
        </w:rPr>
      </w:pPr>
    </w:p>
    <w:p>
      <w:pPr>
        <w:ind w:right="160" w:firstLine="445"/>
        <w:spacing w:after="0" w:line="256" w:lineRule="auto"/>
        <w:rPr>
          <w:sz w:val="20"/>
          <w:szCs w:val="20"/>
          <w:color w:val="auto"/>
        </w:rPr>
      </w:pPr>
      <w:r>
        <w:rPr>
          <w:rFonts w:ascii="Arial" w:cs="Arial" w:eastAsia="Arial" w:hAnsi="Arial"/>
          <w:sz w:val="16"/>
          <w:szCs w:val="16"/>
          <w:color w:val="auto"/>
        </w:rPr>
        <w:t>Complying with these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80" w:lineRule="exact"/>
        <w:rPr>
          <w:sz w:val="20"/>
          <w:szCs w:val="20"/>
          <w:color w:val="auto"/>
        </w:rPr>
      </w:pPr>
    </w:p>
    <w:p>
      <w:pPr>
        <w:ind w:right="40" w:firstLine="445"/>
        <w:spacing w:after="0" w:line="254" w:lineRule="auto"/>
        <w:rPr>
          <w:sz w:val="20"/>
          <w:szCs w:val="20"/>
          <w:color w:val="auto"/>
        </w:rPr>
      </w:pPr>
      <w:r>
        <w:rPr>
          <w:rFonts w:ascii="Arial" w:cs="Arial" w:eastAsia="Arial" w:hAnsi="Arial"/>
          <w:sz w:val="16"/>
          <w:szCs w:val="16"/>
          <w:color w:val="auto"/>
        </w:rPr>
        <w:t>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Our internal computer systems, or those used by our clinical investigators, contractors or consultants, may fail or suffer security breaches.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460" w:right="520"/>
        <w:spacing w:after="0" w:line="294" w:lineRule="auto"/>
        <w:rPr>
          <w:sz w:val="20"/>
          <w:szCs w:val="20"/>
          <w:color w:val="auto"/>
        </w:rPr>
      </w:pPr>
      <w:r>
        <w:rPr>
          <w:rFonts w:ascii="Arial" w:cs="Arial" w:eastAsia="Arial" w:hAnsi="Arial"/>
          <w:sz w:val="16"/>
          <w:szCs w:val="16"/>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33" w:lineRule="exact"/>
        <w:rPr>
          <w:sz w:val="20"/>
          <w:szCs w:val="20"/>
          <w:color w:val="auto"/>
        </w:rPr>
      </w:pPr>
    </w:p>
    <w:p>
      <w:pPr>
        <w:ind w:right="100" w:firstLine="445"/>
        <w:spacing w:after="0" w:line="254" w:lineRule="auto"/>
        <w:rPr>
          <w:sz w:val="20"/>
          <w:szCs w:val="20"/>
          <w:color w:val="auto"/>
        </w:rPr>
      </w:pPr>
      <w:r>
        <w:rPr>
          <w:rFonts w:ascii="Arial" w:cs="Arial" w:eastAsia="Arial" w:hAnsi="Arial"/>
          <w:sz w:val="16"/>
          <w:szCs w:val="16"/>
          <w:color w:val="auto"/>
        </w:rPr>
        <w:t>We are a party to certain agreements, including clinical trial agreements and licensing agreements that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the Commercialization of Our Product Candidates</w:t>
      </w:r>
    </w:p>
    <w:p>
      <w:pPr>
        <w:spacing w:after="0" w:line="113" w:lineRule="exact"/>
        <w:rPr>
          <w:sz w:val="20"/>
          <w:szCs w:val="20"/>
          <w:color w:val="auto"/>
        </w:rPr>
      </w:pPr>
    </w:p>
    <w:p>
      <w:pPr>
        <w:ind w:left="460" w:right="200"/>
        <w:spacing w:after="0" w:line="270" w:lineRule="auto"/>
        <w:rPr>
          <w:sz w:val="20"/>
          <w:szCs w:val="20"/>
          <w:color w:val="auto"/>
        </w:rPr>
      </w:pPr>
      <w:r>
        <w:rPr>
          <w:rFonts w:ascii="Arial" w:cs="Arial" w:eastAsia="Arial" w:hAnsi="Arial"/>
          <w:sz w:val="16"/>
          <w:szCs w:val="16"/>
          <w:b w:val="1"/>
          <w:bCs w:val="1"/>
          <w:i w:val="1"/>
          <w:iCs w:val="1"/>
          <w:color w:val="auto"/>
        </w:rPr>
        <w:t>If we are unable to commercialize our product candidates PHVS416 and PHVS719 or any other product candidates that we may pursue, or experience significant delays in doing so, our business, financial condition, results of operations and prospects would be materially adversely affected.</w:t>
      </w:r>
    </w:p>
    <w:p>
      <w:pPr>
        <w:spacing w:after="0" w:line="52"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We do not expect to generate product revenues in the foreseeable future. If our product candidates PHVS416 and PHVS719 or any other program that we may pursue fails, we will have to develop, acquire or license new programs. Our product candidates, as well as any other programs we may pursue, could be unsuccessful if they:</w:t>
      </w:r>
    </w:p>
    <w:p>
      <w:pPr>
        <w:spacing w:after="0" w:line="63" w:lineRule="exact"/>
        <w:rPr>
          <w:sz w:val="20"/>
          <w:szCs w:val="20"/>
          <w:color w:val="auto"/>
        </w:rPr>
      </w:pPr>
    </w:p>
    <w:p>
      <w:pPr>
        <w:ind w:left="860" w:right="140" w:hanging="420"/>
        <w:spacing w:after="0" w:line="286"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do not demonstrate acceptable safety or efficacy in nonclinical studies or clinical trials or otherwise do not meet applicable regulatory standards for approval;</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generate unacceptable adverse side effects;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do not offer therapeutic or other improvements over existing or future products used to treat the same conditions;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are not accepted in the medical community or by insurers, either public or private; or</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are not capable of being produced and delivered to patients in commercial quantities at acceptable costs.</w:t>
      </w:r>
    </w:p>
    <w:p>
      <w:pPr>
        <w:spacing w:after="0" w:line="262" w:lineRule="exact"/>
        <w:rPr>
          <w:sz w:val="20"/>
          <w:szCs w:val="20"/>
          <w:color w:val="auto"/>
        </w:rPr>
      </w:pPr>
    </w:p>
    <w:p>
      <w:pPr>
        <w:ind w:right="80" w:firstLine="445"/>
        <w:spacing w:after="0" w:line="256" w:lineRule="auto"/>
        <w:rPr>
          <w:sz w:val="20"/>
          <w:szCs w:val="20"/>
          <w:color w:val="auto"/>
        </w:rPr>
      </w:pPr>
      <w:r>
        <w:rPr>
          <w:rFonts w:ascii="Arial" w:cs="Arial" w:eastAsia="Arial" w:hAnsi="Arial"/>
          <w:sz w:val="16"/>
          <w:szCs w:val="16"/>
          <w:color w:val="auto"/>
        </w:rPr>
        <w:t>The results of the research and trials to date cannot provide assurance that acceptable efficacy or safety will be shown upon completion of ongoing or planned clinical trials. Also, the results obtained in our PHA-0221121- C001 and PHA-022121-C002 clinical trials may not be comparable to results that may be produced during the further development of our PHA121-containing product candidates.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opportunities for our product candidates may be smaller than currently anticipated, lowering our potential revenue.</w:t>
      </w:r>
    </w:p>
    <w:p>
      <w:pPr>
        <w:spacing w:after="0" w:line="111" w:lineRule="exact"/>
        <w:rPr>
          <w:sz w:val="20"/>
          <w:szCs w:val="20"/>
          <w:color w:val="auto"/>
        </w:rPr>
      </w:pPr>
    </w:p>
    <w:p>
      <w:pPr>
        <w:ind w:right="20" w:firstLine="445"/>
        <w:spacing w:after="0" w:line="256" w:lineRule="auto"/>
        <w:rPr>
          <w:sz w:val="20"/>
          <w:szCs w:val="20"/>
          <w:color w:val="auto"/>
        </w:rPr>
      </w:pPr>
      <w:r>
        <w:rPr>
          <w:rFonts w:ascii="Arial" w:cs="Arial" w:eastAsia="Arial" w:hAnsi="Arial"/>
          <w:sz w:val="16"/>
          <w:szCs w:val="16"/>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w:t>
      </w:r>
    </w:p>
    <w:p>
      <w:pPr>
        <w:spacing w:after="0" w:line="18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Moreover, if we are successful in developing both PHVS416 and PHVS719, we cannot accurately predict the proportion of patients choosing prophylactic or on-demand only treatment regimens.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our product candidates could be associated with side effects or adverse events.</w:t>
      </w:r>
    </w:p>
    <w:p>
      <w:pPr>
        <w:spacing w:after="0" w:line="111" w:lineRule="exact"/>
        <w:rPr>
          <w:sz w:val="20"/>
          <w:szCs w:val="20"/>
          <w:color w:val="auto"/>
        </w:rPr>
      </w:pPr>
    </w:p>
    <w:p>
      <w:pPr>
        <w:ind w:right="80" w:firstLine="445"/>
        <w:spacing w:after="0" w:line="252" w:lineRule="auto"/>
        <w:rPr>
          <w:sz w:val="20"/>
          <w:szCs w:val="20"/>
          <w:color w:val="auto"/>
        </w:rPr>
      </w:pPr>
      <w:r>
        <w:rPr>
          <w:rFonts w:ascii="Arial" w:cs="Arial" w:eastAsia="Arial" w:hAnsi="Arial"/>
          <w:sz w:val="16"/>
          <w:szCs w:val="16"/>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nonclinical studies or clinical trials regarding the safety of our product candidates, which we have not planned or anticipated.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183" w:lineRule="exact"/>
        <w:rPr>
          <w:sz w:val="20"/>
          <w:szCs w:val="20"/>
          <w:color w:val="auto"/>
        </w:rPr>
      </w:pPr>
    </w:p>
    <w:p>
      <w:pPr>
        <w:ind w:right="120" w:firstLine="445"/>
        <w:spacing w:after="0" w:line="256"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the information to the regulatory authorities. We may fail to comply with the requirements for assessing and reporting adverse events and if we fail to comply with these obligations, the FDA or other comparable foreign regulatory authorities could take action including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issuance of warning letters or other regulatory correspondence, criminal prosecution, the imposition of civil sanctions, seizure of our products, or delay in approval or clearance of future products.</w:t>
      </w:r>
    </w:p>
    <w:p>
      <w:pPr>
        <w:spacing w:after="0" w:line="266"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33" w:lineRule="exact"/>
        <w:rPr>
          <w:sz w:val="20"/>
          <w:szCs w:val="20"/>
          <w:color w:val="auto"/>
        </w:rPr>
      </w:pPr>
    </w:p>
    <w:p>
      <w:pPr>
        <w:ind w:right="60" w:firstLine="445"/>
        <w:spacing w:after="0" w:line="256" w:lineRule="auto"/>
        <w:rPr>
          <w:sz w:val="20"/>
          <w:szCs w:val="20"/>
          <w:color w:val="auto"/>
        </w:rPr>
      </w:pPr>
      <w:r>
        <w:rPr>
          <w:rFonts w:ascii="Arial" w:cs="Arial" w:eastAsia="Arial" w:hAnsi="Arial"/>
          <w:sz w:val="16"/>
          <w:szCs w:val="16"/>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72" w:lineRule="exact"/>
        <w:rPr>
          <w:sz w:val="20"/>
          <w:szCs w:val="20"/>
          <w:color w:val="auto"/>
        </w:rPr>
      </w:pPr>
    </w:p>
    <w:p>
      <w:pPr>
        <w:ind w:left="860" w:hanging="420"/>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demonstration of clinical efficacy and safety compared to other more-established products;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limitation of our targeted patient population and other limitations or warnings contained in any approved labeling;</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acceptance of a new drug for the relevant indication by healthcare providers and their patients;</w:t>
      </w:r>
    </w:p>
    <w:p>
      <w:pPr>
        <w:spacing w:after="0" w:line="153" w:lineRule="exact"/>
        <w:rPr>
          <w:rFonts w:ascii="Arial" w:cs="Arial" w:eastAsia="Arial" w:hAnsi="Arial"/>
          <w:sz w:val="16"/>
          <w:szCs w:val="16"/>
          <w:color w:val="auto"/>
        </w:rPr>
      </w:pPr>
    </w:p>
    <w:p>
      <w:pPr>
        <w:ind w:left="860" w:right="360" w:hanging="420"/>
        <w:spacing w:after="0" w:line="286"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pricing and cost-effectiveness of our products, as well as the cost of treatment with our products in relation to alternative treatments and therapies;</w:t>
      </w:r>
    </w:p>
    <w:p>
      <w:pPr>
        <w:spacing w:after="0" w:line="47" w:lineRule="exact"/>
        <w:rPr>
          <w:rFonts w:ascii="Arial" w:cs="Arial" w:eastAsia="Arial" w:hAnsi="Arial"/>
          <w:sz w:val="16"/>
          <w:szCs w:val="16"/>
          <w:color w:val="auto"/>
        </w:rPr>
      </w:pPr>
    </w:p>
    <w:p>
      <w:pPr>
        <w:ind w:left="860" w:right="300" w:hanging="420"/>
        <w:spacing w:after="0" w:line="286"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obtain and maintain sufficient third-party coverage and adequate reimbursement from government healthcare programs, private health insurers and other third-party payors;</w:t>
      </w:r>
    </w:p>
    <w:p>
      <w:pPr>
        <w:spacing w:after="0" w:line="47" w:lineRule="exact"/>
        <w:rPr>
          <w:rFonts w:ascii="Arial" w:cs="Arial" w:eastAsia="Arial" w:hAnsi="Arial"/>
          <w:sz w:val="16"/>
          <w:szCs w:val="16"/>
          <w:color w:val="auto"/>
        </w:rPr>
      </w:pPr>
    </w:p>
    <w:p>
      <w:pPr>
        <w:ind w:left="860" w:right="420" w:hanging="420"/>
        <w:spacing w:after="0" w:line="286"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willingness of patients to pay all, or a portion of, out-of-pocket costs associated with our products in the absence of sufficient third-party coverage and adequate reimbursement;</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restrictions on the use of our products, and the prevalence and severity of any adverse effects;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timing of market introduction of our products as well as competitive drugs;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effectiveness of our or any of our potential future collaborators’ sales and commercialization strategies; and</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unfavorable publicity relating to the product.</w:t>
      </w:r>
    </w:p>
    <w:p>
      <w:pPr>
        <w:spacing w:after="0" w:line="262" w:lineRule="exact"/>
        <w:rPr>
          <w:sz w:val="20"/>
          <w:szCs w:val="20"/>
          <w:color w:val="auto"/>
        </w:rPr>
      </w:pPr>
    </w:p>
    <w:p>
      <w:pPr>
        <w:ind w:right="20" w:firstLine="445"/>
        <w:spacing w:after="0" w:line="259" w:lineRule="auto"/>
        <w:rPr>
          <w:sz w:val="20"/>
          <w:szCs w:val="20"/>
          <w:color w:val="auto"/>
        </w:rPr>
      </w:pPr>
      <w:r>
        <w:rPr>
          <w:rFonts w:ascii="Arial" w:cs="Arial" w:eastAsia="Arial" w:hAnsi="Arial"/>
          <w:sz w:val="16"/>
          <w:szCs w:val="16"/>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288" w:lineRule="exact"/>
        <w:rPr>
          <w:sz w:val="20"/>
          <w:szCs w:val="20"/>
          <w:color w:val="auto"/>
        </w:rPr>
      </w:pPr>
    </w:p>
    <w:p>
      <w:pPr>
        <w:ind w:left="460" w:right="380"/>
        <w:spacing w:after="0" w:line="294"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competing products before or more successfully than we do.</w:t>
      </w:r>
    </w:p>
    <w:p>
      <w:pPr>
        <w:spacing w:after="0" w:line="33" w:lineRule="exact"/>
        <w:rPr>
          <w:sz w:val="20"/>
          <w:szCs w:val="20"/>
          <w:color w:val="auto"/>
        </w:rPr>
      </w:pPr>
    </w:p>
    <w:p>
      <w:pPr>
        <w:ind w:firstLine="445"/>
        <w:spacing w:after="0" w:line="254"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“ITEM 4. INFORMATION ON THE COMPANY—B. Business overview—Competition,” there are several licensed therapies for HAE and we are aware of a number of HAE therapies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2"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81" w:lineRule="exact"/>
        <w:rPr>
          <w:sz w:val="20"/>
          <w:szCs w:val="20"/>
          <w:color w:val="auto"/>
        </w:rPr>
      </w:pPr>
    </w:p>
    <w:p>
      <w:pPr>
        <w:ind w:right="80" w:firstLine="445"/>
        <w:spacing w:after="0" w:line="253" w:lineRule="auto"/>
        <w:rPr>
          <w:sz w:val="20"/>
          <w:szCs w:val="20"/>
          <w:color w:val="auto"/>
        </w:rPr>
      </w:pPr>
      <w:r>
        <w:rPr>
          <w:rFonts w:ascii="Arial" w:cs="Arial" w:eastAsia="Arial" w:hAnsi="Arial"/>
          <w:sz w:val="16"/>
          <w:szCs w:val="16"/>
          <w:color w:val="auto"/>
        </w:rPr>
        <w:t>Many of the companies against which we are competing or we may compete in the future have significantly greater financial resources and expertise in research and development, manufacturing, nonclinical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111" w:lineRule="exact"/>
        <w:rPr>
          <w:sz w:val="20"/>
          <w:szCs w:val="20"/>
          <w:color w:val="auto"/>
        </w:rPr>
      </w:pPr>
    </w:p>
    <w:p>
      <w:pPr>
        <w:ind w:right="580" w:firstLine="445"/>
        <w:spacing w:after="0" w:line="286"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w:t>
      </w:r>
    </w:p>
    <w:p>
      <w:pPr>
        <w:sectPr>
          <w:pgSz w:w="11900" w:h="16838" w:orient="portrait"/>
          <w:cols w:equalWidth="0" w:num="1">
            <w:col w:w="11200"/>
          </w:cols>
          <w:pgMar w:left="320" w:top="125" w:right="379" w:bottom="1440" w:gutter="0" w:footer="0" w:header="0"/>
        </w:sectPr>
      </w:pP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PHVS416 and PHVS719, could adversely affect our business, financial condition, results of operations or prospects.</w:t>
      </w:r>
    </w:p>
    <w:p>
      <w:pPr>
        <w:spacing w:after="0" w:line="292" w:lineRule="exact"/>
        <w:rPr>
          <w:sz w:val="20"/>
          <w:szCs w:val="20"/>
          <w:color w:val="auto"/>
        </w:rPr>
      </w:pPr>
    </w:p>
    <w:p>
      <w:pPr>
        <w:ind w:left="460" w:right="620"/>
        <w:spacing w:after="0" w:line="294" w:lineRule="auto"/>
        <w:rPr>
          <w:sz w:val="20"/>
          <w:szCs w:val="20"/>
          <w:color w:val="auto"/>
        </w:rPr>
      </w:pPr>
      <w:r>
        <w:rPr>
          <w:rFonts w:ascii="Arial" w:cs="Arial" w:eastAsia="Arial" w:hAnsi="Arial"/>
          <w:sz w:val="16"/>
          <w:szCs w:val="16"/>
          <w:b w:val="1"/>
          <w:bCs w:val="1"/>
          <w:i w:val="1"/>
          <w:iCs w:val="1"/>
          <w:color w:val="auto"/>
        </w:rPr>
        <w:t>Governments and/or pricing authorities, especially in the European Union, often impose strict price and access controls, which may adversely affect our future profitability.</w:t>
      </w:r>
    </w:p>
    <w:p>
      <w:pPr>
        <w:spacing w:after="0" w:line="3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6"/>
          <w:szCs w:val="16"/>
          <w:color w:val="auto"/>
        </w:rPr>
        <w:t>In some markets, especially in the European Union, prescription drug pricing is subject to governmental/ 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78" w:lineRule="exact"/>
        <w:rPr>
          <w:sz w:val="20"/>
          <w:szCs w:val="20"/>
          <w:color w:val="auto"/>
        </w:rPr>
      </w:pPr>
    </w:p>
    <w:p>
      <w:pPr>
        <w:ind w:right="200" w:firstLine="445"/>
        <w:spacing w:after="0" w:line="266" w:lineRule="auto"/>
        <w:rPr>
          <w:sz w:val="20"/>
          <w:szCs w:val="20"/>
          <w:color w:val="auto"/>
        </w:rPr>
      </w:pPr>
      <w:r>
        <w:rPr>
          <w:rFonts w:ascii="Arial" w:cs="Arial" w:eastAsia="Arial" w:hAnsi="Arial"/>
          <w:sz w:val="16"/>
          <w:szCs w:val="16"/>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results of operations and our ability to raise funds.</w:t>
      </w:r>
    </w:p>
    <w:p>
      <w:pPr>
        <w:spacing w:after="0" w:line="281" w:lineRule="exact"/>
        <w:rPr>
          <w:sz w:val="20"/>
          <w:szCs w:val="20"/>
          <w:color w:val="auto"/>
        </w:rPr>
      </w:pPr>
    </w:p>
    <w:p>
      <w:pPr>
        <w:jc w:val="both"/>
        <w:ind w:left="460" w:right="600"/>
        <w:spacing w:after="0" w:line="270"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right="120" w:firstLine="445"/>
        <w:spacing w:after="0" w:line="254"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ind w:right="60" w:firstLine="445"/>
        <w:spacing w:after="0" w:line="25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CMS. CMS decides whether and to what extent a new medicine will be covered and reimbursed under 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80" w:lineRule="exact"/>
        <w:rPr>
          <w:sz w:val="20"/>
          <w:szCs w:val="20"/>
          <w:color w:val="auto"/>
        </w:rPr>
      </w:pPr>
    </w:p>
    <w:p>
      <w:pPr>
        <w:ind w:right="220" w:firstLine="445"/>
        <w:spacing w:after="0" w:line="252"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3" w:lineRule="exact"/>
        <w:rPr>
          <w:sz w:val="20"/>
          <w:szCs w:val="20"/>
          <w:color w:val="auto"/>
        </w:rPr>
      </w:pPr>
    </w:p>
    <w:p>
      <w:pPr>
        <w:ind w:firstLine="445"/>
        <w:spacing w:after="0" w:line="25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7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56" w:lineRule="exact"/>
        <w:rPr>
          <w:sz w:val="20"/>
          <w:szCs w:val="20"/>
          <w:color w:val="auto"/>
        </w:rPr>
      </w:pPr>
    </w:p>
    <w:p>
      <w:pPr>
        <w:jc w:val="both"/>
        <w:ind w:right="400" w:firstLine="445"/>
        <w:spacing w:after="0" w:line="266" w:lineRule="auto"/>
        <w:rPr>
          <w:sz w:val="20"/>
          <w:szCs w:val="20"/>
          <w:color w:val="auto"/>
        </w:rPr>
      </w:pPr>
      <w:r>
        <w:rPr>
          <w:rFonts w:ascii="Arial" w:cs="Arial" w:eastAsia="Arial" w:hAnsi="Arial"/>
          <w:sz w:val="16"/>
          <w:szCs w:val="16"/>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81" w:lineRule="exact"/>
        <w:rPr>
          <w:sz w:val="20"/>
          <w:szCs w:val="20"/>
          <w:color w:val="auto"/>
        </w:rPr>
      </w:pPr>
    </w:p>
    <w:p>
      <w:pPr>
        <w:ind w:left="460" w:right="860"/>
        <w:spacing w:after="0" w:line="294"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3" w:lineRule="exact"/>
        <w:rPr>
          <w:sz w:val="20"/>
          <w:szCs w:val="20"/>
          <w:color w:val="auto"/>
        </w:rPr>
      </w:pPr>
    </w:p>
    <w:p>
      <w:pPr>
        <w:ind w:right="180" w:firstLine="445"/>
        <w:spacing w:after="0" w:line="266"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72" w:lineRule="exact"/>
        <w:rPr>
          <w:sz w:val="20"/>
          <w:szCs w:val="20"/>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delay or termination of clinical trials;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injury to our reputation and negative publicity;</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withdrawal of clinical trial participants, patients or clinical investigators;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initiation of investigations by regulators or ethics committees;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costs to defend the related litigation;</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diversion of management’s time and our resources;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decreased demand for our product candidates;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product recalls or withdrawals, or labeling, marketing or promotional restrictions;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loss of revenues from product sales;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inability to commercialize any of our product candidates, if approved; and</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decline in the price of our ordinary shares.</w:t>
      </w:r>
    </w:p>
    <w:p>
      <w:pPr>
        <w:spacing w:after="0" w:line="26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6"/>
          <w:szCs w:val="16"/>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ind w:right="140" w:firstLine="445"/>
        <w:spacing w:after="0" w:line="259" w:lineRule="auto"/>
        <w:rPr>
          <w:sz w:val="20"/>
          <w:szCs w:val="20"/>
          <w:color w:val="auto"/>
        </w:rPr>
      </w:pPr>
      <w:r>
        <w:rPr>
          <w:rFonts w:ascii="Arial" w:cs="Arial" w:eastAsia="Arial" w:hAnsi="Arial"/>
          <w:sz w:val="16"/>
          <w:szCs w:val="16"/>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88"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33"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Reliance on Third Parties and Key Personnel</w:t>
      </w:r>
    </w:p>
    <w:p>
      <w:pPr>
        <w:spacing w:after="0" w:line="113" w:lineRule="exact"/>
        <w:rPr>
          <w:sz w:val="20"/>
          <w:szCs w:val="20"/>
          <w:color w:val="auto"/>
        </w:rPr>
      </w:pPr>
    </w:p>
    <w:p>
      <w:pPr>
        <w:ind w:left="460" w:right="120"/>
        <w:spacing w:after="0" w:line="270" w:lineRule="auto"/>
        <w:rPr>
          <w:sz w:val="20"/>
          <w:szCs w:val="20"/>
          <w:color w:val="auto"/>
        </w:rPr>
      </w:pPr>
      <w:r>
        <w:rPr>
          <w:rFonts w:ascii="Arial" w:cs="Arial" w:eastAsia="Arial" w:hAnsi="Arial"/>
          <w:sz w:val="16"/>
          <w:szCs w:val="16"/>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52"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We rely on CROs, independent clinical investigators, clinical data management organizations, consultants and other third-party firms to design, conduct, supervise and monitor clinical trials. We and these third parties are 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w:t>
      </w:r>
    </w:p>
    <w:p>
      <w:pPr>
        <w:sectPr>
          <w:pgSz w:w="11900" w:h="16838" w:orient="portrait"/>
          <w:cols w:equalWidth="0" w:num="1">
            <w:col w:w="11200"/>
          </w:cols>
          <w:pgMar w:left="320" w:top="125" w:right="379" w:bottom="1440" w:gutter="0" w:footer="0" w:header="0"/>
        </w:sectPr>
      </w:pP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requirements. In addition, our clinical trials must be conducted with products that are cGMP produced. Failure to comply with these regulations may result in a clinical hold or require us to repeat nonclinical studies and clinical trials, which would delay the regulatory approval process.</w:t>
      </w:r>
    </w:p>
    <w:p>
      <w:pPr>
        <w:spacing w:after="0" w:line="156"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Third-party staff are not our employees and, except for remedies available to us under our agreements with such third parties, we cannot control whether or not they devote sufficient time and resources to our ongoing clinical and nonclinical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81" w:lineRule="exact"/>
        <w:rPr>
          <w:sz w:val="20"/>
          <w:szCs w:val="20"/>
          <w:color w:val="auto"/>
        </w:rPr>
      </w:pPr>
    </w:p>
    <w:p>
      <w:pPr>
        <w:ind w:right="120" w:firstLine="445"/>
        <w:spacing w:after="0" w:line="252" w:lineRule="auto"/>
        <w:rPr>
          <w:sz w:val="20"/>
          <w:szCs w:val="20"/>
          <w:color w:val="auto"/>
        </w:rPr>
      </w:pPr>
      <w:r>
        <w:rPr>
          <w:rFonts w:ascii="Arial" w:cs="Arial" w:eastAsia="Arial" w:hAnsi="Arial"/>
          <w:sz w:val="16"/>
          <w:szCs w:val="16"/>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83" w:lineRule="exact"/>
        <w:rPr>
          <w:sz w:val="20"/>
          <w:szCs w:val="20"/>
          <w:color w:val="auto"/>
        </w:rPr>
      </w:pPr>
    </w:p>
    <w:p>
      <w:pPr>
        <w:ind w:right="40" w:firstLine="445"/>
        <w:spacing w:after="0" w:line="259"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nonclinical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288" w:lineRule="exact"/>
        <w:rPr>
          <w:sz w:val="20"/>
          <w:szCs w:val="20"/>
          <w:color w:val="auto"/>
        </w:rPr>
      </w:pPr>
    </w:p>
    <w:p>
      <w:pPr>
        <w:ind w:left="460" w:right="460"/>
        <w:spacing w:after="0" w:line="294" w:lineRule="auto"/>
        <w:rPr>
          <w:sz w:val="20"/>
          <w:szCs w:val="20"/>
          <w:color w:val="auto"/>
        </w:rPr>
      </w:pPr>
      <w:r>
        <w:rPr>
          <w:rFonts w:ascii="Arial" w:cs="Arial" w:eastAsia="Arial" w:hAnsi="Arial"/>
          <w:sz w:val="16"/>
          <w:szCs w:val="16"/>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33" w:lineRule="exact"/>
        <w:rPr>
          <w:sz w:val="20"/>
          <w:szCs w:val="20"/>
          <w:color w:val="auto"/>
        </w:rPr>
      </w:pPr>
    </w:p>
    <w:p>
      <w:pPr>
        <w:ind w:right="20" w:firstLine="445"/>
        <w:spacing w:after="0" w:line="249"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 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294" w:lineRule="exact"/>
        <w:rPr>
          <w:sz w:val="20"/>
          <w:szCs w:val="20"/>
          <w:color w:val="auto"/>
        </w:rPr>
      </w:pPr>
    </w:p>
    <w:p>
      <w:pPr>
        <w:ind w:left="460" w:right="540"/>
        <w:spacing w:after="0" w:line="270" w:lineRule="auto"/>
        <w:rPr>
          <w:sz w:val="20"/>
          <w:szCs w:val="20"/>
          <w:color w:val="auto"/>
        </w:rPr>
      </w:pPr>
      <w:r>
        <w:rPr>
          <w:rFonts w:ascii="Arial" w:cs="Arial" w:eastAsia="Arial" w:hAnsi="Arial"/>
          <w:sz w:val="16"/>
          <w:szCs w:val="16"/>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52" w:lineRule="exact"/>
        <w:rPr>
          <w:sz w:val="20"/>
          <w:szCs w:val="20"/>
          <w:color w:val="auto"/>
        </w:rPr>
      </w:pPr>
    </w:p>
    <w:p>
      <w:pPr>
        <w:ind w:right="120" w:firstLine="445"/>
        <w:spacing w:after="0" w:line="266" w:lineRule="auto"/>
        <w:rPr>
          <w:sz w:val="20"/>
          <w:szCs w:val="20"/>
          <w:color w:val="auto"/>
        </w:rPr>
      </w:pPr>
      <w:r>
        <w:rPr>
          <w:rFonts w:ascii="Arial" w:cs="Arial" w:eastAsia="Arial" w:hAnsi="Arial"/>
          <w:sz w:val="16"/>
          <w:szCs w:val="16"/>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reliance on third parties may pose the following risks to us:</w:t>
      </w:r>
    </w:p>
    <w:p>
      <w:pPr>
        <w:spacing w:after="0" w:line="113" w:lineRule="exact"/>
        <w:rPr>
          <w:sz w:val="20"/>
          <w:szCs w:val="20"/>
          <w:color w:val="auto"/>
        </w:rPr>
      </w:pPr>
    </w:p>
    <w:p>
      <w:pPr>
        <w:ind w:left="860" w:right="300" w:hanging="420"/>
        <w:spacing w:after="0" w:line="286" w:lineRule="auto"/>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third parties have significant discretion in determining the efforts and resources that they will apply to our development programs and product candidates;</w:t>
      </w:r>
    </w:p>
    <w:p>
      <w:pPr>
        <w:spacing w:after="0" w:line="47" w:lineRule="exact"/>
        <w:rPr>
          <w:rFonts w:ascii="Arial" w:cs="Arial" w:eastAsia="Arial" w:hAnsi="Arial"/>
          <w:sz w:val="16"/>
          <w:szCs w:val="16"/>
          <w:color w:val="auto"/>
        </w:rPr>
      </w:pPr>
    </w:p>
    <w:p>
      <w:pPr>
        <w:ind w:left="860" w:right="100" w:hanging="420"/>
        <w:spacing w:after="0" w:line="286" w:lineRule="auto"/>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third parties could independently develop, supply, manufacture, commercialize or collaborate with additional third parties, products that compete directly or indirectly with our product candidates;</w:t>
      </w:r>
    </w:p>
    <w:p>
      <w:pPr>
        <w:spacing w:after="0" w:line="47" w:lineRule="exact"/>
        <w:rPr>
          <w:rFonts w:ascii="Arial" w:cs="Arial" w:eastAsia="Arial" w:hAnsi="Arial"/>
          <w:sz w:val="16"/>
          <w:szCs w:val="16"/>
          <w:color w:val="auto"/>
        </w:rPr>
      </w:pPr>
    </w:p>
    <w:p>
      <w:pPr>
        <w:ind w:left="860" w:right="200" w:hanging="420"/>
        <w:spacing w:after="0" w:line="266" w:lineRule="auto"/>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860" w:right="560" w:hanging="420"/>
        <w:spacing w:after="0" w:line="286" w:lineRule="auto"/>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disputes may arise with respect to ownership of any intellectual property developed pursuant to our collaborations and activities with third parties;</w:t>
      </w:r>
    </w:p>
    <w:p>
      <w:pPr>
        <w:spacing w:after="0" w:line="47" w:lineRule="exact"/>
        <w:rPr>
          <w:rFonts w:ascii="Arial" w:cs="Arial" w:eastAsia="Arial" w:hAnsi="Arial"/>
          <w:sz w:val="16"/>
          <w:szCs w:val="16"/>
          <w:color w:val="auto"/>
        </w:rPr>
      </w:pPr>
    </w:p>
    <w:p>
      <w:pPr>
        <w:jc w:val="both"/>
        <w:ind w:left="860" w:right="300" w:hanging="420"/>
        <w:spacing w:after="0" w:line="266" w:lineRule="auto"/>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disputes may arise between us and our third-party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63" w:lineRule="exact"/>
        <w:rPr>
          <w:rFonts w:ascii="Arial" w:cs="Arial" w:eastAsia="Arial" w:hAnsi="Arial"/>
          <w:sz w:val="16"/>
          <w:szCs w:val="16"/>
          <w:color w:val="auto"/>
        </w:rPr>
      </w:pPr>
    </w:p>
    <w:p>
      <w:pPr>
        <w:ind w:left="860" w:right="100" w:hanging="420"/>
        <w:spacing w:after="0" w:line="286" w:lineRule="auto"/>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156" w:lineRule="exact"/>
        <w:rPr>
          <w:sz w:val="20"/>
          <w:szCs w:val="20"/>
          <w:color w:val="auto"/>
        </w:rPr>
      </w:pPr>
    </w:p>
    <w:p>
      <w:pPr>
        <w:ind w:right="200" w:firstLine="445"/>
        <w:spacing w:after="0" w:line="286" w:lineRule="auto"/>
        <w:rPr>
          <w:sz w:val="20"/>
          <w:szCs w:val="20"/>
          <w:color w:val="auto"/>
        </w:rPr>
      </w:pPr>
      <w:r>
        <w:rPr>
          <w:rFonts w:ascii="Arial" w:cs="Arial" w:eastAsia="Arial" w:hAnsi="Arial"/>
          <w:sz w:val="16"/>
          <w:szCs w:val="16"/>
          <w:color w:val="auto"/>
        </w:rPr>
        <w:t>As a result, if any third parties upon which we are dependent fail or are unable to perform, our development programs and candidate products could be materially adversely affected.</w:t>
      </w:r>
    </w:p>
    <w:p>
      <w:pPr>
        <w:spacing w:after="0" w:line="266"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b w:val="1"/>
          <w:bCs w:val="1"/>
          <w:i w:val="1"/>
          <w:iCs w:val="1"/>
          <w:color w:val="auto"/>
        </w:rPr>
        <w:t>We may be unable to enter into or maintain strategic alliances or collaborations which could affect our ability to commercialize our product candidates, if approved.</w:t>
      </w:r>
    </w:p>
    <w:p>
      <w:pPr>
        <w:spacing w:after="0" w:line="33" w:lineRule="exact"/>
        <w:rPr>
          <w:sz w:val="20"/>
          <w:szCs w:val="20"/>
          <w:color w:val="auto"/>
        </w:rPr>
      </w:pPr>
    </w:p>
    <w:p>
      <w:pPr>
        <w:ind w:right="40" w:firstLine="445"/>
        <w:spacing w:after="0" w:line="254" w:lineRule="auto"/>
        <w:rPr>
          <w:sz w:val="20"/>
          <w:szCs w:val="20"/>
          <w:color w:val="auto"/>
        </w:rPr>
      </w:pPr>
      <w:r>
        <w:rPr>
          <w:rFonts w:ascii="Arial" w:cs="Arial" w:eastAsia="Arial" w:hAnsi="Arial"/>
          <w:sz w:val="16"/>
          <w:szCs w:val="16"/>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Intellectual Property</w:t>
      </w:r>
    </w:p>
    <w:p>
      <w:pPr>
        <w:spacing w:after="0" w:line="113" w:lineRule="exact"/>
        <w:rPr>
          <w:sz w:val="20"/>
          <w:szCs w:val="20"/>
          <w:color w:val="auto"/>
        </w:rPr>
      </w:pPr>
    </w:p>
    <w:p>
      <w:pPr>
        <w:ind w:left="460" w:right="80"/>
        <w:spacing w:after="0" w:line="262" w:lineRule="auto"/>
        <w:rPr>
          <w:sz w:val="20"/>
          <w:szCs w:val="20"/>
          <w:color w:val="auto"/>
        </w:rPr>
      </w:pPr>
      <w:r>
        <w:rPr>
          <w:rFonts w:ascii="Arial" w:cs="Arial" w:eastAsia="Arial" w:hAnsi="Arial"/>
          <w:sz w:val="16"/>
          <w:szCs w:val="16"/>
          <w:b w:val="1"/>
          <w:bCs w:val="1"/>
          <w:i w:val="1"/>
          <w:iCs w:val="1"/>
          <w:color w:val="auto"/>
        </w:rPr>
        <w:t>If we fail to make required payments to AnalytiCon pursuant to the agreements pursuant to which we acquired certain of our core intellectual property or are otherwise in material breach of such agreements (and fail to cure such breaches within a specified time period), AnalytiCon may exercise remedies pursuant to such agreements that would materially and adversely affect our business and results of operations.</w:t>
      </w:r>
    </w:p>
    <w:p>
      <w:pPr>
        <w:spacing w:after="0" w:line="59"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Certain intellectual property that is core to our business has been invented by AnalytiCon and contractually assigned to us by AnalytiCon, with whom we continue to collaborate for the development of our product candidates. We owe AnalytiCon milestone payments contingent on our achievement of certain clinical development and regulatory events, as well as royalties and milestone payments based on sales of such product candidates. If we fail to make such payments to AnalytiCon or are otherwise in material breach of certain agreements that we entered into with AnalytiCon (and fail to cure such breaches within a specified time period), and AnalytiCon exercises contractual remedies available to it under such agreements, then we may be required to grant AnalytiCon an exclusive license to the intellectual property that it assigned to us for use in all applications, including HAE. In addition, we could be prevented from competing with AnalytiCon until five years after the commercial launch of any product candidates containing a compound from the OB2RA Class. If we failed to make such payments and AnalytiCon were to exercise such remedies, we would not be able to continue our current development program or commercialize our product candidates and our business and results of operations would be materially and adversely affected. For a description of our arrangement with AnalytiCon, please see “ITEM 4. INFORMATION ON THE COMPANY—B. Business overview—License Agreement.”</w:t>
      </w:r>
    </w:p>
    <w:p>
      <w:pPr>
        <w:spacing w:after="0" w:line="299" w:lineRule="exact"/>
        <w:rPr>
          <w:sz w:val="20"/>
          <w:szCs w:val="20"/>
          <w:color w:val="auto"/>
        </w:rPr>
      </w:pPr>
    </w:p>
    <w:p>
      <w:pPr>
        <w:ind w:left="460" w:right="200"/>
        <w:spacing w:after="0" w:line="262" w:lineRule="auto"/>
        <w:rPr>
          <w:sz w:val="20"/>
          <w:szCs w:val="20"/>
          <w:color w:val="auto"/>
        </w:rPr>
      </w:pPr>
      <w:r>
        <w:rPr>
          <w:rFonts w:ascii="Arial" w:cs="Arial" w:eastAsia="Arial" w:hAnsi="Arial"/>
          <w:sz w:val="16"/>
          <w:szCs w:val="16"/>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59" w:lineRule="exact"/>
        <w:rPr>
          <w:sz w:val="20"/>
          <w:szCs w:val="20"/>
          <w:color w:val="auto"/>
        </w:rPr>
      </w:pPr>
    </w:p>
    <w:p>
      <w:pPr>
        <w:ind w:right="40" w:firstLine="445"/>
        <w:spacing w:after="0" w:line="256" w:lineRule="auto"/>
        <w:rPr>
          <w:sz w:val="20"/>
          <w:szCs w:val="20"/>
          <w:color w:val="auto"/>
        </w:rPr>
      </w:pPr>
      <w:r>
        <w:rPr>
          <w:rFonts w:ascii="Arial" w:cs="Arial" w:eastAsia="Arial" w:hAnsi="Arial"/>
          <w:sz w:val="16"/>
          <w:szCs w:val="16"/>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w:t>
      </w:r>
    </w:p>
    <w:p>
      <w:pPr>
        <w:spacing w:after="0" w:line="180" w:lineRule="exact"/>
        <w:rPr>
          <w:sz w:val="20"/>
          <w:szCs w:val="20"/>
          <w:color w:val="auto"/>
        </w:rPr>
      </w:pPr>
    </w:p>
    <w:p>
      <w:pPr>
        <w:ind w:right="760" w:firstLine="445"/>
        <w:spacing w:after="0" w:line="286" w:lineRule="auto"/>
        <w:rPr>
          <w:sz w:val="20"/>
          <w:szCs w:val="20"/>
          <w:color w:val="auto"/>
        </w:rPr>
      </w:pPr>
      <w:r>
        <w:rPr>
          <w:rFonts w:ascii="Arial" w:cs="Arial" w:eastAsia="Arial" w:hAnsi="Arial"/>
          <w:sz w:val="16"/>
          <w:szCs w:val="16"/>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48" w:lineRule="exact"/>
        <w:rPr>
          <w:sz w:val="20"/>
          <w:szCs w:val="20"/>
          <w:color w:val="auto"/>
        </w:rPr>
      </w:pPr>
    </w:p>
    <w:p>
      <w:pPr>
        <w:ind w:left="860" w:hanging="420"/>
        <w:spacing w:after="0" w:line="266"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3" w:lineRule="exact"/>
        <w:rPr>
          <w:rFonts w:ascii="Arial" w:cs="Arial" w:eastAsia="Arial" w:hAnsi="Arial"/>
          <w:sz w:val="16"/>
          <w:szCs w:val="16"/>
          <w:color w:val="auto"/>
        </w:rPr>
      </w:pPr>
    </w:p>
    <w:p>
      <w:pPr>
        <w:ind w:left="860" w:hanging="420"/>
        <w:spacing w:after="0"/>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patent applications may not result in any patents being issued;</w:t>
      </w:r>
    </w:p>
    <w:p>
      <w:pPr>
        <w:spacing w:after="0" w:line="153" w:lineRule="exact"/>
        <w:rPr>
          <w:rFonts w:ascii="Arial" w:cs="Arial" w:eastAsia="Arial" w:hAnsi="Arial"/>
          <w:sz w:val="16"/>
          <w:szCs w:val="16"/>
          <w:color w:val="auto"/>
        </w:rPr>
      </w:pPr>
    </w:p>
    <w:p>
      <w:pPr>
        <w:ind w:left="860" w:right="740" w:hanging="420"/>
        <w:spacing w:after="0" w:line="286"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patents may be challenged, invalidated, modified, revoked, circumvented, found to be unenforceable or otherwise may not provide any competitive advantage;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860" w:right="280" w:hanging="420"/>
        <w:spacing w:after="0" w:line="266" w:lineRule="auto"/>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63" w:lineRule="exact"/>
        <w:rPr>
          <w:rFonts w:ascii="Arial" w:cs="Arial" w:eastAsia="Arial" w:hAnsi="Arial"/>
          <w:sz w:val="16"/>
          <w:szCs w:val="16"/>
          <w:color w:val="auto"/>
        </w:rPr>
      </w:pPr>
    </w:p>
    <w:p>
      <w:pPr>
        <w:ind w:left="860" w:right="400" w:hanging="420"/>
        <w:spacing w:after="0" w:line="266" w:lineRule="auto"/>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3" w:lineRule="exact"/>
        <w:rPr>
          <w:rFonts w:ascii="Arial" w:cs="Arial" w:eastAsia="Arial" w:hAnsi="Arial"/>
          <w:sz w:val="16"/>
          <w:szCs w:val="16"/>
          <w:color w:val="auto"/>
        </w:rPr>
      </w:pPr>
    </w:p>
    <w:p>
      <w:pPr>
        <w:ind w:left="860" w:right="460" w:hanging="420"/>
        <w:spacing w:after="0" w:line="286" w:lineRule="auto"/>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56"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If we or any third parties that develop or create any intellectual property for us are unable to secure necessary assignments or rights, then our rights to such intellectual property, and ultimately our ability to protect our candidate products, may be adversely affected.</w:t>
      </w:r>
    </w:p>
    <w:p>
      <w:pPr>
        <w:spacing w:after="0" w:line="156" w:lineRule="exact"/>
        <w:rPr>
          <w:sz w:val="20"/>
          <w:szCs w:val="20"/>
          <w:color w:val="auto"/>
        </w:rPr>
      </w:pPr>
    </w:p>
    <w:p>
      <w:pPr>
        <w:ind w:right="60" w:firstLine="445"/>
        <w:spacing w:after="0" w:line="251"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that we may own in the future, if any), or that we were the first to file for patent protection of such inventions.</w:t>
      </w:r>
    </w:p>
    <w:p>
      <w:pPr>
        <w:spacing w:after="0" w:line="295"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33" w:lineRule="exact"/>
        <w:rPr>
          <w:sz w:val="20"/>
          <w:szCs w:val="20"/>
          <w:color w:val="auto"/>
        </w:rPr>
      </w:pPr>
    </w:p>
    <w:p>
      <w:pPr>
        <w:ind w:firstLine="445"/>
        <w:spacing w:after="0" w:line="254"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 third parties. Consequently, we do not know whether our product candidates will be protectable by valid and enforceable patents.</w:t>
      </w:r>
    </w:p>
    <w:p>
      <w:pPr>
        <w:spacing w:after="0" w:line="182" w:lineRule="exact"/>
        <w:rPr>
          <w:sz w:val="20"/>
          <w:szCs w:val="20"/>
          <w:color w:val="auto"/>
        </w:rPr>
      </w:pPr>
    </w:p>
    <w:p>
      <w:pPr>
        <w:ind w:right="200" w:firstLine="445"/>
        <w:spacing w:after="0" w:line="256"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180" w:lineRule="exact"/>
        <w:rPr>
          <w:sz w:val="20"/>
          <w:szCs w:val="20"/>
          <w:color w:val="auto"/>
        </w:rPr>
      </w:pPr>
    </w:p>
    <w:p>
      <w:pPr>
        <w:ind w:right="180" w:firstLine="445"/>
        <w:spacing w:after="0" w:line="256" w:lineRule="auto"/>
        <w:rPr>
          <w:sz w:val="20"/>
          <w:szCs w:val="20"/>
          <w:color w:val="auto"/>
        </w:rPr>
      </w:pPr>
      <w:r>
        <w:rPr>
          <w:rFonts w:ascii="Arial" w:cs="Arial" w:eastAsia="Arial" w:hAnsi="Arial"/>
          <w:sz w:val="16"/>
          <w:szCs w:val="16"/>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80" w:lineRule="exact"/>
        <w:rPr>
          <w:sz w:val="20"/>
          <w:szCs w:val="20"/>
          <w:color w:val="auto"/>
        </w:rPr>
      </w:pPr>
    </w:p>
    <w:p>
      <w:pPr>
        <w:ind w:right="40" w:firstLine="445"/>
        <w:spacing w:after="0" w:line="249" w:lineRule="auto"/>
        <w:rPr>
          <w:sz w:val="20"/>
          <w:szCs w:val="20"/>
          <w:color w:val="auto"/>
        </w:rPr>
      </w:pPr>
      <w:r>
        <w:rPr>
          <w:rFonts w:ascii="Arial" w:cs="Arial" w:eastAsia="Arial" w:hAnsi="Arial"/>
          <w:sz w:val="16"/>
          <w:szCs w:val="16"/>
          <w:color w:val="auto"/>
        </w:rPr>
        <w:t>In addition, patents have a limited lifespan. For example, if renewal fees are paid timely,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firstLine="445"/>
        <w:spacing w:after="0" w:line="254"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292"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Patents covering our technology and product candidates that may be issued (if any) could be found invalid or unenforceable if challenged in court or an issuing body.</w:t>
      </w:r>
    </w:p>
    <w:p>
      <w:pPr>
        <w:spacing w:after="0" w:line="33" w:lineRule="exact"/>
        <w:rPr>
          <w:sz w:val="20"/>
          <w:szCs w:val="20"/>
          <w:color w:val="auto"/>
        </w:rPr>
      </w:pPr>
    </w:p>
    <w:p>
      <w:pPr>
        <w:jc w:val="both"/>
        <w:ind w:right="280" w:firstLine="445"/>
        <w:spacing w:after="0" w:line="25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78" w:lineRule="exact"/>
        <w:rPr>
          <w:sz w:val="20"/>
          <w:szCs w:val="20"/>
          <w:color w:val="auto"/>
        </w:rPr>
      </w:pPr>
    </w:p>
    <w:p>
      <w:pPr>
        <w:ind w:right="20" w:firstLine="445"/>
        <w:spacing w:after="0" w:line="248"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or enforce our intellectual property rights in all jurisdictions.</w:t>
      </w:r>
    </w:p>
    <w:p>
      <w:pPr>
        <w:spacing w:after="0" w:line="111" w:lineRule="exact"/>
        <w:rPr>
          <w:sz w:val="20"/>
          <w:szCs w:val="20"/>
          <w:color w:val="auto"/>
        </w:rPr>
      </w:pPr>
    </w:p>
    <w:p>
      <w:pPr>
        <w:ind w:right="20" w:firstLine="445"/>
        <w:spacing w:after="0" w:line="254"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82" w:lineRule="exact"/>
        <w:rPr>
          <w:sz w:val="20"/>
          <w:szCs w:val="20"/>
          <w:color w:val="auto"/>
        </w:rPr>
      </w:pPr>
    </w:p>
    <w:p>
      <w:pPr>
        <w:ind w:right="20" w:firstLine="445"/>
        <w:spacing w:after="0" w:line="25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87" w:lineRule="exact"/>
        <w:rPr>
          <w:sz w:val="20"/>
          <w:szCs w:val="20"/>
          <w:color w:val="auto"/>
        </w:rPr>
      </w:pPr>
    </w:p>
    <w:p>
      <w:pPr>
        <w:ind w:right="60" w:firstLine="445"/>
        <w:spacing w:after="0" w:line="256" w:lineRule="auto"/>
        <w:rPr>
          <w:sz w:val="20"/>
          <w:szCs w:val="20"/>
          <w:color w:val="auto"/>
        </w:rPr>
      </w:pPr>
      <w:r>
        <w:rPr>
          <w:rFonts w:ascii="Arial" w:cs="Arial" w:eastAsia="Arial" w:hAnsi="Arial"/>
          <w:sz w:val="16"/>
          <w:szCs w:val="16"/>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11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6"/>
          <w:szCs w:val="16"/>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78" w:lineRule="exact"/>
        <w:rPr>
          <w:sz w:val="20"/>
          <w:szCs w:val="20"/>
          <w:color w:val="auto"/>
        </w:rPr>
      </w:pPr>
    </w:p>
    <w:p>
      <w:pPr>
        <w:ind w:right="20" w:firstLine="445"/>
        <w:spacing w:after="0" w:line="253" w:lineRule="auto"/>
        <w:rPr>
          <w:sz w:val="20"/>
          <w:szCs w:val="20"/>
          <w:color w:val="auto"/>
        </w:rPr>
      </w:pPr>
      <w:r>
        <w:rPr>
          <w:rFonts w:ascii="Arial" w:cs="Arial" w:eastAsia="Arial" w:hAnsi="Arial"/>
          <w:sz w:val="16"/>
          <w:szCs w:val="16"/>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81"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 xml:space="preserve">Further, the America Invents Act created new procedures to challenge the validity of issued patents in the United States, including post 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which some third parties have been using to cause the cancellation of selected or all claims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 than invalidated in a litigation in a U.S. federal court. If any patents that we are issued in the future (if any) or our licensor’s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81"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6"/>
          <w:szCs w:val="16"/>
          <w:i w:val="1"/>
          <w:iCs w:val="1"/>
          <w:color w:val="auto"/>
        </w:rPr>
        <w:t>Association for Molecular Pathology v. Myriad Genetics, Inc., BRCA1- &amp;BRCA2-Based Hereditary Cancer Test Patent Litigation,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Mayo Collaborative Services v. Prometheus Laboratories, Inc., Promega Corp. v. Life Technologies Corp. and Abbvie Deutschland GmbH v. Janssen Biotech, Inc. </w:t>
      </w:r>
      <w:r>
        <w:rPr>
          <w:rFonts w:ascii="Arial" w:cs="Arial" w:eastAsia="Arial" w:hAnsi="Arial"/>
          <w:sz w:val="16"/>
          <w:szCs w:val="16"/>
          <w:color w:val="auto"/>
        </w:rPr>
        <w:t>have narrowed the scope of patent protection available in certain circumstances and weakened the rights of patent owners in certain situations.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PHA121 and other product candidates that we may pursue could have a material adverse effect on our business, financial condition, results of operations and prospects.</w:t>
      </w:r>
    </w:p>
    <w:p>
      <w:pPr>
        <w:spacing w:after="0" w:line="299" w:lineRule="exact"/>
        <w:rPr>
          <w:sz w:val="20"/>
          <w:szCs w:val="20"/>
          <w:color w:val="auto"/>
        </w:rPr>
      </w:pPr>
    </w:p>
    <w:p>
      <w:pPr>
        <w:ind w:left="460" w:right="900"/>
        <w:spacing w:after="0" w:line="294" w:lineRule="auto"/>
        <w:rPr>
          <w:sz w:val="20"/>
          <w:szCs w:val="20"/>
          <w:color w:val="auto"/>
        </w:rPr>
      </w:pPr>
      <w:r>
        <w:rPr>
          <w:rFonts w:ascii="Arial" w:cs="Arial" w:eastAsia="Arial" w:hAnsi="Arial"/>
          <w:sz w:val="16"/>
          <w:szCs w:val="16"/>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33" w:lineRule="exact"/>
        <w:rPr>
          <w:sz w:val="20"/>
          <w:szCs w:val="20"/>
          <w:color w:val="auto"/>
        </w:rPr>
      </w:pPr>
    </w:p>
    <w:p>
      <w:pPr>
        <w:ind w:right="20" w:firstLine="445"/>
        <w:spacing w:after="0" w:line="249" w:lineRule="auto"/>
        <w:rPr>
          <w:sz w:val="20"/>
          <w:szCs w:val="20"/>
          <w:color w:val="auto"/>
        </w:rPr>
      </w:pPr>
      <w:r>
        <w:rPr>
          <w:rFonts w:ascii="Arial" w:cs="Arial" w:eastAsia="Arial" w:hAnsi="Arial"/>
          <w:sz w:val="16"/>
          <w:szCs w:val="16"/>
          <w:color w:val="auto"/>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300"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33" w:lineRule="exact"/>
        <w:rPr>
          <w:sz w:val="20"/>
          <w:szCs w:val="20"/>
          <w:color w:val="auto"/>
        </w:rPr>
      </w:pPr>
    </w:p>
    <w:p>
      <w:pPr>
        <w:ind w:right="80" w:firstLine="445"/>
        <w:spacing w:after="0" w:line="253" w:lineRule="auto"/>
        <w:rPr>
          <w:sz w:val="20"/>
          <w:szCs w:val="20"/>
          <w:color w:val="auto"/>
        </w:rPr>
      </w:pPr>
      <w:r>
        <w:rPr>
          <w:rFonts w:ascii="Arial" w:cs="Arial" w:eastAsia="Arial" w:hAnsi="Arial"/>
          <w:sz w:val="16"/>
          <w:szCs w:val="16"/>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currently pending applications, unknown to us, which may later result in issued patents that cover the production, manufacture, commercialization or use of our product candidates and technology. In addition, the production, manufacture, commercialization or use of our product candidates may infringe existing patents of which we are not aware. Even if we believe such claims of infringement are without merit, a court of competent jurisdiction could hold 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found to infringe a third-party’s valid and enforceable intellectual property rights, we could be required to:</w:t>
      </w:r>
    </w:p>
    <w:p>
      <w:pPr>
        <w:spacing w:after="0" w:line="113" w:lineRule="exact"/>
        <w:rPr>
          <w:sz w:val="20"/>
          <w:szCs w:val="20"/>
          <w:color w:val="auto"/>
        </w:rPr>
      </w:pPr>
    </w:p>
    <w:p>
      <w:pPr>
        <w:ind w:left="860" w:hanging="420"/>
        <w:spacing w:after="0"/>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cease developing, manufacturing, selling or licensing the infringing product candidates or technology;</w:t>
      </w:r>
    </w:p>
    <w:p>
      <w:pPr>
        <w:spacing w:after="0" w:line="153" w:lineRule="exact"/>
        <w:rPr>
          <w:rFonts w:ascii="Arial" w:cs="Arial" w:eastAsia="Arial" w:hAnsi="Arial"/>
          <w:sz w:val="16"/>
          <w:szCs w:val="16"/>
          <w:color w:val="auto"/>
        </w:rPr>
      </w:pPr>
    </w:p>
    <w:p>
      <w:pPr>
        <w:ind w:left="860" w:hanging="420"/>
        <w:spacing w:after="0" w:line="259" w:lineRule="auto"/>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69" w:lineRule="exact"/>
        <w:rPr>
          <w:rFonts w:ascii="Arial" w:cs="Arial" w:eastAsia="Arial" w:hAnsi="Arial"/>
          <w:sz w:val="16"/>
          <w:szCs w:val="16"/>
          <w:color w:val="auto"/>
        </w:rPr>
      </w:pPr>
    </w:p>
    <w:p>
      <w:pPr>
        <w:ind w:left="860" w:right="180" w:hanging="420"/>
        <w:spacing w:after="0" w:line="286" w:lineRule="auto"/>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pay substantial damages for past infringement, including treble damages and attorneys’ fees, if we are found to have willfully infringed a patent or other intellectual property right; or</w:t>
      </w:r>
    </w:p>
    <w:p>
      <w:pPr>
        <w:spacing w:after="0" w:line="47" w:lineRule="exact"/>
        <w:rPr>
          <w:rFonts w:ascii="Arial" w:cs="Arial" w:eastAsia="Arial" w:hAnsi="Arial"/>
          <w:sz w:val="16"/>
          <w:szCs w:val="16"/>
          <w:color w:val="auto"/>
        </w:rPr>
      </w:pPr>
    </w:p>
    <w:p>
      <w:pPr>
        <w:ind w:left="860" w:right="200" w:hanging="420"/>
        <w:spacing w:after="0" w:line="286" w:lineRule="auto"/>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 required to redesign the formulation of a product such that it does not infringe, which may not be possible or could require substantial funds and time.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foregoing could have a material adverse effect on our business, financial condition, results of operations and prospects.</w:t>
      </w:r>
    </w:p>
    <w:p>
      <w:pPr>
        <w:spacing w:after="0" w:line="221" w:lineRule="exact"/>
        <w:rPr>
          <w:sz w:val="20"/>
          <w:szCs w:val="20"/>
          <w:color w:val="auto"/>
        </w:rPr>
      </w:pPr>
    </w:p>
    <w:p>
      <w:pPr>
        <w:ind w:right="60" w:firstLine="445"/>
        <w:spacing w:after="0" w:line="251" w:lineRule="auto"/>
        <w:rPr>
          <w:sz w:val="20"/>
          <w:szCs w:val="20"/>
          <w:color w:val="auto"/>
        </w:rPr>
      </w:pPr>
      <w:r>
        <w:rPr>
          <w:rFonts w:ascii="Arial" w:cs="Arial" w:eastAsia="Arial" w:hAnsi="Arial"/>
          <w:sz w:val="16"/>
          <w:szCs w:val="16"/>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295"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Intellectual property litigation or proceedings could cause us to spend substantial resources and distract our personnel from their normal responsibilities.</w:t>
      </w:r>
    </w:p>
    <w:p>
      <w:pPr>
        <w:spacing w:after="0" w:line="33" w:lineRule="exact"/>
        <w:rPr>
          <w:sz w:val="20"/>
          <w:szCs w:val="20"/>
          <w:color w:val="auto"/>
        </w:rPr>
      </w:pPr>
    </w:p>
    <w:p>
      <w:pPr>
        <w:ind w:right="120" w:firstLine="445"/>
        <w:spacing w:after="0" w:line="253" w:lineRule="auto"/>
        <w:rPr>
          <w:sz w:val="20"/>
          <w:szCs w:val="20"/>
          <w:color w:val="auto"/>
        </w:rPr>
      </w:pPr>
      <w:r>
        <w:rPr>
          <w:rFonts w:ascii="Arial" w:cs="Arial" w:eastAsia="Arial" w:hAnsi="Arial"/>
          <w:sz w:val="16"/>
          <w:szCs w:val="16"/>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81" w:lineRule="exact"/>
        <w:rPr>
          <w:sz w:val="20"/>
          <w:szCs w:val="20"/>
          <w:color w:val="auto"/>
        </w:rPr>
      </w:pPr>
    </w:p>
    <w:p>
      <w:pPr>
        <w:ind w:right="60" w:firstLine="445"/>
        <w:spacing w:after="0" w:line="253" w:lineRule="auto"/>
        <w:rPr>
          <w:sz w:val="20"/>
          <w:szCs w:val="20"/>
          <w:color w:val="auto"/>
        </w:rPr>
      </w:pPr>
      <w:r>
        <w:rPr>
          <w:rFonts w:ascii="Arial" w:cs="Arial" w:eastAsia="Arial" w:hAnsi="Arial"/>
          <w:sz w:val="16"/>
          <w:szCs w:val="16"/>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81" w:lineRule="exact"/>
        <w:rPr>
          <w:sz w:val="20"/>
          <w:szCs w:val="20"/>
          <w:color w:val="auto"/>
        </w:rPr>
      </w:pPr>
    </w:p>
    <w:p>
      <w:pPr>
        <w:ind w:right="40" w:firstLine="445"/>
        <w:spacing w:after="0" w:line="25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jc w:val="both"/>
        <w:ind w:left="460" w:right="60"/>
        <w:spacing w:after="0" w:line="270"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52" w:lineRule="exact"/>
        <w:rPr>
          <w:sz w:val="20"/>
          <w:szCs w:val="20"/>
          <w:color w:val="auto"/>
        </w:rPr>
      </w:pPr>
    </w:p>
    <w:p>
      <w:pPr>
        <w:ind w:right="160" w:firstLine="445"/>
        <w:spacing w:after="0" w:line="253"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licenses.</w:t>
      </w:r>
    </w:p>
    <w:p>
      <w:pPr>
        <w:spacing w:after="0" w:line="111"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w:t>
      </w:r>
    </w:p>
    <w:p>
      <w:pPr>
        <w:spacing w:after="0" w:line="184" w:lineRule="exact"/>
        <w:rPr>
          <w:sz w:val="20"/>
          <w:szCs w:val="20"/>
          <w:color w:val="auto"/>
        </w:rPr>
      </w:pPr>
    </w:p>
    <w:p>
      <w:pPr>
        <w:ind w:right="20" w:firstLine="445"/>
        <w:spacing w:after="0" w:line="254" w:lineRule="auto"/>
        <w:rPr>
          <w:sz w:val="20"/>
          <w:szCs w:val="20"/>
          <w:color w:val="auto"/>
        </w:rPr>
      </w:pPr>
      <w:r>
        <w:rPr>
          <w:rFonts w:ascii="Arial" w:cs="Arial" w:eastAsia="Arial" w:hAnsi="Arial"/>
          <w:sz w:val="16"/>
          <w:szCs w:val="16"/>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risks to our competitive advantage.</w:t>
      </w:r>
    </w:p>
    <w:p>
      <w:pPr>
        <w:spacing w:after="0" w:line="111"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860" w:right="340" w:hanging="420"/>
        <w:spacing w:after="0" w:line="286"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47" w:lineRule="exact"/>
        <w:rPr>
          <w:rFonts w:ascii="Arial" w:cs="Arial" w:eastAsia="Arial" w:hAnsi="Arial"/>
          <w:sz w:val="16"/>
          <w:szCs w:val="16"/>
          <w:color w:val="auto"/>
        </w:rPr>
      </w:pPr>
    </w:p>
    <w:p>
      <w:pPr>
        <w:ind w:left="860" w:hanging="420"/>
        <w:spacing w:after="0" w:line="286"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47" w:lineRule="exact"/>
        <w:rPr>
          <w:rFonts w:ascii="Arial" w:cs="Arial" w:eastAsia="Arial" w:hAnsi="Arial"/>
          <w:sz w:val="16"/>
          <w:szCs w:val="16"/>
          <w:color w:val="auto"/>
        </w:rPr>
      </w:pPr>
    </w:p>
    <w:p>
      <w:pPr>
        <w:ind w:left="860" w:right="300" w:hanging="420"/>
        <w:spacing w:after="0" w:line="286"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might not have been the first to file patent applications covering certain of our or their inventions;</w:t>
      </w:r>
    </w:p>
    <w:p>
      <w:pPr>
        <w:spacing w:after="0" w:line="47" w:lineRule="exact"/>
        <w:rPr>
          <w:rFonts w:ascii="Arial" w:cs="Arial" w:eastAsia="Arial" w:hAnsi="Arial"/>
          <w:sz w:val="16"/>
          <w:szCs w:val="16"/>
          <w:color w:val="auto"/>
        </w:rPr>
      </w:pPr>
    </w:p>
    <w:p>
      <w:pPr>
        <w:ind w:left="860" w:right="600" w:hanging="420"/>
        <w:spacing w:after="0" w:line="286"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it is possible that patent applications that we currently, or may in the future, own or license will not lead to issued patents;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claims of patents or patent applications that we may own or license may, when issued, not cover our product candidates;</w:t>
      </w:r>
    </w:p>
    <w:p>
      <w:pPr>
        <w:spacing w:after="0" w:line="153" w:lineRule="exact"/>
        <w:rPr>
          <w:rFonts w:ascii="Arial" w:cs="Arial" w:eastAsia="Arial" w:hAnsi="Arial"/>
          <w:sz w:val="16"/>
          <w:szCs w:val="16"/>
          <w:color w:val="auto"/>
        </w:rPr>
      </w:pPr>
    </w:p>
    <w:p>
      <w:pPr>
        <w:ind w:left="860" w:right="780" w:hanging="420"/>
        <w:spacing w:after="0" w:line="286"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issued patents (if any) that we may hold rights to may be held invalid or unenforceable, including as a result of legal challenges by our competitors;</w:t>
      </w:r>
    </w:p>
    <w:p>
      <w:pPr>
        <w:spacing w:after="0" w:line="47" w:lineRule="exact"/>
        <w:rPr>
          <w:rFonts w:ascii="Arial" w:cs="Arial" w:eastAsia="Arial" w:hAnsi="Arial"/>
          <w:sz w:val="16"/>
          <w:szCs w:val="16"/>
          <w:color w:val="auto"/>
        </w:rPr>
      </w:pPr>
    </w:p>
    <w:p>
      <w:pPr>
        <w:ind w:left="860" w:right="20" w:hanging="420"/>
        <w:spacing w:after="0" w:line="286"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patents of others may harm our business; and</w:t>
      </w:r>
    </w:p>
    <w:p>
      <w:pPr>
        <w:spacing w:after="0" w:line="153" w:lineRule="exact"/>
        <w:rPr>
          <w:rFonts w:ascii="Arial" w:cs="Arial" w:eastAsia="Arial" w:hAnsi="Arial"/>
          <w:sz w:val="16"/>
          <w:szCs w:val="16"/>
          <w:color w:val="auto"/>
        </w:rPr>
      </w:pPr>
    </w:p>
    <w:p>
      <w:pPr>
        <w:ind w:left="860" w:right="460" w:hanging="420"/>
        <w:spacing w:after="0" w:line="286"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choose not to file a patent in order to maintain certain trade secrets or know-how, and a third- party may subsequently file a patent covering such intellectual property.</w:t>
      </w:r>
    </w:p>
    <w:p>
      <w:pPr>
        <w:spacing w:after="0" w:line="156"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13" w:lineRule="exact"/>
        <w:rPr>
          <w:sz w:val="20"/>
          <w:szCs w:val="20"/>
          <w:color w:val="auto"/>
        </w:rPr>
      </w:pPr>
    </w:p>
    <w:p>
      <w:pPr>
        <w:ind w:left="460"/>
        <w:spacing w:after="0" w:line="258" w:lineRule="auto"/>
        <w:rPr>
          <w:sz w:val="20"/>
          <w:szCs w:val="20"/>
          <w:color w:val="auto"/>
        </w:rPr>
      </w:pPr>
      <w:r>
        <w:rPr>
          <w:rFonts w:ascii="Arial" w:cs="Arial" w:eastAsia="Arial" w:hAnsi="Arial"/>
          <w:sz w:val="16"/>
          <w:szCs w:val="16"/>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 tracking and disclosure, and health information privacy and 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62" w:lineRule="exact"/>
        <w:rPr>
          <w:sz w:val="20"/>
          <w:szCs w:val="20"/>
          <w:color w:val="auto"/>
        </w:rPr>
      </w:pPr>
    </w:p>
    <w:p>
      <w:pPr>
        <w:ind w:right="180" w:firstLine="445"/>
        <w:spacing w:after="0" w:line="254" w:lineRule="auto"/>
        <w:rPr>
          <w:sz w:val="20"/>
          <w:szCs w:val="20"/>
          <w:color w:val="auto"/>
        </w:rPr>
      </w:pPr>
      <w:r>
        <w:rPr>
          <w:rFonts w:ascii="Arial" w:cs="Arial" w:eastAsia="Arial" w:hAnsi="Arial"/>
          <w:sz w:val="16"/>
          <w:szCs w:val="16"/>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laws that may affect our ability to operate include, but are not limited to:</w:t>
      </w:r>
    </w:p>
    <w:p>
      <w:pPr>
        <w:spacing w:after="0" w:line="113" w:lineRule="exact"/>
        <w:rPr>
          <w:sz w:val="20"/>
          <w:szCs w:val="20"/>
          <w:color w:val="auto"/>
        </w:rPr>
      </w:pPr>
    </w:p>
    <w:p>
      <w:pPr>
        <w:ind w:left="860" w:hanging="420"/>
        <w:spacing w:after="0" w:line="259"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Anti-Kickback Statute, which is an intent-based federal criminal statute that prohibits, among other things, persons from knowingly and willfully soliciting, offering, receiving or providing any remuneration, directly or indirectly, in cash or in kind, to induce or reward either the referral of an individual for, or the purchase, lease, order, recommendation or arranging of, any item or service, for which payment may be made, in whole or in part, under a federal health care program such as Medicare and Medicaid;</w:t>
      </w:r>
    </w:p>
    <w:p>
      <w:pPr>
        <w:spacing w:after="0" w:line="69" w:lineRule="exact"/>
        <w:rPr>
          <w:rFonts w:ascii="Arial" w:cs="Arial" w:eastAsia="Arial" w:hAnsi="Arial"/>
          <w:sz w:val="16"/>
          <w:szCs w:val="16"/>
          <w:color w:val="auto"/>
        </w:rPr>
      </w:pPr>
    </w:p>
    <w:p>
      <w:pPr>
        <w:ind w:left="860" w:right="20" w:hanging="420"/>
        <w:spacing w:after="0" w:line="259"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w:t>
      </w:r>
    </w:p>
    <w:p>
      <w:pPr>
        <w:spacing w:after="0" w:line="69" w:lineRule="exact"/>
        <w:rPr>
          <w:rFonts w:ascii="Arial" w:cs="Arial" w:eastAsia="Arial" w:hAnsi="Arial"/>
          <w:sz w:val="16"/>
          <w:szCs w:val="16"/>
          <w:color w:val="auto"/>
        </w:rPr>
      </w:pPr>
    </w:p>
    <w:p>
      <w:pPr>
        <w:ind w:left="860" w:hanging="420"/>
        <w:spacing w:after="0" w:line="266"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63" w:lineRule="exact"/>
        <w:rPr>
          <w:rFonts w:ascii="Arial" w:cs="Arial" w:eastAsia="Arial" w:hAnsi="Arial"/>
          <w:sz w:val="16"/>
          <w:szCs w:val="16"/>
          <w:color w:val="auto"/>
        </w:rPr>
      </w:pPr>
    </w:p>
    <w:p>
      <w:pPr>
        <w:ind w:left="860" w:right="100" w:hanging="420"/>
        <w:spacing w:after="0" w:line="259"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criminal health care fraud statute, enacted as a part of the Health Insurance Portability and Accountability Act of 1996, or HIPAA, which imposes criminal and civil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69" w:lineRule="exact"/>
        <w:rPr>
          <w:rFonts w:ascii="Arial" w:cs="Arial" w:eastAsia="Arial" w:hAnsi="Arial"/>
          <w:sz w:val="16"/>
          <w:szCs w:val="16"/>
          <w:color w:val="auto"/>
        </w:rPr>
      </w:pPr>
    </w:p>
    <w:p>
      <w:pPr>
        <w:ind w:left="860" w:right="140" w:hanging="420"/>
        <w:spacing w:after="0" w:line="259"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9" w:lineRule="exact"/>
        <w:rPr>
          <w:rFonts w:ascii="Arial" w:cs="Arial" w:eastAsia="Arial" w:hAnsi="Arial"/>
          <w:sz w:val="16"/>
          <w:szCs w:val="16"/>
          <w:color w:val="auto"/>
        </w:rPr>
      </w:pPr>
    </w:p>
    <w:p>
      <w:pPr>
        <w:ind w:left="860" w:right="220" w:hanging="420"/>
        <w:spacing w:after="0" w:line="266"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laws in all 50 U.S. states require businesses to provide notice to customers whose personally identifiable information has been disclosed as a result of a data breach, and certain U.S. state laws impose particular requirements relating to the handling of sensitive data, such as health information;</w:t>
      </w:r>
    </w:p>
    <w:p>
      <w:pPr>
        <w:spacing w:after="0" w:line="63" w:lineRule="exact"/>
        <w:rPr>
          <w:rFonts w:ascii="Arial" w:cs="Arial" w:eastAsia="Arial" w:hAnsi="Arial"/>
          <w:sz w:val="16"/>
          <w:szCs w:val="16"/>
          <w:color w:val="auto"/>
        </w:rPr>
      </w:pPr>
    </w:p>
    <w:p>
      <w:pPr>
        <w:ind w:left="860" w:right="220" w:hanging="420"/>
        <w:spacing w:after="0" w:line="256"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 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71" w:lineRule="exact"/>
        <w:rPr>
          <w:rFonts w:ascii="Arial" w:cs="Arial" w:eastAsia="Arial" w:hAnsi="Arial"/>
          <w:sz w:val="16"/>
          <w:szCs w:val="16"/>
          <w:color w:val="auto"/>
        </w:rPr>
      </w:pPr>
    </w:p>
    <w:p>
      <w:pPr>
        <w:ind w:left="860" w:right="540" w:hanging="420"/>
        <w:spacing w:after="0" w:line="286"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47" w:lineRule="exact"/>
        <w:rPr>
          <w:rFonts w:ascii="Arial" w:cs="Arial" w:eastAsia="Arial" w:hAnsi="Arial"/>
          <w:sz w:val="16"/>
          <w:szCs w:val="16"/>
          <w:color w:val="auto"/>
        </w:rPr>
      </w:pPr>
    </w:p>
    <w:p>
      <w:pPr>
        <w:ind w:left="860" w:right="40" w:hanging="420"/>
        <w:spacing w:after="0" w:line="286"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Foreign Corrupt Practices Act, or the FCPA, a U.S. law which regulates certain financial relationships with foreign government officials which could include, for example, certain medical professionals;</w:t>
      </w:r>
    </w:p>
    <w:p>
      <w:pPr>
        <w:spacing w:after="0" w:line="47" w:lineRule="exact"/>
        <w:rPr>
          <w:rFonts w:ascii="Arial" w:cs="Arial" w:eastAsia="Arial" w:hAnsi="Arial"/>
          <w:sz w:val="16"/>
          <w:szCs w:val="16"/>
          <w:color w:val="auto"/>
        </w:rPr>
      </w:pPr>
    </w:p>
    <w:p>
      <w:pPr>
        <w:ind w:left="860" w:right="40" w:hanging="420"/>
        <w:spacing w:after="0" w:line="266"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63" w:lineRule="exact"/>
        <w:rPr>
          <w:rFonts w:ascii="Arial" w:cs="Arial" w:eastAsia="Arial" w:hAnsi="Arial"/>
          <w:sz w:val="16"/>
          <w:szCs w:val="16"/>
          <w:color w:val="auto"/>
        </w:rPr>
      </w:pPr>
    </w:p>
    <w:p>
      <w:pPr>
        <w:ind w:left="860" w:right="340" w:hanging="420"/>
        <w:spacing w:after="0" w:line="286"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U.S. state laws regulating pharmaceutical manufacturer compliance programs, commercialization- related activities, drug price transparency disclosures, and other practices; and</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analogous foreign laws and regulations.</w:t>
      </w:r>
    </w:p>
    <w:p>
      <w:pPr>
        <w:spacing w:after="0" w:line="262"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56"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84" w:lineRule="exact"/>
        <w:rPr>
          <w:sz w:val="20"/>
          <w:szCs w:val="20"/>
          <w:color w:val="auto"/>
        </w:rPr>
      </w:pPr>
    </w:p>
    <w:p>
      <w:pPr>
        <w:ind w:right="440" w:firstLine="445"/>
        <w:spacing w:after="0" w:line="286" w:lineRule="auto"/>
        <w:rPr>
          <w:sz w:val="20"/>
          <w:szCs w:val="20"/>
          <w:color w:val="auto"/>
        </w:rPr>
      </w:pPr>
      <w:r>
        <w:rPr>
          <w:rFonts w:ascii="Arial" w:cs="Arial" w:eastAsia="Arial" w:hAnsi="Arial"/>
          <w:sz w:val="16"/>
          <w:szCs w:val="16"/>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Rapid technological change could make our product candidates or technologies obsolete.</w:t>
      </w:r>
    </w:p>
    <w:p>
      <w:pPr>
        <w:spacing w:after="0" w:line="111"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 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may become subject to economic, political, regulatory and other risks associated with international operations.</w:t>
      </w:r>
    </w:p>
    <w:p>
      <w:pPr>
        <w:spacing w:after="0" w:line="111" w:lineRule="exact"/>
        <w:rPr>
          <w:sz w:val="20"/>
          <w:szCs w:val="20"/>
          <w:color w:val="auto"/>
        </w:rPr>
      </w:pPr>
    </w:p>
    <w:p>
      <w:pPr>
        <w:ind w:right="780" w:firstLine="445"/>
        <w:spacing w:after="0" w:line="286"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48" w:lineRule="exact"/>
        <w:rPr>
          <w:sz w:val="20"/>
          <w:szCs w:val="20"/>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economies and markets;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differing regulatory requirements for drug approvals in different jurisdictions;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differing jurisdictions could present different issues for securing, maintaining and/or obtaining freedom to operate in such jurisdictions;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potentially reduced protection for intellectual property rights;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difficulties in compliance with laws and regulations;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regulations and customs, tariffs and trade barriers;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currency exchange rates of the euro and currency controls;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a specific country’s or region’s political or economic environment;</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trade protection measures, import or export licensing requirements or other restrictive actions by various governments;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differing reimbursement regimes and price controls in certain markets;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negative consequences from changes in tax laws;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53" w:lineRule="exact"/>
        <w:rPr>
          <w:rFonts w:ascii="Arial" w:cs="Arial" w:eastAsia="Arial" w:hAnsi="Arial"/>
          <w:sz w:val="16"/>
          <w:szCs w:val="16"/>
          <w:color w:val="auto"/>
        </w:rPr>
      </w:pPr>
    </w:p>
    <w:p>
      <w:pPr>
        <w:ind w:left="860" w:right="440" w:hanging="420"/>
        <w:spacing w:after="0" w:line="286" w:lineRule="auto"/>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typhoons, floods and fires.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33" w:lineRule="exact"/>
        <w:rPr>
          <w:sz w:val="20"/>
          <w:szCs w:val="20"/>
          <w:color w:val="auto"/>
        </w:rPr>
      </w:pPr>
    </w:p>
    <w:p>
      <w:pPr>
        <w:ind w:right="140" w:firstLine="445"/>
        <w:spacing w:after="0" w:line="254"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Legal Compliance Matters</w:t>
      </w:r>
    </w:p>
    <w:p>
      <w:pPr>
        <w:spacing w:after="0" w:line="113" w:lineRule="exact"/>
        <w:rPr>
          <w:sz w:val="20"/>
          <w:szCs w:val="20"/>
          <w:color w:val="auto"/>
        </w:rPr>
      </w:pPr>
    </w:p>
    <w:p>
      <w:pPr>
        <w:ind w:left="460" w:right="20"/>
        <w:spacing w:after="0" w:line="270" w:lineRule="auto"/>
        <w:rPr>
          <w:sz w:val="20"/>
          <w:szCs w:val="20"/>
          <w:color w:val="auto"/>
        </w:rPr>
      </w:pPr>
      <w:r>
        <w:rPr>
          <w:rFonts w:ascii="Arial" w:cs="Arial" w:eastAsia="Arial" w:hAnsi="Arial"/>
          <w:sz w:val="16"/>
          <w:szCs w:val="16"/>
          <w:b w:val="1"/>
          <w:bCs w:val="1"/>
          <w:i w:val="1"/>
          <w:iCs w:val="1"/>
          <w:color w:val="auto"/>
        </w:rPr>
        <w:t>Because we and our suppliers are subject to environmental, health and safety laws and regulations, we may become exposed to enforcement, liability and substantial expenses in connection with environmental compliance or remediation activities which may adversely affect our business and financial condition.</w:t>
      </w:r>
    </w:p>
    <w:p>
      <w:pPr>
        <w:spacing w:after="0" w:line="52" w:lineRule="exact"/>
        <w:rPr>
          <w:sz w:val="20"/>
          <w:szCs w:val="20"/>
          <w:color w:val="auto"/>
        </w:rPr>
      </w:pPr>
    </w:p>
    <w:p>
      <w:pPr>
        <w:ind w:firstLine="445"/>
        <w:spacing w:after="0" w:line="252" w:lineRule="auto"/>
        <w:rPr>
          <w:sz w:val="20"/>
          <w:szCs w:val="20"/>
          <w:color w:val="auto"/>
        </w:rPr>
      </w:pPr>
      <w:r>
        <w:rPr>
          <w:rFonts w:ascii="Arial" w:cs="Arial" w:eastAsia="Arial" w:hAnsi="Arial"/>
          <w:sz w:val="16"/>
          <w:szCs w:val="16"/>
          <w:color w:val="auto"/>
        </w:rPr>
        <w:t>Our operations, including our research, development, testing and manufacturing activities, are subject to numerous environmental, health and safety laws and regulations, and possible permit obligations. These laws,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wastes.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all of these laws, regulations, and associated compliance activities.</w:t>
      </w:r>
    </w:p>
    <w:p>
      <w:pPr>
        <w:spacing w:after="0" w:line="183" w:lineRule="exact"/>
        <w:rPr>
          <w:sz w:val="20"/>
          <w:szCs w:val="20"/>
          <w:color w:val="auto"/>
        </w:rPr>
      </w:pPr>
    </w:p>
    <w:p>
      <w:pPr>
        <w:ind w:right="200" w:firstLine="445"/>
        <w:spacing w:after="0" w:line="259"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 interruption in operations, any of which could adversely impact our business and financial condition, especially if we are unable to find an alternate supplier in a timely manner.</w:t>
      </w:r>
    </w:p>
    <w:p>
      <w:pPr>
        <w:spacing w:after="0" w:line="178" w:lineRule="exact"/>
        <w:rPr>
          <w:sz w:val="20"/>
          <w:szCs w:val="20"/>
          <w:color w:val="auto"/>
        </w:rPr>
      </w:pPr>
    </w:p>
    <w:p>
      <w:pPr>
        <w:ind w:firstLine="445"/>
        <w:spacing w:after="0" w:line="259" w:lineRule="auto"/>
        <w:rPr>
          <w:sz w:val="20"/>
          <w:szCs w:val="20"/>
          <w:color w:val="auto"/>
        </w:rPr>
      </w:pPr>
      <w:r>
        <w:rPr>
          <w:rFonts w:ascii="Arial" w:cs="Arial" w:eastAsia="Arial" w:hAnsi="Arial"/>
          <w:sz w:val="16"/>
          <w:szCs w:val="16"/>
          <w:color w:val="auto"/>
        </w:rPr>
        <w:t>Environmental, health and safety laws and regulations are becoming more stringent and enforcement is prioritized. We may be required to incur substantial expenses in connection with current and future environmental, health and/ or safety compliance, our duty of care in this regard, remediation obligations and/or measurement obligations, in which case, our production and development efforts may be interrupted or delayed and our financial condition and results of operations may be materially adversely affected.</w:t>
      </w:r>
    </w:p>
    <w:p>
      <w:pPr>
        <w:spacing w:after="0" w:line="288" w:lineRule="exact"/>
        <w:rPr>
          <w:sz w:val="20"/>
          <w:szCs w:val="20"/>
          <w:color w:val="auto"/>
        </w:rPr>
      </w:pPr>
    </w:p>
    <w:p>
      <w:pPr>
        <w:ind w:left="460" w:right="20"/>
        <w:spacing w:after="0" w:line="270" w:lineRule="auto"/>
        <w:rPr>
          <w:sz w:val="20"/>
          <w:szCs w:val="20"/>
          <w:color w:val="auto"/>
        </w:rPr>
      </w:pPr>
      <w:r>
        <w:rPr>
          <w:rFonts w:ascii="Arial" w:cs="Arial" w:eastAsia="Arial" w:hAnsi="Arial"/>
          <w:sz w:val="16"/>
          <w:szCs w:val="16"/>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52" w:lineRule="exact"/>
        <w:rPr>
          <w:sz w:val="20"/>
          <w:szCs w:val="20"/>
          <w:color w:val="auto"/>
        </w:rPr>
      </w:pPr>
    </w:p>
    <w:p>
      <w:pPr>
        <w:ind w:firstLine="445"/>
        <w:spacing w:after="0" w:line="249"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90" w:lineRule="exact"/>
        <w:rPr>
          <w:sz w:val="20"/>
          <w:szCs w:val="20"/>
          <w:color w:val="auto"/>
        </w:rPr>
      </w:pPr>
    </w:p>
    <w:p>
      <w:pPr>
        <w:ind w:right="40" w:firstLine="445"/>
        <w:spacing w:after="0" w:line="256" w:lineRule="auto"/>
        <w:rPr>
          <w:sz w:val="20"/>
          <w:szCs w:val="20"/>
          <w:color w:val="auto"/>
        </w:rPr>
      </w:pPr>
      <w:r>
        <w:rPr>
          <w:rFonts w:ascii="Arial" w:cs="Arial" w:eastAsia="Arial" w:hAnsi="Arial"/>
          <w:sz w:val="16"/>
          <w:szCs w:val="16"/>
          <w:color w:val="auto"/>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nonclinical studies or clinical trials, which could result in enforcement and/or sanctions and cause serious harm to our reputation.</w:t>
      </w:r>
    </w:p>
    <w:p>
      <w:pPr>
        <w:spacing w:after="0" w:line="180" w:lineRule="exact"/>
        <w:rPr>
          <w:sz w:val="20"/>
          <w:szCs w:val="20"/>
          <w:color w:val="auto"/>
        </w:rPr>
      </w:pPr>
    </w:p>
    <w:p>
      <w:pPr>
        <w:ind w:right="100" w:firstLine="445"/>
        <w:spacing w:after="0" w:line="286" w:lineRule="auto"/>
        <w:rPr>
          <w:sz w:val="20"/>
          <w:szCs w:val="20"/>
          <w:color w:val="auto"/>
        </w:rPr>
      </w:pPr>
      <w:r>
        <w:rPr>
          <w:rFonts w:ascii="Arial" w:cs="Arial" w:eastAsia="Arial" w:hAnsi="Arial"/>
          <w:sz w:val="16"/>
          <w:szCs w:val="16"/>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80" w:firstLine="445"/>
        <w:spacing w:after="0" w:line="250" w:lineRule="auto"/>
        <w:rPr>
          <w:sz w:val="20"/>
          <w:szCs w:val="20"/>
          <w:color w:val="auto"/>
        </w:rPr>
      </w:pPr>
      <w:r>
        <w:rPr>
          <w:rFonts w:ascii="Arial" w:cs="Arial" w:eastAsia="Arial" w:hAnsi="Arial"/>
          <w:sz w:val="16"/>
          <w:szCs w:val="16"/>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Ordinary Shares and Our Status as a Public Company</w:t>
      </w:r>
    </w:p>
    <w:p>
      <w:pPr>
        <w:spacing w:after="0" w:line="11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An active trading market for our ordinary shares may not be sustainable. If an active trading market is not maintained, investors may not be able to resell their shares at or above the offering price and our ability to raise capital in the future may be impaired.</w:t>
      </w:r>
    </w:p>
    <w:p>
      <w:pPr>
        <w:spacing w:after="0" w:line="33" w:lineRule="exact"/>
        <w:rPr>
          <w:sz w:val="20"/>
          <w:szCs w:val="20"/>
          <w:color w:val="auto"/>
        </w:rPr>
      </w:pPr>
    </w:p>
    <w:p>
      <w:pPr>
        <w:ind w:right="300" w:firstLine="445"/>
        <w:spacing w:after="0" w:line="259" w:lineRule="auto"/>
        <w:rPr>
          <w:sz w:val="20"/>
          <w:szCs w:val="20"/>
          <w:color w:val="auto"/>
        </w:rPr>
      </w:pPr>
      <w:r>
        <w:rPr>
          <w:rFonts w:ascii="Arial" w:cs="Arial" w:eastAsia="Arial" w:hAnsi="Arial"/>
          <w:sz w:val="16"/>
          <w:szCs w:val="16"/>
          <w:color w:val="auto"/>
        </w:rPr>
        <w:t>Although our ordinary shares are listed and being traded on Nasdaq, an active trading market for our shares may not be maintained. If an active market for our ordinary shares is not maintained, it may be difficult for you to sell shares you have purchased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111" w:lineRule="exact"/>
        <w:rPr>
          <w:sz w:val="20"/>
          <w:szCs w:val="20"/>
          <w:color w:val="auto"/>
        </w:rPr>
      </w:pPr>
    </w:p>
    <w:p>
      <w:pPr>
        <w:ind w:right="40" w:firstLine="445"/>
        <w:spacing w:after="0" w:line="266" w:lineRule="auto"/>
        <w:rPr>
          <w:sz w:val="20"/>
          <w:szCs w:val="20"/>
          <w:color w:val="auto"/>
        </w:rPr>
      </w:pPr>
      <w:r>
        <w:rPr>
          <w:rFonts w:ascii="Arial" w:cs="Arial" w:eastAsia="Arial" w:hAnsi="Arial"/>
          <w:sz w:val="16"/>
          <w:szCs w:val="16"/>
          <w:color w:val="auto"/>
        </w:rPr>
        <w:t>As of March 10, 2022, our significant shareholders beneficially owned ordinary shares representing approximately 62.01% of our outstanding ordinary shares. For more information regarding our significant shareholders, please see “ITEM 7. MAJOR SHAREHOLDERS AND RELATED PARTY TRANSACTIONS—A. Major Shareholders.”</w:t>
      </w:r>
    </w:p>
    <w:p>
      <w:pPr>
        <w:spacing w:after="0" w:line="171" w:lineRule="exact"/>
        <w:rPr>
          <w:sz w:val="20"/>
          <w:szCs w:val="20"/>
          <w:color w:val="auto"/>
        </w:rPr>
      </w:pPr>
    </w:p>
    <w:p>
      <w:pPr>
        <w:ind w:right="80" w:firstLine="445"/>
        <w:spacing w:after="0" w:line="256" w:lineRule="auto"/>
        <w:rPr>
          <w:sz w:val="20"/>
          <w:szCs w:val="20"/>
          <w:color w:val="auto"/>
        </w:rPr>
      </w:pPr>
      <w:r>
        <w:rPr>
          <w:rFonts w:ascii="Arial" w:cs="Arial" w:eastAsia="Arial" w:hAnsi="Arial"/>
          <w:sz w:val="16"/>
          <w:szCs w:val="16"/>
          <w:color w:val="auto"/>
        </w:rPr>
        <w:t>These significant shareholders have in the past often taken a similar position and exercised influence over matters requiring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290" w:lineRule="exact"/>
        <w:rPr>
          <w:sz w:val="20"/>
          <w:szCs w:val="20"/>
          <w:color w:val="auto"/>
        </w:rPr>
      </w:pPr>
    </w:p>
    <w:p>
      <w:pPr>
        <w:ind w:left="460" w:right="140"/>
        <w:spacing w:after="0" w:line="270" w:lineRule="auto"/>
        <w:rPr>
          <w:sz w:val="20"/>
          <w:szCs w:val="20"/>
          <w:color w:val="auto"/>
        </w:rPr>
      </w:pPr>
      <w:r>
        <w:rPr>
          <w:rFonts w:ascii="Arial" w:cs="Arial" w:eastAsia="Arial" w:hAnsi="Arial"/>
          <w:sz w:val="16"/>
          <w:szCs w:val="16"/>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52" w:lineRule="exact"/>
        <w:rPr>
          <w:sz w:val="20"/>
          <w:szCs w:val="20"/>
          <w:color w:val="auto"/>
        </w:rPr>
      </w:pPr>
    </w:p>
    <w:p>
      <w:pPr>
        <w:ind w:right="80" w:firstLine="445"/>
        <w:spacing w:after="0" w:line="253" w:lineRule="auto"/>
        <w:rPr>
          <w:sz w:val="20"/>
          <w:szCs w:val="20"/>
          <w:color w:val="auto"/>
        </w:rPr>
      </w:pPr>
      <w:r>
        <w:rPr>
          <w:rFonts w:ascii="Arial" w:cs="Arial" w:eastAsia="Arial" w:hAnsi="Arial"/>
          <w:sz w:val="16"/>
          <w:szCs w:val="16"/>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81" w:lineRule="exact"/>
        <w:rPr>
          <w:sz w:val="20"/>
          <w:szCs w:val="20"/>
          <w:color w:val="auto"/>
        </w:rPr>
      </w:pPr>
    </w:p>
    <w:p>
      <w:pPr>
        <w:ind w:right="100" w:firstLine="445"/>
        <w:spacing w:after="0" w:line="254" w:lineRule="auto"/>
        <w:rPr>
          <w:sz w:val="20"/>
          <w:szCs w:val="20"/>
          <w:color w:val="auto"/>
        </w:rPr>
      </w:pPr>
      <w:r>
        <w:rPr>
          <w:rFonts w:ascii="Arial" w:cs="Arial" w:eastAsia="Arial" w:hAnsi="Arial"/>
          <w:sz w:val="16"/>
          <w:szCs w:val="16"/>
          <w:color w:val="auto"/>
        </w:rPr>
        <w:t xml:space="preserve">Under Dutch law, we may only pay dividends and other distributions from our reserves to the extent our shareholders’ equity (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distribution is allowed. Subject to those restrictions, any future determination to pay dividends or other distribution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82" w:lineRule="exact"/>
        <w:rPr>
          <w:sz w:val="20"/>
          <w:szCs w:val="20"/>
          <w:color w:val="auto"/>
        </w:rPr>
      </w:pPr>
    </w:p>
    <w:p>
      <w:pPr>
        <w:ind w:firstLine="445"/>
        <w:spacing w:after="0" w:line="251" w:lineRule="auto"/>
        <w:rPr>
          <w:sz w:val="20"/>
          <w:szCs w:val="20"/>
          <w:color w:val="auto"/>
        </w:rPr>
      </w:pPr>
      <w:r>
        <w:rPr>
          <w:rFonts w:ascii="Arial" w:cs="Arial" w:eastAsia="Arial" w:hAnsi="Arial"/>
          <w:sz w:val="16"/>
          <w:szCs w:val="16"/>
          <w:color w:val="auto"/>
        </w:rPr>
        <w:t>Under our Articles of Association,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our remaining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40" w:firstLine="445"/>
        <w:spacing w:after="0" w:line="266" w:lineRule="auto"/>
        <w:rPr>
          <w:sz w:val="20"/>
          <w:szCs w:val="20"/>
          <w:color w:val="auto"/>
        </w:rPr>
      </w:pPr>
      <w:r>
        <w:rPr>
          <w:rFonts w:ascii="Arial" w:cs="Arial" w:eastAsia="Arial" w:hAnsi="Arial"/>
          <w:sz w:val="16"/>
          <w:szCs w:val="16"/>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281" w:lineRule="exact"/>
        <w:rPr>
          <w:sz w:val="20"/>
          <w:szCs w:val="20"/>
          <w:color w:val="auto"/>
        </w:rPr>
      </w:pPr>
    </w:p>
    <w:p>
      <w:pPr>
        <w:ind w:left="460" w:right="260"/>
        <w:spacing w:after="0" w:line="294" w:lineRule="auto"/>
        <w:rPr>
          <w:sz w:val="20"/>
          <w:szCs w:val="20"/>
          <w:color w:val="auto"/>
        </w:rPr>
      </w:pPr>
      <w:r>
        <w:rPr>
          <w:rFonts w:ascii="Arial" w:cs="Arial" w:eastAsia="Arial" w:hAnsi="Arial"/>
          <w:sz w:val="16"/>
          <w:szCs w:val="16"/>
          <w:b w:val="1"/>
          <w:bCs w:val="1"/>
          <w:i w:val="1"/>
          <w:iCs w:val="1"/>
          <w:color w:val="auto"/>
        </w:rPr>
        <w:t>We have broad discretion in the use of our cash on hand and may invest or spend it in way with which you do not agree and in ways that may not yield a return on your investment.</w:t>
      </w:r>
    </w:p>
    <w:p>
      <w:pPr>
        <w:spacing w:after="0" w:line="47" w:lineRule="exact"/>
        <w:rPr>
          <w:sz w:val="20"/>
          <w:szCs w:val="20"/>
          <w:color w:val="auto"/>
        </w:rPr>
      </w:pPr>
    </w:p>
    <w:p>
      <w:pPr>
        <w:ind w:right="140" w:firstLine="445"/>
        <w:spacing w:after="0" w:line="256" w:lineRule="auto"/>
        <w:rPr>
          <w:sz w:val="20"/>
          <w:szCs w:val="20"/>
          <w:color w:val="auto"/>
        </w:rPr>
      </w:pPr>
      <w:r>
        <w:rPr>
          <w:rFonts w:ascii="Arial" w:cs="Arial" w:eastAsia="Arial" w:hAnsi="Arial"/>
          <w:sz w:val="16"/>
          <w:szCs w:val="16"/>
          <w:color w:val="auto"/>
        </w:rPr>
        <w:t>As of December 31, 2021, we had €209.4 million in cash and cash equivalents. Our management has broad discretion in the use of such cash and could spend it in ways that do not improve our results of operations or enhance the value of our ordinary shares. You will not have the opportunity to influence our decisions on how to use our cash on hand. The failure by our management to apply these funds effectively could result in financial losses that could harm our business, cause the price of our ordinary shares to decline and delay the development of our product candidates. Pending its use, we may invest our cash on hand in a manner that does not produce income or that loses value.</w:t>
      </w:r>
    </w:p>
    <w:p>
      <w:pPr>
        <w:spacing w:after="0" w:line="290"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33" w:lineRule="exact"/>
        <w:rPr>
          <w:sz w:val="20"/>
          <w:szCs w:val="20"/>
          <w:color w:val="auto"/>
        </w:rPr>
      </w:pPr>
    </w:p>
    <w:p>
      <w:pPr>
        <w:jc w:val="both"/>
        <w:ind w:right="60" w:firstLine="445"/>
        <w:spacing w:after="0" w:line="266" w:lineRule="auto"/>
        <w:rPr>
          <w:sz w:val="20"/>
          <w:szCs w:val="20"/>
          <w:color w:val="auto"/>
        </w:rPr>
      </w:pPr>
      <w:r>
        <w:rPr>
          <w:rFonts w:ascii="Arial" w:cs="Arial" w:eastAsia="Arial" w:hAnsi="Arial"/>
          <w:sz w:val="16"/>
          <w:szCs w:val="16"/>
          <w:color w:val="auto"/>
        </w:rPr>
        <w:t>The market price of our ordinary shares may decline as a result of sales of a large number of our ordinary shares in the market or the perception that these sales may occur. These sales, or the possibility that these sales may occur, also might make it more difficult for us to sell equity securities in the future at a time and at a price that we deem appropriate.</w:t>
      </w:r>
    </w:p>
    <w:p>
      <w:pPr>
        <w:spacing w:after="0" w:line="171" w:lineRule="exact"/>
        <w:rPr>
          <w:sz w:val="20"/>
          <w:szCs w:val="20"/>
          <w:color w:val="auto"/>
        </w:rPr>
      </w:pPr>
    </w:p>
    <w:p>
      <w:pPr>
        <w:ind w:right="480" w:firstLine="445"/>
        <w:spacing w:after="0" w:line="266" w:lineRule="auto"/>
        <w:rPr>
          <w:sz w:val="20"/>
          <w:szCs w:val="20"/>
          <w:color w:val="auto"/>
        </w:rPr>
      </w:pPr>
      <w:r>
        <w:rPr>
          <w:rFonts w:ascii="Arial" w:cs="Arial" w:eastAsia="Arial" w:hAnsi="Arial"/>
          <w:sz w:val="16"/>
          <w:szCs w:val="16"/>
          <w:color w:val="auto"/>
        </w:rPr>
        <w:t>We had a total of 33,151,881 ordinary shares outstanding as of March 10, 2022.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not obligated to, and do not, comply with all best practice provisions of the Dutch Corporate Governance Code.</w:t>
      </w:r>
    </w:p>
    <w:p>
      <w:pPr>
        <w:spacing w:after="0" w:line="111" w:lineRule="exact"/>
        <w:rPr>
          <w:sz w:val="20"/>
          <w:szCs w:val="20"/>
          <w:color w:val="auto"/>
        </w:rPr>
      </w:pPr>
    </w:p>
    <w:p>
      <w:pPr>
        <w:ind w:firstLine="445"/>
        <w:spacing w:after="0" w:line="252" w:lineRule="auto"/>
        <w:rPr>
          <w:sz w:val="20"/>
          <w:szCs w:val="20"/>
          <w:color w:val="auto"/>
        </w:rPr>
      </w:pPr>
      <w:r>
        <w:rPr>
          <w:rFonts w:ascii="Arial" w:cs="Arial" w:eastAsia="Arial" w:hAnsi="Arial"/>
          <w:sz w:val="16"/>
          <w:szCs w:val="16"/>
          <w:color w:val="auto"/>
        </w:rPr>
        <w:t>We are subject to the Dutch Corporate Governance Code, or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This may affect your rights as a shareholder and you may not have the same level of protection as a shareholder in a Dutch company that fully complies with the DCGC.</w:t>
      </w:r>
    </w:p>
    <w:p>
      <w:pPr>
        <w:spacing w:after="0" w:line="293"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52" w:lineRule="exact"/>
        <w:rPr>
          <w:sz w:val="20"/>
          <w:szCs w:val="20"/>
          <w:color w:val="auto"/>
        </w:rPr>
      </w:pPr>
    </w:p>
    <w:p>
      <w:pPr>
        <w:ind w:right="40" w:firstLine="445"/>
        <w:spacing w:after="0" w:line="254" w:lineRule="auto"/>
        <w:rPr>
          <w:sz w:val="20"/>
          <w:szCs w:val="20"/>
          <w:color w:val="auto"/>
        </w:rPr>
      </w:pPr>
      <w:r>
        <w:rPr>
          <w:rFonts w:ascii="Arial" w:cs="Arial" w:eastAsia="Arial" w:hAnsi="Arial"/>
          <w:sz w:val="16"/>
          <w:szCs w:val="16"/>
          <w:color w:val="auto"/>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82" w:lineRule="exact"/>
        <w:rPr>
          <w:sz w:val="20"/>
          <w:szCs w:val="20"/>
          <w:color w:val="auto"/>
        </w:rPr>
      </w:pPr>
    </w:p>
    <w:p>
      <w:pPr>
        <w:ind w:right="20" w:firstLine="445"/>
        <w:spacing w:after="0" w:line="250" w:lineRule="auto"/>
        <w:rPr>
          <w:sz w:val="20"/>
          <w:szCs w:val="20"/>
          <w:color w:val="auto"/>
        </w:rPr>
      </w:pPr>
      <w:r>
        <w:rPr>
          <w:rFonts w:ascii="Arial" w:cs="Arial" w:eastAsia="Arial" w:hAnsi="Arial"/>
          <w:sz w:val="16"/>
          <w:szCs w:val="16"/>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5620I, which requires an issuer to provide in its bylaws for a generally applicable quorum, and that such quorum may not be less than one-third of the outstanding voting stock. 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 Accordingly, you may not have the same protections afforded to shareholders of companies that are subject to these Nasdaq requirements.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33"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annual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non-accelerated filers are required to file their annual report on Form 10-K within 90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 and expense.</w:t>
      </w:r>
    </w:p>
    <w:p>
      <w:pPr>
        <w:spacing w:after="0" w:line="111" w:lineRule="exact"/>
        <w:rPr>
          <w:sz w:val="20"/>
          <w:szCs w:val="20"/>
          <w:color w:val="auto"/>
        </w:rPr>
      </w:pPr>
    </w:p>
    <w:p>
      <w:pPr>
        <w:ind w:right="60" w:firstLine="445"/>
        <w:spacing w:after="0" w:line="256"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to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80" w:lineRule="exact"/>
        <w:rPr>
          <w:sz w:val="20"/>
          <w:szCs w:val="20"/>
          <w:color w:val="auto"/>
        </w:rPr>
      </w:pPr>
    </w:p>
    <w:p>
      <w:pPr>
        <w:ind w:firstLine="445"/>
        <w:spacing w:after="0" w:line="252"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as issued by IASB. Such conversion of our financial statements to U.S. GAAP would involve significant time and cost, and we would still be required to prepare financial statements in accordance with IFRS as adopted by the European Union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right="620"/>
        <w:spacing w:after="0" w:line="294"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our ordinary shares less attractive to investors.</w:t>
      </w:r>
    </w:p>
    <w:p>
      <w:pPr>
        <w:spacing w:after="0" w:line="33" w:lineRule="exact"/>
        <w:rPr>
          <w:sz w:val="20"/>
          <w:szCs w:val="20"/>
          <w:color w:val="auto"/>
        </w:rPr>
      </w:pPr>
    </w:p>
    <w:p>
      <w:pPr>
        <w:ind w:right="40" w:firstLine="445"/>
        <w:spacing w:after="0" w:line="252"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an exemption from the auditor attestation requirement in the assessment of our internal control over financial reporting pursuant to the Sarbanes-Oxley Act; and to the extent that we no longer qualify as a foreign private issuer, (a) reduced disclosure obligations regarding executive compensation in our periodic reports and proxy statements, and (b) exemptions from the requirements of holding a nonbinding advisory vote on executive compensation, including golden parachute compensation. We cannot predict whether investors will find our ordinary shares less attractive if we rely on these exemptions. If some investors find our ordinary shares less attractive as a result, there may be a less active trading market for our ordinary shares and our share price may be reduced or more volatile.</w:t>
      </w:r>
    </w:p>
    <w:p>
      <w:pPr>
        <w:spacing w:after="0" w:line="183" w:lineRule="exact"/>
        <w:rPr>
          <w:sz w:val="20"/>
          <w:szCs w:val="20"/>
          <w:color w:val="auto"/>
        </w:rPr>
      </w:pPr>
    </w:p>
    <w:p>
      <w:pPr>
        <w:ind w:right="20" w:firstLine="445"/>
        <w:spacing w:after="0" w:line="250" w:lineRule="auto"/>
        <w:rPr>
          <w:sz w:val="20"/>
          <w:szCs w:val="20"/>
          <w:color w:val="auto"/>
        </w:rPr>
      </w:pPr>
      <w:r>
        <w:rPr>
          <w:rFonts w:ascii="Arial" w:cs="Arial" w:eastAsia="Arial" w:hAnsi="Arial"/>
          <w:sz w:val="16"/>
          <w:szCs w:val="16"/>
          <w:color w:val="auto"/>
        </w:rPr>
        <w:t>We may take advantage of these provisions until such time that we are no longer an emerging growth company. We would cease to be an emerging growth company on December 31, 2026 (the last day of our fiscal year following the fifth anniversary of the date of the completion of our initial public offering in February 2021) or earlier if we have more than $1.07 billion in annual revenues, are deemed to be a “large accelerated filer” under the rules of the SEC, or issue more than $1.0 billion of nonconvertible debt over a three-year period. We may also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We have taken advantage of reduced reporting requirements in this Annual Report. Accordingly, the information contained herein may be different than the information you receive from other public companies in which you hold equity securities.</w:t>
      </w:r>
    </w:p>
    <w:p>
      <w:pPr>
        <w:spacing w:after="0" w:line="299" w:lineRule="exact"/>
        <w:rPr>
          <w:sz w:val="20"/>
          <w:szCs w:val="20"/>
          <w:color w:val="auto"/>
        </w:rPr>
      </w:pPr>
    </w:p>
    <w:p>
      <w:pPr>
        <w:ind w:left="460" w:right="600"/>
        <w:spacing w:after="0" w:line="294" w:lineRule="auto"/>
        <w:rPr>
          <w:sz w:val="20"/>
          <w:szCs w:val="20"/>
          <w:color w:val="auto"/>
        </w:rPr>
      </w:pPr>
      <w:r>
        <w:rPr>
          <w:rFonts w:ascii="Arial" w:cs="Arial" w:eastAsia="Arial" w:hAnsi="Arial"/>
          <w:sz w:val="16"/>
          <w:szCs w:val="16"/>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33" w:lineRule="exact"/>
        <w:rPr>
          <w:sz w:val="20"/>
          <w:szCs w:val="20"/>
          <w:color w:val="auto"/>
        </w:rPr>
      </w:pPr>
    </w:p>
    <w:p>
      <w:pPr>
        <w:ind w:right="140" w:firstLine="445"/>
        <w:spacing w:after="0" w:line="266" w:lineRule="auto"/>
        <w:rPr>
          <w:sz w:val="20"/>
          <w:szCs w:val="20"/>
          <w:color w:val="auto"/>
        </w:rPr>
      </w:pPr>
      <w:r>
        <w:rPr>
          <w:rFonts w:ascii="Arial" w:cs="Arial" w:eastAsia="Arial" w:hAnsi="Arial"/>
          <w:sz w:val="16"/>
          <w:szCs w:val="16"/>
          <w:color w:val="auto"/>
        </w:rPr>
        <w:t>Our corporate affairs are governed by our Articles of Association, our internal rules and policies and by Dutch law.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parties will have interests that are different from, or in addition to, your interests as a shareholder.</w:t>
      </w:r>
    </w:p>
    <w:p>
      <w:pPr>
        <w:spacing w:after="0" w:line="288" w:lineRule="exact"/>
        <w:rPr>
          <w:sz w:val="20"/>
          <w:szCs w:val="20"/>
          <w:color w:val="auto"/>
        </w:rPr>
      </w:pPr>
    </w:p>
    <w:p>
      <w:pPr>
        <w:ind w:left="460" w:right="300"/>
        <w:spacing w:after="0" w:line="294" w:lineRule="auto"/>
        <w:rPr>
          <w:sz w:val="20"/>
          <w:szCs w:val="20"/>
          <w:color w:val="auto"/>
        </w:rPr>
      </w:pPr>
      <w:r>
        <w:rPr>
          <w:rFonts w:ascii="Arial" w:cs="Arial" w:eastAsia="Arial" w:hAnsi="Arial"/>
          <w:sz w:val="16"/>
          <w:szCs w:val="16"/>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33" w:lineRule="exact"/>
        <w:rPr>
          <w:sz w:val="20"/>
          <w:szCs w:val="20"/>
          <w:color w:val="auto"/>
        </w:rPr>
      </w:pPr>
    </w:p>
    <w:p>
      <w:pPr>
        <w:jc w:val="both"/>
        <w:ind w:right="520" w:firstLine="445"/>
        <w:spacing w:after="0" w:line="259" w:lineRule="auto"/>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 In this respect, our general meeting has authorized our Board for a period of five years after our conversion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to grant a call option to an independent foundation under Dutch law (if and when incorporated), or protective foundation, to acquire preferred shares pursuant to a call option agreement that may be entered into between us and such protective foundation.</w:t>
      </w:r>
    </w:p>
    <w:p>
      <w:pPr>
        <w:spacing w:after="0" w:line="178" w:lineRule="exact"/>
        <w:rPr>
          <w:sz w:val="20"/>
          <w:szCs w:val="20"/>
          <w:color w:val="auto"/>
        </w:rPr>
      </w:pPr>
    </w:p>
    <w:p>
      <w:pPr>
        <w:ind w:right="20" w:firstLine="445"/>
        <w:spacing w:after="0" w:line="256" w:lineRule="auto"/>
        <w:rPr>
          <w:sz w:val="20"/>
          <w:szCs w:val="20"/>
          <w:color w:val="auto"/>
        </w:rPr>
      </w:pPr>
      <w:r>
        <w:rPr>
          <w:rFonts w:ascii="Arial" w:cs="Arial" w:eastAsia="Arial" w:hAnsi="Arial"/>
          <w:sz w:val="16"/>
          <w:szCs w:val="16"/>
          <w:color w:val="auto"/>
        </w:rPr>
        <w:t>This call option, if and when granted, shall be continuous in nature and can be exercised repeatedly on multiple occasions. If the protective foundation, if and when incorporated, would exercise such call option, if and when granted, a number of preferred shares up to 100% of our issued share capital held by others than the protective foundation, minus one share, will be issued to the protective foundation. These preferred shares would then be issued to the protective foundation under the obligation to pay up 25% of their nominal value upon issuance. In order for the protective foundation to finance the issue price in relation to the preferred shares, the protective foundation may enter into a finance arrangement with a bank or other financial institution.</w:t>
      </w:r>
    </w:p>
    <w:p>
      <w:pPr>
        <w:spacing w:after="0" w:line="180"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As an alternative to securing this external financing, subject to applicable restrictions under Dutch law, the call option agreement, if and when entered into, will provide that the protective foundation may request us to provide, or cause our subsidiaries to provide, sufficient funding to the protective foundation to enable it to satisfy the payment obligation (or part thereof) in cash and/or to charge an amount equal to the payment obligation (or part thereof) against our profits and/or reserves in satisfaction of such payment obligation. The articles of association of the protective foundation, if and when incorporated, will provide that it will promote and protect the interests of the Company, the business connected with the Company and the Company’s stakeholders from time to time, and repressing possible influences which could threaten the strategy, continuity, independence and/or identity of the company or the business connected with it, to such an extent that this could be considered to be damaging to the aforementioned interests. These influences may include a third party acquiring a significant percentage of our ordinary shares, the announcement of an unsolicited public offer for our ordinary shares, shareholder activism, other concentration of control over our ordinary shares or any other form of undue pressure on us to alter our strategic policies. The protective foundation, if and when incorporated, shall be structured to operate independently of us.</w:t>
      </w:r>
    </w:p>
    <w:p>
      <w:pPr>
        <w:spacing w:after="0" w:line="81" w:lineRule="exact"/>
        <w:rPr>
          <w:sz w:val="20"/>
          <w:szCs w:val="20"/>
          <w:color w:val="auto"/>
        </w:rPr>
      </w:pPr>
    </w:p>
    <w:p>
      <w:pPr>
        <w:ind w:right="80" w:firstLine="445"/>
        <w:spacing w:after="0" w:line="266" w:lineRule="auto"/>
        <w:rPr>
          <w:sz w:val="20"/>
          <w:szCs w:val="20"/>
          <w:color w:val="auto"/>
        </w:rPr>
      </w:pPr>
      <w:r>
        <w:rPr>
          <w:rFonts w:ascii="Arial" w:cs="Arial" w:eastAsia="Arial" w:hAnsi="Arial"/>
          <w:sz w:val="16"/>
          <w:szCs w:val="16"/>
          <w:color w:val="auto"/>
        </w:rPr>
        <w:t>The voting rights of our shares are based on nominal value and, as we expect our ordinary shares to trade substantially in excess of their nominal value, preferred shares issued at 25% of their nominal value can carry significant voting power for a substantially reduced price compared to the price of our ordinary shares and thus can be used as a defensive measure. These preferred shares, if and when</w:t>
      </w:r>
    </w:p>
    <w:p>
      <w:pPr>
        <w:spacing w:after="0" w:line="171" w:lineRule="exact"/>
        <w:rPr>
          <w:sz w:val="20"/>
          <w:szCs w:val="20"/>
          <w:color w:val="auto"/>
        </w:rPr>
      </w:pPr>
    </w:p>
    <w:p>
      <w:pPr>
        <w:ind w:right="60" w:firstLine="445"/>
        <w:spacing w:after="0" w:line="254" w:lineRule="auto"/>
        <w:rPr>
          <w:sz w:val="20"/>
          <w:szCs w:val="20"/>
          <w:color w:val="auto"/>
        </w:rPr>
      </w:pPr>
      <w:r>
        <w:rPr>
          <w:rFonts w:ascii="Arial" w:cs="Arial" w:eastAsia="Arial" w:hAnsi="Arial"/>
          <w:sz w:val="16"/>
          <w:szCs w:val="16"/>
          <w:color w:val="auto"/>
        </w:rPr>
        <w:t>issued, will have both a liquidation and dividend preference over our ordinary shares and will accrue a cash preferred dividend at a fixed rate calculated over the amount paid-up on those preferred shares pro rata tempore for the period during which they were outstanding. The protective foundation would be expected to require us to cancel its preferred shares, if and when issued to the protective foundation, once the perceived threat to the company and its stakeholders has been removed or sufficiently mitigated or neutralized. However, subject to the same limitations described above, the protective foundation would, in that case, continue to have the right to exercise the call option in the future in response to a new threat to the interests of us, our business and our stakeholders from time to time.</w:t>
      </w:r>
    </w:p>
    <w:p>
      <w:pPr>
        <w:spacing w:after="0" w:line="182" w:lineRule="exact"/>
        <w:rPr>
          <w:sz w:val="20"/>
          <w:szCs w:val="20"/>
          <w:color w:val="auto"/>
        </w:rPr>
      </w:pPr>
    </w:p>
    <w:p>
      <w:pPr>
        <w:ind w:right="120" w:firstLine="445"/>
        <w:spacing w:after="0" w:line="286"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third-party to acquire control of us or effect a change in the composition of our Board:</w:t>
      </w:r>
    </w:p>
    <w:p>
      <w:pPr>
        <w:spacing w:after="0" w:line="48" w:lineRule="exact"/>
        <w:rPr>
          <w:sz w:val="20"/>
          <w:szCs w:val="20"/>
          <w:color w:val="auto"/>
        </w:rPr>
      </w:pPr>
    </w:p>
    <w:p>
      <w:pPr>
        <w:ind w:left="860" w:right="260" w:hanging="420"/>
        <w:spacing w:after="0" w:line="266" w:lineRule="auto"/>
        <w:tabs>
          <w:tab w:leader="none" w:pos="8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provision that our directors being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63" w:lineRule="exact"/>
        <w:rPr>
          <w:rFonts w:ascii="Arial" w:cs="Arial" w:eastAsia="Arial" w:hAnsi="Arial"/>
          <w:sz w:val="16"/>
          <w:szCs w:val="16"/>
          <w:color w:val="auto"/>
        </w:rPr>
      </w:pPr>
    </w:p>
    <w:p>
      <w:pPr>
        <w:ind w:left="860" w:right="180" w:hanging="420"/>
        <w:spacing w:after="0" w:line="266" w:lineRule="auto"/>
        <w:tabs>
          <w:tab w:leader="none" w:pos="8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3" w:lineRule="exact"/>
        <w:rPr>
          <w:rFonts w:ascii="Arial" w:cs="Arial" w:eastAsia="Arial" w:hAnsi="Arial"/>
          <w:sz w:val="16"/>
          <w:szCs w:val="16"/>
          <w:color w:val="auto"/>
        </w:rPr>
      </w:pPr>
    </w:p>
    <w:p>
      <w:pPr>
        <w:ind w:left="860" w:right="260" w:hanging="420"/>
        <w:spacing w:after="0" w:line="286" w:lineRule="auto"/>
        <w:tabs>
          <w:tab w:leader="none" w:pos="8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47" w:lineRule="exact"/>
        <w:rPr>
          <w:rFonts w:ascii="Arial" w:cs="Arial" w:eastAsia="Arial" w:hAnsi="Arial"/>
          <w:sz w:val="16"/>
          <w:szCs w:val="16"/>
          <w:color w:val="auto"/>
        </w:rPr>
      </w:pPr>
    </w:p>
    <w:p>
      <w:pPr>
        <w:ind w:left="860" w:right="200" w:hanging="420"/>
        <w:spacing w:after="0" w:line="286" w:lineRule="auto"/>
        <w:tabs>
          <w:tab w:leader="none" w:pos="8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156" w:lineRule="exact"/>
        <w:rPr>
          <w:sz w:val="20"/>
          <w:szCs w:val="20"/>
          <w:color w:val="auto"/>
        </w:rPr>
      </w:pPr>
    </w:p>
    <w:p>
      <w:pPr>
        <w:ind w:right="820" w:firstLine="445"/>
        <w:spacing w:after="0" w:line="28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Dutch cooling-off period in face of shareholder activism or hostile take-over.</w:t>
      </w:r>
    </w:p>
    <w:p>
      <w:pPr>
        <w:spacing w:after="0" w:line="111" w:lineRule="exact"/>
        <w:rPr>
          <w:sz w:val="20"/>
          <w:szCs w:val="20"/>
          <w:color w:val="auto"/>
        </w:rPr>
      </w:pPr>
    </w:p>
    <w:p>
      <w:pPr>
        <w:ind w:right="20" w:firstLine="445"/>
        <w:spacing w:after="0" w:line="259" w:lineRule="auto"/>
        <w:rPr>
          <w:sz w:val="20"/>
          <w:szCs w:val="20"/>
          <w:color w:val="auto"/>
        </w:rPr>
      </w:pPr>
      <w:r>
        <w:rPr>
          <w:rFonts w:ascii="Arial" w:cs="Arial" w:eastAsia="Arial" w:hAnsi="Arial"/>
          <w:sz w:val="16"/>
          <w:szCs w:val="16"/>
          <w:color w:val="auto"/>
        </w:rPr>
        <w:t>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48" w:lineRule="exact"/>
        <w:rPr>
          <w:sz w:val="20"/>
          <w:szCs w:val="20"/>
          <w:color w:val="auto"/>
        </w:rPr>
      </w:pPr>
    </w:p>
    <w:p>
      <w:pPr>
        <w:ind w:right="60" w:firstLine="445"/>
        <w:spacing w:after="0" w:line="252"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75" w:lineRule="exact"/>
        <w:rPr>
          <w:sz w:val="20"/>
          <w:szCs w:val="20"/>
          <w:color w:val="auto"/>
        </w:rPr>
      </w:pPr>
    </w:p>
    <w:p>
      <w:pPr>
        <w:ind w:right="420" w:firstLine="453"/>
        <w:spacing w:after="0" w:line="286" w:lineRule="auto"/>
        <w:tabs>
          <w:tab w:leader="none" w:pos="11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7" w:lineRule="exact"/>
        <w:rPr>
          <w:rFonts w:ascii="Arial" w:cs="Arial" w:eastAsia="Arial" w:hAnsi="Arial"/>
          <w:sz w:val="16"/>
          <w:szCs w:val="16"/>
          <w:color w:val="auto"/>
        </w:rPr>
      </w:pPr>
    </w:p>
    <w:p>
      <w:pPr>
        <w:ind w:left="1160" w:hanging="707"/>
        <w:spacing w:after="0"/>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13" w:lineRule="exact"/>
        <w:rPr>
          <w:rFonts w:ascii="Arial" w:cs="Arial" w:eastAsia="Arial" w:hAnsi="Arial"/>
          <w:sz w:val="16"/>
          <w:szCs w:val="16"/>
          <w:color w:val="auto"/>
        </w:rPr>
      </w:pPr>
    </w:p>
    <w:p>
      <w:pPr>
        <w:ind w:right="100" w:firstLine="453"/>
        <w:spacing w:after="0" w:line="266" w:lineRule="auto"/>
        <w:tabs>
          <w:tab w:leader="none" w:pos="11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281"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Shareholders may not be able to exercise preemptive rights and, as a result, may experience substantial dilution upon future issuances of ordinary shares.</w:t>
      </w:r>
    </w:p>
    <w:p>
      <w:pPr>
        <w:spacing w:after="0" w:line="33" w:lineRule="exact"/>
        <w:rPr>
          <w:sz w:val="20"/>
          <w:szCs w:val="20"/>
          <w:color w:val="auto"/>
        </w:rPr>
      </w:pPr>
    </w:p>
    <w:p>
      <w:pPr>
        <w:ind w:firstLine="445"/>
        <w:spacing w:after="0" w:line="254" w:lineRule="auto"/>
        <w:rPr>
          <w:sz w:val="20"/>
          <w:szCs w:val="20"/>
          <w:color w:val="auto"/>
        </w:rPr>
      </w:pPr>
      <w:r>
        <w:rPr>
          <w:rFonts w:ascii="Arial" w:cs="Arial" w:eastAsia="Arial" w:hAnsi="Arial"/>
          <w:sz w:val="16"/>
          <w:szCs w:val="16"/>
          <w:color w:val="auto"/>
        </w:rPr>
        <w:t>In the event of an issuance of our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Board is authorized for a period of five years after our conversion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 investors may have difficulty enforcing civil liabilities against our company and directors and senior management.</w:t>
      </w:r>
    </w:p>
    <w:p>
      <w:pPr>
        <w:spacing w:after="0" w:line="111" w:lineRule="exact"/>
        <w:rPr>
          <w:sz w:val="20"/>
          <w:szCs w:val="20"/>
          <w:color w:val="auto"/>
        </w:rPr>
      </w:pPr>
    </w:p>
    <w:p>
      <w:pPr>
        <w:ind w:right="220" w:firstLine="445"/>
        <w:spacing w:after="0" w:line="286" w:lineRule="auto"/>
        <w:rPr>
          <w:sz w:val="20"/>
          <w:szCs w:val="20"/>
          <w:color w:val="auto"/>
        </w:rPr>
      </w:pPr>
      <w:r>
        <w:rPr>
          <w:rFonts w:ascii="Arial" w:cs="Arial" w:eastAsia="Arial" w:hAnsi="Arial"/>
          <w:sz w:val="16"/>
          <w:szCs w:val="16"/>
          <w:color w:val="auto"/>
        </w:rPr>
        <w:t>We are incorporated under the laws of the Netherlands and have our statutory seat (</w:t>
      </w:r>
      <w:r>
        <w:rPr>
          <w:rFonts w:ascii="Arial" w:cs="Arial" w:eastAsia="Arial" w:hAnsi="Arial"/>
          <w:sz w:val="16"/>
          <w:szCs w:val="16"/>
          <w:i w:val="1"/>
          <w:iCs w:val="1"/>
          <w:color w:val="auto"/>
        </w:rPr>
        <w:t>statutaire zetel</w:t>
      </w:r>
      <w:r>
        <w:rPr>
          <w:rFonts w:ascii="Arial" w:cs="Arial" w:eastAsia="Arial" w:hAnsi="Arial"/>
          <w:sz w:val="16"/>
          <w:szCs w:val="16"/>
          <w:color w:val="auto"/>
        </w:rPr>
        <w:t>) in Leiden, the Netherlands. Some of our assets are located outside the United States and most members of the Board and Senior Management reside outside of the United</w:t>
      </w:r>
    </w:p>
    <w:p>
      <w:pPr>
        <w:spacing w:after="0" w:line="48" w:lineRule="exact"/>
        <w:rPr>
          <w:sz w:val="20"/>
          <w:szCs w:val="20"/>
          <w:color w:val="auto"/>
        </w:rPr>
      </w:pPr>
    </w:p>
    <w:p>
      <w:pPr>
        <w:ind w:right="240" w:firstLine="445"/>
        <w:spacing w:after="0" w:line="286" w:lineRule="auto"/>
        <w:rPr>
          <w:sz w:val="20"/>
          <w:szCs w:val="20"/>
          <w:color w:val="auto"/>
        </w:rPr>
      </w:pPr>
      <w:r>
        <w:rPr>
          <w:rFonts w:ascii="Arial" w:cs="Arial" w:eastAsia="Arial" w:hAnsi="Arial"/>
          <w:sz w:val="16"/>
          <w:szCs w:val="16"/>
          <w:color w:val="auto"/>
        </w:rPr>
        <w:t>States. As a result, it may not be possible for investors to effect service of process within the United States upon such persons or to enforce against them or us the U.S. courts’ judgments predicated upon the civil liability provisions of the federal securities laws of the United States.</w:t>
      </w:r>
    </w:p>
    <w:p>
      <w:pPr>
        <w:spacing w:after="0" w:line="156" w:lineRule="exact"/>
        <w:rPr>
          <w:sz w:val="20"/>
          <w:szCs w:val="20"/>
          <w:color w:val="auto"/>
        </w:rPr>
      </w:pPr>
    </w:p>
    <w:p>
      <w:pPr>
        <w:ind w:right="140" w:firstLine="445"/>
        <w:spacing w:after="0" w:line="266" w:lineRule="auto"/>
        <w:rPr>
          <w:sz w:val="20"/>
          <w:szCs w:val="20"/>
          <w:color w:val="auto"/>
        </w:rPr>
      </w:pPr>
      <w:r>
        <w:rPr>
          <w:rFonts w:ascii="Arial" w:cs="Arial" w:eastAsia="Arial" w:hAnsi="Arial"/>
          <w:sz w:val="16"/>
          <w:szCs w:val="16"/>
          <w:color w:val="auto"/>
        </w:rPr>
        <w:t>Foreign courts may refuse to hear a United States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w:t>
      </w:r>
    </w:p>
    <w:p>
      <w:pPr>
        <w:spacing w:after="0" w:line="171" w:lineRule="exact"/>
        <w:rPr>
          <w:sz w:val="20"/>
          <w:szCs w:val="20"/>
          <w:color w:val="auto"/>
        </w:rPr>
      </w:pPr>
    </w:p>
    <w:p>
      <w:pPr>
        <w:ind w:right="220" w:firstLine="445"/>
        <w:spacing w:after="0" w:line="286" w:lineRule="auto"/>
        <w:rPr>
          <w:sz w:val="20"/>
          <w:szCs w:val="20"/>
          <w:color w:val="auto"/>
        </w:rPr>
      </w:pPr>
      <w:r>
        <w:rPr>
          <w:rFonts w:ascii="Arial" w:cs="Arial" w:eastAsia="Arial" w:hAnsi="Arial"/>
          <w:sz w:val="16"/>
          <w:szCs w:val="16"/>
          <w:color w:val="auto"/>
        </w:rPr>
        <w:t>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spacing w:after="0" w:line="156" w:lineRule="exact"/>
        <w:rPr>
          <w:sz w:val="20"/>
          <w:szCs w:val="20"/>
          <w:color w:val="auto"/>
        </w:rPr>
      </w:pPr>
    </w:p>
    <w:p>
      <w:pPr>
        <w:ind w:firstLine="445"/>
        <w:spacing w:after="0" w:line="249" w:lineRule="auto"/>
        <w:rPr>
          <w:sz w:val="20"/>
          <w:szCs w:val="20"/>
          <w:color w:val="auto"/>
        </w:rPr>
      </w:pPr>
      <w:r>
        <w:rPr>
          <w:rFonts w:ascii="Arial" w:cs="Arial" w:eastAsia="Arial" w:hAnsi="Arial"/>
          <w:sz w:val="16"/>
          <w:szCs w:val="16"/>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6"/>
          <w:szCs w:val="16"/>
          <w:i w:val="1"/>
          <w:iCs w:val="1"/>
          <w:color w:val="auto"/>
        </w:rPr>
        <w:t>behoorlijke</w:t>
      </w:r>
      <w:r>
        <w:rPr>
          <w:rFonts w:ascii="Arial" w:cs="Arial" w:eastAsia="Arial" w:hAnsi="Arial"/>
          <w:sz w:val="16"/>
          <w:szCs w:val="16"/>
          <w:color w:val="auto"/>
        </w:rPr>
        <w:t xml:space="preserve"> </w:t>
      </w:r>
      <w:r>
        <w:rPr>
          <w:rFonts w:ascii="Arial" w:cs="Arial" w:eastAsia="Arial" w:hAnsi="Arial"/>
          <w:sz w:val="16"/>
          <w:szCs w:val="16"/>
          <w:i w:val="1"/>
          <w:iCs w:val="1"/>
          <w:color w:val="auto"/>
        </w:rPr>
        <w:t>rechtspleging</w:t>
      </w:r>
      <w:r>
        <w:rPr>
          <w:rFonts w:ascii="Arial" w:cs="Arial" w:eastAsia="Arial" w:hAnsi="Arial"/>
          <w:sz w:val="16"/>
          <w:szCs w:val="16"/>
          <w:color w:val="auto"/>
        </w:rPr>
        <w:t>), (iii) is not contrary to the public policy of the Netherlands, and (iv) is not incompatible with (a) a prior judgment of a Dutch court rendered in a</w:t>
      </w:r>
      <w:r>
        <w:rPr>
          <w:rFonts w:ascii="Arial" w:cs="Arial" w:eastAsia="Arial" w:hAnsi="Arial"/>
          <w:sz w:val="16"/>
          <w:szCs w:val="16"/>
          <w:i w:val="1"/>
          <w:iCs w:val="1"/>
          <w:color w:val="auto"/>
        </w:rPr>
        <w:t xml:space="preserve"> </w:t>
      </w:r>
      <w:r>
        <w:rPr>
          <w:rFonts w:ascii="Arial" w:cs="Arial" w:eastAsia="Arial" w:hAnsi="Arial"/>
          <w:sz w:val="16"/>
          <w:szCs w:val="16"/>
          <w:color w:val="auto"/>
        </w:rPr>
        <w:t>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6"/>
          <w:szCs w:val="16"/>
          <w:i w:val="1"/>
          <w:iCs w:val="1"/>
          <w:color w:val="auto"/>
        </w:rPr>
        <w:t>openbare orde</w:t>
      </w:r>
      <w:r>
        <w:rPr>
          <w:rFonts w:ascii="Arial" w:cs="Arial" w:eastAsia="Arial" w:hAnsi="Arial"/>
          <w:sz w:val="16"/>
          <w:szCs w:val="16"/>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Arial" w:cs="Arial" w:eastAsia="Arial" w:hAnsi="Arial"/>
          <w:sz w:val="16"/>
          <w:szCs w:val="16"/>
          <w:i w:val="1"/>
          <w:iCs w:val="1"/>
          <w:color w:val="auto"/>
        </w:rPr>
        <w:t>Wetboek van Burgerlijke Rechtsvordering</w:t>
      </w:r>
      <w:r>
        <w:rPr>
          <w:rFonts w:ascii="Arial" w:cs="Arial" w:eastAsia="Arial" w:hAnsi="Arial"/>
          <w:sz w:val="16"/>
          <w:szCs w:val="16"/>
          <w:color w:val="auto"/>
        </w:rPr>
        <w:t>).</w:t>
      </w:r>
    </w:p>
    <w:p>
      <w:pPr>
        <w:spacing w:after="0" w:line="190" w:lineRule="exact"/>
        <w:rPr>
          <w:sz w:val="20"/>
          <w:szCs w:val="20"/>
          <w:color w:val="auto"/>
        </w:rPr>
      </w:pPr>
    </w:p>
    <w:p>
      <w:pPr>
        <w:ind w:right="460" w:firstLine="445"/>
        <w:spacing w:after="0" w:line="286" w:lineRule="auto"/>
        <w:rPr>
          <w:sz w:val="20"/>
          <w:szCs w:val="20"/>
          <w:color w:val="auto"/>
        </w:rPr>
      </w:pPr>
      <w:r>
        <w:rPr>
          <w:rFonts w:ascii="Arial" w:cs="Arial" w:eastAsia="Arial" w:hAnsi="Arial"/>
          <w:sz w:val="16"/>
          <w:szCs w:val="16"/>
          <w:color w:val="auto"/>
        </w:rPr>
        <w:t>Additionally, our Articles of Association provide that the U.S. federal district courts shall be the sole and exclusive forum for any claim asserting a cause of action arising under the Securities Act. This choice of forum provision may limit a shareholder’s ability to bring a claim</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in a judicial forum that it finds favorable for disputes with us or our directors, officers or other employees and may increase the costs associated with such lawsuits, which may discourage such lawsuits against us and our directors, officers and employees.</w:t>
      </w:r>
    </w:p>
    <w:p>
      <w:pPr>
        <w:spacing w:after="0" w:line="156" w:lineRule="exact"/>
        <w:rPr>
          <w:sz w:val="20"/>
          <w:szCs w:val="20"/>
          <w:color w:val="auto"/>
        </w:rPr>
      </w:pPr>
    </w:p>
    <w:p>
      <w:pPr>
        <w:jc w:val="both"/>
        <w:ind w:right="300" w:firstLine="445"/>
        <w:spacing w:after="0" w:line="266" w:lineRule="auto"/>
        <w:rPr>
          <w:sz w:val="20"/>
          <w:szCs w:val="20"/>
          <w:color w:val="auto"/>
        </w:rPr>
      </w:pPr>
      <w:r>
        <w:rPr>
          <w:rFonts w:ascii="Arial" w:cs="Arial" w:eastAsia="Arial" w:hAnsi="Arial"/>
          <w:sz w:val="16"/>
          <w:szCs w:val="16"/>
          <w:color w:val="auto"/>
        </w:rPr>
        <w:t>Based on the foregoing, there can be no assurance that U.S. investors will be able to enforce any judgments obtained against us, members of the Board and our Senior Management, who are residents of or possessing assets in the Netherlands or other countries other than the United States, in U.S. courts in civil and commercial matters, including judgments under the U.S. federal securities laws.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investors.</w:t>
      </w:r>
    </w:p>
    <w:p>
      <w:pPr>
        <w:spacing w:after="0" w:line="97"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assets and activities and the expected price of our ordinary shares in this offering, we do not believe we were a PFIC in 2021 and we do not expect to be a PFIC for our current taxable year or in the foreseeable future. In addition, we may, directly or indirectly, hold equity interests in other PFICs. Whether we or any of our subsidiaries will be a PFIC in 2022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2022 or any future taxable year.</w:t>
      </w:r>
    </w:p>
    <w:p>
      <w:pPr>
        <w:spacing w:after="0" w:line="187" w:lineRule="exact"/>
        <w:rPr>
          <w:sz w:val="20"/>
          <w:szCs w:val="20"/>
          <w:color w:val="auto"/>
        </w:rPr>
      </w:pPr>
    </w:p>
    <w:p>
      <w:pPr>
        <w:ind w:right="140" w:firstLine="445"/>
        <w:spacing w:after="0" w:line="252" w:lineRule="auto"/>
        <w:rPr>
          <w:sz w:val="20"/>
          <w:szCs w:val="20"/>
          <w:color w:val="auto"/>
        </w:rPr>
      </w:pPr>
      <w:r>
        <w:rPr>
          <w:rFonts w:ascii="Arial" w:cs="Arial" w:eastAsia="Arial" w:hAnsi="Arial"/>
          <w:sz w:val="16"/>
          <w:szCs w:val="16"/>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83" w:lineRule="exact"/>
        <w:rPr>
          <w:sz w:val="20"/>
          <w:szCs w:val="20"/>
          <w:color w:val="auto"/>
        </w:rPr>
      </w:pPr>
    </w:p>
    <w:p>
      <w:pPr>
        <w:ind w:right="280" w:firstLine="445"/>
        <w:spacing w:after="0" w:line="286" w:lineRule="auto"/>
        <w:rPr>
          <w:sz w:val="20"/>
          <w:szCs w:val="20"/>
          <w:color w:val="auto"/>
        </w:rPr>
      </w:pPr>
      <w:r>
        <w:rPr>
          <w:rFonts w:ascii="Arial" w:cs="Arial" w:eastAsia="Arial" w:hAnsi="Arial"/>
          <w:sz w:val="16"/>
          <w:szCs w:val="16"/>
          <w:color w:val="auto"/>
        </w:rPr>
        <w:t>For further discussion, see “ITEM 10. ADDITIONAL INFORMATION—E. Taxation—Material United States and Dutch Income Tax Considerations— Material U.S. Federal Income Tax Considerations to U.S. Holders.”</w:t>
      </w: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113" w:lineRule="exact"/>
        <w:rPr>
          <w:sz w:val="20"/>
          <w:szCs w:val="20"/>
          <w:color w:val="auto"/>
        </w:rPr>
      </w:pPr>
    </w:p>
    <w:p>
      <w:pPr>
        <w:ind w:firstLine="445"/>
        <w:spacing w:after="0" w:line="248" w:lineRule="auto"/>
        <w:rPr>
          <w:sz w:val="20"/>
          <w:szCs w:val="20"/>
          <w:color w:val="auto"/>
        </w:rPr>
      </w:pPr>
      <w:r>
        <w:rPr>
          <w:rFonts w:ascii="Arial" w:cs="Arial" w:eastAsia="Arial" w:hAnsi="Arial"/>
          <w:sz w:val="16"/>
          <w:szCs w:val="16"/>
          <w:b w:val="1"/>
          <w:bCs w:val="1"/>
          <w:i w:val="1"/>
          <w:iCs w:val="1"/>
          <w:color w:val="auto"/>
        </w:rPr>
        <w:t xml:space="preserve">Our internal computer systems, or those used by our clinical investigators, contractors or consultants, may fail or suffer security breaches. </w:t>
      </w: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or those of our contractors or consultants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 (e.g.,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We may engage in strategic transactions that could impact our liquidity, increase our expenses and present significant distractions to our management.</w:t>
      </w:r>
    </w:p>
    <w:p>
      <w:pPr>
        <w:spacing w:after="0" w:line="33" w:lineRule="exact"/>
        <w:rPr>
          <w:sz w:val="20"/>
          <w:szCs w:val="20"/>
          <w:color w:val="auto"/>
        </w:rPr>
      </w:pPr>
    </w:p>
    <w:p>
      <w:pPr>
        <w:ind w:right="160" w:firstLine="445"/>
        <w:spacing w:after="0" w:line="250" w:lineRule="auto"/>
        <w:rPr>
          <w:sz w:val="20"/>
          <w:szCs w:val="20"/>
          <w:color w:val="auto"/>
        </w:rPr>
      </w:pPr>
      <w:r>
        <w:rPr>
          <w:rFonts w:ascii="Arial" w:cs="Arial" w:eastAsia="Arial" w:hAnsi="Arial"/>
          <w:sz w:val="16"/>
          <w:szCs w:val="16"/>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299" w:lineRule="exact"/>
        <w:rPr>
          <w:sz w:val="20"/>
          <w:szCs w:val="20"/>
          <w:color w:val="auto"/>
        </w:rPr>
      </w:pPr>
    </w:p>
    <w:p>
      <w:pPr>
        <w:ind w:left="460" w:right="500"/>
        <w:spacing w:after="0" w:line="294" w:lineRule="auto"/>
        <w:rPr>
          <w:sz w:val="20"/>
          <w:szCs w:val="20"/>
          <w:color w:val="auto"/>
        </w:rPr>
      </w:pPr>
      <w:r>
        <w:rPr>
          <w:rFonts w:ascii="Arial" w:cs="Arial" w:eastAsia="Arial" w:hAnsi="Arial"/>
          <w:sz w:val="16"/>
          <w:szCs w:val="16"/>
          <w:b w:val="1"/>
          <w:bCs w:val="1"/>
          <w:i w:val="1"/>
          <w:iCs w:val="1"/>
          <w:color w:val="auto"/>
        </w:rPr>
        <w:t>The trading price of our ordinary shares has been and may in the future be highly volatile, which could result in substantial losses for holders of our ordinary shares.</w:t>
      </w:r>
    </w:p>
    <w:p>
      <w:pPr>
        <w:spacing w:after="0" w:line="33" w:lineRule="exact"/>
        <w:rPr>
          <w:sz w:val="20"/>
          <w:szCs w:val="20"/>
          <w:color w:val="auto"/>
        </w:rPr>
      </w:pPr>
    </w:p>
    <w:p>
      <w:pPr>
        <w:ind w:right="260" w:firstLine="445"/>
        <w:spacing w:after="0" w:line="259" w:lineRule="auto"/>
        <w:rPr>
          <w:sz w:val="20"/>
          <w:szCs w:val="20"/>
          <w:color w:val="auto"/>
        </w:rPr>
      </w:pPr>
      <w:r>
        <w:rPr>
          <w:rFonts w:ascii="Arial" w:cs="Arial" w:eastAsia="Arial" w:hAnsi="Arial"/>
          <w:sz w:val="16"/>
          <w:szCs w:val="16"/>
          <w:color w:val="auto"/>
        </w:rPr>
        <w:t>Our share price has been highly volatile. In addition,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70" w:lineRule="exact"/>
        <w:rPr>
          <w:sz w:val="20"/>
          <w:szCs w:val="20"/>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results and timing of clinical trials of our and our competitors’ product candidates;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failure of any of our product candidates, if approved, to achieve commercial success;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competition from existing products or new products that may emerge;</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issues in manufacturing our product candidates or future approved products;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public concern relating to the commercial value or safety of any of our product candidates;</w:t>
      </w:r>
    </w:p>
    <w:p>
      <w:pPr>
        <w:spacing w:after="0" w:line="153" w:lineRule="exact"/>
        <w:rPr>
          <w:rFonts w:ascii="Arial" w:cs="Arial" w:eastAsia="Arial" w:hAnsi="Arial"/>
          <w:sz w:val="16"/>
          <w:szCs w:val="16"/>
          <w:color w:val="auto"/>
        </w:rPr>
      </w:pPr>
    </w:p>
    <w:p>
      <w:pPr>
        <w:ind w:left="860" w:right="360" w:hanging="420"/>
        <w:spacing w:after="0" w:line="286" w:lineRule="auto"/>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disputes or other developments related to proprietary rights, including patents, litigation matters, and our ability to obtain intellectual property protection for our technologies;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failure to adequately protect our trade secrets;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additions and departures of key personnel;</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inability to raise additional capital or the terms on which we raise it;</w:t>
      </w:r>
    </w:p>
    <w:p>
      <w:pPr>
        <w:spacing w:after="0" w:line="153" w:lineRule="exact"/>
        <w:rPr>
          <w:rFonts w:ascii="Arial" w:cs="Arial" w:eastAsia="Arial" w:hAnsi="Arial"/>
          <w:sz w:val="16"/>
          <w:szCs w:val="16"/>
          <w:color w:val="auto"/>
        </w:rPr>
      </w:pPr>
    </w:p>
    <w:p>
      <w:pPr>
        <w:ind w:left="860" w:hanging="420"/>
        <w:spacing w:after="0" w:line="286" w:lineRule="auto"/>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period-to-period fluctuations in our financial condition and results of operations, including the timing of receipt of any milestone or other payments under commercialization or licensing agreements;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public health crises, illnesses, epidemics or pandemics, such as the COVID-19 pandemic;</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market conditions for biopharmaceutical stocks;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general market and economic conditions; and</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risk factors discussed in this section.</w:t>
      </w:r>
    </w:p>
    <w:p>
      <w:pPr>
        <w:spacing w:after="0" w:line="262" w:lineRule="exact"/>
        <w:rPr>
          <w:sz w:val="20"/>
          <w:szCs w:val="20"/>
          <w:color w:val="auto"/>
        </w:rPr>
      </w:pPr>
    </w:p>
    <w:p>
      <w:pPr>
        <w:ind w:right="20" w:firstLine="445"/>
        <w:spacing w:after="0" w:line="254" w:lineRule="auto"/>
        <w:rPr>
          <w:sz w:val="20"/>
          <w:szCs w:val="20"/>
          <w:color w:val="auto"/>
        </w:rPr>
      </w:pPr>
      <w:r>
        <w:rPr>
          <w:rFonts w:ascii="Arial" w:cs="Arial" w:eastAsia="Arial" w:hAnsi="Arial"/>
          <w:sz w:val="16"/>
          <w:szCs w:val="16"/>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ordinary shares, regardless of our operating performance.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2"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33" w:lineRule="exact"/>
        <w:rPr>
          <w:sz w:val="20"/>
          <w:szCs w:val="20"/>
          <w:color w:val="auto"/>
        </w:rPr>
      </w:pPr>
    </w:p>
    <w:p>
      <w:pPr>
        <w:ind w:right="100" w:firstLine="445"/>
        <w:spacing w:after="0" w:line="256"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covers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3" w:lineRule="exact"/>
        <w:rPr>
          <w:sz w:val="20"/>
          <w:szCs w:val="20"/>
          <w:color w:val="auto"/>
        </w:rPr>
      </w:pPr>
    </w:p>
    <w:p>
      <w:pPr>
        <w:ind w:right="60" w:firstLine="445"/>
        <w:spacing w:after="0" w:line="250"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have, and are expected to continue to, increase our legal and financial compliance costs and have made some activities more time- consuming and costly. For example, the rules and regulations applicable to us as a public company make it more difficult and more expensive for us to obtain director and officer liability insurance, which can make it more difficult for us to attract and retain qualified members of our Board.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4"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52" w:lineRule="exact"/>
        <w:rPr>
          <w:sz w:val="20"/>
          <w:szCs w:val="20"/>
          <w:color w:val="auto"/>
        </w:rPr>
      </w:pPr>
    </w:p>
    <w:p>
      <w:pPr>
        <w:ind w:right="80" w:firstLine="445"/>
        <w:spacing w:after="0" w:line="254"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11" w:lineRule="exact"/>
        <w:rPr>
          <w:sz w:val="20"/>
          <w:szCs w:val="20"/>
          <w:color w:val="auto"/>
        </w:rPr>
      </w:pPr>
    </w:p>
    <w:p>
      <w:pPr>
        <w:ind w:right="180" w:firstLine="445"/>
        <w:spacing w:after="0" w:line="253" w:lineRule="auto"/>
        <w:rPr>
          <w:sz w:val="20"/>
          <w:szCs w:val="20"/>
          <w:color w:val="auto"/>
        </w:rPr>
      </w:pPr>
      <w:r>
        <w:rPr>
          <w:rFonts w:ascii="Arial" w:cs="Arial" w:eastAsia="Arial" w:hAnsi="Arial"/>
          <w:sz w:val="16"/>
          <w:szCs w:val="16"/>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4. INFORMATION ON THE COMPANY</w:t>
      </w:r>
    </w:p>
    <w:p>
      <w:pPr>
        <w:spacing w:after="0" w:line="221" w:lineRule="exact"/>
        <w:rPr>
          <w:sz w:val="20"/>
          <w:szCs w:val="20"/>
          <w:color w:val="auto"/>
        </w:rPr>
      </w:pPr>
    </w:p>
    <w:p>
      <w:pPr>
        <w:ind w:left="860" w:hanging="420"/>
        <w:spacing w:after="0"/>
        <w:tabs>
          <w:tab w:leader="none" w:pos="86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History and development of the company</w:t>
      </w:r>
    </w:p>
    <w:p>
      <w:pPr>
        <w:spacing w:after="0" w:line="262" w:lineRule="exact"/>
        <w:rPr>
          <w:sz w:val="20"/>
          <w:szCs w:val="20"/>
          <w:color w:val="auto"/>
        </w:rPr>
      </w:pPr>
    </w:p>
    <w:p>
      <w:pPr>
        <w:ind w:right="20" w:firstLine="445"/>
        <w:spacing w:after="0" w:line="24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extended-release product candidate, PHVS719, respectively. We commenced our RAPIDe-1 Phase 2 clinical trial of PHVS416 in February 2021 and expect to have Phase 2 data for the acute treatment of patients with HAE attacks in the fourth quarter of 2022. We also commenced a Phase 2 clinical trial for prophylaxis in 2021 using twice-daily dosing of the PHVS416 softgel capsules. Our primary objective with this trial is to assess the safety profile of PHVS416 dose regimens for prophylactic treatments in HAE patients. We also initiated a Phase 1 clinical trial with PHVS719 in 2021 to assess pharmacokinetics of the extended-release formulation. Our agent for service of process in the United States is Dr. Morgan Conn, who is registered in 1 Cranberry hill Suite 300, Lexington, MA 0241, USA.</w:t>
      </w:r>
    </w:p>
    <w:p>
      <w:pPr>
        <w:spacing w:after="0" w:line="193" w:lineRule="exact"/>
        <w:rPr>
          <w:sz w:val="20"/>
          <w:szCs w:val="20"/>
          <w:color w:val="auto"/>
        </w:rPr>
      </w:pPr>
    </w:p>
    <w:p>
      <w:pPr>
        <w:ind w:firstLine="445"/>
        <w:spacing w:after="0" w:line="259" w:lineRule="auto"/>
        <w:rPr>
          <w:sz w:val="20"/>
          <w:szCs w:val="20"/>
          <w:color w:val="auto"/>
        </w:rPr>
      </w:pPr>
      <w:r>
        <w:rPr>
          <w:rFonts w:ascii="Arial" w:cs="Arial" w:eastAsia="Arial" w:hAnsi="Arial"/>
          <w:sz w:val="16"/>
          <w:szCs w:val="16"/>
          <w:color w:val="auto"/>
        </w:rPr>
        <w:t>Our legal and commercial name is Pharvaris N.V. In connection with our initial public offering in the first quarter of 2021, we converted the legal form of our company under Dutch law from a private company with limited liability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to a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and changed our name from Pharvaris B.V. to Pharvaris N.V. Pharvaris B.V. was founded in 2015 in Leiden, The Netherlands. Our principal executive offices are located in J.H. Oortweg 21, 2333 CH Leiden, The Netherlands, telephone: +31 (0)71 203 6410.</w:t>
      </w:r>
    </w:p>
    <w:p>
      <w:pPr>
        <w:spacing w:after="0" w:line="97" w:lineRule="exact"/>
        <w:rPr>
          <w:sz w:val="20"/>
          <w:szCs w:val="20"/>
          <w:color w:val="auto"/>
        </w:rPr>
      </w:pPr>
    </w:p>
    <w:p>
      <w:pPr>
        <w:ind w:right="460" w:firstLine="445"/>
        <w:spacing w:after="0" w:line="286" w:lineRule="auto"/>
        <w:rPr>
          <w:sz w:val="20"/>
          <w:szCs w:val="20"/>
          <w:color w:val="auto"/>
        </w:rPr>
      </w:pPr>
      <w:r>
        <w:rPr>
          <w:rFonts w:ascii="Arial" w:cs="Arial" w:eastAsia="Arial" w:hAnsi="Arial"/>
          <w:sz w:val="16"/>
          <w:szCs w:val="16"/>
          <w:color w:val="auto"/>
        </w:rPr>
        <w:t>Our principal capital expenditures since inception have been our research and development expenses, as more fully described elsewhere in this Annual Report.</w:t>
      </w:r>
    </w:p>
    <w:p>
      <w:pPr>
        <w:spacing w:after="0" w:line="156" w:lineRule="exact"/>
        <w:rPr>
          <w:sz w:val="20"/>
          <w:szCs w:val="20"/>
          <w:color w:val="auto"/>
        </w:rPr>
      </w:pPr>
    </w:p>
    <w:p>
      <w:pPr>
        <w:ind w:right="200" w:firstLine="445"/>
        <w:spacing w:after="0" w:line="266" w:lineRule="auto"/>
        <w:rPr>
          <w:sz w:val="20"/>
          <w:szCs w:val="20"/>
          <w:color w:val="auto"/>
        </w:rPr>
      </w:pPr>
      <w:r>
        <w:rPr>
          <w:rFonts w:ascii="Arial" w:cs="Arial" w:eastAsia="Arial" w:hAnsi="Arial"/>
          <w:sz w:val="16"/>
          <w:szCs w:val="16"/>
          <w:color w:val="auto"/>
        </w:rPr>
        <w:t>The SEC maintains an Internet website that contains reports and other information about issuers, like us, that file electronically with the SEC. The address of that website is www.sec.gov. Our website can be found at www.pharvaris.com. The information on our website is not incorporated by reference into this Annual Report, and you should not consider information contained on our website to be a part of this Annual Report.</w:t>
      </w:r>
    </w:p>
    <w:p>
      <w:pPr>
        <w:spacing w:after="0" w:line="279" w:lineRule="exact"/>
        <w:rPr>
          <w:sz w:val="20"/>
          <w:szCs w:val="20"/>
          <w:color w:val="auto"/>
        </w:rPr>
      </w:pPr>
    </w:p>
    <w:p>
      <w:pPr>
        <w:ind w:left="860" w:hanging="420"/>
        <w:spacing w:after="0"/>
        <w:tabs>
          <w:tab w:leader="none" w:pos="8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 xml:space="preserve">PHA121 is a novel, highly potent inhibitor and selective small molecule bradykinin B2-receptor antagonist and, to our knowledge, the only orally available bradykinin B2-receptor antagonist currently in development. PHA121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 Potency as used in this Annual Report refers to the amount of drug required to produce a pharmacological effect of given intensity and is not a measure of therapeutic efficacy. We do not yet have data from any PHA121 Phase 2 clinical trial to evaluate the potential therapeutic efficacy of PHA121 in HAE patients. PHA121 demonstrated 5000-fold selectivity for the bradykinin B2 receptor when compared to approximately 170 other molecular targets, including the bradykinin B1 receptor. We designed PHA121 as a new chemotype with properties compatible with oral delivery. We are developing PHA121 for the on-demand setting as PHVS416, which is delivered in a softgel capsule designed to rapidly treat symptoms with a single dose. We are also developing PHA121 for the prophylactic setting as PHVS719, which is a small daily dose tablet with an extended-release formulation designed for the patient to achieve a steady-state plasma concentration within 72 hours.</w:t>
      </w:r>
    </w:p>
    <w:p>
      <w:pPr>
        <w:spacing w:after="0" w:line="189" w:lineRule="exact"/>
        <w:rPr>
          <w:sz w:val="20"/>
          <w:szCs w:val="20"/>
          <w:color w:val="auto"/>
        </w:rPr>
      </w:pPr>
    </w:p>
    <w:p>
      <w:pPr>
        <w:ind w:right="60" w:firstLine="445"/>
        <w:spacing w:after="0" w:line="252" w:lineRule="auto"/>
        <w:rPr>
          <w:sz w:val="20"/>
          <w:szCs w:val="20"/>
          <w:color w:val="auto"/>
        </w:rPr>
      </w:pPr>
      <w:r>
        <w:rPr>
          <w:rFonts w:ascii="Arial" w:cs="Arial" w:eastAsia="Arial" w:hAnsi="Arial"/>
          <w:sz w:val="16"/>
          <w:szCs w:val="16"/>
          <w:color w:val="auto"/>
        </w:rPr>
        <w:t xml:space="preserve">In our Phase 1 clinical trials to-date, we have observed rapid exposure and predictable linear pharmacokinetics, or PK, with and without food. In addition, we observed PHA121 to be a potent antagonist of the bradykinin B2 receptor,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with healthy volunteers. In our models based on PK data from our Phase 1 clinical trial of PHA121 and published data for icatibant, both in the BK challenge assessment, PHA121 was shown to be consistently 25-fold more potent at inhibiting the effects of administered bradykinin than icatibant on a molar basis.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160" w:firstLine="445"/>
        <w:spacing w:after="0" w:line="254" w:lineRule="auto"/>
        <w:rPr>
          <w:sz w:val="20"/>
          <w:szCs w:val="20"/>
          <w:color w:val="auto"/>
        </w:rPr>
      </w:pPr>
      <w:r>
        <w:rPr>
          <w:rFonts w:ascii="Arial" w:cs="Arial" w:eastAsia="Arial" w:hAnsi="Arial"/>
          <w:sz w:val="16"/>
          <w:szCs w:val="16"/>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1:50,000 to 1:10,000 individuals globally, or at least 6,600 patients in the U.S. and at least 8,900 patients in the EU.</w:t>
      </w:r>
    </w:p>
    <w:p>
      <w:pPr>
        <w:spacing w:after="0" w:line="182" w:lineRule="exact"/>
        <w:rPr>
          <w:sz w:val="20"/>
          <w:szCs w:val="20"/>
          <w:color w:val="auto"/>
        </w:rPr>
      </w:pPr>
    </w:p>
    <w:p>
      <w:pPr>
        <w:ind w:firstLine="445"/>
        <w:spacing w:after="0" w:line="251" w:lineRule="auto"/>
        <w:rPr>
          <w:sz w:val="20"/>
          <w:szCs w:val="20"/>
          <w:color w:val="auto"/>
        </w:rPr>
      </w:pPr>
      <w:r>
        <w:rPr>
          <w:rFonts w:ascii="Arial" w:cs="Arial" w:eastAsia="Arial" w:hAnsi="Arial"/>
          <w:sz w:val="16"/>
          <w:szCs w:val="16"/>
          <w:color w:val="auto"/>
        </w:rPr>
        <w:t>Global sales of treatments for HAE in 2021 were estimated at approximately $2.4 billion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 B2 receptor, replacing the deficiency in C1-INH activity, or inhibiting plasma kallikrein. Currently most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We believe HAE patients need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185" w:lineRule="exact"/>
        <w:rPr>
          <w:sz w:val="20"/>
          <w:szCs w:val="20"/>
          <w:color w:val="auto"/>
        </w:rPr>
      </w:pPr>
    </w:p>
    <w:p>
      <w:pPr>
        <w:ind w:right="40" w:firstLine="445"/>
        <w:spacing w:after="0" w:line="248" w:lineRule="auto"/>
        <w:rPr>
          <w:sz w:val="20"/>
          <w:szCs w:val="20"/>
          <w:color w:val="auto"/>
        </w:rPr>
      </w:pPr>
      <w:r>
        <w:rPr>
          <w:rFonts w:ascii="Arial" w:cs="Arial" w:eastAsia="Arial" w:hAnsi="Arial"/>
          <w:sz w:val="16"/>
          <w:szCs w:val="16"/>
          <w:color w:val="auto"/>
        </w:rPr>
        <w:t>Based on results observed from our three completed clinical trials to-date, we believe our product candidates that contain PHA121 will demonstrate advantages and differentiation relative to currently approved HAE therapies and other oral therapies in clinical development. Namely, PHA121’s bradykinin-B2-receptor-inhibition mechanism has a well-established clinical therapeutic profile in a currently approved product in the rapid treatment of acute HAE attacks. We have observed greater potency for PHA121 compared to icatibant in our early clinical trials, potentially resulting in both a smaller therapeutic dose and a longer duration of effect. We evaluated the PD and PK of PHA121 in a bradykinin-challenge model in healthy subjects. The bradykinin challenge was validated as a surrogate assessment for dose selection in the original development program for icatibant, as reviewed by the FDA and the EMA. The clinical dose of icatibant established with the bradykinin challenge has demonstrated successful treatment of HAE attacks in multiple randomized clinical trials and over 10 years of clinical experience. We conducted a proof-of-concept clinical trial testing the effects of BK in healthy volunteers in our bradykinin-challenge trial, where we evaluated the effect of PHA121 on cardiovascular parameters affected by bradykinin such as blood pressure, heart rate and cardiac output in healthy volunteers. We observed that PHA121 was more potent in blocking the effects of BK in humans than icatibant, when comparing the PHA121 results of the trial to published data on icatibant. The data from this trial allowed us to generate a PK/PD correlation model. Based on this model and published data on icatibant, we predict the duration of effect for a single oral dose of 12 mg PHA121 will exceed that of 30 mg of icatibant and a single oral dose of 22 mg PHA121 will cover the same duration of effect as two icatibant injections of 30 mg administered six hours apart. Furthermore, analysis based on the results from this trial suggest that therapeutic doses of PHA121 may be at least 20 times smaller than the doses required for oral kallikrein inhibitors in development. In addition, we believe that the observed PK profile of our compound demonstrates the potential of PHVS719 as a prophylactic treatment of HAE by achieving steady-state plasma concentrations within 72 hours. The BK-challenge data was generated in a Phase 1 clinical trial, and we do not yet have data from any PHA121 Phase 2 clinical trial to evaluate the potential efficacy of PHA121 in HAE patients. We have not conducted a head-to-head comparison of icatibant to PHA121 in a clinical trial but have compared the published data for icatibant to data from our Phase 1 clinical trial of PHA121. Potency as used in this Annual Report refers to the amount of drug required to produce a pharmacological effect of given intensity and is not a measure of therapeutic efficacy.</w:t>
      </w:r>
    </w:p>
    <w:p>
      <w:pPr>
        <w:spacing w:after="0" w:line="384" w:lineRule="exact"/>
        <w:rPr>
          <w:sz w:val="20"/>
          <w:szCs w:val="20"/>
          <w:color w:val="auto"/>
        </w:rPr>
      </w:pPr>
    </w:p>
    <w:p>
      <w:pPr>
        <w:ind w:right="20" w:firstLine="445"/>
        <w:spacing w:after="0" w:line="259" w:lineRule="auto"/>
        <w:rPr>
          <w:sz w:val="20"/>
          <w:szCs w:val="20"/>
          <w:color w:val="auto"/>
        </w:rPr>
      </w:pPr>
      <w:r>
        <w:rPr>
          <w:rFonts w:ascii="Arial" w:cs="Arial" w:eastAsia="Arial" w:hAnsi="Arial"/>
          <w:sz w:val="16"/>
          <w:szCs w:val="16"/>
          <w:color w:val="auto"/>
        </w:rPr>
        <w:t>We have commenced a Phase 2 clinical trial, RAPIDe-1, that will evaluate angioedema symptom relief within four hours of different doses of PHVS416 or placebo while treating acute attacks of patients. We anticipate having Phase 2 data from RAPIDe-1 in the fourth quarter of 2022. Additional trials may be required by the FDA, EMA or other regulators even if we receive positive data from RAPIDe-1. We are also planning to subsequently conduct a registration-directed trial in the on-demand setting.</w:t>
      </w:r>
    </w:p>
    <w:p>
      <w:pPr>
        <w:spacing w:after="0" w:line="178" w:lineRule="exact"/>
        <w:rPr>
          <w:sz w:val="20"/>
          <w:szCs w:val="20"/>
          <w:color w:val="auto"/>
        </w:rPr>
      </w:pPr>
    </w:p>
    <w:p>
      <w:pPr>
        <w:ind w:right="80" w:firstLine="445"/>
        <w:spacing w:after="0" w:line="259" w:lineRule="auto"/>
        <w:rPr>
          <w:sz w:val="20"/>
          <w:szCs w:val="20"/>
          <w:color w:val="auto"/>
        </w:rPr>
      </w:pPr>
      <w:r>
        <w:rPr>
          <w:rFonts w:ascii="Arial" w:cs="Arial" w:eastAsia="Arial" w:hAnsi="Arial"/>
          <w:sz w:val="16"/>
          <w:szCs w:val="16"/>
          <w:color w:val="auto"/>
        </w:rPr>
        <w:t>We are similarly planning two clinical trials in the prophylactic setting. In the first, subjects will be randomized to receive PHVS416 or placebo for twelve weeks. The primary objective is to assess the safety profile in HAE patients. For the second, we are planning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Differentiation of PHA121</w:t>
      </w:r>
    </w:p>
    <w:p>
      <w:pPr>
        <w:spacing w:after="0" w:line="113" w:lineRule="exact"/>
        <w:rPr>
          <w:sz w:val="20"/>
          <w:szCs w:val="20"/>
          <w:color w:val="auto"/>
        </w:rPr>
      </w:pPr>
    </w:p>
    <w:p>
      <w:pPr>
        <w:ind w:right="540" w:firstLine="445"/>
        <w:spacing w:after="0" w:line="286" w:lineRule="auto"/>
        <w:rPr>
          <w:sz w:val="20"/>
          <w:szCs w:val="20"/>
          <w:color w:val="auto"/>
        </w:rPr>
      </w:pPr>
      <w:r>
        <w:rPr>
          <w:rFonts w:ascii="Arial" w:cs="Arial" w:eastAsia="Arial" w:hAnsi="Arial"/>
          <w:sz w:val="16"/>
          <w:szCs w:val="16"/>
          <w:color w:val="auto"/>
        </w:rPr>
        <w:t>We believe that PHA121, as the molecule underlying both PHVS416 and PHVS719, has the potential to be highly differentiated for both the on-demand and prophylactic settings with the key benefits below:</w:t>
      </w:r>
    </w:p>
    <w:p>
      <w:pPr>
        <w:spacing w:after="0" w:line="156" w:lineRule="exact"/>
        <w:rPr>
          <w:sz w:val="20"/>
          <w:szCs w:val="20"/>
          <w:color w:val="auto"/>
        </w:rPr>
      </w:pPr>
    </w:p>
    <w:p>
      <w:pPr>
        <w:ind w:right="320" w:firstLine="445"/>
        <w:spacing w:after="0" w:line="286" w:lineRule="auto"/>
        <w:rPr>
          <w:sz w:val="20"/>
          <w:szCs w:val="20"/>
          <w:color w:val="auto"/>
        </w:rPr>
      </w:pPr>
      <w:r>
        <w:rPr>
          <w:rFonts w:ascii="Arial" w:cs="Arial" w:eastAsia="Arial" w:hAnsi="Arial"/>
          <w:sz w:val="16"/>
          <w:szCs w:val="16"/>
          <w:i w:val="1"/>
          <w:iCs w:val="1"/>
          <w:color w:val="auto"/>
        </w:rPr>
        <w:t>PHVS416</w:t>
      </w:r>
      <w:r>
        <w:rPr>
          <w:rFonts w:ascii="Arial" w:cs="Arial" w:eastAsia="Arial" w:hAnsi="Arial"/>
          <w:sz w:val="16"/>
          <w:szCs w:val="16"/>
          <w:color w:val="auto"/>
        </w:rPr>
        <w:t>. We believe that PHVS416, an on-demand, rapid exposure softgel capsule, has potential to be highly differentiated for patients suffering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acute HAE attacks with the following benefits: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Complete Symptom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Rapid Onset of Activity</w:t>
      </w:r>
    </w:p>
    <w:p>
      <w:pPr>
        <w:spacing w:after="0" w:line="208" w:lineRule="exact"/>
        <w:rPr>
          <w:sz w:val="20"/>
          <w:szCs w:val="20"/>
          <w:color w:val="auto"/>
        </w:rPr>
      </w:pPr>
    </w:p>
    <w:p>
      <w:pPr>
        <w:ind w:right="793"/>
        <w:spacing w:after="0" w:line="437" w:lineRule="auto"/>
        <w:rPr>
          <w:sz w:val="20"/>
          <w:szCs w:val="20"/>
          <w:color w:val="auto"/>
        </w:rPr>
      </w:pPr>
      <w:r>
        <w:rPr>
          <w:rFonts w:ascii="Arial" w:cs="Arial" w:eastAsia="Arial" w:hAnsi="Arial"/>
          <w:sz w:val="16"/>
          <w:szCs w:val="16"/>
          <w:b w:val="1"/>
          <w:bCs w:val="1"/>
          <w:color w:val="auto"/>
        </w:rPr>
        <w:t>Potential Reduced Treatment Burden / Enhanced Patient Convenience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87" w:hanging="187"/>
        <w:spacing w:after="0"/>
        <w:tabs>
          <w:tab w:leader="none" w:pos="1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Clinically validated mechanism of bradykinin-B2-receptor antagonism</w:t>
      </w:r>
    </w:p>
    <w:p>
      <w:pPr>
        <w:spacing w:after="0" w:line="126" w:lineRule="exact"/>
        <w:rPr>
          <w:rFonts w:ascii="Arial" w:cs="Arial" w:eastAsia="Arial" w:hAnsi="Arial"/>
          <w:sz w:val="16"/>
          <w:szCs w:val="16"/>
          <w:color w:val="auto"/>
        </w:rPr>
      </w:pPr>
    </w:p>
    <w:p>
      <w:pPr>
        <w:ind w:left="207" w:right="280" w:hanging="207"/>
        <w:spacing w:after="0" w:line="286" w:lineRule="auto"/>
        <w:tabs>
          <w:tab w:leader="none" w:pos="1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Utilizing same surrogate assessment for dose selection as the development program for icatibant</w:t>
      </w:r>
    </w:p>
    <w:p>
      <w:pPr>
        <w:spacing w:after="0" w:line="74" w:lineRule="exact"/>
        <w:rPr>
          <w:rFonts w:ascii="Arial" w:cs="Arial" w:eastAsia="Arial" w:hAnsi="Arial"/>
          <w:sz w:val="16"/>
          <w:szCs w:val="16"/>
          <w:color w:val="auto"/>
        </w:rPr>
      </w:pPr>
    </w:p>
    <w:p>
      <w:pPr>
        <w:ind w:left="187" w:hanging="187"/>
        <w:spacing w:after="0"/>
        <w:tabs>
          <w:tab w:leader="none" w:pos="1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More potent inhibitor than icatibant</w:t>
      </w:r>
    </w:p>
    <w:p>
      <w:pPr>
        <w:spacing w:after="0" w:line="167" w:lineRule="exact"/>
        <w:rPr>
          <w:rFonts w:ascii="Arial" w:cs="Arial" w:eastAsia="Arial" w:hAnsi="Arial"/>
          <w:sz w:val="16"/>
          <w:szCs w:val="16"/>
          <w:color w:val="auto"/>
        </w:rPr>
      </w:pPr>
    </w:p>
    <w:p>
      <w:pPr>
        <w:ind w:left="187" w:hanging="187"/>
        <w:spacing w:after="0"/>
        <w:tabs>
          <w:tab w:leader="none" w:pos="1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Longer half-life than icatibant</w:t>
      </w:r>
    </w:p>
    <w:p>
      <w:pPr>
        <w:spacing w:after="0" w:line="140" w:lineRule="exact"/>
        <w:rPr>
          <w:rFonts w:ascii="Arial" w:cs="Arial" w:eastAsia="Arial" w:hAnsi="Arial"/>
          <w:sz w:val="16"/>
          <w:szCs w:val="16"/>
          <w:color w:val="auto"/>
        </w:rPr>
      </w:pPr>
    </w:p>
    <w:p>
      <w:pPr>
        <w:ind w:left="207" w:right="60" w:hanging="207"/>
        <w:spacing w:after="0" w:line="286" w:lineRule="auto"/>
        <w:tabs>
          <w:tab w:leader="none" w:pos="1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Exposure exceeds the anticipated threshold therapeutic plasma level (EC</w:t>
      </w:r>
      <w:r>
        <w:rPr>
          <w:rFonts w:ascii="Arial" w:cs="Arial" w:eastAsia="Arial" w:hAnsi="Arial"/>
          <w:sz w:val="13"/>
          <w:szCs w:val="13"/>
          <w:color w:val="auto"/>
        </w:rPr>
        <w:t>85</w:t>
      </w:r>
      <w:r>
        <w:rPr>
          <w:rFonts w:ascii="Arial" w:cs="Arial" w:eastAsia="Arial" w:hAnsi="Arial"/>
          <w:sz w:val="16"/>
          <w:szCs w:val="16"/>
          <w:color w:val="auto"/>
        </w:rPr>
        <w:t>) in 15 minutes, with or without food</w:t>
      </w:r>
    </w:p>
    <w:p>
      <w:pPr>
        <w:spacing w:after="0" w:line="47" w:lineRule="exact"/>
        <w:rPr>
          <w:rFonts w:ascii="Arial" w:cs="Arial" w:eastAsia="Arial" w:hAnsi="Arial"/>
          <w:sz w:val="16"/>
          <w:szCs w:val="16"/>
          <w:color w:val="auto"/>
        </w:rPr>
      </w:pPr>
    </w:p>
    <w:p>
      <w:pPr>
        <w:ind w:left="187" w:hanging="187"/>
        <w:spacing w:after="0"/>
        <w:tabs>
          <w:tab w:leader="none" w:pos="1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injection needed</w:t>
      </w:r>
    </w:p>
    <w:p>
      <w:pPr>
        <w:spacing w:after="0" w:line="113" w:lineRule="exact"/>
        <w:rPr>
          <w:rFonts w:ascii="Arial" w:cs="Arial" w:eastAsia="Arial" w:hAnsi="Arial"/>
          <w:sz w:val="16"/>
          <w:szCs w:val="16"/>
          <w:color w:val="auto"/>
        </w:rPr>
      </w:pPr>
    </w:p>
    <w:p>
      <w:pPr>
        <w:ind w:left="187" w:hanging="187"/>
        <w:spacing w:after="0"/>
        <w:tabs>
          <w:tab w:leader="none" w:pos="1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Convenient oral formulation enables early treatment of acute HAE attacks</w:t>
      </w:r>
    </w:p>
    <w:p>
      <w:pPr>
        <w:spacing w:after="0" w:line="153" w:lineRule="exact"/>
        <w:rPr>
          <w:rFonts w:ascii="Arial" w:cs="Arial" w:eastAsia="Arial" w:hAnsi="Arial"/>
          <w:sz w:val="16"/>
          <w:szCs w:val="16"/>
          <w:color w:val="auto"/>
        </w:rPr>
      </w:pPr>
    </w:p>
    <w:p>
      <w:pPr>
        <w:ind w:left="187" w:hanging="187"/>
        <w:spacing w:after="0"/>
        <w:tabs>
          <w:tab w:leader="none" w:pos="1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Capsule reduces treatment burden</w:t>
      </w:r>
    </w:p>
    <w:p>
      <w:pPr>
        <w:spacing w:after="0" w:line="167" w:lineRule="exact"/>
        <w:rPr>
          <w:rFonts w:ascii="Arial" w:cs="Arial" w:eastAsia="Arial" w:hAnsi="Arial"/>
          <w:sz w:val="16"/>
          <w:szCs w:val="16"/>
          <w:color w:val="auto"/>
        </w:rPr>
      </w:pPr>
    </w:p>
    <w:p>
      <w:pPr>
        <w:ind w:left="187" w:hanging="187"/>
        <w:spacing w:after="0"/>
        <w:tabs>
          <w:tab w:leader="none" w:pos="1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Potential lowest dosage of any oral HAE on-demand treatment</w:t>
      </w:r>
    </w:p>
    <w:p>
      <w:pPr>
        <w:spacing w:after="0" w:line="200" w:lineRule="exact"/>
        <w:rPr>
          <w:sz w:val="20"/>
          <w:szCs w:val="20"/>
          <w:color w:val="auto"/>
        </w:rPr>
      </w:pPr>
    </w:p>
    <w:p>
      <w:pPr>
        <w:sectPr>
          <w:pgSz w:w="11900" w:h="16838" w:orient="portrait"/>
          <w:cols w:equalWidth="0" w:num="2">
            <w:col w:w="4553" w:space="720"/>
            <w:col w:w="5887"/>
          </w:cols>
          <w:pgMar w:left="320" w:top="125" w:right="419" w:bottom="1440" w:gutter="0" w:footer="0" w:header="0"/>
        </w:sectPr>
      </w:pPr>
    </w:p>
    <w:p>
      <w:pPr>
        <w:spacing w:after="0" w:line="89"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i w:val="1"/>
          <w:iCs w:val="1"/>
          <w:color w:val="auto"/>
        </w:rPr>
        <w:t>PHVS719</w:t>
      </w:r>
      <w:r>
        <w:rPr>
          <w:rFonts w:ascii="Arial" w:cs="Arial" w:eastAsia="Arial" w:hAnsi="Arial"/>
          <w:sz w:val="16"/>
          <w:szCs w:val="16"/>
          <w:color w:val="auto"/>
        </w:rPr>
        <w:t>. We believe that PHVS719, a prophylactic extended-release tablet designed to be taken in small, daily doses, has potential to be highly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for HAE patients with the following benefits: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Pr>
          <w:p>
            <w:pPr>
              <w:spacing w:after="0"/>
              <w:rPr>
                <w:sz w:val="20"/>
                <w:szCs w:val="20"/>
                <w:color w:val="auto"/>
              </w:rPr>
            </w:pPr>
            <w:r>
              <w:rPr>
                <w:rFonts w:ascii="Arial" w:cs="Arial" w:eastAsia="Arial" w:hAnsi="Arial"/>
                <w:sz w:val="16"/>
                <w:szCs w:val="16"/>
                <w:b w:val="1"/>
                <w:bCs w:val="1"/>
                <w:color w:val="auto"/>
              </w:rPr>
              <w:t>Protection From Attacks</w:t>
            </w:r>
          </w:p>
        </w:tc>
        <w:tc>
          <w:tcPr>
            <w:tcW w:w="880" w:type="dxa"/>
            <w:vAlign w:val="bottom"/>
          </w:tcPr>
          <w:p>
            <w:pPr>
              <w:ind w:left="760"/>
              <w:spacing w:after="0"/>
              <w:rPr>
                <w:sz w:val="20"/>
                <w:szCs w:val="20"/>
                <w:color w:val="auto"/>
              </w:rPr>
            </w:pPr>
            <w:r>
              <w:rPr>
                <w:rFonts w:ascii="Arial" w:cs="Arial" w:eastAsia="Arial" w:hAnsi="Arial"/>
                <w:sz w:val="16"/>
                <w:szCs w:val="16"/>
                <w:color w:val="auto"/>
              </w:rPr>
              <w:t>•</w:t>
            </w:r>
          </w:p>
        </w:tc>
        <w:tc>
          <w:tcPr>
            <w:tcW w:w="5660" w:type="dxa"/>
            <w:vAlign w:val="bottom"/>
          </w:tcPr>
          <w:p>
            <w:pPr>
              <w:ind w:left="80"/>
              <w:spacing w:after="0"/>
              <w:rPr>
                <w:sz w:val="20"/>
                <w:szCs w:val="20"/>
                <w:color w:val="auto"/>
              </w:rPr>
            </w:pPr>
            <w:r>
              <w:rPr>
                <w:rFonts w:ascii="Arial" w:cs="Arial" w:eastAsia="Arial" w:hAnsi="Arial"/>
                <w:sz w:val="16"/>
                <w:szCs w:val="16"/>
                <w:color w:val="auto"/>
              </w:rPr>
              <w:t>Validated, proven mechanism to address all bradykinin, regardless of pathway</w:t>
            </w:r>
          </w:p>
        </w:tc>
      </w:tr>
      <w:tr>
        <w:trPr>
          <w:trHeight w:val="297"/>
        </w:trPr>
        <w:tc>
          <w:tcPr>
            <w:tcW w:w="4520" w:type="dxa"/>
            <w:vAlign w:val="bottom"/>
          </w:tcPr>
          <w:p>
            <w:pPr>
              <w:spacing w:after="0"/>
              <w:rPr>
                <w:sz w:val="20"/>
                <w:szCs w:val="20"/>
                <w:color w:val="auto"/>
              </w:rPr>
            </w:pPr>
            <w:r>
              <w:rPr>
                <w:rFonts w:ascii="Arial" w:cs="Arial" w:eastAsia="Arial" w:hAnsi="Arial"/>
                <w:sz w:val="16"/>
                <w:szCs w:val="16"/>
                <w:b w:val="1"/>
                <w:bCs w:val="1"/>
                <w:color w:val="auto"/>
              </w:rPr>
              <w:t>Ideal Release Profile for Prophylactic Use</w:t>
            </w:r>
          </w:p>
        </w:tc>
        <w:tc>
          <w:tcPr>
            <w:tcW w:w="880" w:type="dxa"/>
            <w:vAlign w:val="bottom"/>
          </w:tcPr>
          <w:p>
            <w:pPr>
              <w:ind w:left="760"/>
              <w:spacing w:after="0"/>
              <w:rPr>
                <w:sz w:val="20"/>
                <w:szCs w:val="20"/>
                <w:color w:val="auto"/>
              </w:rPr>
            </w:pPr>
            <w:r>
              <w:rPr>
                <w:rFonts w:ascii="Arial" w:cs="Arial" w:eastAsia="Arial" w:hAnsi="Arial"/>
                <w:sz w:val="16"/>
                <w:szCs w:val="16"/>
                <w:color w:val="auto"/>
              </w:rPr>
              <w:t>•</w:t>
            </w:r>
          </w:p>
        </w:tc>
        <w:tc>
          <w:tcPr>
            <w:tcW w:w="5660" w:type="dxa"/>
            <w:vAlign w:val="bottom"/>
          </w:tcPr>
          <w:p>
            <w:pPr>
              <w:ind w:left="80"/>
              <w:spacing w:after="0"/>
              <w:rPr>
                <w:sz w:val="20"/>
                <w:szCs w:val="20"/>
                <w:color w:val="auto"/>
              </w:rPr>
            </w:pPr>
            <w:r>
              <w:rPr>
                <w:rFonts w:ascii="Arial" w:cs="Arial" w:eastAsia="Arial" w:hAnsi="Arial"/>
                <w:sz w:val="16"/>
                <w:szCs w:val="16"/>
                <w:color w:val="auto"/>
              </w:rPr>
              <w:t>Reaches and maintains steady-state concentration within 72 hours</w:t>
            </w:r>
          </w:p>
        </w:tc>
      </w:tr>
      <w:tr>
        <w:trPr>
          <w:trHeight w:val="303"/>
        </w:trPr>
        <w:tc>
          <w:tcPr>
            <w:tcW w:w="4520" w:type="dxa"/>
            <w:vAlign w:val="bottom"/>
          </w:tcPr>
          <w:p>
            <w:pPr>
              <w:spacing w:after="0"/>
              <w:rPr>
                <w:sz w:val="24"/>
                <w:szCs w:val="24"/>
                <w:color w:val="auto"/>
              </w:rPr>
            </w:pPr>
          </w:p>
        </w:tc>
        <w:tc>
          <w:tcPr>
            <w:tcW w:w="6540" w:type="dxa"/>
            <w:vAlign w:val="bottom"/>
            <w:gridSpan w:val="2"/>
          </w:tcPr>
          <w:p>
            <w:pPr>
              <w:ind w:left="760"/>
              <w:spacing w:after="0"/>
              <w:rPr>
                <w:sz w:val="20"/>
                <w:szCs w:val="20"/>
                <w:color w:val="auto"/>
              </w:rPr>
            </w:pPr>
            <w:r>
              <w:rPr>
                <w:rFonts w:ascii="Arial" w:cs="Arial" w:eastAsia="Arial" w:hAnsi="Arial"/>
                <w:sz w:val="16"/>
                <w:szCs w:val="16"/>
                <w:color w:val="auto"/>
              </w:rPr>
              <w:t>•  Appropriate pharmacokinetic profile with standard meals</w:t>
            </w:r>
          </w:p>
        </w:tc>
      </w:tr>
      <w:tr>
        <w:trPr>
          <w:trHeight w:val="305"/>
        </w:trPr>
        <w:tc>
          <w:tcPr>
            <w:tcW w:w="4520" w:type="dxa"/>
            <w:vAlign w:val="bottom"/>
          </w:tcPr>
          <w:p>
            <w:pPr>
              <w:spacing w:after="0"/>
              <w:rPr>
                <w:sz w:val="20"/>
                <w:szCs w:val="20"/>
                <w:color w:val="auto"/>
              </w:rPr>
            </w:pPr>
            <w:r>
              <w:rPr>
                <w:rFonts w:ascii="Arial" w:cs="Arial" w:eastAsia="Arial" w:hAnsi="Arial"/>
                <w:sz w:val="16"/>
                <w:szCs w:val="16"/>
                <w:b w:val="1"/>
                <w:bCs w:val="1"/>
                <w:color w:val="auto"/>
              </w:rPr>
              <w:t>Potential Reduced Treatment Burden / Enhanced</w:t>
            </w:r>
          </w:p>
        </w:tc>
        <w:tc>
          <w:tcPr>
            <w:tcW w:w="880" w:type="dxa"/>
            <w:vAlign w:val="bottom"/>
          </w:tcPr>
          <w:p>
            <w:pPr>
              <w:ind w:left="760"/>
              <w:spacing w:after="0"/>
              <w:rPr>
                <w:sz w:val="20"/>
                <w:szCs w:val="20"/>
                <w:color w:val="auto"/>
              </w:rPr>
            </w:pPr>
            <w:r>
              <w:rPr>
                <w:rFonts w:ascii="Arial" w:cs="Arial" w:eastAsia="Arial" w:hAnsi="Arial"/>
                <w:sz w:val="16"/>
                <w:szCs w:val="16"/>
                <w:color w:val="auto"/>
              </w:rPr>
              <w:t>•</w:t>
            </w:r>
          </w:p>
        </w:tc>
        <w:tc>
          <w:tcPr>
            <w:tcW w:w="5660" w:type="dxa"/>
            <w:vAlign w:val="bottom"/>
          </w:tcPr>
          <w:p>
            <w:pPr>
              <w:ind w:left="80"/>
              <w:spacing w:after="0"/>
              <w:rPr>
                <w:sz w:val="20"/>
                <w:szCs w:val="20"/>
                <w:color w:val="auto"/>
              </w:rPr>
            </w:pPr>
            <w:r>
              <w:rPr>
                <w:rFonts w:ascii="Arial" w:cs="Arial" w:eastAsia="Arial" w:hAnsi="Arial"/>
                <w:sz w:val="16"/>
                <w:szCs w:val="16"/>
                <w:color w:val="auto"/>
              </w:rPr>
              <w:t>Convenient oral daily dosing with extended-release tablet</w:t>
            </w:r>
          </w:p>
        </w:tc>
      </w:tr>
      <w:tr>
        <w:trPr>
          <w:trHeight w:val="297"/>
        </w:trPr>
        <w:tc>
          <w:tcPr>
            <w:tcW w:w="4520" w:type="dxa"/>
            <w:vAlign w:val="bottom"/>
          </w:tcPr>
          <w:p>
            <w:pPr>
              <w:spacing w:after="0"/>
              <w:rPr>
                <w:sz w:val="20"/>
                <w:szCs w:val="20"/>
                <w:color w:val="auto"/>
              </w:rPr>
            </w:pPr>
            <w:r>
              <w:rPr>
                <w:rFonts w:ascii="Arial" w:cs="Arial" w:eastAsia="Arial" w:hAnsi="Arial"/>
                <w:sz w:val="16"/>
                <w:szCs w:val="16"/>
                <w:b w:val="1"/>
                <w:bCs w:val="1"/>
                <w:color w:val="auto"/>
              </w:rPr>
              <w:t>Patient Convenience</w:t>
            </w:r>
          </w:p>
        </w:tc>
        <w:tc>
          <w:tcPr>
            <w:tcW w:w="880" w:type="dxa"/>
            <w:vAlign w:val="bottom"/>
          </w:tcPr>
          <w:p>
            <w:pPr>
              <w:ind w:left="760"/>
              <w:spacing w:after="0"/>
              <w:rPr>
                <w:sz w:val="20"/>
                <w:szCs w:val="20"/>
                <w:color w:val="auto"/>
              </w:rPr>
            </w:pPr>
            <w:r>
              <w:rPr>
                <w:rFonts w:ascii="Arial" w:cs="Arial" w:eastAsia="Arial" w:hAnsi="Arial"/>
                <w:sz w:val="16"/>
                <w:szCs w:val="16"/>
                <w:color w:val="auto"/>
              </w:rPr>
              <w:t>•</w:t>
            </w:r>
          </w:p>
        </w:tc>
        <w:tc>
          <w:tcPr>
            <w:tcW w:w="5660" w:type="dxa"/>
            <w:vAlign w:val="bottom"/>
          </w:tcPr>
          <w:p>
            <w:pPr>
              <w:ind w:left="80"/>
              <w:spacing w:after="0"/>
              <w:rPr>
                <w:sz w:val="20"/>
                <w:szCs w:val="20"/>
                <w:color w:val="auto"/>
              </w:rPr>
            </w:pPr>
            <w:r>
              <w:rPr>
                <w:rFonts w:ascii="Arial" w:cs="Arial" w:eastAsia="Arial" w:hAnsi="Arial"/>
                <w:sz w:val="16"/>
                <w:szCs w:val="16"/>
                <w:color w:val="auto"/>
              </w:rPr>
              <w:t>Twice-daily dosing with the potential for once a day</w:t>
            </w:r>
          </w:p>
        </w:tc>
      </w:tr>
      <w:tr>
        <w:trPr>
          <w:trHeight w:val="316"/>
        </w:trPr>
        <w:tc>
          <w:tcPr>
            <w:tcW w:w="4520" w:type="dxa"/>
            <w:vAlign w:val="bottom"/>
          </w:tcPr>
          <w:p>
            <w:pPr>
              <w:spacing w:after="0"/>
              <w:rPr>
                <w:sz w:val="24"/>
                <w:szCs w:val="24"/>
                <w:color w:val="auto"/>
              </w:rPr>
            </w:pPr>
          </w:p>
        </w:tc>
        <w:tc>
          <w:tcPr>
            <w:tcW w:w="6540" w:type="dxa"/>
            <w:vAlign w:val="bottom"/>
            <w:gridSpan w:val="2"/>
          </w:tcPr>
          <w:p>
            <w:pPr>
              <w:ind w:left="760"/>
              <w:spacing w:after="0"/>
              <w:rPr>
                <w:sz w:val="20"/>
                <w:szCs w:val="20"/>
                <w:color w:val="auto"/>
              </w:rPr>
            </w:pPr>
            <w:r>
              <w:rPr>
                <w:rFonts w:ascii="Arial" w:cs="Arial" w:eastAsia="Arial" w:hAnsi="Arial"/>
                <w:sz w:val="16"/>
                <w:szCs w:val="16"/>
                <w:color w:val="auto"/>
              </w:rPr>
              <w:t>•  Potential lowest dosage of any oral HAE treatment; ease of administration</w:t>
            </w:r>
          </w:p>
        </w:tc>
      </w:tr>
      <w:tr>
        <w:trPr>
          <w:trHeight w:val="271"/>
        </w:trPr>
        <w:tc>
          <w:tcPr>
            <w:tcW w:w="4520" w:type="dxa"/>
            <w:vAlign w:val="bottom"/>
          </w:tcPr>
          <w:p>
            <w:pPr>
              <w:spacing w:after="0"/>
              <w:rPr>
                <w:sz w:val="23"/>
                <w:szCs w:val="23"/>
                <w:color w:val="auto"/>
              </w:rPr>
            </w:pPr>
          </w:p>
        </w:tc>
        <w:tc>
          <w:tcPr>
            <w:tcW w:w="6540" w:type="dxa"/>
            <w:vAlign w:val="bottom"/>
            <w:gridSpan w:val="2"/>
          </w:tcPr>
          <w:p>
            <w:pPr>
              <w:ind w:left="760"/>
              <w:spacing w:after="0"/>
              <w:rPr>
                <w:sz w:val="20"/>
                <w:szCs w:val="20"/>
                <w:color w:val="auto"/>
              </w:rPr>
            </w:pPr>
            <w:r>
              <w:rPr>
                <w:rFonts w:ascii="Arial" w:cs="Arial" w:eastAsia="Arial" w:hAnsi="Arial"/>
                <w:sz w:val="16"/>
                <w:szCs w:val="16"/>
                <w:color w:val="auto"/>
              </w:rPr>
              <w:t>•  Well tolerated throughout therapeutic ranges as demonstrated by multiple</w:t>
            </w:r>
          </w:p>
        </w:tc>
      </w:tr>
      <w:tr>
        <w:trPr>
          <w:trHeight w:val="215"/>
        </w:trPr>
        <w:tc>
          <w:tcPr>
            <w:tcW w:w="4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Arial" w:cs="Arial" w:eastAsia="Arial" w:hAnsi="Arial"/>
                <w:sz w:val="16"/>
                <w:szCs w:val="16"/>
                <w:color w:val="auto"/>
              </w:rPr>
              <w:t>clinical trials to-date</w:t>
            </w:r>
          </w:p>
        </w:tc>
      </w:tr>
      <w:tr>
        <w:trPr>
          <w:trHeight w:val="297"/>
        </w:trPr>
        <w:tc>
          <w:tcPr>
            <w:tcW w:w="4520" w:type="dxa"/>
            <w:vAlign w:val="bottom"/>
          </w:tcPr>
          <w:p>
            <w:pPr>
              <w:spacing w:after="0"/>
              <w:rPr>
                <w:sz w:val="24"/>
                <w:szCs w:val="24"/>
                <w:color w:val="auto"/>
              </w:rPr>
            </w:pPr>
          </w:p>
        </w:tc>
        <w:tc>
          <w:tcPr>
            <w:tcW w:w="880" w:type="dxa"/>
            <w:vAlign w:val="bottom"/>
          </w:tcPr>
          <w:p>
            <w:pPr>
              <w:ind w:left="760"/>
              <w:spacing w:after="0"/>
              <w:rPr>
                <w:sz w:val="20"/>
                <w:szCs w:val="20"/>
                <w:color w:val="auto"/>
              </w:rPr>
            </w:pPr>
            <w:r>
              <w:rPr>
                <w:rFonts w:ascii="Arial" w:cs="Arial" w:eastAsia="Arial" w:hAnsi="Arial"/>
                <w:sz w:val="16"/>
                <w:szCs w:val="16"/>
                <w:color w:val="auto"/>
              </w:rPr>
              <w:t>•</w:t>
            </w:r>
          </w:p>
        </w:tc>
        <w:tc>
          <w:tcPr>
            <w:tcW w:w="5660" w:type="dxa"/>
            <w:vAlign w:val="bottom"/>
          </w:tcPr>
          <w:p>
            <w:pPr>
              <w:ind w:left="120"/>
              <w:spacing w:after="0"/>
              <w:rPr>
                <w:sz w:val="20"/>
                <w:szCs w:val="20"/>
                <w:color w:val="auto"/>
              </w:rPr>
            </w:pPr>
            <w:r>
              <w:rPr>
                <w:rFonts w:ascii="Arial" w:cs="Arial" w:eastAsia="Arial" w:hAnsi="Arial"/>
                <w:sz w:val="16"/>
                <w:szCs w:val="16"/>
                <w:color w:val="auto"/>
              </w:rPr>
              <w:t>No injection needed</w:t>
            </w:r>
          </w:p>
        </w:tc>
      </w:tr>
    </w:tbl>
    <w:p>
      <w:pPr>
        <w:spacing w:after="0" w:line="29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get treated on-demand only and graduate to prophylaxis as attack frequency increases (commonly after puberty). To our knowledge, we are the only company that will offer this option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43575" cy="1911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357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445"/>
        <w:spacing w:after="0" w:line="256" w:lineRule="auto"/>
        <w:rPr>
          <w:sz w:val="20"/>
          <w:szCs w:val="20"/>
          <w:color w:val="auto"/>
        </w:rPr>
      </w:pPr>
      <w:r>
        <w:rPr>
          <w:rFonts w:ascii="Arial" w:cs="Arial" w:eastAsia="Arial" w:hAnsi="Arial"/>
          <w:sz w:val="16"/>
          <w:szCs w:val="16"/>
          <w:color w:val="auto"/>
        </w:rPr>
        <w:t>We plan to develop separate products for on-demand and prophylactic use, PHVS416 and PHVS719 respectively, with both products utilizing the same active ingredient, PHA121. PHVS416 will be a softgel capsule, and PHVS719 will be an extended-release tablet. We commenced our RAPIDe-1 Phase 2 clinical trial of PHVS416 in February 2021. We also commenced a Phase 2 clinical trial for prophylaxis in 2021 using twice-daily dosing of the PHVS416 softgel capsules (CHAPTER-1). Our primary objective with this trial is to assess the safety profile of PHVS416 dose regimens for prophylactic treatments in HAE patients. We also initiated a Phase 1 clinical trial with PHVS719 in 2021 to assess pharmacokinetics of the extended-release formulation.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Expansion of the Portfolio</w:t>
      </w:r>
    </w:p>
    <w:p>
      <w:pPr>
        <w:spacing w:after="0" w:line="111" w:lineRule="exact"/>
        <w:rPr>
          <w:sz w:val="20"/>
          <w:szCs w:val="20"/>
          <w:color w:val="auto"/>
        </w:rPr>
      </w:pPr>
    </w:p>
    <w:p>
      <w:pPr>
        <w:ind w:right="160" w:firstLine="445"/>
        <w:spacing w:after="0" w:line="254" w:lineRule="auto"/>
        <w:rPr>
          <w:sz w:val="20"/>
          <w:szCs w:val="20"/>
          <w:color w:val="auto"/>
        </w:rPr>
      </w:pPr>
      <w:r>
        <w:rPr>
          <w:rFonts w:ascii="Arial" w:cs="Arial" w:eastAsia="Arial" w:hAnsi="Arial"/>
          <w:sz w:val="16"/>
          <w:szCs w:val="16"/>
          <w:color w:val="auto"/>
        </w:rPr>
        <w:t>Our goal is to expand our portfolio with additional programs addressing other BK-mediated diseases, building on our strategic strength and expertise in the bradykinin-B2-receptor pathway. Our approach is to identify additional disease areas and indications with strong scientific rationale, high unmet medical need, a defined target population and significant differentiation potential. We are actively pursuing new synthesis, medicinal chemistry, and lead optimization to identify additional and/or follow-on product candidates. In collaboration and discussion with key opinion leaders, we are considering exploratory proof-of-concept studies to validate the potential of bradykinin-B2-receptor antagonism in new indications such as cardiovascular, allergy and immunology, neurological disease and others.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Strengths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company is built upon the following strengths:</w:t>
      </w:r>
    </w:p>
    <w:p>
      <w:pPr>
        <w:spacing w:after="0" w:line="113" w:lineRule="exact"/>
        <w:rPr>
          <w:sz w:val="20"/>
          <w:szCs w:val="20"/>
          <w:color w:val="auto"/>
        </w:rPr>
      </w:pPr>
    </w:p>
    <w:p>
      <w:pPr>
        <w:ind w:left="860" w:right="360" w:hanging="420"/>
        <w:spacing w:after="0" w:line="286"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Broad strength and expertise in the bradykinin-B2-receptor pathway. Members of the management team include an inventor of icatibant, the leadership team that developed icatibant through European approval, and a key member from the TAKHZYRO development team;</w:t>
      </w:r>
    </w:p>
    <w:p>
      <w:pPr>
        <w:spacing w:after="0" w:line="47" w:lineRule="exact"/>
        <w:rPr>
          <w:rFonts w:ascii="Arial" w:cs="Arial" w:eastAsia="Arial" w:hAnsi="Arial"/>
          <w:sz w:val="16"/>
          <w:szCs w:val="16"/>
          <w:color w:val="auto"/>
        </w:rPr>
      </w:pPr>
    </w:p>
    <w:p>
      <w:pPr>
        <w:ind w:left="860" w:right="240" w:hanging="420"/>
        <w:spacing w:after="0" w:line="286"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PHA121 is an orally available product candidate with a clinically validated mechanism of action that addresses serious unmet medical need in HAE;</w:t>
      </w:r>
    </w:p>
    <w:p>
      <w:pPr>
        <w:spacing w:after="0" w:line="47" w:lineRule="exact"/>
        <w:rPr>
          <w:rFonts w:ascii="Arial" w:cs="Arial" w:eastAsia="Arial" w:hAnsi="Arial"/>
          <w:sz w:val="16"/>
          <w:szCs w:val="16"/>
          <w:color w:val="auto"/>
        </w:rPr>
      </w:pPr>
    </w:p>
    <w:p>
      <w:pPr>
        <w:ind w:left="860" w:right="420" w:hanging="420"/>
        <w:spacing w:after="0" w:line="286"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PHA121 has demonstrated physicochemical properties suitable to formulations as both an on-demand product candidate, PHVS416, and a distinct prophylactic product candidate, PHVS719;</w:t>
      </w:r>
    </w:p>
    <w:p>
      <w:pPr>
        <w:spacing w:after="0" w:line="47" w:lineRule="exact"/>
        <w:rPr>
          <w:rFonts w:ascii="Arial" w:cs="Arial" w:eastAsia="Arial" w:hAnsi="Arial"/>
          <w:sz w:val="16"/>
          <w:szCs w:val="16"/>
          <w:color w:val="auto"/>
        </w:rPr>
      </w:pPr>
    </w:p>
    <w:p>
      <w:pPr>
        <w:ind w:left="860" w:right="240" w:hanging="420"/>
        <w:spacing w:after="0" w:line="266"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PHA121, compared to icatibant, the currently approved bradykinin B2-receptor inhibitor, demonstrated superior preclinical potency in blocking bradykinin signaling at the bradykinin B2-receptor, and good oral bioavailability and a longer half-life in humans, which has resulted in longer duration of the BK-blocking pharmacodynamic effect in humans;</w:t>
      </w:r>
    </w:p>
    <w:p>
      <w:pPr>
        <w:spacing w:after="0" w:line="63" w:lineRule="exact"/>
        <w:rPr>
          <w:rFonts w:ascii="Arial" w:cs="Arial" w:eastAsia="Arial" w:hAnsi="Arial"/>
          <w:sz w:val="16"/>
          <w:szCs w:val="16"/>
          <w:color w:val="auto"/>
        </w:rPr>
      </w:pPr>
    </w:p>
    <w:p>
      <w:pPr>
        <w:ind w:left="860" w:hanging="420"/>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wholly own intellectual property – including allowed and in-process patent applications – covering PHA121 and additional molecules; and</w:t>
      </w:r>
    </w:p>
    <w:p>
      <w:pPr>
        <w:spacing w:after="0" w:line="153" w:lineRule="exact"/>
        <w:rPr>
          <w:rFonts w:ascii="Arial" w:cs="Arial" w:eastAsia="Arial" w:hAnsi="Arial"/>
          <w:sz w:val="16"/>
          <w:szCs w:val="16"/>
          <w:color w:val="auto"/>
        </w:rPr>
      </w:pPr>
    </w:p>
    <w:p>
      <w:pPr>
        <w:ind w:left="860" w:right="180" w:hanging="420"/>
        <w:spacing w:after="0" w:line="286"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scientific experience allows us to leverage deep insight and experience in the bradykinin- B2-receptor pathway to expand our portfolio into other BK-mediated angioedema and BK-mediated diseases beyond angioedema.</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13" w:lineRule="exact"/>
        <w:rPr>
          <w:sz w:val="20"/>
          <w:szCs w:val="20"/>
          <w:color w:val="auto"/>
        </w:rPr>
      </w:pPr>
    </w:p>
    <w:p>
      <w:pPr>
        <w:ind w:right="40" w:firstLine="445"/>
        <w:spacing w:after="0" w:line="252" w:lineRule="auto"/>
        <w:rPr>
          <w:sz w:val="20"/>
          <w:szCs w:val="20"/>
          <w:color w:val="auto"/>
        </w:rPr>
      </w:pPr>
      <w:r>
        <w:rPr>
          <w:rFonts w:ascii="Arial" w:cs="Arial" w:eastAsia="Arial" w:hAnsi="Arial"/>
          <w:sz w:val="16"/>
          <w:szCs w:val="16"/>
          <w:color w:val="auto"/>
        </w:rPr>
        <w:t>Our strategy is to develop and commercialize therapies that are superior to currently available treatment options and improve patient quality of life and convenience. Our initial approach for HAE and potential expansions into non-hereditary angioedema and other BK-mediated diseases is based upon extensive patient, physician, and payer research to identify the key needs in the market. According to our analysis, oral therapy remains the highest unmet need for both on-demand and prophylactic use in HAE. Importantly, our research shows that patients are not willing to accept significantly reduced efficacy or safety with a switch to oral therapy. A therapy for HAE, whether for on-demand or prophylaxis, needs to offer strong efficacy, high tolerability &amp; safety, and convenient administration. Our intention with PHVS416 and PHVS719 is to develop products for the on-demand and prophylactic setting that can meet all of these needs. We are not aware of any other therapies on the market or in development that are able to provide such a comprehensive value proposition across the spectrum for HAE.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elements of our strategy include:</w:t>
      </w:r>
    </w:p>
    <w:p>
      <w:pPr>
        <w:spacing w:after="0" w:line="115" w:lineRule="exact"/>
        <w:rPr>
          <w:sz w:val="20"/>
          <w:szCs w:val="20"/>
          <w:color w:val="auto"/>
        </w:rPr>
      </w:pPr>
    </w:p>
    <w:p>
      <w:pPr>
        <w:ind w:left="860" w:hanging="420"/>
        <w:spacing w:after="0" w:line="258" w:lineRule="auto"/>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Continue to advance PHA121 through clinical development for on-demand treatment of HAE utilizing a fast-onset formulation, known as PHVS416. </w:t>
      </w:r>
      <w:r>
        <w:rPr>
          <w:rFonts w:ascii="Arial" w:cs="Arial" w:eastAsia="Arial" w:hAnsi="Arial"/>
          <w:sz w:val="16"/>
          <w:szCs w:val="16"/>
          <w:color w:val="auto"/>
        </w:rPr>
        <w:t>We intend to develop and commercialize PHVS416 as a fast- acting, orally available, potent inhibitor and selective treatment for acute</w:t>
      </w:r>
      <w:r>
        <w:rPr>
          <w:rFonts w:ascii="Arial" w:cs="Arial" w:eastAsia="Arial" w:hAnsi="Arial"/>
          <w:sz w:val="16"/>
          <w:szCs w:val="16"/>
          <w:i w:val="1"/>
          <w:iCs w:val="1"/>
          <w:color w:val="auto"/>
        </w:rPr>
        <w:t xml:space="preserve"> </w:t>
      </w:r>
      <w:r>
        <w:rPr>
          <w:rFonts w:ascii="Arial" w:cs="Arial" w:eastAsia="Arial" w:hAnsi="Arial"/>
          <w:sz w:val="16"/>
          <w:szCs w:val="16"/>
          <w:color w:val="auto"/>
        </w:rPr>
        <w:t>HAE. If considered appropriate by the FDA, we plan to pursue an expedited regulatory pathway that could allow us to more quickly provide patients with a potentially more effective oral therapy that is also more convenient.</w:t>
      </w:r>
    </w:p>
    <w:p>
      <w:pPr>
        <w:spacing w:after="0" w:line="70" w:lineRule="exact"/>
        <w:rPr>
          <w:rFonts w:ascii="Arial" w:cs="Arial" w:eastAsia="Arial" w:hAnsi="Arial"/>
          <w:sz w:val="16"/>
          <w:szCs w:val="16"/>
          <w:color w:val="auto"/>
        </w:rPr>
      </w:pPr>
    </w:p>
    <w:p>
      <w:pPr>
        <w:ind w:left="860" w:right="120" w:hanging="420"/>
        <w:spacing w:after="0" w:line="259" w:lineRule="auto"/>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Advance the development of PHA121 for prophylactic treatment of HAE utilizing an extended-release formulation, known as PHVS719</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advance PHVS719 through clinical development as an extended-release prophylactic treatment of HAE. We plan to leverage our clinical data and experience from the development of PHVS416 in the on-demand setting to expedite our efforts in the prophylactic setting. We expect the PK data from our Phase 2 trial RAPIDe-1 of PHVS416 to help select and refine our prophylactic dose for the PHVS719 clinical trials.</w:t>
      </w:r>
    </w:p>
    <w:p>
      <w:pPr>
        <w:spacing w:after="0" w:line="69" w:lineRule="exact"/>
        <w:rPr>
          <w:rFonts w:ascii="Arial" w:cs="Arial" w:eastAsia="Arial" w:hAnsi="Arial"/>
          <w:sz w:val="16"/>
          <w:szCs w:val="16"/>
          <w:color w:val="auto"/>
        </w:rPr>
      </w:pPr>
    </w:p>
    <w:p>
      <w:pPr>
        <w:ind w:left="860" w:right="80" w:hanging="420"/>
        <w:spacing w:after="0" w:line="253" w:lineRule="auto"/>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Expand the range of bradykinin-mediated angioedema indications to which PHVS416 and PHVS719 can be applied. </w:t>
      </w:r>
      <w:r>
        <w:rPr>
          <w:rFonts w:ascii="Arial" w:cs="Arial" w:eastAsia="Arial" w:hAnsi="Arial"/>
          <w:sz w:val="16"/>
          <w:szCs w:val="16"/>
          <w:color w:val="auto"/>
        </w:rPr>
        <w:t>In addition to Type 1 or</w:t>
      </w:r>
      <w:r>
        <w:rPr>
          <w:rFonts w:ascii="Arial" w:cs="Arial" w:eastAsia="Arial" w:hAnsi="Arial"/>
          <w:sz w:val="16"/>
          <w:szCs w:val="16"/>
          <w:i w:val="1"/>
          <w:iCs w:val="1"/>
          <w:color w:val="auto"/>
        </w:rPr>
        <w:t xml:space="preserve"> </w:t>
      </w:r>
      <w:r>
        <w:rPr>
          <w:rFonts w:ascii="Arial" w:cs="Arial" w:eastAsia="Arial" w:hAnsi="Arial"/>
          <w:sz w:val="16"/>
          <w:szCs w:val="16"/>
          <w:color w:val="auto"/>
        </w:rPr>
        <w:t>Type 2 HAE, bradykinin is also an important mediator for other types of idiopathic non-histaminergic angioedema, such as: non-histaminergic angioedema with normal C1-INH and acquired angioedema (AAE) due to C1-INH deficiency. Currently there are still no approved treatments for these angioedema patients who are unresponsive to conventional antihistamine/glucocorticoid treatment and have a high unmet medical need for effective therapies. Several clinical reports indicate that off-label use of icatibant has successfully treated acute attacks of non-histaminergic angioedema patients, which provides a strong rationale to expand the development PHVS416 and PHVS719 to address such a high unmet medical need.</w:t>
      </w:r>
    </w:p>
    <w:p>
      <w:pPr>
        <w:spacing w:after="0" w:line="73" w:lineRule="exact"/>
        <w:rPr>
          <w:rFonts w:ascii="Arial" w:cs="Arial" w:eastAsia="Arial" w:hAnsi="Arial"/>
          <w:sz w:val="16"/>
          <w:szCs w:val="16"/>
          <w:color w:val="auto"/>
        </w:rPr>
      </w:pPr>
    </w:p>
    <w:p>
      <w:pPr>
        <w:ind w:left="860" w:hanging="420"/>
        <w:spacing w:after="0" w:line="257" w:lineRule="auto"/>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Expand upon our expertise in the bradykinin-B2-receptor pathway</w:t>
      </w:r>
      <w:r>
        <w:rPr>
          <w:rFonts w:ascii="Arial" w:cs="Arial" w:eastAsia="Arial" w:hAnsi="Arial"/>
          <w:sz w:val="16"/>
          <w:szCs w:val="16"/>
          <w:color w:val="auto"/>
        </w:rPr>
        <w:t>. We intend to leverage the strategic strengths, insight, and deep experience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team in the bradykinin-B2-receptor pathway to identify additional disease areas and indications with strong scientific rationale, high unmet medical need, a defined target population and significant differentiation potential. As such, we will seek to develop follow-on product candidates that serve additional BK-mediated diseases beyond angioedema, such as cardiovascular, allergy and immunology, neurological disease or others.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860" w:right="100" w:hanging="420"/>
        <w:spacing w:after="0" w:line="259" w:lineRule="auto"/>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Commercialize our product candidates. </w:t>
      </w:r>
      <w:r>
        <w:rPr>
          <w:rFonts w:ascii="Arial" w:cs="Arial" w:eastAsia="Arial" w:hAnsi="Arial"/>
          <w:sz w:val="16"/>
          <w:szCs w:val="16"/>
          <w:color w:val="auto"/>
        </w:rPr>
        <w:t>We intend to retain economic and commercial ownership of our current product candidates. If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we expect to independently commercialize both PHVS416 and PHVS719 in the United States, Europe and certain other countries. As we advance towards regulatory approval for our product candidates, we will establish a focused commercialization and sales infrastructure suitable for HAE.</w:t>
      </w:r>
    </w:p>
    <w:p>
      <w:pPr>
        <w:spacing w:after="0" w:line="286" w:lineRule="exact"/>
        <w:rPr>
          <w:sz w:val="20"/>
          <w:szCs w:val="20"/>
          <w:color w:val="auto"/>
        </w:rPr>
      </w:pPr>
    </w:p>
    <w:p>
      <w:pPr>
        <w:jc w:val="center"/>
        <w:ind w:right="9420"/>
        <w:spacing w:after="0"/>
        <w:rPr>
          <w:sz w:val="20"/>
          <w:szCs w:val="20"/>
          <w:color w:val="auto"/>
        </w:rPr>
      </w:pPr>
      <w:r>
        <w:rPr>
          <w:rFonts w:ascii="Arial" w:cs="Arial" w:eastAsia="Arial" w:hAnsi="Arial"/>
          <w:sz w:val="16"/>
          <w:szCs w:val="16"/>
          <w:b w:val="1"/>
          <w:bCs w:val="1"/>
          <w:color w:val="auto"/>
        </w:rPr>
        <w:t>Hereditary Angioedema</w:t>
      </w:r>
    </w:p>
    <w:p>
      <w:pPr>
        <w:spacing w:after="0" w:line="115" w:lineRule="exact"/>
        <w:rPr>
          <w:sz w:val="20"/>
          <w:szCs w:val="20"/>
          <w:color w:val="auto"/>
        </w:rPr>
      </w:pPr>
    </w:p>
    <w:p>
      <w:pPr>
        <w:jc w:val="center"/>
        <w:ind w:right="9400"/>
        <w:spacing w:after="0"/>
        <w:rPr>
          <w:sz w:val="20"/>
          <w:szCs w:val="20"/>
          <w:color w:val="auto"/>
        </w:rPr>
      </w:pPr>
      <w:r>
        <w:rPr>
          <w:rFonts w:ascii="Arial" w:cs="Arial" w:eastAsia="Arial" w:hAnsi="Arial"/>
          <w:sz w:val="16"/>
          <w:szCs w:val="16"/>
          <w:b w:val="1"/>
          <w:bCs w:val="1"/>
          <w:i w:val="1"/>
          <w:iCs w:val="1"/>
          <w:color w:val="auto"/>
        </w:rPr>
        <w:t>Disease Overview</w:t>
      </w:r>
    </w:p>
    <w:p>
      <w:pPr>
        <w:spacing w:after="0" w:line="111" w:lineRule="exact"/>
        <w:rPr>
          <w:sz w:val="20"/>
          <w:szCs w:val="20"/>
          <w:color w:val="auto"/>
        </w:rPr>
      </w:pPr>
    </w:p>
    <w:p>
      <w:pPr>
        <w:ind w:right="120" w:firstLine="445"/>
        <w:spacing w:after="0" w:line="250" w:lineRule="auto"/>
        <w:rPr>
          <w:sz w:val="20"/>
          <w:szCs w:val="20"/>
          <w:color w:val="auto"/>
        </w:rPr>
      </w:pPr>
      <w:r>
        <w:rPr>
          <w:rFonts w:ascii="Arial" w:cs="Arial" w:eastAsia="Arial" w:hAnsi="Arial"/>
          <w:sz w:val="16"/>
          <w:szCs w:val="16"/>
          <w:color w:val="auto"/>
        </w:rPr>
        <w:t>HAE is a rare and potentially life-threatening genetic condition. HAE is an autosomal dominant disease, meaning that a defect in only one copy of the gene leads to symptoms and that it occurs at similar rates in both males and females. It is mainly caused by one or more mutations (inherited or spontaneous) in the SERPING1 gene, which codes for the C1-esterase inhibitor protein C1-INH. Deficiency or malfunction of C1-INH leads to uncontrolled synthesis and activity of plasma kallikrein and unconstrained BK production. Excessive BK production is recognized to be the key mediator of symptoms in patients with HAE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can occur in patients with normal levels of C1-INH for a variety of reasons including mutations in genes for Factor XIIa, plasminogen, angiopoietin-1 or kininogen-1. Moreover, bradykinin-induced acute attacks of angioedema can occur idiopathically in individuals for which a hereditary cause has not yet been identified. Excessive amounts of BK can also be caused by increased circulation of estrogens, reduced C1-INH levels due to underlying diseases, reduced elimination of BK, or through use of medications such as angiotensin-converting enzyme, or ACE, inhibitors and tissue plasminogen activator, or tPA.</w:t>
      </w:r>
    </w:p>
    <w:p>
      <w:pPr>
        <w:spacing w:after="0" w:line="187"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Excessive BK generation and increased risks for edema attacks in HAE may occur during conditions associated with inflammation, infections, ischemia and allergic reactions. Attacks often lead to discomfort, pain and nausea but can become life-threatening in the case of airway obstruction, with a 30% risk of asphyxiation if the attack remains untreated.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Airway swelling is particularly dangerous and can lead to death by asphyxiation. Although rare, at least half of HAE patients have experienced a life-threatening airway swelling attack and airway attacks remain a major cause of mortality in HAE patients. Swelling typically develops over 24 hours and resolves within five days without treatment. Symptoms typically present in young children and may take 5-10 years or until early adolescence or young adulthood to be diagnosed. HAE affects 1:50,000 to 1:10,000 individuals globally, or at least 6,600 patients in the U.S. and at least 8,900 patients in the EU.</w:t>
      </w:r>
    </w:p>
    <w:p>
      <w:pPr>
        <w:spacing w:after="0" w:line="189" w:lineRule="exact"/>
        <w:rPr>
          <w:sz w:val="20"/>
          <w:szCs w:val="20"/>
          <w:color w:val="auto"/>
        </w:rPr>
      </w:pPr>
    </w:p>
    <w:p>
      <w:pPr>
        <w:ind w:right="80" w:firstLine="445"/>
        <w:spacing w:after="0" w:line="259" w:lineRule="auto"/>
        <w:rPr>
          <w:sz w:val="20"/>
          <w:szCs w:val="20"/>
          <w:color w:val="auto"/>
        </w:rPr>
      </w:pPr>
      <w:r>
        <w:rPr>
          <w:rFonts w:ascii="Arial" w:cs="Arial" w:eastAsia="Arial" w:hAnsi="Arial"/>
          <w:sz w:val="16"/>
          <w:szCs w:val="16"/>
          <w:color w:val="auto"/>
        </w:rPr>
        <w:t>As a result of the lifelong nature of HAE and the challenges related to the use of many of the injected therapies, patient surveys consistently indicate an overwhelming desire for an oral therapy. We believe that a safe and effective oral agent has the potential to transform treatment for this disease. We also believe that opportunities exist for both acute and prophylactic treatments, and we intend to develop drug candidates for both on-demand and prophylactic use with the goal of providing patients with a set of oral options to prevent and treat their disease.</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Current Treatments and Their Limitations</w:t>
      </w:r>
    </w:p>
    <w:p>
      <w:pPr>
        <w:spacing w:after="0" w:line="111" w:lineRule="exact"/>
        <w:rPr>
          <w:sz w:val="20"/>
          <w:szCs w:val="20"/>
          <w:color w:val="auto"/>
        </w:rPr>
      </w:pPr>
    </w:p>
    <w:p>
      <w:pPr>
        <w:ind w:right="380" w:firstLine="445"/>
        <w:spacing w:after="0" w:line="286" w:lineRule="auto"/>
        <w:rPr>
          <w:sz w:val="20"/>
          <w:szCs w:val="20"/>
          <w:color w:val="auto"/>
        </w:rPr>
      </w:pPr>
      <w:r>
        <w:rPr>
          <w:rFonts w:ascii="Arial" w:cs="Arial" w:eastAsia="Arial" w:hAnsi="Arial"/>
          <w:sz w:val="16"/>
          <w:szCs w:val="16"/>
          <w:color w:val="auto"/>
        </w:rPr>
        <w:t>There are currently two treatment approaches to the management of HAE: acute (on-demand) treatment of attacks and prevention of attacks with short- or long-term prophylactic therapy.</w:t>
      </w:r>
    </w:p>
    <w:p>
      <w:pPr>
        <w:spacing w:after="0" w:line="115" w:lineRule="exact"/>
        <w:rPr>
          <w:sz w:val="20"/>
          <w:szCs w:val="20"/>
          <w:color w:val="auto"/>
        </w:rPr>
      </w:pPr>
    </w:p>
    <w:p>
      <w:pPr>
        <w:ind w:left="860" w:hanging="420"/>
        <w:spacing w:after="0" w:line="251"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On-Demand Treatment</w:t>
      </w:r>
      <w:r>
        <w:rPr>
          <w:rFonts w:ascii="Arial" w:cs="Arial" w:eastAsia="Arial" w:hAnsi="Arial"/>
          <w:sz w:val="16"/>
          <w:szCs w:val="16"/>
          <w:color w:val="auto"/>
        </w:rPr>
        <w:t>: The currently approved products for treatment of acute HAE attacks are all injectable products and include C1-INH</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products such as human plasma-derived C1-INH concentrates (BERINERT, CINRYZE, and CETOR) or recombinant human C1-INH (RUCONEST); the bradykinin-B2-receptor antagonist icatibant (FIRAZYR, and available as a generic product); and, the plasma kallikrein inhibitor ecallantide (KALBITOR), which has been known to cause allergic reactions including anaphylaxis and must be administered by a doctor or nurse in a healthcare setting. Human plasma-derived C1-INH concentrate products are isolated from donated human plasma and historically have been impacted by supply shortages. Subcutaneous, or s.c., icatibant is the only available bradykinin B2-receptor antagonist indicated for treatment of acute HAE attacks Type 1 or Type 2 with C1-INH deficiency. In acute HAE attacks, icatibant has been shown to provide a significantly faster onset of relief than placebo (2.0 h versus 19.8 h). Icatibant is recommended as a first-line treatment option for the treatment of acute HAE attacks in patients with HAE.</w:t>
      </w:r>
    </w:p>
    <w:p>
      <w:pPr>
        <w:spacing w:after="0" w:line="144" w:lineRule="exact"/>
        <w:rPr>
          <w:rFonts w:ascii="Arial" w:cs="Arial" w:eastAsia="Arial" w:hAnsi="Arial"/>
          <w:sz w:val="16"/>
          <w:szCs w:val="16"/>
          <w:color w:val="auto"/>
        </w:rPr>
      </w:pPr>
    </w:p>
    <w:p>
      <w:pPr>
        <w:ind w:left="860" w:right="40" w:hanging="420"/>
        <w:spacing w:after="0" w:line="251"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Prophylactic Treatment</w:t>
      </w:r>
      <w:r>
        <w:rPr>
          <w:rFonts w:ascii="Arial" w:cs="Arial" w:eastAsia="Arial" w:hAnsi="Arial"/>
          <w:sz w:val="16"/>
          <w:szCs w:val="16"/>
          <w:color w:val="auto"/>
        </w:rPr>
        <w:t>: Currently approved prophylactic therapies for HAE include C1-INH replacement products, such as intravenously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CINRYZE and subcutaneously delivered HAEGARDA/ BERINERT 2000/3000 (both of which require twice-weekly injections); the monoclonal antibody plasma kallikrein inhibitor lanadelumab-flyo (TAKHZYRO); and the recently approved small-molecule plasma kallikrein inhibitor berotralstat (ORLADEYO). Current treatment guidelines recommend against the use of the traditional oral medications for HAE, such as antifibrinolytics (tranexamic acid or epsilon aminocaproic acid) for HAE due to their limited efficacy. Attenuated androgens (e.g., danazol, stanozolol, and oxandrolone) are recommended only as second-line treatments for the prevention of HAE attacks, since there are numerous contraindications, therapeutic class adverse events or AEs, and overall suboptimal control of HAE in many patients. The use of attenuated androgens is limited by numerous safety issues, including seborrhea, altered libido, depression, fatigue, menstrual abnormalities, and masculinization.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To our knowledge, three other angioedema-specific oral medications for acute, as well as prophylactic, use are in clinical development. All of these are kallikrein inhibitors. The angioedema-specific oral medications which, to our knowledge, are currently in clinical development, include: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vMerge w:val="restart"/>
          </w:tcPr>
          <w:p>
            <w:pPr>
              <w:spacing w:after="0"/>
              <w:rPr>
                <w:sz w:val="20"/>
                <w:szCs w:val="20"/>
                <w:color w:val="auto"/>
              </w:rPr>
            </w:pPr>
            <w:r>
              <w:rPr>
                <w:rFonts w:ascii="Arial" w:cs="Arial" w:eastAsia="Arial" w:hAnsi="Arial"/>
                <w:sz w:val="13"/>
                <w:szCs w:val="13"/>
                <w:b w:val="1"/>
                <w:bCs w:val="1"/>
                <w:color w:val="auto"/>
              </w:rPr>
              <w:t>Company</w:t>
            </w:r>
          </w:p>
        </w:tc>
        <w:tc>
          <w:tcPr>
            <w:tcW w:w="1780" w:type="dxa"/>
            <w:vAlign w:val="bottom"/>
            <w:gridSpan w:val="2"/>
            <w:vMerge w:val="restart"/>
          </w:tcPr>
          <w:p>
            <w:pPr>
              <w:ind w:left="820"/>
              <w:spacing w:after="0"/>
              <w:rPr>
                <w:sz w:val="20"/>
                <w:szCs w:val="20"/>
                <w:color w:val="auto"/>
              </w:rPr>
            </w:pPr>
            <w:r>
              <w:rPr>
                <w:rFonts w:ascii="Arial" w:cs="Arial" w:eastAsia="Arial" w:hAnsi="Arial"/>
                <w:sz w:val="13"/>
                <w:szCs w:val="13"/>
                <w:b w:val="1"/>
                <w:bCs w:val="1"/>
                <w:color w:val="auto"/>
              </w:rPr>
              <w:t>Asset</w:t>
            </w:r>
          </w:p>
        </w:tc>
        <w:tc>
          <w:tcPr>
            <w:tcW w:w="4320" w:type="dxa"/>
            <w:vAlign w:val="bottom"/>
            <w:gridSpan w:val="2"/>
            <w:vMerge w:val="restart"/>
          </w:tcPr>
          <w:p>
            <w:pPr>
              <w:ind w:left="1440"/>
              <w:spacing w:after="0"/>
              <w:rPr>
                <w:sz w:val="20"/>
                <w:szCs w:val="20"/>
                <w:color w:val="auto"/>
              </w:rPr>
            </w:pPr>
            <w:r>
              <w:rPr>
                <w:rFonts w:ascii="Arial" w:cs="Arial" w:eastAsia="Arial" w:hAnsi="Arial"/>
                <w:sz w:val="13"/>
                <w:szCs w:val="13"/>
                <w:b w:val="1"/>
                <w:bCs w:val="1"/>
                <w:color w:val="auto"/>
              </w:rPr>
              <w:t>Mechanism of Action</w:t>
            </w:r>
          </w:p>
        </w:tc>
        <w:tc>
          <w:tcPr>
            <w:tcW w:w="14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Route of</w:t>
            </w:r>
          </w:p>
        </w:tc>
        <w:tc>
          <w:tcPr>
            <w:tcW w:w="940" w:type="dxa"/>
            <w:vAlign w:val="bottom"/>
          </w:tcPr>
          <w:p>
            <w:pPr>
              <w:jc w:val="center"/>
              <w:ind w:left="177"/>
              <w:spacing w:after="0"/>
              <w:rPr>
                <w:sz w:val="20"/>
                <w:szCs w:val="20"/>
                <w:color w:val="auto"/>
              </w:rPr>
            </w:pPr>
            <w:r>
              <w:rPr>
                <w:rFonts w:ascii="Arial" w:cs="Arial" w:eastAsia="Arial" w:hAnsi="Arial"/>
                <w:sz w:val="13"/>
                <w:szCs w:val="13"/>
                <w:b w:val="1"/>
                <w:bCs w:val="1"/>
                <w:color w:val="auto"/>
                <w:w w:val="94"/>
              </w:rPr>
              <w:t>Trial</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Role in</w:t>
            </w:r>
          </w:p>
        </w:tc>
        <w:tc>
          <w:tcPr>
            <w:tcW w:w="0" w:type="dxa"/>
            <w:vAlign w:val="bottom"/>
          </w:tcPr>
          <w:p>
            <w:pPr>
              <w:spacing w:after="0"/>
              <w:rPr>
                <w:sz w:val="1"/>
                <w:szCs w:val="1"/>
                <w:color w:val="auto"/>
              </w:rPr>
            </w:pPr>
          </w:p>
        </w:tc>
      </w:tr>
      <w:tr>
        <w:trPr>
          <w:trHeight w:val="153"/>
        </w:trPr>
        <w:tc>
          <w:tcPr>
            <w:tcW w:w="960" w:type="dxa"/>
            <w:vAlign w:val="bottom"/>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Administration</w:t>
            </w:r>
          </w:p>
        </w:tc>
        <w:tc>
          <w:tcPr>
            <w:tcW w:w="940" w:type="dxa"/>
            <w:vAlign w:val="bottom"/>
          </w:tcPr>
          <w:p>
            <w:pPr>
              <w:jc w:val="center"/>
              <w:ind w:left="177"/>
              <w:spacing w:after="0"/>
              <w:rPr>
                <w:sz w:val="20"/>
                <w:szCs w:val="20"/>
                <w:color w:val="auto"/>
              </w:rPr>
            </w:pPr>
            <w:r>
              <w:rPr>
                <w:rFonts w:ascii="Arial" w:cs="Arial" w:eastAsia="Arial" w:hAnsi="Arial"/>
                <w:sz w:val="13"/>
                <w:szCs w:val="13"/>
                <w:b w:val="1"/>
                <w:bCs w:val="1"/>
                <w:color w:val="auto"/>
                <w:w w:val="99"/>
              </w:rPr>
              <w:t>Phase</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Therapy</w:t>
            </w:r>
          </w:p>
        </w:tc>
        <w:tc>
          <w:tcPr>
            <w:tcW w:w="0" w:type="dxa"/>
            <w:vAlign w:val="bottom"/>
          </w:tcPr>
          <w:p>
            <w:pPr>
              <w:spacing w:after="0"/>
              <w:rPr>
                <w:sz w:val="1"/>
                <w:szCs w:val="1"/>
                <w:color w:val="auto"/>
              </w:rPr>
            </w:pPr>
          </w:p>
        </w:tc>
      </w:tr>
      <w:tr>
        <w:trPr>
          <w:trHeight w:val="196"/>
        </w:trPr>
        <w:tc>
          <w:tcPr>
            <w:tcW w:w="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KalVista</w:t>
            </w:r>
          </w:p>
        </w:tc>
        <w:tc>
          <w:tcPr>
            <w:tcW w:w="164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6"/>
                <w:szCs w:val="16"/>
                <w:color w:val="auto"/>
              </w:rPr>
              <w:t>KVD900</w:t>
            </w:r>
          </w:p>
        </w:tc>
        <w:tc>
          <w:tcPr>
            <w:tcW w:w="140" w:type="dxa"/>
            <w:vAlign w:val="bottom"/>
            <w:tcBorders>
              <w:top w:val="single" w:sz="8" w:color="CFF0FC"/>
            </w:tcBorders>
            <w:shd w:val="clear" w:color="auto" w:fill="CFF0FC"/>
          </w:tcPr>
          <w:p>
            <w:pPr>
              <w:spacing w:after="0"/>
              <w:rPr>
                <w:sz w:val="17"/>
                <w:szCs w:val="17"/>
                <w:color w:val="auto"/>
              </w:rPr>
            </w:pPr>
          </w:p>
        </w:tc>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Kallikrein inhibitor</w:t>
            </w:r>
          </w:p>
        </w:tc>
        <w:tc>
          <w:tcPr>
            <w:tcW w:w="14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9"/>
              </w:rPr>
              <w:t>Oral</w:t>
            </w:r>
          </w:p>
        </w:tc>
        <w:tc>
          <w:tcPr>
            <w:tcW w:w="1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Acute treatment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80" w:type="dxa"/>
            <w:vAlign w:val="bottom"/>
            <w:gridSpan w:val="2"/>
          </w:tcPr>
          <w:p>
            <w:pPr>
              <w:ind w:left="340"/>
              <w:spacing w:after="0"/>
              <w:rPr>
                <w:sz w:val="20"/>
                <w:szCs w:val="20"/>
                <w:color w:val="auto"/>
              </w:rPr>
            </w:pPr>
            <w:r>
              <w:rPr>
                <w:rFonts w:ascii="Arial" w:cs="Arial" w:eastAsia="Arial" w:hAnsi="Arial"/>
                <w:sz w:val="16"/>
                <w:szCs w:val="16"/>
                <w:color w:val="auto"/>
              </w:rPr>
              <w:t>KVD824</w:t>
            </w:r>
          </w:p>
        </w:tc>
        <w:tc>
          <w:tcPr>
            <w:tcW w:w="4320" w:type="dxa"/>
            <w:vAlign w:val="bottom"/>
            <w:gridSpan w:val="2"/>
          </w:tcPr>
          <w:p>
            <w:pPr>
              <w:spacing w:after="0"/>
              <w:rPr>
                <w:sz w:val="20"/>
                <w:szCs w:val="20"/>
                <w:color w:val="auto"/>
              </w:rPr>
            </w:pPr>
            <w:r>
              <w:rPr>
                <w:rFonts w:ascii="Arial" w:cs="Arial" w:eastAsia="Arial" w:hAnsi="Arial"/>
                <w:sz w:val="16"/>
                <w:szCs w:val="16"/>
                <w:color w:val="auto"/>
              </w:rPr>
              <w:t>Kallikrein inhibitor</w:t>
            </w: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Oral</w:t>
            </w:r>
          </w:p>
        </w:tc>
        <w:tc>
          <w:tcPr>
            <w:tcW w:w="9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6"/>
                <w:szCs w:val="16"/>
                <w:color w:val="auto"/>
              </w:rPr>
              <w:t>Prophylaxis</w:t>
            </w:r>
          </w:p>
        </w:tc>
        <w:tc>
          <w:tcPr>
            <w:tcW w:w="0" w:type="dxa"/>
            <w:vAlign w:val="bottom"/>
          </w:tcPr>
          <w:p>
            <w:pPr>
              <w:spacing w:after="0"/>
              <w:rPr>
                <w:sz w:val="1"/>
                <w:szCs w:val="1"/>
                <w:color w:val="auto"/>
              </w:rPr>
            </w:pPr>
          </w:p>
        </w:tc>
      </w:tr>
      <w:tr>
        <w:trPr>
          <w:trHeight w:val="203"/>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Attune</w:t>
            </w:r>
          </w:p>
        </w:tc>
        <w:tc>
          <w:tcPr>
            <w:tcW w:w="1780" w:type="dxa"/>
            <w:vAlign w:val="bottom"/>
            <w:gridSpan w:val="2"/>
            <w:shd w:val="clear" w:color="auto" w:fill="CFF0FC"/>
          </w:tcPr>
          <w:p>
            <w:pPr>
              <w:ind w:left="340"/>
              <w:spacing w:after="0"/>
              <w:rPr>
                <w:sz w:val="20"/>
                <w:szCs w:val="20"/>
                <w:color w:val="auto"/>
              </w:rPr>
            </w:pPr>
            <w:r>
              <w:rPr>
                <w:rFonts w:ascii="Arial" w:cs="Arial" w:eastAsia="Arial" w:hAnsi="Arial"/>
                <w:sz w:val="16"/>
                <w:szCs w:val="16"/>
                <w:color w:val="auto"/>
              </w:rPr>
              <w:t>ATN-249</w:t>
            </w:r>
          </w:p>
        </w:tc>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Kallikrein inhibitor</w:t>
            </w: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9"/>
              </w:rPr>
              <w:t>Oral</w:t>
            </w: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Prophylaxis</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firstLine="445"/>
        <w:spacing w:after="0" w:line="256" w:lineRule="auto"/>
        <w:rPr>
          <w:sz w:val="20"/>
          <w:szCs w:val="20"/>
          <w:color w:val="auto"/>
        </w:rPr>
      </w:pPr>
      <w:r>
        <w:rPr>
          <w:rFonts w:ascii="Arial" w:cs="Arial" w:eastAsia="Arial" w:hAnsi="Arial"/>
          <w:sz w:val="16"/>
          <w:szCs w:val="16"/>
          <w:color w:val="auto"/>
        </w:rPr>
        <w:t>We believe that the properties and mechanism of PHA121 enable us to develop oral product candidates that will be generally more convenient for patients to take, without sacrificing efficacy for treatment or prevention of angioedema attacks. For example, the known oral kallikrein inhibitors tested in on-demand settings to date have utilized doses that are more than twenty-fold higher than the dose we predict for PHVS416, and have not yet demonstrated efficacy matching the approved injectable products. In the prophylactic setting, oral kallikrein inhibitors have not yet demonstrated efficacy similar to the approved injectable products, and have used or are projected to use doses much higher than we project for PHVS719.</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Related indications to BK</w:t>
      </w:r>
    </w:p>
    <w:p>
      <w:pPr>
        <w:spacing w:after="0" w:line="111" w:lineRule="exact"/>
        <w:rPr>
          <w:sz w:val="20"/>
          <w:szCs w:val="20"/>
          <w:color w:val="auto"/>
        </w:rPr>
      </w:pPr>
    </w:p>
    <w:p>
      <w:pPr>
        <w:ind w:right="20" w:firstLine="445"/>
        <w:spacing w:after="0" w:line="250" w:lineRule="auto"/>
        <w:rPr>
          <w:sz w:val="20"/>
          <w:szCs w:val="20"/>
          <w:color w:val="auto"/>
        </w:rPr>
      </w:pPr>
      <w:r>
        <w:rPr>
          <w:rFonts w:ascii="Arial" w:cs="Arial" w:eastAsia="Arial" w:hAnsi="Arial"/>
          <w:sz w:val="16"/>
          <w:szCs w:val="16"/>
          <w:color w:val="auto"/>
        </w:rPr>
        <w:t>In addition to Type 1 or Type 2 HAE, bradykinin is also an important mediator for other types of non-histaminergic angioedema, such as: non-histaminergic angioedema with normal C1-INH and acquired angioedema (AAE) due to C1-INH deficiency. Unlike HAE Types 1/2, for the other forms of non-histaminergic angioedema, an unclear pathophysiology and lack of consistent diagnostic criteria have limited the opportunity for the clinical investigation and new treatment development. Consequently, there are still no approved treatments for non-histaminergic angioedema patients with normal C1-INH or AAE due to C1-INH deficiency, who are unresponsive to conventional antihistamine/glucocorticoid treatment and have a high unmet medical need for effective modern therapies. Recently the clinical research for non-histaminergic angioedema has made significant progress. Similar to Type 1 or 2 HAE, the kinin pathway potentially plays a critical role in the underlying pathophysiology of non-histaminergic angioedema, for example, bradykinin has been shown to be elevated in plasma from non-histaminergic angioedema patients during acute attacks and several clinical reports indicate that icatibant has successfully treated acute attacks in either non-histaminergic angioedema patients with normal C1-INH or AAE due to C1-INH deficiency patients. All these provide strong rationales to expand the development PHVS416 and PHVS719 to these types of BK-mediated angioedema and address the high unmet medical need.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PHA121</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Overview</w:t>
      </w:r>
    </w:p>
    <w:p>
      <w:pPr>
        <w:spacing w:after="0" w:line="111" w:lineRule="exact"/>
        <w:rPr>
          <w:sz w:val="20"/>
          <w:szCs w:val="20"/>
          <w:color w:val="auto"/>
        </w:rPr>
      </w:pPr>
    </w:p>
    <w:p>
      <w:pPr>
        <w:ind w:right="20" w:firstLine="445"/>
        <w:spacing w:after="0" w:line="251" w:lineRule="auto"/>
        <w:rPr>
          <w:sz w:val="20"/>
          <w:szCs w:val="20"/>
          <w:color w:val="auto"/>
        </w:rPr>
      </w:pPr>
      <w:r>
        <w:rPr>
          <w:rFonts w:ascii="Arial" w:cs="Arial" w:eastAsia="Arial" w:hAnsi="Arial"/>
          <w:sz w:val="16"/>
          <w:szCs w:val="16"/>
          <w:color w:val="auto"/>
        </w:rPr>
        <w:t>Since the 1990s, many companies have tried but failed to discover oral bradykinin-B2-receptor antagonists, as the bradykinin B2 receptor has proved to be a difficult target for the development of orally available antagonists. Historically, compounds targeting the bradykinin B2 receptor with adequate potency have had physicochemical properties inconsistent with oral bioavailability. The bradykinin B2 receptor is a G-protein coupled receptor (GPCR) that binds to the peptide bradykinin in an elongated fashion. It has been challenging to identify a small molecule that can bind in this pocket potently enough to compete with bradykinin while still being small enough with appropriate properties to demonstrate oral bioavailability. Starting with modeled structures of the bradykinin-binding pocket of the bradykinin B2 receptor, we designed and synthesized a novel lead series (a set of molecules with the potential to be further optimized). Through our lead optimization program, we synthesized over 600 compounds to select a small molecule that is designed to fit in the bradykinin-binding pocket at the bradykinin B2 receptor, preventing or halting its signaling activity, while also possessing desirable physicochemical properties and other profiling characteristics.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Bradykinin is the principal mediator of the signs and symptoms that represent acute HAE and other bradykinin-mediated angioedema attacks.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Bradykinin is a potent and selective agonist of the bradykinin B2 receptor.</w:t>
      </w:r>
    </w:p>
    <w:p>
      <w:pPr>
        <w:spacing w:after="0" w:line="221"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In HAE and other bradykinin-mediated angioedema, contact activation triggers increased activity of plasma kallikrein, resulting in excessive breakdown of high-molecular-weight kininogen (HMWK) and increased production of cleaved HMWK (cHMWK) and bradykinin.</w:t>
      </w:r>
    </w:p>
    <w:p>
      <w:pPr>
        <w:spacing w:after="0" w:line="156" w:lineRule="exact"/>
        <w:rPr>
          <w:sz w:val="20"/>
          <w:szCs w:val="20"/>
          <w:color w:val="auto"/>
        </w:rPr>
      </w:pPr>
    </w:p>
    <w:p>
      <w:pPr>
        <w:jc w:val="both"/>
        <w:ind w:right="80" w:firstLine="445"/>
        <w:spacing w:after="0" w:line="286" w:lineRule="auto"/>
        <w:rPr>
          <w:sz w:val="20"/>
          <w:szCs w:val="20"/>
          <w:color w:val="auto"/>
        </w:rPr>
      </w:pPr>
      <w:r>
        <w:rPr>
          <w:rFonts w:ascii="Arial" w:cs="Arial" w:eastAsia="Arial" w:hAnsi="Arial"/>
          <w:sz w:val="16"/>
          <w:szCs w:val="16"/>
          <w:color w:val="auto"/>
        </w:rPr>
        <w:t>Excessive bradykinin generation, as in HAE, promotes vascular permeability by activating the bradykinin B2 receptor, leading to plasma extravasation and subcutaneous or submucosal tissue swelling typical of an angioedema attack.</w:t>
      </w:r>
    </w:p>
    <w:p>
      <w:pPr>
        <w:spacing w:after="0" w:line="156" w:lineRule="exact"/>
        <w:rPr>
          <w:sz w:val="20"/>
          <w:szCs w:val="20"/>
          <w:color w:val="auto"/>
        </w:rPr>
      </w:pPr>
    </w:p>
    <w:p>
      <w:pPr>
        <w:jc w:val="both"/>
        <w:ind w:right="80" w:firstLine="445"/>
        <w:spacing w:after="0" w:line="266" w:lineRule="auto"/>
        <w:rPr>
          <w:sz w:val="20"/>
          <w:szCs w:val="20"/>
          <w:color w:val="auto"/>
        </w:rPr>
      </w:pPr>
      <w:r>
        <w:rPr>
          <w:rFonts w:ascii="Arial" w:cs="Arial" w:eastAsia="Arial" w:hAnsi="Arial"/>
          <w:sz w:val="16"/>
          <w:szCs w:val="16"/>
          <w:color w:val="auto"/>
        </w:rPr>
        <w:t>As the figure below illustrates, treatment with PHA121, an orally bioavailable low-molecular weight, potent, competitive and selective antagonist of the human bradykinin B2 receptor, is intended to block and prevent activation of the bradykinin B2 receptor by elevated bradykinin levels and prevent or halt the angioedema process, with reduced or resolved swelling as a consequence. PHA121 therefore has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therapeutic potential for both acute on-demand treatment and long-term prevention of attacks in patients with bradykinin- mediated angioedema.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278130</wp:posOffset>
            </wp:positionV>
            <wp:extent cx="5143500" cy="2888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firstLine="445"/>
        <w:spacing w:after="0" w:line="266" w:lineRule="auto"/>
        <w:rPr>
          <w:sz w:val="20"/>
          <w:szCs w:val="20"/>
          <w:color w:val="auto"/>
        </w:rPr>
      </w:pPr>
      <w:r>
        <w:rPr>
          <w:rFonts w:ascii="Arial" w:cs="Arial" w:eastAsia="Arial" w:hAnsi="Arial"/>
          <w:sz w:val="16"/>
          <w:szCs w:val="16"/>
          <w:color w:val="auto"/>
        </w:rPr>
        <w:t>PHA121 combines the preclinical selectivity of bradykinin-B2-receptor antagonism with oral bioavailability and extended exposure upon a single dose. PHA121 is being developed to become the first effective orally administered antagonist of BK activity with therapeutic potential for both acute on-demand treatment and long- term prevention of attacks in patients with HAE and other BK-mediated angioedema.</w:t>
      </w:r>
    </w:p>
    <w:p>
      <w:pPr>
        <w:spacing w:after="0" w:line="171"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 xml:space="preserve">PHA121 is an orally bioavailable competitive antagonist of the bradykinin B2 receptor with high affinity and high antagonist potency. PHA121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w:t>
      </w:r>
    </w:p>
    <w:p>
      <w:pPr>
        <w:spacing w:after="0" w:line="171" w:lineRule="exact"/>
        <w:rPr>
          <w:sz w:val="20"/>
          <w:szCs w:val="20"/>
          <w:color w:val="auto"/>
        </w:rPr>
      </w:pPr>
    </w:p>
    <w:p>
      <w:pPr>
        <w:ind w:right="20" w:firstLine="445"/>
        <w:spacing w:after="0" w:line="252" w:lineRule="auto"/>
        <w:rPr>
          <w:sz w:val="20"/>
          <w:szCs w:val="20"/>
          <w:color w:val="auto"/>
        </w:rPr>
      </w:pPr>
      <w:r>
        <w:rPr>
          <w:rFonts w:ascii="Arial" w:cs="Arial" w:eastAsia="Arial" w:hAnsi="Arial"/>
          <w:sz w:val="16"/>
          <w:szCs w:val="16"/>
          <w:color w:val="auto"/>
        </w:rPr>
        <w:t>PHA121 demonstrated 5000-fold selectivity for the bradykinin B2 receptor when compared to approximately 170 other molecular targets, including the bradykinin B1 receptor. As shown in the graphs below depicting mean arterial blood pressure (MABP) in a bradykinin challenge study in monkeys (back-translated from human), PHA121 showed clear dose-dependent activity. While differences between human and monkey PK prevent direct extrapolation to human dose, PHA121 demonstrated longer duration and faster onset of activity than injected icatibant in the same study.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BK-Challenge in Pre-Clinical Animal Model</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226695</wp:posOffset>
            </wp:positionV>
            <wp:extent cx="4183380" cy="4415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83380" cy="441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445"/>
        <w:spacing w:after="0" w:line="256" w:lineRule="auto"/>
        <w:rPr>
          <w:sz w:val="20"/>
          <w:szCs w:val="20"/>
          <w:color w:val="auto"/>
        </w:rPr>
      </w:pPr>
      <w:r>
        <w:rPr>
          <w:rFonts w:ascii="Arial" w:cs="Arial" w:eastAsia="Arial" w:hAnsi="Arial"/>
          <w:sz w:val="16"/>
          <w:szCs w:val="16"/>
          <w:color w:val="auto"/>
        </w:rPr>
        <w:t>In a published study conducted by the Company, a dose of 0.6mg/kg sc icatibant was used in monkeys, as PK data indicated that this dose would provide an exposure (Cmax 1,044 ng/mL, AUC 2,155 ng*h/mL, PHA0221-NC041) similar to the exposures seen in humans at a therapeutic dose of 30 mg sc (Cmax 979 ng/mL, AUC 2,191 ng*h/mL). The dose was found to effectively antagonize the BK challenge in monkeys up to six hours after dosing, similar to its duration of action in humans. The maximal effect of icatibant in this model was reached at the second measure time point, two hours after dosing. The vehicle in the icatibant study was saline.</w:t>
      </w:r>
    </w:p>
    <w:p>
      <w:pPr>
        <w:spacing w:after="0" w:line="180" w:lineRule="exact"/>
        <w:rPr>
          <w:sz w:val="20"/>
          <w:szCs w:val="20"/>
          <w:color w:val="auto"/>
        </w:rPr>
      </w:pPr>
    </w:p>
    <w:p>
      <w:pPr>
        <w:ind w:right="320" w:firstLine="445"/>
        <w:spacing w:after="0" w:line="266" w:lineRule="auto"/>
        <w:rPr>
          <w:sz w:val="20"/>
          <w:szCs w:val="20"/>
          <w:color w:val="auto"/>
        </w:rPr>
      </w:pPr>
      <w:r>
        <w:rPr>
          <w:rFonts w:ascii="Arial" w:cs="Arial" w:eastAsia="Arial" w:hAnsi="Arial"/>
          <w:sz w:val="16"/>
          <w:szCs w:val="16"/>
          <w:color w:val="auto"/>
        </w:rPr>
        <w:t>PHA121 inhibited the BK-induced changes in MABP at all doses tested (0.1, 0.3, 1, 3 and 10 mg/kg given orally). The data show an early onset of activity, as the efficacy was already maximal at the first time point measured, one hour after oral dosing. This is a faster onset of action as compared to icatibant (0.6 mg/kg sc), which was maximally active on the BK-induced changes in MABP at two hours after dosing.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Nonclinical Toxicology</w:t>
      </w:r>
    </w:p>
    <w:p>
      <w:pPr>
        <w:spacing w:after="0" w:line="111"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 xml:space="preserve">We have conducted additional secondary pharmacodynamics, safety pharmacology, and toxicology (general, reproductive and developmental) studies for PHA121 which did not change our risk assessment for the ongoing or planned clinical trials. PHA121 did not demonstrate any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genotoxic or phototoxic potential. In repeat-dose general toxicity Good Laboratory Practices, or GLP studies in the rat and cynomolgus monkey of up to 6-and 9-months duration, respectively, and at doses up to the maximum tolerated in each species, no target organs of toxicity considered relevant to humans were observed. PHA121 has not demonstrated any adverse effects on embryo-fetal survival and development in the humanized bradykinin-B2-receptor transgenic rat or in the rabbit. Furthermore, male and female fertility studies showed no adverse effects of PHA121 on gonadal function, mating behavior, and reproductive performance.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 Program</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Study Number</w:t>
            </w:r>
          </w:p>
        </w:tc>
        <w:tc>
          <w:tcPr>
            <w:tcW w:w="140" w:type="dxa"/>
            <w:vAlign w:val="bottom"/>
          </w:tcPr>
          <w:p>
            <w:pPr>
              <w:spacing w:after="0"/>
              <w:rPr>
                <w:sz w:val="16"/>
                <w:szCs w:val="16"/>
                <w:color w:val="auto"/>
              </w:rPr>
            </w:pPr>
          </w:p>
        </w:tc>
        <w:tc>
          <w:tcPr>
            <w:tcW w:w="28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Short Description</w:t>
            </w:r>
          </w:p>
        </w:tc>
        <w:tc>
          <w:tcPr>
            <w:tcW w:w="0" w:type="dxa"/>
            <w:vAlign w:val="bottom"/>
          </w:tcPr>
          <w:p>
            <w:pPr>
              <w:spacing w:after="0"/>
              <w:rPr>
                <w:sz w:val="1"/>
                <w:szCs w:val="1"/>
                <w:color w:val="auto"/>
              </w:rPr>
            </w:pPr>
          </w:p>
        </w:tc>
      </w:tr>
      <w:tr>
        <w:trPr>
          <w:trHeight w:val="195"/>
        </w:trPr>
        <w:tc>
          <w:tcPr>
            <w:tcW w:w="1440" w:type="dxa"/>
            <w:vAlign w:val="bottom"/>
          </w:tcPr>
          <w:p>
            <w:pPr>
              <w:spacing w:after="0"/>
              <w:rPr>
                <w:sz w:val="20"/>
                <w:szCs w:val="20"/>
                <w:color w:val="auto"/>
              </w:rPr>
            </w:pPr>
            <w:r>
              <w:rPr>
                <w:rFonts w:ascii="Arial" w:cs="Arial" w:eastAsia="Arial" w:hAnsi="Arial"/>
                <w:sz w:val="16"/>
                <w:szCs w:val="16"/>
                <w:b w:val="1"/>
                <w:bCs w:val="1"/>
                <w:color w:val="auto"/>
              </w:rPr>
              <w:t>Phase 1</w:t>
            </w:r>
          </w:p>
        </w:tc>
        <w:tc>
          <w:tcPr>
            <w:tcW w:w="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20"/>
                <w:szCs w:val="20"/>
                <w:color w:val="auto"/>
              </w:rPr>
            </w:pPr>
            <w:r>
              <w:rPr>
                <w:rFonts w:ascii="Arial" w:cs="Arial" w:eastAsia="Arial" w:hAnsi="Arial"/>
                <w:sz w:val="16"/>
                <w:szCs w:val="16"/>
                <w:color w:val="auto"/>
              </w:rPr>
              <w:t>C001</w:t>
            </w:r>
          </w:p>
        </w:tc>
        <w:tc>
          <w:tcPr>
            <w:tcW w:w="2940" w:type="dxa"/>
            <w:vAlign w:val="bottom"/>
            <w:gridSpan w:val="2"/>
          </w:tcPr>
          <w:p>
            <w:pPr>
              <w:ind w:left="140"/>
              <w:spacing w:after="0"/>
              <w:rPr>
                <w:sz w:val="20"/>
                <w:szCs w:val="20"/>
                <w:color w:val="auto"/>
              </w:rPr>
            </w:pPr>
            <w:r>
              <w:rPr>
                <w:rFonts w:ascii="Arial" w:cs="Arial" w:eastAsia="Arial" w:hAnsi="Arial"/>
                <w:sz w:val="16"/>
                <w:szCs w:val="16"/>
                <w:color w:val="auto"/>
              </w:rPr>
              <w:t>Single ascending dose (SAD)</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2940" w:type="dxa"/>
            <w:vAlign w:val="bottom"/>
            <w:gridSpan w:val="2"/>
          </w:tcPr>
          <w:p>
            <w:pPr>
              <w:ind w:left="140"/>
              <w:spacing w:after="0"/>
              <w:rPr>
                <w:sz w:val="20"/>
                <w:szCs w:val="20"/>
                <w:color w:val="auto"/>
              </w:rPr>
            </w:pPr>
            <w:r>
              <w:rPr>
                <w:rFonts w:ascii="Arial" w:cs="Arial" w:eastAsia="Arial" w:hAnsi="Arial"/>
                <w:sz w:val="16"/>
                <w:szCs w:val="16"/>
                <w:color w:val="auto"/>
              </w:rPr>
              <w:t>and BK challenge/SAD-proof</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2940" w:type="dxa"/>
            <w:vAlign w:val="bottom"/>
            <w:gridSpan w:val="2"/>
          </w:tcPr>
          <w:p>
            <w:pPr>
              <w:ind w:left="140"/>
              <w:spacing w:after="0"/>
              <w:rPr>
                <w:sz w:val="20"/>
                <w:szCs w:val="20"/>
                <w:color w:val="auto"/>
              </w:rPr>
            </w:pPr>
            <w:r>
              <w:rPr>
                <w:rFonts w:ascii="Arial" w:cs="Arial" w:eastAsia="Arial" w:hAnsi="Arial"/>
                <w:sz w:val="16"/>
                <w:szCs w:val="16"/>
                <w:color w:val="auto"/>
              </w:rPr>
              <w:t>of mechanism (POM)</w:t>
            </w:r>
          </w:p>
        </w:tc>
        <w:tc>
          <w:tcPr>
            <w:tcW w:w="0" w:type="dxa"/>
            <w:vAlign w:val="bottom"/>
          </w:tcPr>
          <w:p>
            <w:pPr>
              <w:spacing w:after="0"/>
              <w:rPr>
                <w:sz w:val="1"/>
                <w:szCs w:val="1"/>
                <w:color w:val="auto"/>
              </w:rPr>
            </w:pPr>
          </w:p>
        </w:tc>
      </w:tr>
      <w:tr>
        <w:trPr>
          <w:trHeight w:val="338"/>
        </w:trPr>
        <w:tc>
          <w:tcPr>
            <w:tcW w:w="1440" w:type="dxa"/>
            <w:vAlign w:val="bottom"/>
          </w:tcPr>
          <w:p>
            <w:pPr>
              <w:spacing w:after="0"/>
              <w:rPr>
                <w:sz w:val="20"/>
                <w:szCs w:val="20"/>
                <w:color w:val="auto"/>
              </w:rPr>
            </w:pPr>
            <w:r>
              <w:rPr>
                <w:rFonts w:ascii="Arial" w:cs="Arial" w:eastAsia="Arial" w:hAnsi="Arial"/>
                <w:sz w:val="16"/>
                <w:szCs w:val="16"/>
                <w:color w:val="auto"/>
              </w:rPr>
              <w:t>C002</w:t>
            </w:r>
          </w:p>
        </w:tc>
        <w:tc>
          <w:tcPr>
            <w:tcW w:w="2940" w:type="dxa"/>
            <w:vAlign w:val="bottom"/>
            <w:gridSpan w:val="2"/>
            <w:vMerge w:val="restart"/>
          </w:tcPr>
          <w:p>
            <w:pPr>
              <w:ind w:left="140"/>
              <w:spacing w:after="0"/>
              <w:rPr>
                <w:sz w:val="20"/>
                <w:szCs w:val="20"/>
                <w:color w:val="auto"/>
              </w:rPr>
            </w:pPr>
            <w:r>
              <w:rPr>
                <w:rFonts w:ascii="Arial" w:cs="Arial" w:eastAsia="Arial" w:hAnsi="Arial"/>
                <w:sz w:val="16"/>
                <w:szCs w:val="16"/>
                <w:color w:val="auto"/>
              </w:rPr>
              <w:t>SAD extension</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440" w:type="dxa"/>
            <w:vAlign w:val="bottom"/>
          </w:tcPr>
          <w:p>
            <w:pPr>
              <w:spacing w:after="0"/>
              <w:rPr>
                <w:sz w:val="20"/>
                <w:szCs w:val="20"/>
                <w:color w:val="auto"/>
              </w:rPr>
            </w:pPr>
            <w:r>
              <w:rPr>
                <w:rFonts w:ascii="Arial" w:cs="Arial" w:eastAsia="Arial" w:hAnsi="Arial"/>
                <w:sz w:val="16"/>
                <w:szCs w:val="16"/>
                <w:color w:val="auto"/>
              </w:rPr>
              <w:t>C003</w:t>
            </w:r>
          </w:p>
        </w:tc>
        <w:tc>
          <w:tcPr>
            <w:tcW w:w="2940" w:type="dxa"/>
            <w:vAlign w:val="bottom"/>
            <w:gridSpan w:val="2"/>
          </w:tcPr>
          <w:p>
            <w:pPr>
              <w:ind w:left="140"/>
              <w:spacing w:after="0"/>
              <w:rPr>
                <w:sz w:val="20"/>
                <w:szCs w:val="20"/>
                <w:color w:val="auto"/>
              </w:rPr>
            </w:pPr>
            <w:r>
              <w:rPr>
                <w:rFonts w:ascii="Arial" w:cs="Arial" w:eastAsia="Arial" w:hAnsi="Arial"/>
                <w:sz w:val="16"/>
                <w:szCs w:val="16"/>
                <w:color w:val="auto"/>
              </w:rPr>
              <w:t>Absorption, metabolism, and excretion</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2940" w:type="dxa"/>
            <w:vAlign w:val="bottom"/>
            <w:gridSpan w:val="2"/>
          </w:tcPr>
          <w:p>
            <w:pPr>
              <w:ind w:left="140"/>
              <w:spacing w:after="0"/>
              <w:rPr>
                <w:sz w:val="20"/>
                <w:szCs w:val="20"/>
                <w:color w:val="auto"/>
              </w:rPr>
            </w:pPr>
            <w:r>
              <w:rPr>
                <w:rFonts w:ascii="Arial" w:cs="Arial" w:eastAsia="Arial" w:hAnsi="Arial"/>
                <w:sz w:val="16"/>
                <w:szCs w:val="16"/>
                <w:color w:val="auto"/>
              </w:rPr>
              <w:t>(mass balance)</w:t>
            </w:r>
          </w:p>
        </w:tc>
        <w:tc>
          <w:tcPr>
            <w:tcW w:w="0" w:type="dxa"/>
            <w:vAlign w:val="bottom"/>
          </w:tcPr>
          <w:p>
            <w:pPr>
              <w:spacing w:after="0"/>
              <w:rPr>
                <w:sz w:val="1"/>
                <w:szCs w:val="1"/>
                <w:color w:val="auto"/>
              </w:rPr>
            </w:pPr>
          </w:p>
        </w:tc>
      </w:tr>
      <w:tr>
        <w:trPr>
          <w:trHeight w:val="312"/>
        </w:trPr>
        <w:tc>
          <w:tcPr>
            <w:tcW w:w="1440" w:type="dxa"/>
            <w:vAlign w:val="bottom"/>
          </w:tcPr>
          <w:p>
            <w:pPr>
              <w:spacing w:after="0"/>
              <w:rPr>
                <w:sz w:val="20"/>
                <w:szCs w:val="20"/>
                <w:color w:val="auto"/>
              </w:rPr>
            </w:pPr>
            <w:r>
              <w:rPr>
                <w:rFonts w:ascii="Arial" w:cs="Arial" w:eastAsia="Arial" w:hAnsi="Arial"/>
                <w:sz w:val="16"/>
                <w:szCs w:val="16"/>
                <w:color w:val="auto"/>
              </w:rPr>
              <w:t>C004</w:t>
            </w:r>
          </w:p>
        </w:tc>
        <w:tc>
          <w:tcPr>
            <w:tcW w:w="2940" w:type="dxa"/>
            <w:vAlign w:val="bottom"/>
            <w:gridSpan w:val="2"/>
          </w:tcPr>
          <w:p>
            <w:pPr>
              <w:ind w:left="140"/>
              <w:spacing w:after="0"/>
              <w:rPr>
                <w:sz w:val="20"/>
                <w:szCs w:val="20"/>
                <w:color w:val="auto"/>
              </w:rPr>
            </w:pPr>
            <w:r>
              <w:rPr>
                <w:rFonts w:ascii="Arial" w:cs="Arial" w:eastAsia="Arial" w:hAnsi="Arial"/>
                <w:sz w:val="16"/>
                <w:szCs w:val="16"/>
                <w:color w:val="auto"/>
              </w:rPr>
              <w:t>Drug-drug interaction</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2940" w:type="dxa"/>
            <w:vAlign w:val="bottom"/>
            <w:gridSpan w:val="2"/>
          </w:tcPr>
          <w:p>
            <w:pPr>
              <w:ind w:left="140"/>
              <w:spacing w:after="0"/>
              <w:rPr>
                <w:sz w:val="20"/>
                <w:szCs w:val="20"/>
                <w:color w:val="auto"/>
              </w:rPr>
            </w:pPr>
            <w:r>
              <w:rPr>
                <w:rFonts w:ascii="Arial" w:cs="Arial" w:eastAsia="Arial" w:hAnsi="Arial"/>
                <w:sz w:val="16"/>
                <w:szCs w:val="16"/>
                <w:color w:val="auto"/>
              </w:rPr>
              <w:t>(DDI)— CYP3A4</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2940" w:type="dxa"/>
            <w:vAlign w:val="bottom"/>
            <w:gridSpan w:val="2"/>
          </w:tcPr>
          <w:p>
            <w:pPr>
              <w:ind w:left="140"/>
              <w:spacing w:after="0"/>
              <w:rPr>
                <w:sz w:val="20"/>
                <w:szCs w:val="20"/>
                <w:color w:val="auto"/>
              </w:rPr>
            </w:pPr>
            <w:r>
              <w:rPr>
                <w:rFonts w:ascii="Arial" w:cs="Arial" w:eastAsia="Arial" w:hAnsi="Arial"/>
                <w:sz w:val="16"/>
                <w:szCs w:val="16"/>
                <w:color w:val="auto"/>
              </w:rPr>
              <w:t>inhibitor (itraconazole)</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2940" w:type="dxa"/>
            <w:vAlign w:val="bottom"/>
            <w:gridSpan w:val="2"/>
          </w:tcPr>
          <w:p>
            <w:pPr>
              <w:ind w:left="140"/>
              <w:spacing w:after="0"/>
              <w:rPr>
                <w:sz w:val="20"/>
                <w:szCs w:val="20"/>
                <w:color w:val="auto"/>
              </w:rPr>
            </w:pPr>
            <w:r>
              <w:rPr>
                <w:rFonts w:ascii="Arial" w:cs="Arial" w:eastAsia="Arial" w:hAnsi="Arial"/>
                <w:sz w:val="16"/>
                <w:szCs w:val="16"/>
                <w:color w:val="auto"/>
              </w:rPr>
              <w:t>interaction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32486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Randomized, double-blind, placebo-controlled, single ascending dose to assess safety and proof-of-mechanism through BK-challenge</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Randomized, double-blind, placebo-controlled, single ascending dose to assess safety</w:t>
      </w:r>
    </w:p>
    <w:p>
      <w:pPr>
        <w:spacing w:after="0" w:line="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Open-label, single dose 14 C-PHA121 to characterize the absorption, metabolism, and excretion</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9175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437" w:lineRule="exact"/>
        <w:rPr>
          <w:sz w:val="20"/>
          <w:szCs w:val="20"/>
          <w:color w:val="auto"/>
        </w:rPr>
      </w:pPr>
    </w:p>
    <w:p>
      <w:pPr>
        <w:sectPr>
          <w:pgSz w:w="11900" w:h="16838" w:orient="portrait"/>
          <w:cols w:equalWidth="0" w:num="3">
            <w:col w:w="4380" w:space="160"/>
            <w:col w:w="4980" w:space="600"/>
            <w:col w:w="1100"/>
          </w:cols>
          <w:pgMar w:left="320" w:top="125" w:right="359" w:bottom="1440" w:gutter="0" w:footer="0" w:header="0"/>
        </w:sectPr>
      </w:pPr>
    </w:p>
    <w:tbl>
      <w:tblPr>
        <w:tblLayout w:type="fixed"/>
        <w:tblInd w:w="0" w:type="dxa"/>
        <w:tblCellMar>
          <w:top w:w="0" w:type="dxa"/>
          <w:left w:w="0" w:type="dxa"/>
          <w:bottom w:w="0" w:type="dxa"/>
          <w:right w:w="0" w:type="dxa"/>
        </w:tblCellMar>
      </w:tblPr>
      <w:tr>
        <w:trPr>
          <w:trHeight w:val="189"/>
        </w:trPr>
        <w:tc>
          <w:tcPr>
            <w:tcW w:w="1000" w:type="dxa"/>
            <w:vAlign w:val="bottom"/>
          </w:tcPr>
          <w:p>
            <w:pPr>
              <w:spacing w:after="0"/>
              <w:rPr>
                <w:sz w:val="20"/>
                <w:szCs w:val="20"/>
                <w:color w:val="auto"/>
              </w:rPr>
            </w:pPr>
            <w:r>
              <w:rPr>
                <w:rFonts w:ascii="Arial" w:cs="Arial" w:eastAsia="Arial" w:hAnsi="Arial"/>
                <w:sz w:val="16"/>
                <w:szCs w:val="16"/>
                <w:color w:val="auto"/>
              </w:rPr>
              <w:t>C005</w:t>
            </w:r>
          </w:p>
        </w:tc>
        <w:tc>
          <w:tcPr>
            <w:tcW w:w="2320" w:type="dxa"/>
            <w:vAlign w:val="bottom"/>
          </w:tcPr>
          <w:p>
            <w:pPr>
              <w:ind w:left="580"/>
              <w:spacing w:after="0"/>
              <w:rPr>
                <w:sz w:val="20"/>
                <w:szCs w:val="20"/>
                <w:color w:val="auto"/>
              </w:rPr>
            </w:pPr>
            <w:r>
              <w:rPr>
                <w:rFonts w:ascii="Arial" w:cs="Arial" w:eastAsia="Arial" w:hAnsi="Arial"/>
                <w:sz w:val="16"/>
                <w:szCs w:val="16"/>
                <w:color w:val="auto"/>
              </w:rPr>
              <w:t>DDI—CYP interaction</w:t>
            </w:r>
          </w:p>
        </w:tc>
      </w:tr>
      <w:tr>
        <w:trPr>
          <w:trHeight w:val="215"/>
        </w:trPr>
        <w:tc>
          <w:tcPr>
            <w:tcW w:w="1000" w:type="dxa"/>
            <w:vAlign w:val="bottom"/>
          </w:tcPr>
          <w:p>
            <w:pPr>
              <w:spacing w:after="0"/>
              <w:rPr>
                <w:sz w:val="18"/>
                <w:szCs w:val="18"/>
                <w:color w:val="auto"/>
              </w:rPr>
            </w:pPr>
          </w:p>
        </w:tc>
        <w:tc>
          <w:tcPr>
            <w:tcW w:w="2320" w:type="dxa"/>
            <w:vAlign w:val="bottom"/>
          </w:tcPr>
          <w:p>
            <w:pPr>
              <w:ind w:left="580"/>
              <w:spacing w:after="0"/>
              <w:rPr>
                <w:sz w:val="20"/>
                <w:szCs w:val="20"/>
                <w:color w:val="auto"/>
              </w:rPr>
            </w:pPr>
            <w:r>
              <w:rPr>
                <w:rFonts w:ascii="Arial" w:cs="Arial" w:eastAsia="Arial" w:hAnsi="Arial"/>
                <w:sz w:val="16"/>
                <w:szCs w:val="16"/>
                <w:color w:val="auto"/>
              </w:rPr>
              <w:t>(cocktail)</w:t>
            </w:r>
          </w:p>
        </w:tc>
      </w:tr>
      <w:tr>
        <w:trPr>
          <w:trHeight w:val="312"/>
        </w:trPr>
        <w:tc>
          <w:tcPr>
            <w:tcW w:w="1000" w:type="dxa"/>
            <w:vAlign w:val="bottom"/>
          </w:tcPr>
          <w:p>
            <w:pPr>
              <w:spacing w:after="0"/>
              <w:rPr>
                <w:sz w:val="20"/>
                <w:szCs w:val="20"/>
                <w:color w:val="auto"/>
              </w:rPr>
            </w:pPr>
            <w:r>
              <w:rPr>
                <w:rFonts w:ascii="Arial" w:cs="Arial" w:eastAsia="Arial" w:hAnsi="Arial"/>
                <w:sz w:val="16"/>
                <w:szCs w:val="16"/>
                <w:color w:val="auto"/>
              </w:rPr>
              <w:t>C006</w:t>
            </w:r>
          </w:p>
        </w:tc>
        <w:tc>
          <w:tcPr>
            <w:tcW w:w="2320" w:type="dxa"/>
            <w:vAlign w:val="bottom"/>
          </w:tcPr>
          <w:p>
            <w:pPr>
              <w:ind w:left="580"/>
              <w:spacing w:after="0"/>
              <w:rPr>
                <w:sz w:val="20"/>
                <w:szCs w:val="20"/>
                <w:color w:val="auto"/>
              </w:rPr>
            </w:pPr>
            <w:r>
              <w:rPr>
                <w:rFonts w:ascii="Arial" w:cs="Arial" w:eastAsia="Arial" w:hAnsi="Arial"/>
                <w:sz w:val="16"/>
                <w:szCs w:val="16"/>
                <w:color w:val="auto"/>
              </w:rPr>
              <w:t>Multiple ascending dose</w:t>
            </w:r>
          </w:p>
        </w:tc>
      </w:tr>
      <w:tr>
        <w:trPr>
          <w:trHeight w:val="215"/>
        </w:trPr>
        <w:tc>
          <w:tcPr>
            <w:tcW w:w="1000" w:type="dxa"/>
            <w:vAlign w:val="bottom"/>
          </w:tcPr>
          <w:p>
            <w:pPr>
              <w:spacing w:after="0"/>
              <w:rPr>
                <w:sz w:val="18"/>
                <w:szCs w:val="18"/>
                <w:color w:val="auto"/>
              </w:rPr>
            </w:pPr>
          </w:p>
        </w:tc>
        <w:tc>
          <w:tcPr>
            <w:tcW w:w="2320" w:type="dxa"/>
            <w:vAlign w:val="bottom"/>
          </w:tcPr>
          <w:p>
            <w:pPr>
              <w:ind w:left="580"/>
              <w:spacing w:after="0"/>
              <w:rPr>
                <w:sz w:val="20"/>
                <w:szCs w:val="20"/>
                <w:color w:val="auto"/>
              </w:rPr>
            </w:pPr>
            <w:r>
              <w:rPr>
                <w:rFonts w:ascii="Arial" w:cs="Arial" w:eastAsia="Arial" w:hAnsi="Arial"/>
                <w:sz w:val="16"/>
                <w:szCs w:val="16"/>
                <w:color w:val="auto"/>
              </w:rPr>
              <w:t>(MAD)</w:t>
            </w:r>
          </w:p>
        </w:tc>
      </w:tr>
    </w:tbl>
    <w:p>
      <w:pPr>
        <w:spacing w:after="0"/>
        <w:rPr>
          <w:sz w:val="20"/>
          <w:szCs w:val="20"/>
          <w:color w:val="auto"/>
        </w:rPr>
      </w:pPr>
      <w:r>
        <w:rPr>
          <w:rFonts w:ascii="Arial" w:cs="Arial" w:eastAsia="Arial" w:hAnsi="Arial"/>
          <w:sz w:val="16"/>
          <w:szCs w:val="16"/>
          <w:color w:val="auto"/>
        </w:rPr>
        <w:t>C009</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Japanese PK bridging</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C010</w:t>
      </w:r>
    </w:p>
    <w:p>
      <w:pPr>
        <w:spacing w:after="0" w:line="21" w:lineRule="exact"/>
        <w:rPr>
          <w:sz w:val="20"/>
          <w:szCs w:val="20"/>
          <w:color w:val="auto"/>
        </w:rPr>
      </w:pPr>
    </w:p>
    <w:p>
      <w:pPr>
        <w:jc w:val="right"/>
        <w:ind w:right="260"/>
        <w:spacing w:after="0"/>
        <w:rPr>
          <w:sz w:val="20"/>
          <w:szCs w:val="20"/>
          <w:color w:val="auto"/>
        </w:rPr>
      </w:pPr>
      <w:r>
        <w:rPr>
          <w:rFonts w:ascii="Arial" w:cs="Arial" w:eastAsia="Arial" w:hAnsi="Arial"/>
          <w:sz w:val="16"/>
          <w:szCs w:val="16"/>
          <w:color w:val="auto"/>
        </w:rPr>
        <w:t>Exploratory XR PK bridging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60" w:type="dxa"/>
            <w:vAlign w:val="bottom"/>
          </w:tcPr>
          <w:p>
            <w:pPr>
              <w:spacing w:after="0"/>
              <w:rPr>
                <w:sz w:val="20"/>
                <w:szCs w:val="20"/>
                <w:color w:val="auto"/>
              </w:rPr>
            </w:pPr>
            <w:r>
              <w:rPr>
                <w:rFonts w:ascii="Arial" w:cs="Arial" w:eastAsia="Arial" w:hAnsi="Arial"/>
                <w:sz w:val="16"/>
                <w:szCs w:val="16"/>
                <w:color w:val="auto"/>
              </w:rPr>
              <w:t>C012</w:t>
            </w:r>
          </w:p>
        </w:tc>
        <w:tc>
          <w:tcPr>
            <w:tcW w:w="1900" w:type="dxa"/>
            <w:vAlign w:val="bottom"/>
            <w:vMerge w:val="restart"/>
          </w:tcPr>
          <w:p>
            <w:pPr>
              <w:ind w:left="320"/>
              <w:spacing w:after="0"/>
              <w:rPr>
                <w:sz w:val="20"/>
                <w:szCs w:val="20"/>
                <w:color w:val="auto"/>
              </w:rPr>
            </w:pPr>
            <w:r>
              <w:rPr>
                <w:rFonts w:ascii="Arial" w:cs="Arial" w:eastAsia="Arial" w:hAnsi="Arial"/>
                <w:sz w:val="16"/>
                <w:szCs w:val="16"/>
                <w:color w:val="auto"/>
              </w:rPr>
              <w:t>Hepatic impairment</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0"/>
                <w:szCs w:val="20"/>
                <w:color w:val="auto"/>
              </w:rPr>
            </w:pPr>
            <w:r>
              <w:rPr>
                <w:rFonts w:ascii="Arial" w:cs="Arial" w:eastAsia="Arial" w:hAnsi="Arial"/>
                <w:sz w:val="16"/>
                <w:szCs w:val="16"/>
                <w:color w:val="auto"/>
              </w:rPr>
              <w:t>C013</w:t>
            </w:r>
          </w:p>
        </w:tc>
        <w:tc>
          <w:tcPr>
            <w:tcW w:w="1900" w:type="dxa"/>
            <w:vAlign w:val="bottom"/>
            <w:vMerge w:val="restart"/>
          </w:tcPr>
          <w:p>
            <w:pPr>
              <w:ind w:left="320"/>
              <w:spacing w:after="0"/>
              <w:rPr>
                <w:sz w:val="20"/>
                <w:szCs w:val="20"/>
                <w:color w:val="auto"/>
              </w:rPr>
            </w:pPr>
            <w:r>
              <w:rPr>
                <w:rFonts w:ascii="Arial" w:cs="Arial" w:eastAsia="Arial" w:hAnsi="Arial"/>
                <w:sz w:val="16"/>
                <w:szCs w:val="16"/>
                <w:color w:val="auto"/>
              </w:rPr>
              <w:t>Renal impairment</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0"/>
                <w:szCs w:val="20"/>
                <w:color w:val="auto"/>
              </w:rPr>
            </w:pPr>
            <w:r>
              <w:rPr>
                <w:rFonts w:ascii="Arial" w:cs="Arial" w:eastAsia="Arial" w:hAnsi="Arial"/>
                <w:sz w:val="16"/>
                <w:szCs w:val="16"/>
                <w:color w:val="auto"/>
              </w:rPr>
              <w:t>C015</w:t>
            </w:r>
          </w:p>
        </w:tc>
        <w:tc>
          <w:tcPr>
            <w:tcW w:w="1900" w:type="dxa"/>
            <w:vAlign w:val="bottom"/>
            <w:vMerge w:val="restart"/>
          </w:tcPr>
          <w:p>
            <w:pPr>
              <w:ind w:left="320"/>
              <w:spacing w:after="0"/>
              <w:rPr>
                <w:sz w:val="20"/>
                <w:szCs w:val="20"/>
                <w:color w:val="auto"/>
              </w:rPr>
            </w:pPr>
            <w:r>
              <w:rPr>
                <w:rFonts w:ascii="Arial" w:cs="Arial" w:eastAsia="Arial" w:hAnsi="Arial"/>
                <w:sz w:val="16"/>
                <w:szCs w:val="16"/>
                <w:color w:val="auto"/>
              </w:rPr>
              <w:t>Confirmatory XR PK</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7"/>
        </w:trPr>
        <w:tc>
          <w:tcPr>
            <w:tcW w:w="1260" w:type="dxa"/>
            <w:vAlign w:val="bottom"/>
          </w:tcPr>
          <w:p>
            <w:pPr>
              <w:spacing w:after="0"/>
              <w:rPr>
                <w:sz w:val="20"/>
                <w:szCs w:val="20"/>
                <w:color w:val="auto"/>
              </w:rPr>
            </w:pPr>
            <w:r>
              <w:rPr>
                <w:rFonts w:ascii="Arial" w:cs="Arial" w:eastAsia="Arial" w:hAnsi="Arial"/>
                <w:sz w:val="16"/>
                <w:szCs w:val="16"/>
                <w:b w:val="1"/>
                <w:bCs w:val="1"/>
                <w:color w:val="auto"/>
              </w:rPr>
              <w:t>Phase 2</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20"/>
                <w:szCs w:val="20"/>
                <w:color w:val="auto"/>
              </w:rPr>
            </w:pPr>
            <w:r>
              <w:rPr>
                <w:rFonts w:ascii="Arial" w:cs="Arial" w:eastAsia="Arial" w:hAnsi="Arial"/>
                <w:sz w:val="16"/>
                <w:szCs w:val="16"/>
                <w:color w:val="auto"/>
              </w:rPr>
              <w:t>C201</w:t>
            </w:r>
          </w:p>
        </w:tc>
        <w:tc>
          <w:tcPr>
            <w:tcW w:w="1900" w:type="dxa"/>
            <w:vAlign w:val="bottom"/>
            <w:vMerge w:val="restart"/>
          </w:tcPr>
          <w:p>
            <w:pPr>
              <w:ind w:left="320"/>
              <w:spacing w:after="0"/>
              <w:rPr>
                <w:sz w:val="20"/>
                <w:szCs w:val="20"/>
                <w:color w:val="auto"/>
              </w:rPr>
            </w:pPr>
            <w:r>
              <w:rPr>
                <w:rFonts w:ascii="Arial" w:cs="Arial" w:eastAsia="Arial" w:hAnsi="Arial"/>
                <w:sz w:val="16"/>
                <w:szCs w:val="16"/>
                <w:color w:val="auto"/>
              </w:rPr>
              <w:t>PHVS416 on-demand</w:t>
            </w:r>
          </w:p>
        </w:tc>
        <w:tc>
          <w:tcPr>
            <w:tcW w:w="0" w:type="dxa"/>
            <w:vAlign w:val="bottom"/>
          </w:tcPr>
          <w:p>
            <w:pPr>
              <w:spacing w:after="0"/>
              <w:rPr>
                <w:sz w:val="1"/>
                <w:szCs w:val="1"/>
                <w:color w:val="auto"/>
              </w:rPr>
            </w:pPr>
          </w:p>
        </w:tc>
      </w:tr>
      <w:tr>
        <w:trPr>
          <w:trHeight w:val="120"/>
        </w:trPr>
        <w:tc>
          <w:tcPr>
            <w:tcW w:w="1260" w:type="dxa"/>
            <w:vAlign w:val="bottom"/>
            <w:vMerge w:val="restart"/>
          </w:tcPr>
          <w:p>
            <w:pPr>
              <w:spacing w:after="0"/>
              <w:rPr>
                <w:sz w:val="20"/>
                <w:szCs w:val="20"/>
                <w:color w:val="auto"/>
              </w:rPr>
            </w:pPr>
            <w:r>
              <w:rPr>
                <w:rFonts w:ascii="Arial" w:cs="Arial" w:eastAsia="Arial" w:hAnsi="Arial"/>
                <w:sz w:val="16"/>
                <w:szCs w:val="16"/>
                <w:color w:val="auto"/>
              </w:rPr>
              <w:t>RAPIDe-1</w:t>
            </w: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6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1260" w:type="dxa"/>
            <w:vAlign w:val="bottom"/>
          </w:tcPr>
          <w:p>
            <w:pPr>
              <w:spacing w:after="0"/>
              <w:rPr>
                <w:sz w:val="20"/>
                <w:szCs w:val="20"/>
                <w:color w:val="auto"/>
              </w:rPr>
            </w:pPr>
            <w:r>
              <w:rPr>
                <w:rFonts w:ascii="Arial" w:cs="Arial" w:eastAsia="Arial" w:hAnsi="Arial"/>
                <w:sz w:val="16"/>
                <w:szCs w:val="16"/>
                <w:color w:val="auto"/>
              </w:rPr>
              <w:t>C301</w:t>
            </w:r>
          </w:p>
        </w:tc>
        <w:tc>
          <w:tcPr>
            <w:tcW w:w="1900" w:type="dxa"/>
            <w:vAlign w:val="bottom"/>
            <w:vMerge w:val="restart"/>
          </w:tcPr>
          <w:p>
            <w:pPr>
              <w:ind w:left="320"/>
              <w:spacing w:after="0"/>
              <w:rPr>
                <w:sz w:val="20"/>
                <w:szCs w:val="20"/>
                <w:color w:val="auto"/>
              </w:rPr>
            </w:pPr>
            <w:r>
              <w:rPr>
                <w:rFonts w:ascii="Arial" w:cs="Arial" w:eastAsia="Arial" w:hAnsi="Arial"/>
                <w:sz w:val="16"/>
                <w:szCs w:val="16"/>
                <w:color w:val="auto"/>
              </w:rPr>
              <w:t>PHVS416 prophylaxis</w:t>
            </w:r>
          </w:p>
        </w:tc>
        <w:tc>
          <w:tcPr>
            <w:tcW w:w="0" w:type="dxa"/>
            <w:vAlign w:val="bottom"/>
          </w:tcPr>
          <w:p>
            <w:pPr>
              <w:spacing w:after="0"/>
              <w:rPr>
                <w:sz w:val="1"/>
                <w:szCs w:val="1"/>
                <w:color w:val="auto"/>
              </w:rPr>
            </w:pPr>
          </w:p>
        </w:tc>
      </w:tr>
      <w:tr>
        <w:trPr>
          <w:trHeight w:val="120"/>
        </w:trPr>
        <w:tc>
          <w:tcPr>
            <w:tcW w:w="1260" w:type="dxa"/>
            <w:vAlign w:val="bottom"/>
            <w:vMerge w:val="restart"/>
          </w:tcPr>
          <w:p>
            <w:pPr>
              <w:spacing w:after="0"/>
              <w:rPr>
                <w:sz w:val="20"/>
                <w:szCs w:val="20"/>
                <w:color w:val="auto"/>
              </w:rPr>
            </w:pPr>
            <w:r>
              <w:rPr>
                <w:rFonts w:ascii="Arial" w:cs="Arial" w:eastAsia="Arial" w:hAnsi="Arial"/>
                <w:sz w:val="16"/>
                <w:szCs w:val="16"/>
                <w:color w:val="auto"/>
              </w:rPr>
              <w:t>CHAPTER-1</w:t>
            </w: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6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48"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Randomized, double-blind, placebo-controlled, multiple ascending dose to assess safety and different doses</w:t>
      </w:r>
    </w:p>
    <w:p>
      <w:pPr>
        <w:jc w:val="both"/>
        <w:ind w:right="280"/>
        <w:spacing w:after="0" w:line="252" w:lineRule="auto"/>
        <w:rPr>
          <w:sz w:val="20"/>
          <w:szCs w:val="20"/>
          <w:color w:val="auto"/>
        </w:rPr>
      </w:pPr>
      <w:r>
        <w:rPr>
          <w:rFonts w:ascii="Arial" w:cs="Arial" w:eastAsia="Arial" w:hAnsi="Arial"/>
          <w:sz w:val="16"/>
          <w:szCs w:val="16"/>
          <w:color w:val="auto"/>
        </w:rPr>
        <w:t>Double-blind, randomized, single oral dose, two-period crossover comparing pharmacokinetics between Japanese and Caucasian volunteers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Open-label, randomized five-period crossover single-dose to assess bioavailability of two different extended-release formulations with and without food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Open-label, single dose to assess the effect of hepatic impairment on pharmacokinetics</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Open-label, single dose to assess the effect of renal impairment on pharmacokinetics</w:t>
      </w:r>
    </w:p>
    <w:p>
      <w:pPr>
        <w:spacing w:after="0" w:line="1"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color w:val="auto"/>
        </w:rPr>
        <w:t>Open-label, multiple doses to assess PK and safety of extended-release formulation</w:t>
      </w:r>
    </w:p>
    <w:p>
      <w:pPr>
        <w:spacing w:after="0" w:line="200" w:lineRule="exact"/>
        <w:rPr>
          <w:sz w:val="20"/>
          <w:szCs w:val="20"/>
          <w:color w:val="auto"/>
        </w:rPr>
      </w:pPr>
    </w:p>
    <w:p>
      <w:pPr>
        <w:spacing w:after="0" w:line="400" w:lineRule="exact"/>
        <w:rPr>
          <w:sz w:val="20"/>
          <w:szCs w:val="20"/>
          <w:color w:val="auto"/>
        </w:rPr>
      </w:pPr>
    </w:p>
    <w:p>
      <w:pPr>
        <w:ind w:right="1000"/>
        <w:spacing w:after="0" w:line="286" w:lineRule="auto"/>
        <w:rPr>
          <w:sz w:val="20"/>
          <w:szCs w:val="20"/>
          <w:color w:val="auto"/>
        </w:rPr>
      </w:pPr>
      <w:r>
        <w:rPr>
          <w:rFonts w:ascii="Arial" w:cs="Arial" w:eastAsia="Arial" w:hAnsi="Arial"/>
          <w:sz w:val="16"/>
          <w:szCs w:val="16"/>
          <w:color w:val="auto"/>
        </w:rPr>
        <w:t>Phase 2, randomized, double blind, placebo-controlled, dose ranging study to assess safety and efficacy</w:t>
      </w:r>
    </w:p>
    <w:p>
      <w:pPr>
        <w:spacing w:after="0" w:line="88" w:lineRule="exact"/>
        <w:rPr>
          <w:sz w:val="20"/>
          <w:szCs w:val="20"/>
          <w:color w:val="auto"/>
        </w:rPr>
      </w:pPr>
    </w:p>
    <w:p>
      <w:pPr>
        <w:ind w:right="1000"/>
        <w:spacing w:after="0" w:line="286" w:lineRule="auto"/>
        <w:rPr>
          <w:sz w:val="20"/>
          <w:szCs w:val="20"/>
          <w:color w:val="auto"/>
        </w:rPr>
      </w:pPr>
      <w:r>
        <w:rPr>
          <w:rFonts w:ascii="Arial" w:cs="Arial" w:eastAsia="Arial" w:hAnsi="Arial"/>
          <w:sz w:val="16"/>
          <w:szCs w:val="16"/>
          <w:color w:val="auto"/>
        </w:rPr>
        <w:t>Phase 2, randomized, double blind, placebo-controlled, dose ranging study to assess safety and efficacy</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Completed</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Completed</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Ongoing</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Completed</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Ongoing</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Ongoing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Planned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Commenced</w:t>
      </w:r>
    </w:p>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(2021)</w:t>
      </w:r>
    </w:p>
    <w:p>
      <w:pPr>
        <w:spacing w:after="0" w:line="13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Commenced</w:t>
      </w:r>
    </w:p>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(2021)</w:t>
      </w:r>
    </w:p>
    <w:p>
      <w:pPr>
        <w:spacing w:after="0" w:line="249" w:lineRule="exact"/>
        <w:rPr>
          <w:sz w:val="20"/>
          <w:szCs w:val="20"/>
          <w:color w:val="auto"/>
        </w:rPr>
      </w:pPr>
    </w:p>
    <w:p>
      <w:pPr>
        <w:sectPr>
          <w:pgSz w:w="11900" w:h="16838" w:orient="portrait"/>
          <w:cols w:equalWidth="0" w:num="3">
            <w:col w:w="3820" w:space="720"/>
            <w:col w:w="4940" w:space="580"/>
            <w:col w:w="1160"/>
          </w:cols>
          <w:pgMar w:left="320" w:top="125" w:right="35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PHA121-C001 (SAD and BK challenge / SAD-POM)</w:t>
      </w:r>
    </w:p>
    <w:p>
      <w:pPr>
        <w:spacing w:after="0" w:line="113"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PHA121-C001 was a randomized, double-blind, placebo-controlled, single ascending dose and proof-of-mechanism study to examine the safety, tolerability, PK and PD of orally administered PHA121 in healthy subjects. A total of 52 subjects received single ascending oral doses of PHA121 up to 22 mg. The 16 remaining subjects received placebo. No adverse event, or AE, was reported as serious, no premature withdrawals due to AEs occurred and no severe AEs were reported. In addition, no clinically relevant fluctuations of blood pressure and no orthostatic hypotension linked to PHA121 groups occurred. The overall incidence of AEs was similar between the placebo and PHA121. Treatment-related AEs were reported for three subjects who received PHA121 (12 or 22 mg), all within the gastrointestinal system and of mild severity: upper abdominal pain, vomiting, and nausea. There were no apparent trends or dose-related changes in hematology, clinical chemistry, vital signs, or ECG.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Pharmacokinetics Analysis</w:t>
      </w:r>
    </w:p>
    <w:p>
      <w:pPr>
        <w:spacing w:after="0" w:line="111" w:lineRule="exact"/>
        <w:rPr>
          <w:sz w:val="20"/>
          <w:szCs w:val="20"/>
          <w:color w:val="auto"/>
        </w:rPr>
      </w:pPr>
    </w:p>
    <w:p>
      <w:pPr>
        <w:ind w:right="180" w:firstLine="445"/>
        <w:spacing w:after="0" w:line="304" w:lineRule="auto"/>
        <w:rPr>
          <w:sz w:val="20"/>
          <w:szCs w:val="20"/>
          <w:color w:val="auto"/>
        </w:rPr>
      </w:pPr>
      <w:r>
        <w:rPr>
          <w:rFonts w:ascii="Arial" w:cs="Arial" w:eastAsia="Arial" w:hAnsi="Arial"/>
          <w:sz w:val="16"/>
          <w:szCs w:val="16"/>
          <w:color w:val="auto"/>
        </w:rPr>
        <w:t>Dose proportional PK was observed after single oral administration under fasting condition of PHA121 in the dose range of 1 mg to 22 mg for Cmax, AUClast and AUCinf. Median tmax in the dose range of 1 mg to 22 mg was between 0.50 hour and 1.00 hour, with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comparable ranges of individual values (ranging between 0.25 hour and 1.02 hours). Less than 1% of the dose was excreted unchanged in urine within 72 hours after administration.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00" w:type="dxa"/>
            <w:vAlign w:val="bottom"/>
            <w:gridSpan w:val="2"/>
          </w:tcPr>
          <w:p>
            <w:pPr>
              <w:spacing w:after="0"/>
              <w:rPr>
                <w:sz w:val="20"/>
                <w:szCs w:val="20"/>
                <w:color w:val="auto"/>
              </w:rPr>
            </w:pPr>
            <w:r>
              <w:rPr>
                <w:rFonts w:ascii="Arial" w:cs="Arial" w:eastAsia="Arial" w:hAnsi="Arial"/>
                <w:sz w:val="13"/>
                <w:szCs w:val="13"/>
                <w:b w:val="1"/>
                <w:bCs w:val="1"/>
                <w:color w:val="auto"/>
              </w:rPr>
              <w:t>Dose (mg)</w:t>
            </w: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Cmax (ng/mL)</w:t>
            </w: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rPr>
              <w:t>C0.25h (ng/mL)</w:t>
            </w: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C12h (ng/mL)</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Tmax (h)</w:t>
            </w:r>
          </w:p>
        </w:tc>
        <w:tc>
          <w:tcPr>
            <w:tcW w:w="1140" w:type="dxa"/>
            <w:vAlign w:val="bottom"/>
            <w:gridSpan w:val="2"/>
          </w:tcPr>
          <w:p>
            <w:pPr>
              <w:ind w:left="300"/>
              <w:spacing w:after="0"/>
              <w:rPr>
                <w:sz w:val="20"/>
                <w:szCs w:val="20"/>
                <w:color w:val="auto"/>
              </w:rPr>
            </w:pPr>
            <w:r>
              <w:rPr>
                <w:rFonts w:ascii="Arial" w:cs="Arial" w:eastAsia="Arial" w:hAnsi="Arial"/>
                <w:sz w:val="13"/>
                <w:szCs w:val="13"/>
                <w:b w:val="1"/>
                <w:bCs w:val="1"/>
                <w:color w:val="auto"/>
              </w:rPr>
              <w:t>t1/2 (h)</w:t>
            </w:r>
          </w:p>
        </w:tc>
      </w:tr>
      <w:tr>
        <w:trPr>
          <w:trHeight w:val="196"/>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0.75</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r>
      <w:tr>
        <w:trPr>
          <w:trHeight w:val="203"/>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r>
      <w:tr>
        <w:trPr>
          <w:trHeight w:val="203"/>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0.75</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7"/>
                <w:szCs w:val="17"/>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22 (high-fat, high cholesterol)</w:t>
            </w:r>
          </w:p>
        </w:tc>
        <w:tc>
          <w:tcPr>
            <w:tcW w:w="1000" w:type="dxa"/>
            <w:vAlign w:val="bottom"/>
          </w:tcPr>
          <w:p>
            <w:pPr>
              <w:jc w:val="right"/>
              <w:spacing w:after="0"/>
              <w:rPr>
                <w:sz w:val="20"/>
                <w:szCs w:val="20"/>
                <w:color w:val="auto"/>
              </w:rPr>
            </w:pPr>
            <w:r>
              <w:rPr>
                <w:rFonts w:ascii="Arial" w:cs="Arial" w:eastAsia="Arial" w:hAnsi="Arial"/>
                <w:sz w:val="16"/>
                <w:szCs w:val="16"/>
                <w:color w:val="auto"/>
              </w:rPr>
              <w:t>145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r>
    </w:tbl>
    <w:p>
      <w:pPr>
        <w:spacing w:after="0" w:line="195" w:lineRule="exact"/>
        <w:rPr>
          <w:sz w:val="20"/>
          <w:szCs w:val="20"/>
          <w:color w:val="auto"/>
        </w:rPr>
      </w:pPr>
    </w:p>
    <w:p>
      <w:pPr>
        <w:ind w:right="200" w:firstLine="445"/>
        <w:spacing w:after="0" w:line="254" w:lineRule="auto"/>
        <w:rPr>
          <w:sz w:val="20"/>
          <w:szCs w:val="20"/>
          <w:color w:val="auto"/>
        </w:rPr>
      </w:pPr>
      <w:r>
        <w:rPr>
          <w:rFonts w:ascii="Arial" w:cs="Arial" w:eastAsia="Arial" w:hAnsi="Arial"/>
          <w:sz w:val="16"/>
          <w:szCs w:val="16"/>
          <w:color w:val="auto"/>
        </w:rPr>
        <w:t>In this study, a high-calorie, high-fat meal reduced peak exposure and slightly increased overall exposure of PHA121: after a 22 mg dose, the mean Cmax of PHA121 was lower (~32%) while AUCinf was higher (~ 42%) when PHA121 was administered after a high calorie, high-fat breakfast (fed conditions) compared to administration under fasted conditions. While the median Tmax of PHA121 was delayed by approximately two hours after administration under fed conditions, the plasma concentration for PHA121 still reached the projected therapeutic levels (EC85, as determined in the bradykinin challenge described below) within 15 minutes. As shown in the table, the concentration of PHA121 twelve hours post-dosing at 12 mg or 22 mg remained above projected therapeutic levels under both fed and fasted conditions.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Bradykinin Challenge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122555</wp:posOffset>
            </wp:positionV>
            <wp:extent cx="3840480" cy="986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4048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0" w:firstLine="445"/>
        <w:spacing w:after="0" w:line="254" w:lineRule="auto"/>
        <w:rPr>
          <w:sz w:val="20"/>
          <w:szCs w:val="20"/>
          <w:color w:val="auto"/>
        </w:rPr>
      </w:pPr>
      <w:r>
        <w:rPr>
          <w:rFonts w:ascii="Arial" w:cs="Arial" w:eastAsia="Arial" w:hAnsi="Arial"/>
          <w:sz w:val="16"/>
          <w:szCs w:val="16"/>
          <w:color w:val="auto"/>
        </w:rPr>
        <w:t>In addition, we also evaluated the PD of PHA121 in a bradykinin challenge model, which was designed to demonstrate PHA121-mediated inhibition of the drop in blood pressure and increase in heart rate resulting from injection of a bradykinin bolus in healthy subjects. The bradykinin challenge is administered at specific intervals after the PHA121 or placebo dose, and the inhibition of bradykinin-induced hemodynamic effects is a validated surrogate assessment that was used to select the dose in the original development program for icatibant, as reviewed by FDA and EMA. The clinical dose of icatibant established with the bradykinin challenge has demonstrated successful resolution of HAE attacks in randomized clinical trials and over 10 years of data post-approval.</w:t>
      </w:r>
    </w:p>
    <w:p>
      <w:pPr>
        <w:spacing w:after="0" w:line="182" w:lineRule="exact"/>
        <w:rPr>
          <w:sz w:val="20"/>
          <w:szCs w:val="20"/>
          <w:color w:val="auto"/>
        </w:rPr>
      </w:pPr>
    </w:p>
    <w:p>
      <w:pPr>
        <w:ind w:right="500" w:firstLine="445"/>
        <w:spacing w:after="0" w:line="256" w:lineRule="auto"/>
        <w:rPr>
          <w:sz w:val="20"/>
          <w:szCs w:val="20"/>
          <w:color w:val="auto"/>
        </w:rPr>
      </w:pPr>
      <w:r>
        <w:rPr>
          <w:rFonts w:ascii="Arial" w:cs="Arial" w:eastAsia="Arial" w:hAnsi="Arial"/>
          <w:sz w:val="16"/>
          <w:szCs w:val="16"/>
          <w:color w:val="auto"/>
        </w:rPr>
        <w:t>In the bradykinin challenge, we assessed the inhibition of bradykinin effects at single doses of 12 and 22 mg PHA121. Bradykinin was injected intravenously before PHA121 to calibrate each subject’s response, and then at 1, 4, 8, 12 and 24 hours after dosing with PHA121. We monitored cardiovascular responses at each time point (see figure above). At the same time, blood samples were drawn for PK assessment. Bradykinin injection induced a short-term change in mean arterial blood pressure, or MABP, heart rate, or HR, and cardiac output. In the presence of PHA121, this cardiovascular response was dampened to an extent depending on the concentration of PHA121.</w:t>
      </w:r>
    </w:p>
    <w:p>
      <w:pPr>
        <w:spacing w:after="0" w:line="180" w:lineRule="exact"/>
        <w:rPr>
          <w:sz w:val="20"/>
          <w:szCs w:val="20"/>
          <w:color w:val="auto"/>
        </w:rPr>
      </w:pPr>
    </w:p>
    <w:p>
      <w:pPr>
        <w:ind w:left="20" w:right="20" w:firstLine="444"/>
        <w:spacing w:after="0" w:line="256" w:lineRule="auto"/>
        <w:rPr>
          <w:sz w:val="20"/>
          <w:szCs w:val="20"/>
          <w:color w:val="auto"/>
        </w:rPr>
      </w:pPr>
      <w:r>
        <w:rPr>
          <w:rFonts w:ascii="Arial" w:cs="Arial" w:eastAsia="Arial" w:hAnsi="Arial"/>
          <w:sz w:val="16"/>
          <w:szCs w:val="16"/>
          <w:color w:val="auto"/>
        </w:rPr>
        <w:t xml:space="preserve">We conducted a PK/PD analysis using the same approach as used by FDA in their evaluation of icatibant. The composite EC50 and EC85 values estimated from the combination of each PD response associated with the BK challenge are provided in the table below. PHA121 demonstrated higher PD potency based on plasma concentrations (roughly four-fold) than icatibant relative to published data for icatibant. Adjusting for the differences between molecular weight and plasma protein binding, we found that PHA121 is 24-fold more potent (170 pM) in the bradykinin challenge than icatibant (4.1 nM) on a molecule-by-molecule basis, consistent with our preclinical </w:t>
      </w:r>
      <w:r>
        <w:rPr>
          <w:rFonts w:ascii="Arial" w:cs="Arial" w:eastAsia="Arial" w:hAnsi="Arial"/>
          <w:sz w:val="16"/>
          <w:szCs w:val="16"/>
          <w:i w:val="1"/>
          <w:iCs w:val="1"/>
          <w:color w:val="auto"/>
        </w:rPr>
        <w:t>in vitro measurements.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5420" w:type="dxa"/>
            <w:vAlign w:val="bottom"/>
            <w:gridSpan w:val="2"/>
          </w:tcPr>
          <w:p>
            <w:pPr>
              <w:spacing w:after="0"/>
              <w:rPr>
                <w:sz w:val="20"/>
                <w:szCs w:val="20"/>
                <w:color w:val="auto"/>
              </w:rPr>
            </w:pPr>
            <w:r>
              <w:rPr>
                <w:rFonts w:ascii="Arial" w:cs="Arial" w:eastAsia="Arial" w:hAnsi="Arial"/>
                <w:sz w:val="13"/>
                <w:szCs w:val="13"/>
                <w:b w:val="1"/>
                <w:bCs w:val="1"/>
                <w:color w:val="auto"/>
              </w:rPr>
              <w:t>Composite average</w:t>
            </w:r>
          </w:p>
        </w:tc>
        <w:tc>
          <w:tcPr>
            <w:tcW w:w="1280" w:type="dxa"/>
            <w:vAlign w:val="bottom"/>
            <w:gridSpan w:val="2"/>
          </w:tcPr>
          <w:p>
            <w:pPr>
              <w:ind w:left="300"/>
              <w:spacing w:after="0"/>
              <w:rPr>
                <w:sz w:val="20"/>
                <w:szCs w:val="20"/>
                <w:color w:val="auto"/>
              </w:rPr>
            </w:pPr>
            <w:r>
              <w:rPr>
                <w:rFonts w:ascii="Arial" w:cs="Arial" w:eastAsia="Arial" w:hAnsi="Arial"/>
                <w:sz w:val="13"/>
                <w:szCs w:val="13"/>
                <w:b w:val="1"/>
                <w:bCs w:val="1"/>
                <w:color w:val="auto"/>
              </w:rPr>
              <w:t>PHA121</w:t>
            </w: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Icatibant</w:t>
            </w:r>
          </w:p>
        </w:tc>
      </w:tr>
      <w:tr>
        <w:trPr>
          <w:trHeight w:val="196"/>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EC50 (ng/mL)</w:t>
            </w:r>
          </w:p>
        </w:tc>
        <w:tc>
          <w:tcPr>
            <w:tcW w:w="12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80" w:type="dxa"/>
            <w:vAlign w:val="bottom"/>
            <w:tcBorders>
              <w:top w:val="single" w:sz="8" w:color="CFF0FC"/>
            </w:tcBorders>
            <w:shd w:val="clear" w:color="auto" w:fill="CFF0FC"/>
          </w:tcPr>
          <w:p>
            <w:pPr>
              <w:spacing w:after="0"/>
              <w:rPr>
                <w:sz w:val="17"/>
                <w:szCs w:val="17"/>
                <w:color w:val="auto"/>
              </w:rPr>
            </w:pPr>
          </w:p>
        </w:tc>
      </w:tr>
      <w:tr>
        <w:trPr>
          <w:trHeight w:val="215"/>
        </w:trPr>
        <w:tc>
          <w:tcPr>
            <w:tcW w:w="5420" w:type="dxa"/>
            <w:vAlign w:val="bottom"/>
            <w:gridSpan w:val="2"/>
          </w:tcPr>
          <w:p>
            <w:pPr>
              <w:spacing w:after="0"/>
              <w:rPr>
                <w:sz w:val="20"/>
                <w:szCs w:val="20"/>
                <w:color w:val="auto"/>
              </w:rPr>
            </w:pPr>
            <w:r>
              <w:rPr>
                <w:rFonts w:ascii="Arial" w:cs="Arial" w:eastAsia="Arial" w:hAnsi="Arial"/>
                <w:sz w:val="16"/>
                <w:szCs w:val="16"/>
                <w:color w:val="auto"/>
              </w:rPr>
              <w:t>EC85 (ng/mL)</w:t>
            </w:r>
          </w:p>
        </w:tc>
        <w:tc>
          <w:tcPr>
            <w:tcW w:w="1080" w:type="dxa"/>
            <w:vAlign w:val="bottom"/>
          </w:tcPr>
          <w:p>
            <w:pPr>
              <w:jc w:val="right"/>
              <w:spacing w:after="0"/>
              <w:rPr>
                <w:sz w:val="20"/>
                <w:szCs w:val="20"/>
                <w:color w:val="auto"/>
              </w:rPr>
            </w:pPr>
            <w:r>
              <w:rPr>
                <w:rFonts w:ascii="Arial" w:cs="Arial" w:eastAsia="Arial" w:hAnsi="Arial"/>
                <w:sz w:val="16"/>
                <w:szCs w:val="16"/>
                <w:color w:val="auto"/>
              </w:rPr>
              <w:t>13.8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8"/>
                <w:szCs w:val="18"/>
                <w:color w:val="auto"/>
              </w:rPr>
            </w:pPr>
          </w:p>
        </w:tc>
      </w:tr>
    </w:tbl>
    <w:p>
      <w:pPr>
        <w:spacing w:after="0" w:line="176" w:lineRule="exact"/>
        <w:rPr>
          <w:sz w:val="20"/>
          <w:szCs w:val="20"/>
          <w:color w:val="auto"/>
        </w:rPr>
      </w:pPr>
    </w:p>
    <w:p>
      <w:pPr>
        <w:ind w:right="500" w:firstLine="445"/>
        <w:spacing w:after="0" w:line="286" w:lineRule="auto"/>
        <w:rPr>
          <w:sz w:val="20"/>
          <w:szCs w:val="20"/>
          <w:color w:val="auto"/>
        </w:rPr>
      </w:pPr>
      <w:r>
        <w:rPr>
          <w:rFonts w:ascii="Arial" w:cs="Arial" w:eastAsia="Arial" w:hAnsi="Arial"/>
          <w:sz w:val="16"/>
          <w:szCs w:val="16"/>
          <w:color w:val="auto"/>
        </w:rPr>
        <w:t>EC50: concentration at which compound induces a response half of its maximum possible response; EC85: concentration at which a compound induces 85% of its maximum response.</w:t>
      </w:r>
    </w:p>
    <w:p>
      <w:pPr>
        <w:spacing w:after="0" w:line="156" w:lineRule="exact"/>
        <w:rPr>
          <w:sz w:val="20"/>
          <w:szCs w:val="20"/>
          <w:color w:val="auto"/>
        </w:rPr>
      </w:pPr>
    </w:p>
    <w:p>
      <w:pPr>
        <w:ind w:right="100" w:firstLine="445"/>
        <w:spacing w:after="0" w:line="252" w:lineRule="auto"/>
        <w:rPr>
          <w:sz w:val="20"/>
          <w:szCs w:val="20"/>
          <w:color w:val="auto"/>
        </w:rPr>
      </w:pPr>
      <w:r>
        <w:rPr>
          <w:rFonts w:ascii="Arial" w:cs="Arial" w:eastAsia="Arial" w:hAnsi="Arial"/>
          <w:sz w:val="16"/>
          <w:szCs w:val="16"/>
          <w:color w:val="auto"/>
        </w:rPr>
        <w:t>The data also allowed us to compare the projected therapeutic performance of PHA121 with that of icatibant, but we do not yet have data from the PHA121 Phase 2 study. In addition,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Clinical trials have shown for icatibant that the therapeutic response to an acute HAE attack wanes approximately 6 hours after dosing, coinciding with the drop in icatibant concentration below therapeutic levels due to the short half-life (1.4 hours) of the drug. More precisely, it was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shown that icatibant plasma concentrations with a 75% probability to be above EC50 and a 50% probability to be above EC85 correlate with therapeutic efficacy.</w:t>
      </w:r>
    </w:p>
    <w:p>
      <w:pPr>
        <w:spacing w:after="0" w:line="156" w:lineRule="exact"/>
        <w:rPr>
          <w:sz w:val="20"/>
          <w:szCs w:val="20"/>
          <w:color w:val="auto"/>
        </w:rPr>
      </w:pPr>
    </w:p>
    <w:p>
      <w:pPr>
        <w:ind w:right="60" w:firstLine="445"/>
        <w:spacing w:after="0" w:line="259" w:lineRule="auto"/>
        <w:rPr>
          <w:sz w:val="20"/>
          <w:szCs w:val="20"/>
          <w:color w:val="auto"/>
        </w:rPr>
      </w:pPr>
      <w:r>
        <w:rPr>
          <w:rFonts w:ascii="Arial" w:cs="Arial" w:eastAsia="Arial" w:hAnsi="Arial"/>
          <w:sz w:val="16"/>
          <w:szCs w:val="16"/>
          <w:color w:val="auto"/>
        </w:rPr>
        <w:t>Applying these criteria as exposure targets for PHA121 leads us to project that due to PHA121’s longer half-life, we believe PHA121 will stay above these therapeutic targets for much longer than icatibant. The 12 mg dose of PHA121 showed rapid absorption and then stayed above EC50 for 10-12 hours and above the EC85 for 7 hours, suggesting that this dose may be at least as effective as a 30 mg s.c. injection of icatibant. A 30 mg s.c. icatibant dose has been documented to effectively treat 93% of acute HAE attacks (Icatibant Outcome Survey, or IOS, study reference).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compares 30 mg of icatibant to 12 mg and 22 mg of PHA121 based on BK-challenge modeling and simulation.</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3140" w:type="dxa"/>
            <w:vAlign w:val="bottom"/>
          </w:tcPr>
          <w:p>
            <w:pPr>
              <w:spacing w:after="0"/>
              <w:rPr>
                <w:sz w:val="20"/>
                <w:szCs w:val="20"/>
                <w:color w:val="auto"/>
              </w:rPr>
            </w:pPr>
            <w:r>
              <w:rPr>
                <w:rFonts w:ascii="Arial" w:cs="Arial" w:eastAsia="Arial" w:hAnsi="Arial"/>
                <w:sz w:val="13"/>
                <w:szCs w:val="13"/>
                <w:b w:val="1"/>
                <w:bCs w:val="1"/>
                <w:color w:val="auto"/>
              </w:rPr>
              <w:t>Response</w:t>
            </w:r>
          </w:p>
        </w:tc>
        <w:tc>
          <w:tcPr>
            <w:tcW w:w="1420" w:type="dxa"/>
            <w:vAlign w:val="bottom"/>
          </w:tcPr>
          <w:p>
            <w:pPr>
              <w:spacing w:after="0"/>
              <w:rPr>
                <w:sz w:val="13"/>
                <w:szCs w:val="13"/>
                <w:color w:val="auto"/>
              </w:rPr>
            </w:pPr>
          </w:p>
        </w:tc>
        <w:tc>
          <w:tcPr>
            <w:tcW w:w="1400" w:type="dxa"/>
            <w:vAlign w:val="bottom"/>
          </w:tcPr>
          <w:p>
            <w:pPr>
              <w:jc w:val="right"/>
              <w:ind w:right="251"/>
              <w:spacing w:after="0"/>
              <w:rPr>
                <w:sz w:val="20"/>
                <w:szCs w:val="20"/>
                <w:color w:val="auto"/>
              </w:rPr>
            </w:pPr>
            <w:r>
              <w:rPr>
                <w:rFonts w:ascii="Arial" w:cs="Arial" w:eastAsia="Arial" w:hAnsi="Arial"/>
                <w:sz w:val="13"/>
                <w:szCs w:val="13"/>
                <w:b w:val="1"/>
                <w:bCs w:val="1"/>
                <w:color w:val="auto"/>
              </w:rPr>
              <w:t>Icatibant 30 mg</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6"/>
              </w:rPr>
              <w:t>PHA121 12 mg (oral)</w:t>
            </w: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PHA121 22 mg (oral)</w:t>
            </w:r>
          </w:p>
        </w:tc>
      </w:tr>
      <w:tr>
        <w:trPr>
          <w:trHeight w:val="142"/>
        </w:trPr>
        <w:tc>
          <w:tcPr>
            <w:tcW w:w="3140" w:type="dxa"/>
            <w:vAlign w:val="bottom"/>
            <w:tcBorders>
              <w:bottom w:val="single" w:sz="8" w:color="CFF0FC"/>
            </w:tcBorders>
          </w:tcPr>
          <w:p>
            <w:pPr>
              <w:spacing w:after="0"/>
              <w:rPr>
                <w:sz w:val="12"/>
                <w:szCs w:val="12"/>
                <w:color w:val="auto"/>
              </w:rPr>
            </w:pPr>
          </w:p>
        </w:tc>
        <w:tc>
          <w:tcPr>
            <w:tcW w:w="1420" w:type="dxa"/>
            <w:vAlign w:val="bottom"/>
            <w:tcBorders>
              <w:bottom w:val="single" w:sz="8" w:color="CFF0FC"/>
            </w:tcBorders>
          </w:tcPr>
          <w:p>
            <w:pPr>
              <w:spacing w:after="0"/>
              <w:rPr>
                <w:sz w:val="12"/>
                <w:szCs w:val="12"/>
                <w:color w:val="auto"/>
              </w:rPr>
            </w:pPr>
          </w:p>
        </w:tc>
        <w:tc>
          <w:tcPr>
            <w:tcW w:w="43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3"/>
                <w:szCs w:val="13"/>
                <w:b w:val="1"/>
                <w:bCs w:val="1"/>
                <w:color w:val="auto"/>
                <w:w w:val="96"/>
              </w:rPr>
              <w:t>Time (h) plasma level above EC50 at a 75% confidence level</w:t>
            </w:r>
          </w:p>
        </w:tc>
        <w:tc>
          <w:tcPr>
            <w:tcW w:w="80" w:type="dxa"/>
            <w:vAlign w:val="bottom"/>
            <w:tcBorders>
              <w:bottom w:val="single" w:sz="8" w:color="CFF0FC"/>
            </w:tcBorders>
          </w:tcPr>
          <w:p>
            <w:pPr>
              <w:spacing w:after="0"/>
              <w:rPr>
                <w:sz w:val="12"/>
                <w:szCs w:val="12"/>
                <w:color w:val="auto"/>
              </w:rPr>
            </w:pPr>
          </w:p>
        </w:tc>
      </w:tr>
      <w:tr>
        <w:trPr>
          <w:trHeight w:val="196"/>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Diastolic blood pressure</w:t>
            </w:r>
          </w:p>
        </w:tc>
        <w:tc>
          <w:tcPr>
            <w:tcW w:w="1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140" w:type="dxa"/>
            <w:vAlign w:val="bottom"/>
          </w:tcPr>
          <w:p>
            <w:pPr>
              <w:spacing w:after="0"/>
              <w:rPr>
                <w:sz w:val="20"/>
                <w:szCs w:val="20"/>
                <w:color w:val="auto"/>
              </w:rPr>
            </w:pPr>
            <w:r>
              <w:rPr>
                <w:rFonts w:ascii="Arial" w:cs="Arial" w:eastAsia="Arial" w:hAnsi="Arial"/>
                <w:sz w:val="16"/>
                <w:szCs w:val="16"/>
                <w:color w:val="auto"/>
              </w:rPr>
              <w:t>(DBP)</w:t>
            </w:r>
          </w:p>
        </w:tc>
        <w:tc>
          <w:tcPr>
            <w:tcW w:w="2820" w:type="dxa"/>
            <w:vAlign w:val="bottom"/>
            <w:gridSpan w:val="2"/>
          </w:tcPr>
          <w:p>
            <w:pPr>
              <w:jc w:val="right"/>
              <w:ind w:right="71"/>
              <w:spacing w:after="0"/>
              <w:rPr>
                <w:sz w:val="20"/>
                <w:szCs w:val="20"/>
                <w:color w:val="auto"/>
              </w:rPr>
            </w:pPr>
            <w:r>
              <w:rPr>
                <w:rFonts w:ascii="Arial" w:cs="Arial" w:eastAsia="Arial" w:hAnsi="Arial"/>
                <w:sz w:val="16"/>
                <w:szCs w:val="16"/>
                <w:color w:val="auto"/>
              </w:rPr>
              <w:t>6</w:t>
            </w: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11.5</w:t>
            </w: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r>
      <w:tr>
        <w:trPr>
          <w:trHeight w:val="203"/>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MABP</w:t>
            </w:r>
          </w:p>
        </w:tc>
        <w:tc>
          <w:tcPr>
            <w:tcW w:w="2820" w:type="dxa"/>
            <w:vAlign w:val="bottom"/>
            <w:gridSpan w:val="2"/>
            <w:shd w:val="clear" w:color="auto" w:fill="CFF0FC"/>
          </w:tcPr>
          <w:p>
            <w:pPr>
              <w:jc w:val="right"/>
              <w:ind w:right="71"/>
              <w:spacing w:after="0"/>
              <w:rPr>
                <w:sz w:val="20"/>
                <w:szCs w:val="20"/>
                <w:color w:val="auto"/>
              </w:rPr>
            </w:pPr>
            <w:r>
              <w:rPr>
                <w:rFonts w:ascii="Arial" w:cs="Arial" w:eastAsia="Arial" w:hAnsi="Arial"/>
                <w:sz w:val="16"/>
                <w:szCs w:val="16"/>
                <w:color w:val="auto"/>
              </w:rPr>
              <w:t>6</w:t>
            </w:r>
          </w:p>
        </w:tc>
        <w:tc>
          <w:tcPr>
            <w:tcW w:w="15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FF0FC"/>
          </w:tcPr>
          <w:p>
            <w:pPr>
              <w:spacing w:after="0"/>
              <w:rPr>
                <w:sz w:val="17"/>
                <w:szCs w:val="17"/>
                <w:color w:val="auto"/>
              </w:rPr>
            </w:pPr>
          </w:p>
        </w:tc>
      </w:tr>
      <w:tr>
        <w:trPr>
          <w:trHeight w:val="202"/>
        </w:trPr>
        <w:tc>
          <w:tcPr>
            <w:tcW w:w="3140" w:type="dxa"/>
            <w:vAlign w:val="bottom"/>
          </w:tcPr>
          <w:p>
            <w:pPr>
              <w:spacing w:after="0"/>
              <w:rPr>
                <w:sz w:val="20"/>
                <w:szCs w:val="20"/>
                <w:color w:val="auto"/>
              </w:rPr>
            </w:pPr>
            <w:r>
              <w:rPr>
                <w:rFonts w:ascii="Arial" w:cs="Arial" w:eastAsia="Arial" w:hAnsi="Arial"/>
                <w:sz w:val="16"/>
                <w:szCs w:val="16"/>
                <w:color w:val="auto"/>
              </w:rPr>
              <w:t>Heart rate</w:t>
            </w:r>
          </w:p>
        </w:tc>
        <w:tc>
          <w:tcPr>
            <w:tcW w:w="2820" w:type="dxa"/>
            <w:vAlign w:val="bottom"/>
            <w:gridSpan w:val="2"/>
          </w:tcPr>
          <w:p>
            <w:pPr>
              <w:jc w:val="right"/>
              <w:ind w:right="71"/>
              <w:spacing w:after="0"/>
              <w:rPr>
                <w:sz w:val="20"/>
                <w:szCs w:val="20"/>
                <w:color w:val="auto"/>
              </w:rPr>
            </w:pPr>
            <w:r>
              <w:rPr>
                <w:rFonts w:ascii="Arial" w:cs="Arial" w:eastAsia="Arial" w:hAnsi="Arial"/>
                <w:sz w:val="16"/>
                <w:szCs w:val="16"/>
                <w:color w:val="auto"/>
              </w:rPr>
              <w:t>6.5</w:t>
            </w: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4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r>
      <w:tr>
        <w:trPr>
          <w:trHeight w:val="203"/>
        </w:trPr>
        <w:tc>
          <w:tcPr>
            <w:tcW w:w="3140" w:type="dxa"/>
            <w:vAlign w:val="bottom"/>
          </w:tcPr>
          <w:p>
            <w:pPr>
              <w:spacing w:after="0"/>
              <w:rPr>
                <w:sz w:val="17"/>
                <w:szCs w:val="17"/>
                <w:color w:val="auto"/>
              </w:rPr>
            </w:pPr>
          </w:p>
        </w:tc>
        <w:tc>
          <w:tcPr>
            <w:tcW w:w="5840" w:type="dxa"/>
            <w:vAlign w:val="bottom"/>
            <w:gridSpan w:val="5"/>
          </w:tcPr>
          <w:p>
            <w:pPr>
              <w:jc w:val="center"/>
              <w:ind w:left="1259"/>
              <w:spacing w:after="0"/>
              <w:rPr>
                <w:sz w:val="20"/>
                <w:szCs w:val="20"/>
                <w:color w:val="auto"/>
              </w:rPr>
            </w:pPr>
            <w:r>
              <w:rPr>
                <w:rFonts w:ascii="Arial" w:cs="Arial" w:eastAsia="Arial" w:hAnsi="Arial"/>
                <w:sz w:val="16"/>
                <w:szCs w:val="16"/>
                <w:color w:val="auto"/>
              </w:rPr>
              <w:t>Time (h) plasma level above EC85 at a 50% confidence level</w:t>
            </w:r>
          </w:p>
        </w:tc>
      </w:tr>
      <w:tr>
        <w:trPr>
          <w:trHeight w:val="196"/>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DBP</w:t>
            </w:r>
          </w:p>
        </w:tc>
        <w:tc>
          <w:tcPr>
            <w:tcW w:w="142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ind w:right="71"/>
              <w:spacing w:after="0"/>
              <w:rPr>
                <w:sz w:val="20"/>
                <w:szCs w:val="20"/>
                <w:color w:val="auto"/>
              </w:rPr>
            </w:pPr>
            <w:r>
              <w:rPr>
                <w:rFonts w:ascii="Arial" w:cs="Arial" w:eastAsia="Arial" w:hAnsi="Arial"/>
                <w:sz w:val="16"/>
                <w:szCs w:val="16"/>
                <w:color w:val="auto"/>
              </w:rPr>
              <w:t>5.5</w:t>
            </w:r>
          </w:p>
        </w:tc>
        <w:tc>
          <w:tcPr>
            <w:tcW w:w="15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7.5</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top w:val="single" w:sz="8" w:color="CFF0FC"/>
            </w:tcBorders>
            <w:shd w:val="clear" w:color="auto" w:fill="CFF0FC"/>
          </w:tcPr>
          <w:p>
            <w:pPr>
              <w:spacing w:after="0"/>
              <w:rPr>
                <w:sz w:val="17"/>
                <w:szCs w:val="17"/>
                <w:color w:val="auto"/>
              </w:rPr>
            </w:pPr>
          </w:p>
        </w:tc>
      </w:tr>
      <w:tr>
        <w:trPr>
          <w:trHeight w:val="203"/>
        </w:trPr>
        <w:tc>
          <w:tcPr>
            <w:tcW w:w="3140" w:type="dxa"/>
            <w:vAlign w:val="bottom"/>
          </w:tcPr>
          <w:p>
            <w:pPr>
              <w:spacing w:after="0"/>
              <w:rPr>
                <w:sz w:val="20"/>
                <w:szCs w:val="20"/>
                <w:color w:val="auto"/>
              </w:rPr>
            </w:pPr>
            <w:r>
              <w:rPr>
                <w:rFonts w:ascii="Arial" w:cs="Arial" w:eastAsia="Arial" w:hAnsi="Arial"/>
                <w:sz w:val="16"/>
                <w:szCs w:val="16"/>
                <w:color w:val="auto"/>
              </w:rPr>
              <w:t>MABP</w:t>
            </w:r>
          </w:p>
        </w:tc>
        <w:tc>
          <w:tcPr>
            <w:tcW w:w="2820" w:type="dxa"/>
            <w:vAlign w:val="bottom"/>
            <w:gridSpan w:val="2"/>
          </w:tcPr>
          <w:p>
            <w:pPr>
              <w:jc w:val="right"/>
              <w:ind w:right="71"/>
              <w:spacing w:after="0"/>
              <w:rPr>
                <w:sz w:val="20"/>
                <w:szCs w:val="20"/>
                <w:color w:val="auto"/>
              </w:rPr>
            </w:pPr>
            <w:r>
              <w:rPr>
                <w:rFonts w:ascii="Arial" w:cs="Arial" w:eastAsia="Arial" w:hAnsi="Arial"/>
                <w:sz w:val="16"/>
                <w:szCs w:val="16"/>
                <w:color w:val="auto"/>
              </w:rPr>
              <w:t>5.5</w:t>
            </w: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14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7"/>
                <w:szCs w:val="17"/>
                <w:color w:val="auto"/>
              </w:rPr>
            </w:pPr>
          </w:p>
        </w:tc>
      </w:tr>
      <w:tr>
        <w:trPr>
          <w:trHeight w:val="203"/>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Heart rate</w:t>
            </w:r>
          </w:p>
        </w:tc>
        <w:tc>
          <w:tcPr>
            <w:tcW w:w="2820" w:type="dxa"/>
            <w:vAlign w:val="bottom"/>
            <w:gridSpan w:val="2"/>
            <w:shd w:val="clear" w:color="auto" w:fill="CFF0FC"/>
          </w:tcPr>
          <w:p>
            <w:pPr>
              <w:jc w:val="right"/>
              <w:ind w:right="71"/>
              <w:spacing w:after="0"/>
              <w:rPr>
                <w:sz w:val="20"/>
                <w:szCs w:val="20"/>
                <w:color w:val="auto"/>
              </w:rPr>
            </w:pPr>
            <w:r>
              <w:rPr>
                <w:rFonts w:ascii="Arial" w:cs="Arial" w:eastAsia="Arial" w:hAnsi="Arial"/>
                <w:sz w:val="16"/>
                <w:szCs w:val="16"/>
                <w:color w:val="auto"/>
              </w:rPr>
              <w:t>5.5</w:t>
            </w:r>
          </w:p>
        </w:tc>
        <w:tc>
          <w:tcPr>
            <w:tcW w:w="15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6.5</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ind w:right="40" w:firstLine="445"/>
        <w:spacing w:after="0" w:line="256" w:lineRule="auto"/>
        <w:rPr>
          <w:sz w:val="20"/>
          <w:szCs w:val="20"/>
          <w:color w:val="auto"/>
        </w:rPr>
      </w:pPr>
      <w:r>
        <w:rPr>
          <w:rFonts w:ascii="Arial" w:cs="Arial" w:eastAsia="Arial" w:hAnsi="Arial"/>
          <w:sz w:val="16"/>
          <w:szCs w:val="16"/>
          <w:color w:val="auto"/>
        </w:rPr>
        <w:t>The chart below shows the simulation of PK and PD resulting from single (left) or double (right) doses of icatibant as compared to single doses of PHA121 at 12 mg (left) or 22 mg (right), using a non-linear mixed-effect model built from published data of icatibant and our bradykinin challenge study. As shown in the bottom row, the modeled PD effect of PHA121 surpasses that of icatibant at less than half the dose, and equals two 30 mg injections of icatibant with a single oral dose of 22 mg. As demonstrated in a post-commercialization observational study (IOS study reference), a single dose of icatibant was shown to treat 93% of attacks and two doses treated 99% of over 5,000 attacks in the 10 years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97155</wp:posOffset>
            </wp:positionV>
            <wp:extent cx="3857625" cy="213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5762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445"/>
        <w:spacing w:after="0" w:line="266" w:lineRule="auto"/>
        <w:rPr>
          <w:sz w:val="20"/>
          <w:szCs w:val="20"/>
          <w:color w:val="auto"/>
        </w:rPr>
      </w:pPr>
      <w:r>
        <w:rPr>
          <w:rFonts w:ascii="Arial" w:cs="Arial" w:eastAsia="Arial" w:hAnsi="Arial"/>
          <w:sz w:val="16"/>
          <w:szCs w:val="16"/>
          <w:color w:val="auto"/>
        </w:rPr>
        <w:t>In conclusion, PHA121 was well tolerated when administered orally at the doses tested without any dose- limiting toxicity. PHA121 was rapidly absorbed in either fasting or fed conditions and showed dose proportional PK for PHA121. The BK challenge demonstrated that PHA121 potently blocks the effects of bradykinin-induced hemodynamic changes and provided the robust rationale for dose selection in future on-demand and prophylactic HAE trials.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PHA121-C002 (SAD extension)</w:t>
      </w:r>
    </w:p>
    <w:p>
      <w:pPr>
        <w:spacing w:after="0" w:line="113" w:lineRule="exact"/>
        <w:rPr>
          <w:sz w:val="20"/>
          <w:szCs w:val="20"/>
          <w:color w:val="auto"/>
        </w:rPr>
      </w:pPr>
    </w:p>
    <w:p>
      <w:pPr>
        <w:jc w:val="both"/>
        <w:ind w:right="100" w:firstLine="445"/>
        <w:spacing w:after="0" w:line="266" w:lineRule="auto"/>
        <w:rPr>
          <w:sz w:val="20"/>
          <w:szCs w:val="20"/>
          <w:color w:val="auto"/>
        </w:rPr>
      </w:pPr>
      <w:r>
        <w:rPr>
          <w:rFonts w:ascii="Arial" w:cs="Arial" w:eastAsia="Arial" w:hAnsi="Arial"/>
          <w:sz w:val="16"/>
          <w:szCs w:val="16"/>
          <w:color w:val="auto"/>
        </w:rPr>
        <w:t>PHA121-C002 was a randomized, double-blind, placebo-controlled, single ascending dose extension trial designed to examine the safety, tolerability, and PK of single ascending oral doses of 22, 33, and 50 mg of PHA121 after a standard caloric meal and 40 mg in fasting conditions. A total of 32 subjects received either PHA121, with respect to 24 subjects, or placebo, with respect to 8 subjects.</w:t>
      </w:r>
    </w:p>
    <w:p>
      <w:pPr>
        <w:spacing w:after="0" w:line="171" w:lineRule="exact"/>
        <w:rPr>
          <w:sz w:val="20"/>
          <w:szCs w:val="20"/>
          <w:color w:val="auto"/>
        </w:rPr>
      </w:pPr>
    </w:p>
    <w:p>
      <w:pPr>
        <w:jc w:val="both"/>
        <w:ind w:right="260" w:firstLine="445"/>
        <w:spacing w:after="0" w:line="259" w:lineRule="auto"/>
        <w:rPr>
          <w:sz w:val="20"/>
          <w:szCs w:val="20"/>
          <w:color w:val="auto"/>
        </w:rPr>
      </w:pPr>
      <w:r>
        <w:rPr>
          <w:rFonts w:ascii="Arial" w:cs="Arial" w:eastAsia="Arial" w:hAnsi="Arial"/>
          <w:sz w:val="16"/>
          <w:szCs w:val="16"/>
          <w:color w:val="auto"/>
        </w:rPr>
        <w:t>The trial results showed that PHA121 was well tolerated at doses up to 40 mg under fasting and 50 mg under fed conditions. There were no SAEs reported. Treatment-related AEs that were reported as possibly related to PHA121 were mild nausea (22 mg) (one subject), mild headache (50 mg) (one subject), and moderate headache associated with vomiting (50 mg) (one subject). There were no clinically significant changes in vital signs, laboratory or ECG parameters.</w:t>
      </w:r>
    </w:p>
    <w:p>
      <w:pPr>
        <w:spacing w:after="0" w:line="178"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Over the investigated dose range from 22 to 50 mg (factor 2.27 increase) after a standardized breakfast, PHA121 showed dose-proportional PK with a 2.4-fold increase for mean Cmax and AUC0-24h. Administration of PHA121 after a standardized breakfast resulted in 40-50% decrease in Cmax without a change in AUCinf as compared to administration under fasting conditions. As a result, C12h and C24h</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plasma concentration for PHA121 were higher under fed conditions. These observations support the potential use of this formulation for initial studies in a prophylactic setting by dosing with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99060</wp:posOffset>
            </wp:positionV>
            <wp:extent cx="3660140" cy="1739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6014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22 mg of PHA121</w:t>
            </w:r>
          </w:p>
        </w:tc>
        <w:tc>
          <w:tcPr>
            <w:tcW w:w="14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22 mg of PHA121</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22 mg of PHA121</w:t>
            </w:r>
          </w:p>
        </w:tc>
      </w:tr>
      <w:tr>
        <w:trPr>
          <w:trHeight w:val="153"/>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Fasted</w:t>
            </w:r>
          </w:p>
        </w:tc>
        <w:tc>
          <w:tcPr>
            <w:tcW w:w="14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HCHF</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Standard Meal</w:t>
            </w:r>
          </w:p>
        </w:tc>
      </w:tr>
      <w:tr>
        <w:trPr>
          <w:trHeight w:val="196"/>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C12h’ ng/mL</w:t>
            </w:r>
          </w:p>
        </w:tc>
        <w:tc>
          <w:tcPr>
            <w:tcW w:w="12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0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20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880" w:type="dxa"/>
            <w:vAlign w:val="bottom"/>
            <w:gridSpan w:val="2"/>
          </w:tcPr>
          <w:p>
            <w:pPr>
              <w:spacing w:after="0"/>
              <w:rPr>
                <w:sz w:val="20"/>
                <w:szCs w:val="20"/>
                <w:color w:val="auto"/>
              </w:rPr>
            </w:pPr>
            <w:r>
              <w:rPr>
                <w:rFonts w:ascii="Arial" w:cs="Arial" w:eastAsia="Arial" w:hAnsi="Arial"/>
                <w:sz w:val="16"/>
                <w:szCs w:val="16"/>
                <w:color w:val="auto"/>
              </w:rPr>
              <w:t>C24h’ ng/mL</w:t>
            </w: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r>
      <w:tr>
        <w:trPr>
          <w:trHeight w:val="203"/>
        </w:trPr>
        <w:tc>
          <w:tcPr>
            <w:tcW w:w="4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Cmax’ ng/mL</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gridSpan w:val="2"/>
          </w:tcPr>
          <w:p>
            <w:pPr>
              <w:spacing w:after="0"/>
              <w:rPr>
                <w:sz w:val="20"/>
                <w:szCs w:val="20"/>
                <w:color w:val="auto"/>
              </w:rPr>
            </w:pPr>
            <w:r>
              <w:rPr>
                <w:rFonts w:ascii="Arial" w:cs="Arial" w:eastAsia="Arial" w:hAnsi="Arial"/>
                <w:sz w:val="16"/>
                <w:szCs w:val="16"/>
                <w:color w:val="auto"/>
              </w:rPr>
              <w:t>AUC0-24h’ ng.h/mL</w:t>
            </w:r>
          </w:p>
        </w:tc>
        <w:tc>
          <w:tcPr>
            <w:tcW w:w="1200" w:type="dxa"/>
            <w:vAlign w:val="bottom"/>
          </w:tcPr>
          <w:p>
            <w:pPr>
              <w:jc w:val="right"/>
              <w:spacing w:after="0"/>
              <w:rPr>
                <w:sz w:val="20"/>
                <w:szCs w:val="20"/>
                <w:color w:val="auto"/>
              </w:rPr>
            </w:pPr>
            <w:r>
              <w:rPr>
                <w:rFonts w:ascii="Arial" w:cs="Arial" w:eastAsia="Arial" w:hAnsi="Arial"/>
                <w:sz w:val="16"/>
                <w:szCs w:val="16"/>
                <w:color w:val="auto"/>
              </w:rPr>
              <w:t>671</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966</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7"/>
                <w:szCs w:val="17"/>
                <w:color w:val="auto"/>
              </w:rPr>
            </w:pPr>
          </w:p>
        </w:tc>
      </w:tr>
      <w:tr>
        <w:trPr>
          <w:trHeight w:val="203"/>
        </w:trPr>
        <w:tc>
          <w:tcPr>
            <w:tcW w:w="4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Tmax’ h</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0.25-1.02</w:t>
            </w: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2.00-3.00</w:t>
            </w: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0.50-4.00</w:t>
            </w:r>
          </w:p>
        </w:tc>
        <w:tc>
          <w:tcPr>
            <w:tcW w:w="100" w:type="dxa"/>
            <w:vAlign w:val="bottom"/>
            <w:shd w:val="clear" w:color="auto" w:fill="CFF0FC"/>
          </w:tcPr>
          <w:p>
            <w:pPr>
              <w:spacing w:after="0"/>
              <w:rPr>
                <w:sz w:val="17"/>
                <w:szCs w:val="17"/>
                <w:color w:val="auto"/>
              </w:rPr>
            </w:pPr>
          </w:p>
        </w:tc>
      </w:tr>
      <w:tr>
        <w:trPr>
          <w:trHeight w:val="215"/>
        </w:trPr>
        <w:tc>
          <w:tcPr>
            <w:tcW w:w="4880" w:type="dxa"/>
            <w:vAlign w:val="bottom"/>
            <w:gridSpan w:val="2"/>
          </w:tcPr>
          <w:p>
            <w:pPr>
              <w:spacing w:after="0"/>
              <w:rPr>
                <w:sz w:val="20"/>
                <w:szCs w:val="20"/>
                <w:color w:val="auto"/>
              </w:rPr>
            </w:pPr>
            <w:r>
              <w:rPr>
                <w:rFonts w:ascii="Arial" w:cs="Arial" w:eastAsia="Arial" w:hAnsi="Arial"/>
                <w:sz w:val="16"/>
                <w:szCs w:val="16"/>
                <w:color w:val="auto"/>
              </w:rPr>
              <w:t>t1/2’ h</w:t>
            </w: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PHA121-C004 (DDI-CYP3A4 inhibitor, itraconazole, interaction)</w:t>
      </w:r>
    </w:p>
    <w:p>
      <w:pPr>
        <w:spacing w:after="0" w:line="113" w:lineRule="exact"/>
        <w:rPr>
          <w:sz w:val="20"/>
          <w:szCs w:val="20"/>
          <w:color w:val="auto"/>
        </w:rPr>
      </w:pPr>
    </w:p>
    <w:p>
      <w:pPr>
        <w:ind w:right="160" w:firstLine="445"/>
        <w:spacing w:after="0" w:line="252" w:lineRule="auto"/>
        <w:rPr>
          <w:sz w:val="20"/>
          <w:szCs w:val="20"/>
          <w:color w:val="auto"/>
        </w:rPr>
      </w:pPr>
      <w:r>
        <w:rPr>
          <w:rFonts w:ascii="Arial" w:cs="Arial" w:eastAsia="Arial" w:hAnsi="Arial"/>
          <w:sz w:val="16"/>
          <w:szCs w:val="16"/>
          <w:color w:val="auto"/>
        </w:rPr>
        <w:t xml:space="preserve">Cytochrome P450 3A4 (CYP3A4) plays an important role in the metabolism of PHA121. PHA121-C004 was designed as an open-label, single sequence crossover drug-drug interaction trial to evaluate the effect of multiple doses of itraconazole, a potent CYP3A4 inhibitor, at steady-state on the PK of a single dose of PHA121 in healthy subjects. The primary objective of this study was to determine the effect of multiple doses of the strong CYP3A4 inhibitor itraconazole on the PK of PHA121 in healthy adult subjects. The secondary objective of this study was to evaluate the safety and tolerability of PHA121 alone and in combination with multiple doses of the CYP3A4 inhibitor itraconazole in healthy adult subjects. The study has been completed in 13 subjects and PHA121 was well tolerated with no drug-related adverse events reported. Preliminary analyses show that the exposure of PHA121 increased when co-administered with itraconazole, as expected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showing that PHA121 is a substrate of CYP3A4. Other potential drug-drug interactions will be further assessed by the PHA121-C005 cocktail interaction study and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recommended by FDA guidance.</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PHA121-C006 (MAD)</w:t>
      </w:r>
    </w:p>
    <w:p>
      <w:pPr>
        <w:spacing w:after="0" w:line="113" w:lineRule="exact"/>
        <w:rPr>
          <w:sz w:val="20"/>
          <w:szCs w:val="20"/>
          <w:color w:val="auto"/>
        </w:rPr>
      </w:pPr>
    </w:p>
    <w:p>
      <w:pPr>
        <w:ind w:right="40" w:firstLine="445"/>
        <w:spacing w:after="0" w:line="255" w:lineRule="auto"/>
        <w:rPr>
          <w:sz w:val="20"/>
          <w:szCs w:val="20"/>
          <w:color w:val="auto"/>
        </w:rPr>
      </w:pPr>
      <w:r>
        <w:rPr>
          <w:rFonts w:ascii="Arial" w:cs="Arial" w:eastAsia="Arial" w:hAnsi="Arial"/>
          <w:sz w:val="16"/>
          <w:szCs w:val="16"/>
          <w:color w:val="auto"/>
        </w:rPr>
        <w:t>PHA121-C006 was a randomized, double-blind, placebo-controlled, multiple ascending dose trial to examine the safety, tolerability and PK of PHA121 in healthy subjects, which demonstrated PHA121’s pharmacokinetics and tolerability. The trial included 38 subjects and four cohorts, ranging from 12 to 50 mg, of healthy subjects who were studied sequentially. Within each cohort, eight subjects received PHA121 and two subjects received placebo, except for the final cohort with six subjects receiving PHA121 and two subjects receiving placebo. The trial evaluated multiple ascending doses of twice daily for 10 days to establish safety and tolerability and to assess the PK characteristics of PHA121 after standard caloric meals. PHA121 was supplied as an oral solution.</w:t>
      </w:r>
    </w:p>
    <w:p>
      <w:pPr>
        <w:spacing w:after="0" w:line="373" w:lineRule="exact"/>
        <w:rPr>
          <w:sz w:val="20"/>
          <w:szCs w:val="20"/>
          <w:color w:val="auto"/>
        </w:rPr>
      </w:pPr>
    </w:p>
    <w:p>
      <w:pPr>
        <w:ind w:firstLine="445"/>
        <w:spacing w:after="0" w:line="254" w:lineRule="auto"/>
        <w:rPr>
          <w:sz w:val="20"/>
          <w:szCs w:val="20"/>
          <w:color w:val="auto"/>
        </w:rPr>
      </w:pPr>
      <w:r>
        <w:rPr>
          <w:rFonts w:ascii="Arial" w:cs="Arial" w:eastAsia="Arial" w:hAnsi="Arial"/>
          <w:sz w:val="16"/>
          <w:szCs w:val="16"/>
          <w:color w:val="auto"/>
        </w:rPr>
        <w:t>The study showed PHA121 was well tolerated at all doses studied (including up to the highest dose of 50 mg twice daily (BID)), with approximately dose-proportional exposure. During the study, there have been no SAEs or severe treatment-emergent adverse events, or TEAEs, reported. All reported TEAEs were mild in intensity and resolved completely. There were no clear differences between the different dosing regimens vs. placebo with respect to the total TEAEs and the frequency of TEAEs reported for the different system organ classes. Lab safety, vital signs, and ECG parameters remained well within normal limits in all subjects. The pharmacokinetic profile suggests that therapeutic drug levels of PHA121 were achieved in day 1 and steady-state plasma concentrations were reached within 72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363855</wp:posOffset>
            </wp:positionV>
            <wp:extent cx="4963160" cy="6866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63160" cy="686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PHA121-C010 (SD)</w:t>
      </w:r>
    </w:p>
    <w:p>
      <w:pPr>
        <w:spacing w:after="0" w:line="113" w:lineRule="exact"/>
        <w:rPr>
          <w:sz w:val="20"/>
          <w:szCs w:val="20"/>
          <w:color w:val="auto"/>
        </w:rPr>
      </w:pPr>
    </w:p>
    <w:p>
      <w:pPr>
        <w:ind w:firstLine="445"/>
        <w:spacing w:after="0" w:line="256" w:lineRule="auto"/>
        <w:rPr>
          <w:sz w:val="20"/>
          <w:szCs w:val="20"/>
          <w:color w:val="auto"/>
        </w:rPr>
      </w:pPr>
      <w:r>
        <w:rPr>
          <w:rFonts w:ascii="Arial" w:cs="Arial" w:eastAsia="Arial" w:hAnsi="Arial"/>
          <w:sz w:val="16"/>
          <w:szCs w:val="16"/>
          <w:color w:val="auto"/>
        </w:rPr>
        <w:t>PHA121-C010 was an open-label randomized five-period crossover single-dose study to assess bioavailability of two different extended-release formulations with and without food, in comparison to a single dose of PHVS416 without food. The study included 8 healthy volunteers who received in randomized order a single dose of PHVS416 (20 mg, as two 10-mg softgel capsules) without food, a single tablet of PHVS719 XR1 (20 mg) without food; a single tablet of PHVS719 XR1 (20 mg) with a high-calorie, high-fat meal; a single tablet of PHVS719 XR2 (40 mg) without food; and a single tablet of PHVS719 XR2 (40 mg) with a high-calorie, high-fat meal.</w:t>
      </w:r>
    </w:p>
    <w:p>
      <w:pPr>
        <w:sectPr>
          <w:pgSz w:w="11900" w:h="16838" w:orient="portrait"/>
          <w:cols w:equalWidth="0" w:num="1">
            <w:col w:w="11100"/>
          </w:cols>
          <w:pgMar w:left="320" w:top="125" w:right="479" w:bottom="1440" w:gutter="0" w:footer="0" w:header="0"/>
        </w:sectPr>
      </w:pP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type w:val="continuous"/>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120" w:firstLine="445"/>
        <w:spacing w:after="0" w:line="286" w:lineRule="auto"/>
        <w:rPr>
          <w:sz w:val="20"/>
          <w:szCs w:val="20"/>
          <w:color w:val="auto"/>
        </w:rPr>
      </w:pPr>
      <w:r>
        <w:rPr>
          <w:rFonts w:ascii="Arial" w:cs="Arial" w:eastAsia="Arial" w:hAnsi="Arial"/>
          <w:sz w:val="16"/>
          <w:szCs w:val="16"/>
          <w:color w:val="auto"/>
        </w:rPr>
        <w:t>The study showed PHVS416 and PHVS719 were well tolerated. During the study, there were no SAEs or severe treatment-emergent adverse events (TEAEs) reported.</w:t>
      </w:r>
    </w:p>
    <w:p>
      <w:pPr>
        <w:spacing w:after="0" w:line="156" w:lineRule="exact"/>
        <w:rPr>
          <w:sz w:val="20"/>
          <w:szCs w:val="20"/>
          <w:color w:val="auto"/>
        </w:rPr>
      </w:pPr>
    </w:p>
    <w:p>
      <w:pPr>
        <w:ind w:right="20" w:firstLine="445"/>
        <w:spacing w:after="0" w:line="253" w:lineRule="auto"/>
        <w:rPr>
          <w:sz w:val="20"/>
          <w:szCs w:val="20"/>
          <w:color w:val="auto"/>
        </w:rPr>
      </w:pPr>
      <w:r>
        <w:rPr>
          <w:rFonts w:ascii="Arial" w:cs="Arial" w:eastAsia="Arial" w:hAnsi="Arial"/>
          <w:sz w:val="16"/>
          <w:szCs w:val="16"/>
          <w:color w:val="auto"/>
        </w:rPr>
        <w:t>The pharmacokinetic profile observed for PHVS416 confirmed that the softgel capsule formulation under fasting conditions achieved rapid exposure of the PHA121 active ingredient consistent with previous pharmacokinetic studies using PHA121 in a solution formulation, rising above clinically relevant exposure (in particular, the EC</w:t>
      </w:r>
      <w:r>
        <w:rPr>
          <w:rFonts w:ascii="Arial" w:cs="Arial" w:eastAsia="Arial" w:hAnsi="Arial"/>
          <w:sz w:val="13"/>
          <w:szCs w:val="13"/>
          <w:color w:val="auto"/>
        </w:rPr>
        <w:t>85</w:t>
      </w:r>
      <w:r>
        <w:rPr>
          <w:rFonts w:ascii="Arial" w:cs="Arial" w:eastAsia="Arial" w:hAnsi="Arial"/>
          <w:sz w:val="16"/>
          <w:szCs w:val="16"/>
          <w:color w:val="auto"/>
        </w:rPr>
        <w:t xml:space="preserve"> determined from the bradykinin challenge, 13.8 ng/mL) within 15 minutes. A single dose of PHVS719 (40 mg) under fasted conditions yielded exposure above 13.8 ng/mL by the two-hour timepoint and maintained this exposure for at least an additional 28 hours. The overall exposure was not affected by food. The 24-hour area under the curve (AUC</w:t>
      </w:r>
      <w:r>
        <w:rPr>
          <w:rFonts w:ascii="Arial" w:cs="Arial" w:eastAsia="Arial" w:hAnsi="Arial"/>
          <w:sz w:val="13"/>
          <w:szCs w:val="13"/>
          <w:color w:val="auto"/>
        </w:rPr>
        <w:t>24h</w:t>
      </w:r>
      <w:r>
        <w:rPr>
          <w:rFonts w:ascii="Arial" w:cs="Arial" w:eastAsia="Arial" w:hAnsi="Arial"/>
          <w:sz w:val="16"/>
          <w:szCs w:val="16"/>
          <w:color w:val="auto"/>
        </w:rPr>
        <w:t>) exposure of PHA121 using PHVS719 (40 mg) is similar to that observed in Phase 1 studies with PHVS416 softgel capsules dosed 20 mg twice a day with food (one of the doses used in the CHAPTER-1 prophylactic proof-of-concept study).</w:t>
      </w:r>
    </w:p>
    <w:p>
      <w:pPr>
        <w:spacing w:after="0" w:line="181" w:lineRule="exact"/>
        <w:rPr>
          <w:sz w:val="20"/>
          <w:szCs w:val="20"/>
          <w:color w:val="auto"/>
        </w:rPr>
      </w:pPr>
    </w:p>
    <w:p>
      <w:pPr>
        <w:ind w:right="200" w:firstLine="445"/>
        <w:spacing w:after="0" w:line="286" w:lineRule="auto"/>
        <w:rPr>
          <w:sz w:val="20"/>
          <w:szCs w:val="20"/>
          <w:color w:val="auto"/>
        </w:rPr>
      </w:pPr>
      <w:r>
        <w:rPr>
          <w:rFonts w:ascii="Arial" w:cs="Arial" w:eastAsia="Arial" w:hAnsi="Arial"/>
          <w:sz w:val="16"/>
          <w:szCs w:val="16"/>
          <w:color w:val="auto"/>
        </w:rPr>
        <w:t>The observed pharmacokinetic profile of PHVS719 is consistent with a true extended-release formulation designed to provide long-term exposure to PHA121. In particular, PHVS719 appears to be suitable for once-daily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107950</wp:posOffset>
            </wp:positionV>
            <wp:extent cx="6035040" cy="2417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50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Development Path</w:t>
      </w:r>
    </w:p>
    <w:p>
      <w:pPr>
        <w:spacing w:after="0" w:line="113" w:lineRule="exact"/>
        <w:rPr>
          <w:sz w:val="20"/>
          <w:szCs w:val="20"/>
          <w:color w:val="auto"/>
        </w:rPr>
      </w:pPr>
    </w:p>
    <w:p>
      <w:pPr>
        <w:ind w:right="140" w:firstLine="445"/>
        <w:spacing w:after="0" w:line="286" w:lineRule="auto"/>
        <w:rPr>
          <w:sz w:val="20"/>
          <w:szCs w:val="20"/>
          <w:color w:val="auto"/>
        </w:rPr>
      </w:pPr>
      <w:r>
        <w:rPr>
          <w:rFonts w:ascii="Arial" w:cs="Arial" w:eastAsia="Arial" w:hAnsi="Arial"/>
          <w:sz w:val="16"/>
          <w:szCs w:val="16"/>
          <w:color w:val="auto"/>
        </w:rPr>
        <w:t>We intend to develop PHA121 for on-demand and prophylactic indications in parallel using two different product formulations, with clinical trials in the on-demand setting commencing first in order to provide critical data for further development for the prophylaxis indication.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RAPIDe-1 On-Demand</w:t>
      </w:r>
    </w:p>
    <w:p>
      <w:pPr>
        <w:spacing w:after="0" w:line="111" w:lineRule="exact"/>
        <w:rPr>
          <w:sz w:val="20"/>
          <w:szCs w:val="20"/>
          <w:color w:val="auto"/>
        </w:rPr>
      </w:pPr>
    </w:p>
    <w:p>
      <w:pPr>
        <w:ind w:right="200" w:firstLine="445"/>
        <w:spacing w:after="0" w:line="259" w:lineRule="auto"/>
        <w:rPr>
          <w:sz w:val="20"/>
          <w:szCs w:val="20"/>
          <w:color w:val="auto"/>
        </w:rPr>
      </w:pPr>
      <w:r>
        <w:rPr>
          <w:rFonts w:ascii="Arial" w:cs="Arial" w:eastAsia="Arial" w:hAnsi="Arial"/>
          <w:sz w:val="16"/>
          <w:szCs w:val="16"/>
          <w:color w:val="auto"/>
        </w:rPr>
        <w:t>The availability of an immediate-release softgel 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PHVS416 softgel capsule provides the same pharmacokinetic profile as the solution formulation we used in Phase 1 trials, and have now seen this also in humans from the C010 Phase 1 study.</w:t>
      </w:r>
    </w:p>
    <w:p>
      <w:pPr>
        <w:spacing w:after="0" w:line="178" w:lineRule="exact"/>
        <w:rPr>
          <w:sz w:val="20"/>
          <w:szCs w:val="20"/>
          <w:color w:val="auto"/>
        </w:rPr>
      </w:pPr>
    </w:p>
    <w:p>
      <w:pPr>
        <w:ind w:firstLine="445"/>
        <w:spacing w:after="0" w:line="256" w:lineRule="auto"/>
        <w:rPr>
          <w:sz w:val="20"/>
          <w:szCs w:val="20"/>
          <w:color w:val="auto"/>
        </w:rPr>
      </w:pPr>
      <w:r>
        <w:rPr>
          <w:rFonts w:ascii="Arial" w:cs="Arial" w:eastAsia="Arial" w:hAnsi="Arial"/>
          <w:sz w:val="16"/>
          <w:szCs w:val="16"/>
          <w:color w:val="auto"/>
        </w:rPr>
        <w:t>In February 2021, we commenced an on-demand Phase 2 clinical trial in HAE patients, RAPIDe-1, that will evaluate angioedema symptom relief within four hours using different doses of PHVS416 versus placebo while treating acute attacks of patients with HAE Types 1 and 2. Eligible patients are randomized to one of three single doses of active and placebo. The primary endpoint will be the change in composite visual analogue scale, or composite VAS, a measure of symptom relief, at four hours post-dose. Composite and individual VAS, mean symptom complex severity, or MSCS, and treatment outcome score, or TOS, will be assessed up to 48-hours post-dose. We expect data in the fourth quarter of 2022.</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Prophylaxis Trials</w:t>
      </w:r>
    </w:p>
    <w:p>
      <w:pPr>
        <w:spacing w:after="0" w:line="111" w:lineRule="exact"/>
        <w:rPr>
          <w:sz w:val="20"/>
          <w:szCs w:val="20"/>
          <w:color w:val="auto"/>
        </w:rPr>
      </w:pPr>
    </w:p>
    <w:p>
      <w:pPr>
        <w:ind w:right="300" w:firstLine="445"/>
        <w:spacing w:after="0" w:line="286" w:lineRule="auto"/>
        <w:rPr>
          <w:sz w:val="20"/>
          <w:szCs w:val="20"/>
          <w:color w:val="auto"/>
        </w:rPr>
      </w:pPr>
      <w:r>
        <w:rPr>
          <w:rFonts w:ascii="Arial" w:cs="Arial" w:eastAsia="Arial" w:hAnsi="Arial"/>
          <w:sz w:val="16"/>
          <w:szCs w:val="16"/>
          <w:color w:val="auto"/>
        </w:rPr>
        <w:t>Currently there is no bradykinin B2-receptor antagonist available for HAE prophylaxis. Icatibant has a very short half-life and would require multiple injections each day, making it generally unsuitable for prophylactic use, especially with injection site pain reported for most patients.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160" w:firstLine="445"/>
        <w:spacing w:after="0" w:line="259" w:lineRule="auto"/>
        <w:rPr>
          <w:sz w:val="20"/>
          <w:szCs w:val="20"/>
          <w:color w:val="auto"/>
        </w:rPr>
      </w:pPr>
      <w:r>
        <w:rPr>
          <w:rFonts w:ascii="Arial" w:cs="Arial" w:eastAsia="Arial" w:hAnsi="Arial"/>
          <w:sz w:val="16"/>
          <w:szCs w:val="16"/>
          <w:color w:val="auto"/>
        </w:rPr>
        <w:t>Unlike on-demand use, prophylaxis requires maintenance of drug concentration over long periods of time – rapid absorption is unnecessary. In order to project a potential dose for use in prophylactic trials using our projected dose from the bradykinin challenge model (an acute treatment model), we relied on a similar acute-to-prophylactic extrapolation utilized for products in the plasma kallikrein mechanism. Ecallantide is a polypeptide inhibitor of plasma kallikrein used for treatment of attacks. Similarly to icatibant, the short half-life of ecallantide makes it generally unsuitable for use in prophylaxis.</w:t>
      </w:r>
    </w:p>
    <w:p>
      <w:pPr>
        <w:spacing w:after="0" w:line="178" w:lineRule="exact"/>
        <w:rPr>
          <w:sz w:val="20"/>
          <w:szCs w:val="20"/>
          <w:color w:val="auto"/>
        </w:rPr>
      </w:pPr>
    </w:p>
    <w:p>
      <w:pPr>
        <w:ind w:right="100" w:firstLine="445"/>
        <w:spacing w:after="0" w:line="259" w:lineRule="auto"/>
        <w:rPr>
          <w:sz w:val="20"/>
          <w:szCs w:val="20"/>
          <w:color w:val="auto"/>
        </w:rPr>
      </w:pPr>
      <w:r>
        <w:rPr>
          <w:rFonts w:ascii="Arial" w:cs="Arial" w:eastAsia="Arial" w:hAnsi="Arial"/>
          <w:sz w:val="16"/>
          <w:szCs w:val="16"/>
          <w:color w:val="auto"/>
        </w:rPr>
        <w:t>Lanadelumab-flyo is a monoclonal antibody with the same target as ecallantide but with higher potency and longer half-life. Lanadelumab-flyo is used for prevention of attacks. Clinical trials and published literature correlate the steady-state concentrations of lanadelumab-flyo (relative to its EC50) to the observed prophylactic control of attacks. Based on the observed potency of PHA121 in the bradykinin challenge, we believe we can utilize a similar concentration-above-EC50 approach to predict the required exposure of PHA121 to control attacks prophylactically.</w:t>
      </w:r>
    </w:p>
    <w:p>
      <w:pPr>
        <w:spacing w:after="0" w:line="178" w:lineRule="exact"/>
        <w:rPr>
          <w:sz w:val="20"/>
          <w:szCs w:val="20"/>
          <w:color w:val="auto"/>
        </w:rPr>
      </w:pPr>
    </w:p>
    <w:p>
      <w:pPr>
        <w:ind w:right="120" w:firstLine="445"/>
        <w:spacing w:after="0" w:line="259" w:lineRule="auto"/>
        <w:rPr>
          <w:sz w:val="20"/>
          <w:szCs w:val="20"/>
          <w:color w:val="auto"/>
        </w:rPr>
      </w:pPr>
      <w:r>
        <w:rPr>
          <w:rFonts w:ascii="Arial" w:cs="Arial" w:eastAsia="Arial" w:hAnsi="Arial"/>
          <w:sz w:val="16"/>
          <w:szCs w:val="16"/>
          <w:color w:val="auto"/>
        </w:rPr>
        <w:t>We believe we can achieve the concentrations desired for prophylactic activity with twice-daily dosing of the PHVS416 softgel capsules. Therefore, in addition to the RAPIDe-1 on-demand trial, we are also planning clinical trials of PHVS416 to evaluate its efficacy and safety for preventing HAE attacks (prophylaxis). These include an evaluation of patients randomized to placebo or active doses for a treatment period with the primary objective to assess the safety profile of PHVS416 dose regimens for prophylactic treatments in HAE patients.</w:t>
      </w:r>
    </w:p>
    <w:p>
      <w:pPr>
        <w:spacing w:after="0" w:line="178" w:lineRule="exact"/>
        <w:rPr>
          <w:sz w:val="20"/>
          <w:szCs w:val="20"/>
          <w:color w:val="auto"/>
        </w:rPr>
      </w:pPr>
    </w:p>
    <w:p>
      <w:pPr>
        <w:jc w:val="both"/>
        <w:ind w:right="100" w:firstLine="445"/>
        <w:spacing w:after="0" w:line="259" w:lineRule="auto"/>
        <w:rPr>
          <w:sz w:val="20"/>
          <w:szCs w:val="20"/>
          <w:color w:val="auto"/>
        </w:rPr>
      </w:pPr>
      <w:r>
        <w:rPr>
          <w:rFonts w:ascii="Arial" w:cs="Arial" w:eastAsia="Arial" w:hAnsi="Arial"/>
          <w:sz w:val="16"/>
          <w:szCs w:val="16"/>
          <w:color w:val="auto"/>
        </w:rPr>
        <w:t>We also intend to conduct a registration-directed randomized, placebo-controlled evaluation in HAE prophylaxis to provide the key efficacy and safety evaluation of prophylactic treatment. We anticipate that PHVS719, as described below, will be included in this pivotal trial, with doses selected based on the PK performance of PHVS719 in Phase 1 trials. We also expect that the data from RAPIDe-1 will support the final dose selection for the prophylactic trials. Additional trials may be required by the FDA, EMA or other regulators even if we receive positive data from RAPIDe-1.</w:t>
      </w:r>
    </w:p>
    <w:p>
      <w:pPr>
        <w:spacing w:after="0" w:line="178" w:lineRule="exact"/>
        <w:rPr>
          <w:sz w:val="20"/>
          <w:szCs w:val="20"/>
          <w:color w:val="auto"/>
        </w:rPr>
      </w:pPr>
    </w:p>
    <w:p>
      <w:pPr>
        <w:ind w:right="20" w:firstLine="445"/>
        <w:spacing w:after="0" w:line="256" w:lineRule="auto"/>
        <w:rPr>
          <w:sz w:val="20"/>
          <w:szCs w:val="20"/>
          <w:color w:val="auto"/>
        </w:rPr>
      </w:pPr>
      <w:r>
        <w:rPr>
          <w:rFonts w:ascii="Arial" w:cs="Arial" w:eastAsia="Arial" w:hAnsi="Arial"/>
          <w:sz w:val="16"/>
          <w:szCs w:val="16"/>
          <w:color w:val="auto"/>
        </w:rPr>
        <w:t>In order to provide a differentiated product featuring more consistent exposure of PHA121 for the prophylactic setting, we are developing an extended-release, or XR, formulation (PHVS719) that will feature continuous slow release maintaining PHA121 concentrations above the levels we predict to provide protection against attacks. PHA121 has demonstrated properties favorable to the development of XR formulations, and we initiated human pharmacokinetics trials with PHVS719 in 2021 to enable use of this product candidate in the pivotal prophylactic trial. With the results of the C010 study, which were described above, we believe we have identified an extended-release formulation that enables once-daily dosing in a prophylactic setting.</w:t>
      </w:r>
    </w:p>
    <w:p>
      <w:pPr>
        <w:spacing w:after="0" w:line="180" w:lineRule="exact"/>
        <w:rPr>
          <w:sz w:val="20"/>
          <w:szCs w:val="20"/>
          <w:color w:val="auto"/>
        </w:rPr>
      </w:pPr>
    </w:p>
    <w:p>
      <w:pPr>
        <w:ind w:right="220" w:firstLine="445"/>
        <w:spacing w:after="0" w:line="286" w:lineRule="auto"/>
        <w:rPr>
          <w:sz w:val="20"/>
          <w:szCs w:val="20"/>
          <w:color w:val="auto"/>
        </w:rPr>
      </w:pPr>
      <w:r>
        <w:rPr>
          <w:rFonts w:ascii="Arial" w:cs="Arial" w:eastAsia="Arial" w:hAnsi="Arial"/>
          <w:sz w:val="16"/>
          <w:szCs w:val="16"/>
          <w:color w:val="auto"/>
        </w:rPr>
        <w:t>In addition, we also plan to run an open-label extension study in the prophylactic setting with both rollover and non-rollover subjects to collect longer duration safety data, which will be further discussed with FDA and EMA.</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Intellectual Property</w:t>
      </w:r>
    </w:p>
    <w:p>
      <w:pPr>
        <w:spacing w:after="0" w:line="113" w:lineRule="exact"/>
        <w:rPr>
          <w:sz w:val="20"/>
          <w:szCs w:val="20"/>
          <w:color w:val="auto"/>
        </w:rPr>
      </w:pPr>
    </w:p>
    <w:p>
      <w:pPr>
        <w:ind w:right="160" w:firstLine="445"/>
        <w:spacing w:after="0" w:line="254" w:lineRule="auto"/>
        <w:rPr>
          <w:sz w:val="20"/>
          <w:szCs w:val="20"/>
          <w:color w:val="auto"/>
        </w:rPr>
      </w:pPr>
      <w:r>
        <w:rPr>
          <w:rFonts w:ascii="Arial" w:cs="Arial" w:eastAsia="Arial" w:hAnsi="Arial"/>
          <w:sz w:val="16"/>
          <w:szCs w:val="16"/>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182" w:lineRule="exact"/>
        <w:rPr>
          <w:sz w:val="20"/>
          <w:szCs w:val="20"/>
          <w:color w:val="auto"/>
        </w:rPr>
      </w:pPr>
    </w:p>
    <w:p>
      <w:pPr>
        <w:ind w:firstLine="445"/>
        <w:spacing w:after="0" w:line="249" w:lineRule="auto"/>
        <w:rPr>
          <w:sz w:val="20"/>
          <w:szCs w:val="20"/>
          <w:color w:val="auto"/>
        </w:rPr>
      </w:pPr>
      <w:r>
        <w:rPr>
          <w:rFonts w:ascii="Arial" w:cs="Arial" w:eastAsia="Arial" w:hAnsi="Arial"/>
          <w:sz w:val="16"/>
          <w:szCs w:val="16"/>
          <w:color w:val="auto"/>
        </w:rPr>
        <w:t>As of March 25, 2022, we own two U.S. patents and 42 national patents, including in France, Germany, Italy, Netherlands, Spain and United Kingdom, that expire on November 23, 2038, and 50 pending patent applications worldwide, including two pending U.S. applications, one pending U.S. continuation application, 47 pending non-U.S. applications, including applications in Europe and Japan, and one pending PCT application. The U.S. and national patents and 44 of our pending patent applications contain composition-of-matter claims to the PHA121 small molecule and derivatives thereof; PHA121 is the active pharmaceutical ingredient (API) in, and therefore extends our patent applications to, our PHVS416 and PHVS719 product candidates. Each such patent application can generally be categorized into one of three patent families: (1) those relating to the novel bradykinin-B2-receptor antagonists, (2) those relating to the cyclic bradykinin-B2-receptor antagonists, and (3) those relating to the new cyclic bradykinin-B2-receptor antagonists. The pending PCT application contains claims directed to the use of PHA121 in on- demand treatment of HAE and in prophylaxis for HAE, and accordingly extends the patent applications to methods of use of the PHVS416 and PHVS719 product candidates. One pending EP application contains claims directed to the formulation of our PHVS416 product candidate, and another one contains claims directed to the crystal form of the API. Three pending EP applications are directly or indirectly directed to the formulation of our PHVS719 product candidate and its use in chronic or prophylactic treatment of HAE.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issue or that we will benefit from any patent term extension or favorable adjustment to the term of any patents that may be issued in the future.</w:t>
      </w:r>
    </w:p>
    <w:p>
      <w:pPr>
        <w:spacing w:after="0" w:line="188" w:lineRule="exact"/>
        <w:rPr>
          <w:sz w:val="20"/>
          <w:szCs w:val="20"/>
          <w:color w:val="auto"/>
        </w:rPr>
      </w:pPr>
    </w:p>
    <w:p>
      <w:pPr>
        <w:ind w:right="40" w:firstLine="445"/>
        <w:spacing w:after="0" w:line="256"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term effectively lost as a result of the FDA regulatory review period, subject to certain limitations and provided statutory and regulatory requirements are met.</w:t>
      </w:r>
    </w:p>
    <w:p>
      <w:pPr>
        <w:spacing w:after="0" w:line="221" w:lineRule="exact"/>
        <w:rPr>
          <w:sz w:val="20"/>
          <w:szCs w:val="20"/>
          <w:color w:val="auto"/>
        </w:rPr>
      </w:pPr>
    </w:p>
    <w:p>
      <w:pPr>
        <w:ind w:right="380" w:firstLine="445"/>
        <w:spacing w:after="0" w:line="253" w:lineRule="auto"/>
        <w:rPr>
          <w:sz w:val="20"/>
          <w:szCs w:val="20"/>
          <w:color w:val="auto"/>
        </w:rPr>
      </w:pPr>
      <w:r>
        <w:rPr>
          <w:rFonts w:ascii="Arial" w:cs="Arial" w:eastAsia="Arial" w:hAnsi="Arial"/>
          <w:sz w:val="16"/>
          <w:szCs w:val="16"/>
          <w:color w:val="auto"/>
        </w:rPr>
        <w:t>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PHA121, depending upon the length of the clinical trials for each product and other factors.</w:t>
      </w:r>
    </w:p>
    <w:p>
      <w:pPr>
        <w:spacing w:after="0" w:line="181" w:lineRule="exact"/>
        <w:rPr>
          <w:sz w:val="20"/>
          <w:szCs w:val="20"/>
          <w:color w:val="auto"/>
        </w:rPr>
      </w:pPr>
    </w:p>
    <w:p>
      <w:pPr>
        <w:ind w:firstLine="445"/>
        <w:spacing w:after="0" w:line="256" w:lineRule="auto"/>
        <w:rPr>
          <w:sz w:val="20"/>
          <w:szCs w:val="20"/>
          <w:color w:val="auto"/>
        </w:rPr>
      </w:pPr>
      <w:r>
        <w:rPr>
          <w:rFonts w:ascii="Arial" w:cs="Arial" w:eastAsia="Arial" w:hAnsi="Arial"/>
          <w:sz w:val="16"/>
          <w:szCs w:val="16"/>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“ITEM 3. KEY INFORMATION—D. Risk factors—Risks Related to Our Intellectual Property.”</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License Agreement</w:t>
      </w:r>
    </w:p>
    <w:p>
      <w:pPr>
        <w:spacing w:after="0" w:line="113" w:lineRule="exact"/>
        <w:rPr>
          <w:sz w:val="20"/>
          <w:szCs w:val="20"/>
          <w:color w:val="auto"/>
        </w:rPr>
      </w:pPr>
    </w:p>
    <w:p>
      <w:pPr>
        <w:ind w:right="20" w:firstLine="445"/>
        <w:spacing w:after="0" w:line="253" w:lineRule="auto"/>
        <w:rPr>
          <w:sz w:val="20"/>
          <w:szCs w:val="20"/>
          <w:color w:val="auto"/>
        </w:rPr>
      </w:pPr>
      <w:r>
        <w:rPr>
          <w:rFonts w:ascii="Arial" w:cs="Arial" w:eastAsia="Arial" w:hAnsi="Arial"/>
          <w:sz w:val="16"/>
          <w:szCs w:val="16"/>
          <w:color w:val="auto"/>
        </w:rPr>
        <w:t>On March 31, 2016, we entered into a license agreement (the “AnalytiCon License”) and a research agreement with AnalytiCon to collaborate for the development of an orally available bradykinin B2 receptor antagonist. Pursuant to the AnalytiCon License, we acquired a worldwide, exclusive license from AnalytiCon to use (i) a certain proprietary substance class of bradykinin B2 receptor antagonists with the potential of oral activity (“OB2RA”) and (ii) 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PHA121, PHVS416 and PHVS719 are subject to the AnalytiCon license agreement. In consideration for the license, we paid AnalytiCon a non-refundable up-front payment of €250,000.</w:t>
      </w:r>
    </w:p>
    <w:p>
      <w:pPr>
        <w:spacing w:after="0" w:line="181" w:lineRule="exact"/>
        <w:rPr>
          <w:sz w:val="20"/>
          <w:szCs w:val="20"/>
          <w:color w:val="auto"/>
        </w:rPr>
      </w:pPr>
    </w:p>
    <w:p>
      <w:pPr>
        <w:ind w:right="20" w:firstLine="445"/>
        <w:spacing w:after="0" w:line="254" w:lineRule="auto"/>
        <w:rPr>
          <w:sz w:val="20"/>
          <w:szCs w:val="20"/>
          <w:color w:val="auto"/>
        </w:rPr>
      </w:pPr>
      <w:r>
        <w:rPr>
          <w:rFonts w:ascii="Arial" w:cs="Arial" w:eastAsia="Arial" w:hAnsi="Arial"/>
          <w:sz w:val="16"/>
          <w:szCs w:val="16"/>
          <w:color w:val="auto"/>
        </w:rPr>
        <w:t>Under the AnalytiCon License, we are required to pay AnalytiCon one-time payments in an aggregate amount of up to €11.4 million upon the achievement of certain development, regulatory, and sales milestones. To date, we have paid AnalytiCon an aggregate amount of €1,150,000 (€250,000 up-front plus €900,000 in milestone payments). €10.5 million in aggregate potential milestone payments remain outstanding. In addition, we will be required to pay AnalytiCon low to 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w:t>
      </w:r>
    </w:p>
    <w:p>
      <w:pPr>
        <w:spacing w:after="0" w:line="182" w:lineRule="exact"/>
        <w:rPr>
          <w:sz w:val="20"/>
          <w:szCs w:val="20"/>
          <w:color w:val="auto"/>
        </w:rPr>
      </w:pPr>
    </w:p>
    <w:p>
      <w:pPr>
        <w:ind w:right="100" w:firstLine="445"/>
        <w:spacing w:after="0" w:line="252" w:lineRule="auto"/>
        <w:rPr>
          <w:sz w:val="20"/>
          <w:szCs w:val="20"/>
          <w:color w:val="auto"/>
        </w:rPr>
      </w:pPr>
      <w:r>
        <w:rPr>
          <w:rFonts w:ascii="Arial" w:cs="Arial" w:eastAsia="Arial" w:hAnsi="Arial"/>
          <w:sz w:val="16"/>
          <w:szCs w:val="16"/>
          <w:color w:val="auto"/>
        </w:rPr>
        <w:t>Our agreement with AnalytiCon will expire upon the expiry of the last patent of the licensed intellectual property. Not accounting for any regulatory extension or terminal disclaimers, and assuming that all annuity and/ 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 to the compounds that form the object of the collaboration with AnalytiCon. If AnalytiCon were to (a) terminate the AnalytiCon License for cause and (b) exercise contractual remedies available to it thereunder, then we could be required to grant to AnalytiCon an exclusive worldwide license to our intellectual property generated under the collaboration with AnalytiCon for use in all applications, including HAE. In addition, we could be prevented from competing with AnalytiCon until five years after the commercial launch of any product containing a compound from the OB2RA Class.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Supply</w:t>
      </w:r>
    </w:p>
    <w:p>
      <w:pPr>
        <w:spacing w:after="0" w:line="113" w:lineRule="exact"/>
        <w:rPr>
          <w:sz w:val="20"/>
          <w:szCs w:val="20"/>
          <w:color w:val="auto"/>
        </w:rPr>
      </w:pPr>
    </w:p>
    <w:p>
      <w:pPr>
        <w:ind w:right="280" w:firstLine="445"/>
        <w:spacing w:after="0" w:line="256" w:lineRule="auto"/>
        <w:rPr>
          <w:sz w:val="20"/>
          <w:szCs w:val="20"/>
          <w:color w:val="auto"/>
        </w:rPr>
      </w:pPr>
      <w:r>
        <w:rPr>
          <w:rFonts w:ascii="Arial" w:cs="Arial" w:eastAsia="Arial" w:hAnsi="Arial"/>
          <w:sz w:val="16"/>
          <w:szCs w:val="16"/>
          <w:color w:val="auto"/>
        </w:rPr>
        <w:t>We currently have two contract CDMOs for the production of PHA121 API. A robust and scalable synthetic route has been established. All raw materials can be purchased from multiple suppliers. We also collaborate with a leading CDMO for the manufacturing of the on-demand treatment product PHVS416. With the same CDMO we are currently optimizing the prophylactic treatment product PHVS719, and in 2021 we engaged a second CDMO to produce PHVS719. The CDMOs that manufacture both PHVS416 and PHVS719 are responsible for packaging and worldwide distribution of other commercial drug products.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Sales and Marketing</w:t>
      </w:r>
    </w:p>
    <w:p>
      <w:pPr>
        <w:spacing w:after="0" w:line="113" w:lineRule="exact"/>
        <w:rPr>
          <w:sz w:val="20"/>
          <w:szCs w:val="20"/>
          <w:color w:val="auto"/>
        </w:rPr>
      </w:pPr>
    </w:p>
    <w:p>
      <w:pPr>
        <w:ind w:right="160" w:firstLine="445"/>
        <w:spacing w:after="0" w:line="266" w:lineRule="auto"/>
        <w:rPr>
          <w:sz w:val="20"/>
          <w:szCs w:val="20"/>
          <w:color w:val="auto"/>
        </w:rPr>
      </w:pPr>
      <w:r>
        <w:rPr>
          <w:rFonts w:ascii="Arial" w:cs="Arial" w:eastAsia="Arial" w:hAnsi="Arial"/>
          <w:sz w:val="16"/>
          <w:szCs w:val="16"/>
          <w:color w:val="auto"/>
        </w:rPr>
        <w:t>The Pharvaris team, including its founders, have experience developing and commercializing drug products for rare diseases including HAE specifically. We intend to develop a fully integrated sales and marketing organization ahead of marketing approval for PHVS416 or PHVS719. Even though HAE is a competitive market, orphan product companies have demonstrated successful first launches with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excellent preparation and execution. We believe that our products will provide patients with significant new treatment options, and we will evaluate options to optimize the commercial opportunity.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jc w:val="both"/>
        <w:ind w:right="20" w:firstLine="445"/>
        <w:spacing w:after="0" w:line="266" w:lineRule="auto"/>
        <w:rPr>
          <w:sz w:val="20"/>
          <w:szCs w:val="20"/>
          <w:color w:val="auto"/>
        </w:rPr>
      </w:pPr>
      <w:r>
        <w:rPr>
          <w:rFonts w:ascii="Arial" w:cs="Arial" w:eastAsia="Arial" w:hAnsi="Arial"/>
          <w:sz w:val="16"/>
          <w:szCs w:val="16"/>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Currently, there are several licensed therapies for HAE, including the following:</w:t>
      </w:r>
    </w:p>
    <w:p>
      <w:pPr>
        <w:spacing w:after="0" w:line="113" w:lineRule="exact"/>
        <w:rPr>
          <w:sz w:val="20"/>
          <w:szCs w:val="20"/>
          <w:color w:val="auto"/>
        </w:rPr>
      </w:pPr>
    </w:p>
    <w:p>
      <w:pPr>
        <w:ind w:left="860" w:hanging="420"/>
        <w:spacing w:after="0" w:line="266" w:lineRule="auto"/>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FIRAZYR</w:t>
      </w:r>
      <w:r>
        <w:rPr>
          <w:rFonts w:ascii="Arial" w:cs="Arial" w:eastAsia="Arial" w:hAnsi="Arial"/>
          <w:sz w:val="16"/>
          <w:szCs w:val="16"/>
          <w:color w:val="auto"/>
        </w:rPr>
        <w:t>: The bradykinin BR2 receptor antagonist FIRAZYR (icatibant) is approved by the FDA in the U.S. and by regulators globally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acute attacks and is administered by subcutaneous administration. Seven generic forms of icatibant have been approved in the U.S. since July 2019 and more may be approved in the future.</w:t>
      </w:r>
    </w:p>
    <w:p>
      <w:pPr>
        <w:spacing w:after="0" w:line="63" w:lineRule="exact"/>
        <w:rPr>
          <w:rFonts w:ascii="Arial" w:cs="Arial" w:eastAsia="Arial" w:hAnsi="Arial"/>
          <w:sz w:val="16"/>
          <w:szCs w:val="16"/>
          <w:color w:val="auto"/>
        </w:rPr>
      </w:pPr>
    </w:p>
    <w:p>
      <w:pPr>
        <w:ind w:left="860" w:right="260" w:hanging="420"/>
        <w:spacing w:after="0" w:line="266" w:lineRule="auto"/>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C1-INH</w:t>
      </w:r>
      <w:r>
        <w:rPr>
          <w:rFonts w:ascii="Arial" w:cs="Arial" w:eastAsia="Arial" w:hAnsi="Arial"/>
          <w:sz w:val="16"/>
          <w:szCs w:val="16"/>
          <w:color w:val="auto"/>
        </w:rPr>
        <w:t>: C1-INH replacement therapy is available in the U.S. and globally as an acute therapy (BERINERT, CINRYZE, and CETOR)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prophylactic therapy (HAEGARDA/BERINERT 2000/3000 and CINRYZE). These therapies are dosed subcutaneously and intravenously. Recombinant C1-INH (Ruconest) is also available in the U.S. and in Europe as an acute therapy.</w:t>
      </w:r>
    </w:p>
    <w:p>
      <w:pPr>
        <w:spacing w:after="0" w:line="63" w:lineRule="exact"/>
        <w:rPr>
          <w:rFonts w:ascii="Arial" w:cs="Arial" w:eastAsia="Arial" w:hAnsi="Arial"/>
          <w:sz w:val="16"/>
          <w:szCs w:val="16"/>
          <w:color w:val="auto"/>
        </w:rPr>
      </w:pPr>
    </w:p>
    <w:p>
      <w:pPr>
        <w:ind w:left="860" w:right="200" w:hanging="420"/>
        <w:spacing w:after="0" w:line="259" w:lineRule="auto"/>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Kallikrein Inhibitors</w:t>
      </w:r>
      <w:r>
        <w:rPr>
          <w:rFonts w:ascii="Arial" w:cs="Arial" w:eastAsia="Arial" w:hAnsi="Arial"/>
          <w:sz w:val="16"/>
          <w:szCs w:val="16"/>
          <w:color w:val="auto"/>
        </w:rPr>
        <w:t>: KALBITOR (ecallantide) is a specific recombinant plasma kallikrein inhibitor that is dosed subcutaneously by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in the U.S. to treat acute HAE attacks. TAKHZYRO (lanadelumab-flyo) is a monoclonal antibody approved in the U.S. and a growing number of countries for prophylaxis of HAE attacks and can be self-administered as a subcutaneous injection. ORLADEYO (berotralstat) is a kallikrein inhibitor that was approved in the U.S. in the fourth quarter of 2020 and is dosed orally once-daily for the prevention of HAE attacks.</w:t>
      </w:r>
    </w:p>
    <w:p>
      <w:pPr>
        <w:spacing w:after="0" w:line="69" w:lineRule="exact"/>
        <w:rPr>
          <w:rFonts w:ascii="Arial" w:cs="Arial" w:eastAsia="Arial" w:hAnsi="Arial"/>
          <w:sz w:val="16"/>
          <w:szCs w:val="16"/>
          <w:color w:val="auto"/>
        </w:rPr>
      </w:pPr>
    </w:p>
    <w:p>
      <w:pPr>
        <w:ind w:left="860" w:right="180" w:hanging="420"/>
        <w:spacing w:after="0" w:line="259" w:lineRule="auto"/>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Other Medications</w:t>
      </w:r>
      <w:r>
        <w:rPr>
          <w:rFonts w:ascii="Arial" w:cs="Arial" w:eastAsia="Arial" w:hAnsi="Arial"/>
          <w:sz w:val="16"/>
          <w:szCs w:val="16"/>
          <w:color w:val="auto"/>
        </w:rPr>
        <w:t>: Prophylactic administration of synthetic attenuated androgens (generically available as danazol or stanozolol)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78" w:lineRule="exact"/>
        <w:rPr>
          <w:sz w:val="20"/>
          <w:szCs w:val="20"/>
          <w:color w:val="auto"/>
        </w:rPr>
      </w:pPr>
    </w:p>
    <w:p>
      <w:pPr>
        <w:ind w:right="160" w:firstLine="445"/>
        <w:spacing w:after="0" w:line="259" w:lineRule="auto"/>
        <w:rPr>
          <w:sz w:val="20"/>
          <w:szCs w:val="20"/>
          <w:color w:val="auto"/>
        </w:rPr>
      </w:pPr>
      <w:r>
        <w:rPr>
          <w:rFonts w:ascii="Arial" w:cs="Arial" w:eastAsia="Arial" w:hAnsi="Arial"/>
          <w:sz w:val="16"/>
          <w:szCs w:val="16"/>
          <w:color w:val="auto"/>
        </w:rPr>
        <w:t>We are also aware of a number of HAE therapies in clinical development. Currently, there are three orally delivered plasma kallikrein inhibitors being developed clinically: Kalvista’s KVD900 for acute treatment and KVD824 for prophylactic treatment and Attune’s ATN-249 for prophylactic treatment. Additionally, CSL is developing garadacimab, an anti-factor XIIa mAb for prophylactic treatment, which is delivered subcutaneously or intravenously, and Ionis’s donidalorsen, an antisense oligonucleotide inhibitor of prekallikrein for prophylactic treatment, which is delivered subcutaneously.</w:t>
      </w:r>
    </w:p>
    <w:p>
      <w:pPr>
        <w:spacing w:after="0" w:line="178" w:lineRule="exact"/>
        <w:rPr>
          <w:sz w:val="20"/>
          <w:szCs w:val="20"/>
          <w:color w:val="auto"/>
        </w:rPr>
      </w:pPr>
    </w:p>
    <w:p>
      <w:pPr>
        <w:ind w:right="180" w:firstLine="445"/>
        <w:spacing w:after="0" w:line="254" w:lineRule="auto"/>
        <w:rPr>
          <w:sz w:val="20"/>
          <w:szCs w:val="20"/>
          <w:color w:val="auto"/>
        </w:rPr>
      </w:pPr>
      <w:r>
        <w:rPr>
          <w:rFonts w:ascii="Arial" w:cs="Arial" w:eastAsia="Arial" w:hAnsi="Arial"/>
          <w:sz w:val="16"/>
          <w:szCs w:val="16"/>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113" w:lineRule="exact"/>
        <w:rPr>
          <w:sz w:val="20"/>
          <w:szCs w:val="20"/>
          <w:color w:val="auto"/>
        </w:rPr>
      </w:pPr>
    </w:p>
    <w:p>
      <w:pPr>
        <w:ind w:right="100" w:firstLine="445"/>
        <w:spacing w:after="0" w:line="256" w:lineRule="auto"/>
        <w:rPr>
          <w:sz w:val="20"/>
          <w:szCs w:val="20"/>
          <w:color w:val="auto"/>
        </w:rPr>
      </w:pPr>
      <w:r>
        <w:rPr>
          <w:rFonts w:ascii="Arial" w:cs="Arial" w:eastAsia="Arial" w:hAnsi="Arial"/>
          <w:sz w:val="16"/>
          <w:szCs w:val="16"/>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80" w:lineRule="exact"/>
        <w:rPr>
          <w:sz w:val="20"/>
          <w:szCs w:val="20"/>
          <w:color w:val="auto"/>
        </w:rPr>
      </w:pPr>
    </w:p>
    <w:p>
      <w:pPr>
        <w:ind w:right="80" w:firstLine="445"/>
        <w:spacing w:after="0" w:line="259" w:lineRule="auto"/>
        <w:rPr>
          <w:sz w:val="20"/>
          <w:szCs w:val="20"/>
          <w:color w:val="auto"/>
        </w:rPr>
      </w:pPr>
      <w:r>
        <w:rPr>
          <w:rFonts w:ascii="Arial" w:cs="Arial" w:eastAsia="Arial" w:hAnsi="Arial"/>
          <w:sz w:val="16"/>
          <w:szCs w:val="16"/>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nonclinical and clinical development paths for product candidates are broadly similar in the European Union and the United States.</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Nonclinical Studies</w:t>
      </w:r>
    </w:p>
    <w:p>
      <w:pPr>
        <w:spacing w:after="0" w:line="111" w:lineRule="exact"/>
        <w:rPr>
          <w:sz w:val="20"/>
          <w:szCs w:val="20"/>
          <w:color w:val="auto"/>
        </w:rPr>
      </w:pPr>
    </w:p>
    <w:p>
      <w:pPr>
        <w:ind w:right="20" w:firstLine="445"/>
        <w:spacing w:after="0" w:line="259" w:lineRule="auto"/>
        <w:rPr>
          <w:sz w:val="20"/>
          <w:szCs w:val="20"/>
          <w:color w:val="auto"/>
        </w:rPr>
      </w:pPr>
      <w:r>
        <w:rPr>
          <w:rFonts w:ascii="Arial" w:cs="Arial" w:eastAsia="Arial" w:hAnsi="Arial"/>
          <w:sz w:val="16"/>
          <w:szCs w:val="16"/>
          <w:color w:val="auto"/>
        </w:rPr>
        <w:t xml:space="preserve">Development of the product candidates starts with preclinical studies that enable the first-in-human clinical Phase I trial. The preclinical studies include tests for assessment of primary pharmacodynamics (the mode of action), secondary pharmacodynamics and safety pharmacology. Once in clinical development, additional nonclinical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tests are conducted until adequate proof of safety is established (e.g., animal testing for reproductive and general toxicity and carcinogenicity). The conduct of the nonclinical tests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formulation of the compounds for testing must comply with regulations and requirements set by the Competent Authorities, including compliance with GLP. Acceptance of the nonclinical study packages by regulatory agencies is necessary for the initiation and progression of the product candidate through Phase I, Phase II and Phase III clinical trials.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Pharmaceutical development</w:t>
      </w:r>
    </w:p>
    <w:p>
      <w:pPr>
        <w:spacing w:after="0" w:line="113"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6"/>
          <w:szCs w:val="16"/>
          <w:color w:val="auto"/>
        </w:rPr>
        <w:t>Laboratory tests are conducted to develop a suitable formulation for clinical use and marketing. Product development includes formulation and stability testing, and a robust product manufacturing process. The conduct of pharmaceutical development must comply with regulations and requirements set by the Competent Authorities, including compliance with GLP.</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Studies</w:t>
      </w:r>
    </w:p>
    <w:p>
      <w:pPr>
        <w:spacing w:after="0" w:line="111" w:lineRule="exact"/>
        <w:rPr>
          <w:sz w:val="20"/>
          <w:szCs w:val="20"/>
          <w:color w:val="auto"/>
        </w:rPr>
      </w:pPr>
    </w:p>
    <w:p>
      <w:pPr>
        <w:ind w:right="80" w:firstLine="445"/>
        <w:spacing w:after="0" w:line="253" w:lineRule="auto"/>
        <w:rPr>
          <w:sz w:val="20"/>
          <w:szCs w:val="20"/>
          <w:color w:val="auto"/>
        </w:rPr>
      </w:pPr>
      <w:r>
        <w:rPr>
          <w:rFonts w:ascii="Arial" w:cs="Arial" w:eastAsia="Arial" w:hAnsi="Arial"/>
          <w:sz w:val="16"/>
          <w:szCs w:val="16"/>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 the roles of clinical trial sponsors, administrators, and monitors; as well as (iii) 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81" w:lineRule="exact"/>
        <w:rPr>
          <w:sz w:val="20"/>
          <w:szCs w:val="20"/>
          <w:color w:val="auto"/>
        </w:rPr>
      </w:pPr>
    </w:p>
    <w:p>
      <w:pPr>
        <w:ind w:right="120" w:firstLine="445"/>
        <w:spacing w:after="0" w:line="254" w:lineRule="auto"/>
        <w:rPr>
          <w:sz w:val="20"/>
          <w:szCs w:val="20"/>
          <w:color w:val="auto"/>
        </w:rPr>
      </w:pPr>
      <w:r>
        <w:rPr>
          <w:rFonts w:ascii="Arial" w:cs="Arial" w:eastAsia="Arial" w:hAnsi="Arial"/>
          <w:sz w:val="16"/>
          <w:szCs w:val="16"/>
          <w:color w:val="auto"/>
        </w:rPr>
        <w:t>Prior to initiating clinical trials, a request for clinical trial authorization (national Competent Authorities in the European Union) or an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82" w:lineRule="exact"/>
        <w:rPr>
          <w:sz w:val="20"/>
          <w:szCs w:val="20"/>
          <w:color w:val="auto"/>
        </w:rPr>
      </w:pPr>
    </w:p>
    <w:p>
      <w:pPr>
        <w:ind w:firstLine="445"/>
        <w:spacing w:after="0" w:line="275" w:lineRule="auto"/>
        <w:rPr>
          <w:sz w:val="20"/>
          <w:szCs w:val="20"/>
          <w:color w:val="auto"/>
        </w:rPr>
      </w:pPr>
      <w:r>
        <w:rPr>
          <w:rFonts w:ascii="Arial" w:cs="Arial" w:eastAsia="Arial" w:hAnsi="Arial"/>
          <w:sz w:val="16"/>
          <w:szCs w:val="16"/>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361" w:lineRule="exact"/>
        <w:rPr>
          <w:sz w:val="20"/>
          <w:szCs w:val="20"/>
          <w:color w:val="auto"/>
        </w:rPr>
      </w:pPr>
    </w:p>
    <w:p>
      <w:pPr>
        <w:ind w:right="60" w:firstLine="445"/>
        <w:spacing w:after="0" w:line="259" w:lineRule="auto"/>
        <w:rPr>
          <w:sz w:val="20"/>
          <w:szCs w:val="20"/>
          <w:color w:val="auto"/>
        </w:rPr>
      </w:pPr>
      <w:r>
        <w:rPr>
          <w:rFonts w:ascii="Arial" w:cs="Arial" w:eastAsia="Arial" w:hAnsi="Arial"/>
          <w:sz w:val="16"/>
          <w:szCs w:val="16"/>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178" w:lineRule="exact"/>
        <w:rPr>
          <w:sz w:val="20"/>
          <w:szCs w:val="20"/>
          <w:color w:val="auto"/>
        </w:rPr>
      </w:pPr>
    </w:p>
    <w:p>
      <w:pPr>
        <w:ind w:right="220" w:firstLine="445"/>
        <w:spacing w:after="0" w:line="259" w:lineRule="auto"/>
        <w:rPr>
          <w:sz w:val="20"/>
          <w:szCs w:val="20"/>
          <w:color w:val="auto"/>
        </w:rPr>
      </w:pPr>
      <w:r>
        <w:rPr>
          <w:rFonts w:ascii="Arial" w:cs="Arial" w:eastAsia="Arial" w:hAnsi="Arial"/>
          <w:sz w:val="16"/>
          <w:szCs w:val="16"/>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 describes specific regulatory regimes and regulations applicable in certain jurisdictions.</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States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U.S. Food and Drug Administration</w:t>
      </w:r>
    </w:p>
    <w:p>
      <w:pPr>
        <w:spacing w:after="0" w:line="111" w:lineRule="exact"/>
        <w:rPr>
          <w:sz w:val="20"/>
          <w:szCs w:val="20"/>
          <w:color w:val="auto"/>
        </w:rPr>
      </w:pPr>
    </w:p>
    <w:p>
      <w:pPr>
        <w:ind w:right="40" w:firstLine="445"/>
        <w:spacing w:after="0" w:line="253" w:lineRule="auto"/>
        <w:rPr>
          <w:sz w:val="20"/>
          <w:szCs w:val="20"/>
          <w:color w:val="auto"/>
        </w:rPr>
      </w:pPr>
      <w:r>
        <w:rPr>
          <w:rFonts w:ascii="Arial" w:cs="Arial" w:eastAsia="Arial" w:hAnsi="Arial"/>
          <w:sz w:val="16"/>
          <w:szCs w:val="16"/>
          <w:color w:val="auto"/>
        </w:rPr>
        <w:t>In the United States,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The FDA Approval Process</w:t>
      </w:r>
    </w:p>
    <w:p>
      <w:pPr>
        <w:spacing w:after="0" w:line="111" w:lineRule="exact"/>
        <w:rPr>
          <w:sz w:val="20"/>
          <w:szCs w:val="20"/>
          <w:color w:val="auto"/>
        </w:rPr>
      </w:pPr>
    </w:p>
    <w:p>
      <w:pPr>
        <w:ind w:right="40" w:firstLine="445"/>
        <w:spacing w:after="0" w:line="253"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product candidate is usually into healthy 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71" w:lineRule="exact"/>
        <w:rPr>
          <w:sz w:val="20"/>
          <w:szCs w:val="20"/>
          <w:color w:val="auto"/>
        </w:rPr>
      </w:pPr>
    </w:p>
    <w:p>
      <w:pPr>
        <w:jc w:val="both"/>
        <w:ind w:right="160" w:firstLine="445"/>
        <w:spacing w:after="0" w:line="253"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Sponsors typically use the meeting at the end of Phase 2 to discuss their Phase 2 clinical results and present their plans for the pivotal Phase 3 clinical trials that they believe will support the approval of the new product candidate.</w:t>
      </w:r>
    </w:p>
    <w:p>
      <w:pPr>
        <w:spacing w:after="0" w:line="172"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The results of drug candidate development, nonclinical testing, clinical trials and proposed labeling are submitted to the FDA as part of the New Drug Application, or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89" w:lineRule="exact"/>
        <w:rPr>
          <w:sz w:val="20"/>
          <w:szCs w:val="20"/>
          <w:color w:val="auto"/>
        </w:rPr>
      </w:pPr>
    </w:p>
    <w:p>
      <w:pPr>
        <w:ind w:right="120" w:firstLine="445"/>
        <w:spacing w:after="0" w:line="266" w:lineRule="auto"/>
        <w:rPr>
          <w:sz w:val="20"/>
          <w:szCs w:val="20"/>
          <w:color w:val="auto"/>
        </w:rPr>
      </w:pPr>
      <w:r>
        <w:rPr>
          <w:rFonts w:ascii="Arial" w:cs="Arial" w:eastAsia="Arial" w:hAnsi="Arial"/>
          <w:sz w:val="16"/>
          <w:szCs w:val="16"/>
          <w:color w:val="auto"/>
        </w:rPr>
        <w:t>The cost of preparing and submitting an NDA is substantial. The submission of most NDAs is additionally subject to a substantial application user fee payment to FDA, and the manufacturer and/or sponsor under an approved NDA are also subject to certain annual program user fees. The FDA typically increases these fees annually.</w:t>
      </w:r>
    </w:p>
    <w:p>
      <w:pPr>
        <w:spacing w:after="0" w:line="171" w:lineRule="exact"/>
        <w:rPr>
          <w:sz w:val="20"/>
          <w:szCs w:val="20"/>
          <w:color w:val="auto"/>
        </w:rPr>
      </w:pPr>
    </w:p>
    <w:p>
      <w:pPr>
        <w:ind w:right="80" w:firstLine="445"/>
        <w:spacing w:after="0" w:line="251" w:lineRule="auto"/>
        <w:rPr>
          <w:sz w:val="20"/>
          <w:szCs w:val="20"/>
          <w:color w:val="auto"/>
        </w:rPr>
      </w:pPr>
      <w:r>
        <w:rPr>
          <w:rFonts w:ascii="Arial" w:cs="Arial" w:eastAsia="Arial" w:hAnsi="Arial"/>
          <w:sz w:val="16"/>
          <w:szCs w:val="16"/>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after the 60-day filing review period, but this timeframe is often extended. The FDA reviews most applications for standard review drugs within twelve months. The review process may be extended by the FDA for three additional months to consider certain late-submitted information, or information intended to clarify information already provided in the submission. This late- submitted information is typically requested by FDA.</w:t>
      </w:r>
    </w:p>
    <w:p>
      <w:pPr>
        <w:spacing w:after="0" w:line="185" w:lineRule="exact"/>
        <w:rPr>
          <w:sz w:val="20"/>
          <w:szCs w:val="20"/>
          <w:color w:val="auto"/>
        </w:rPr>
      </w:pPr>
    </w:p>
    <w:p>
      <w:pPr>
        <w:ind w:right="240" w:firstLine="445"/>
        <w:spacing w:after="0" w:line="259" w:lineRule="auto"/>
        <w:rPr>
          <w:sz w:val="20"/>
          <w:szCs w:val="20"/>
          <w:color w:val="auto"/>
        </w:rPr>
      </w:pPr>
      <w:r>
        <w:rPr>
          <w:rFonts w:ascii="Arial" w:cs="Arial" w:eastAsia="Arial" w:hAnsi="Arial"/>
          <w:sz w:val="16"/>
          <w:szCs w:val="16"/>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FDA, and provide recommendations, sometimes including whether the FDA should approve the application. The FDA is not bound by the recommendation of an Advisory Committee, but it generally follows such recommendations.</w:t>
      </w:r>
    </w:p>
    <w:p>
      <w:pPr>
        <w:spacing w:after="0" w:line="178" w:lineRule="exact"/>
        <w:rPr>
          <w:sz w:val="20"/>
          <w:szCs w:val="20"/>
          <w:color w:val="auto"/>
        </w:rPr>
      </w:pPr>
    </w:p>
    <w:p>
      <w:pPr>
        <w:ind w:right="260" w:firstLine="445"/>
        <w:spacing w:after="0" w:line="266" w:lineRule="auto"/>
        <w:rPr>
          <w:sz w:val="20"/>
          <w:szCs w:val="20"/>
          <w:color w:val="auto"/>
        </w:rPr>
      </w:pPr>
      <w:r>
        <w:rPr>
          <w:rFonts w:ascii="Arial" w:cs="Arial" w:eastAsia="Arial" w:hAnsi="Arial"/>
          <w:sz w:val="16"/>
          <w:szCs w:val="16"/>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71" w:lineRule="exact"/>
        <w:rPr>
          <w:sz w:val="20"/>
          <w:szCs w:val="20"/>
          <w:color w:val="auto"/>
        </w:rPr>
      </w:pPr>
    </w:p>
    <w:p>
      <w:pPr>
        <w:ind w:right="100" w:firstLine="445"/>
        <w:spacing w:after="0" w:line="252"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nonclinical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83"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clinical trials, designed to further assess a product’s safety and effectiveness, and testing and surveillance programs to monitor the safety of approved products that have been commercialized.</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Expedited Approval in the U.S.</w:t>
      </w:r>
    </w:p>
    <w:p>
      <w:pPr>
        <w:spacing w:after="0" w:line="111" w:lineRule="exact"/>
        <w:rPr>
          <w:sz w:val="20"/>
          <w:szCs w:val="20"/>
          <w:color w:val="auto"/>
        </w:rPr>
      </w:pPr>
    </w:p>
    <w:p>
      <w:pPr>
        <w:jc w:val="both"/>
        <w:ind w:right="60" w:firstLine="445"/>
        <w:spacing w:after="0" w:line="266" w:lineRule="auto"/>
        <w:rPr>
          <w:sz w:val="20"/>
          <w:szCs w:val="20"/>
          <w:color w:val="auto"/>
        </w:rPr>
      </w:pPr>
      <w:r>
        <w:rPr>
          <w:rFonts w:ascii="Arial" w:cs="Arial" w:eastAsia="Arial" w:hAnsi="Arial"/>
          <w:sz w:val="16"/>
          <w:szCs w:val="16"/>
          <w:color w:val="auto"/>
        </w:rPr>
        <w:t>The FDA has a number of programs that are intended to facilitate and expedite development and review of new drugs to address unmet medical need in the treatment of a serious or life threatening condition. These are: Fast Track Designation, Breakthrough Therapy Designation, Accelerated Approval and Priority Review Designation.</w:t>
      </w:r>
    </w:p>
    <w:p>
      <w:pPr>
        <w:spacing w:after="0" w:line="171" w:lineRule="exact"/>
        <w:rPr>
          <w:sz w:val="20"/>
          <w:szCs w:val="20"/>
          <w:color w:val="auto"/>
        </w:rPr>
      </w:pPr>
    </w:p>
    <w:p>
      <w:pPr>
        <w:ind w:right="60" w:firstLine="445"/>
        <w:spacing w:after="0" w:line="251" w:lineRule="auto"/>
        <w:rPr>
          <w:sz w:val="20"/>
          <w:szCs w:val="20"/>
          <w:color w:val="auto"/>
        </w:rPr>
      </w:pPr>
      <w:r>
        <w:rPr>
          <w:rFonts w:ascii="Arial" w:cs="Arial" w:eastAsia="Arial" w:hAnsi="Arial"/>
          <w:sz w:val="16"/>
          <w:szCs w:val="16"/>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 track product can be eligible for priority review if supported by clinical data at the time of NDA submission. If the FDA determines that a fast track product may be effective after preliminary evaluation of the NDA, it may consider reviewing portions of a marketing application before the sponsor submits the complete application. Fast Track Designation can be requested when the IND is first submitted or at any time thereafter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85"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89" w:lineRule="exact"/>
        <w:rPr>
          <w:sz w:val="20"/>
          <w:szCs w:val="20"/>
          <w:color w:val="auto"/>
        </w:rPr>
      </w:pPr>
    </w:p>
    <w:p>
      <w:pPr>
        <w:ind w:right="100" w:firstLine="445"/>
        <w:spacing w:after="0" w:line="252" w:lineRule="auto"/>
        <w:rPr>
          <w:sz w:val="20"/>
          <w:szCs w:val="20"/>
          <w:color w:val="auto"/>
        </w:rPr>
      </w:pPr>
      <w:r>
        <w:rPr>
          <w:rFonts w:ascii="Arial" w:cs="Arial" w:eastAsia="Arial" w:hAnsi="Arial"/>
          <w:sz w:val="16"/>
          <w:szCs w:val="16"/>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83" w:lineRule="exact"/>
        <w:rPr>
          <w:sz w:val="20"/>
          <w:szCs w:val="20"/>
          <w:color w:val="auto"/>
        </w:rPr>
      </w:pPr>
    </w:p>
    <w:p>
      <w:pPr>
        <w:ind w:right="40" w:firstLine="445"/>
        <w:spacing w:after="0" w:line="266" w:lineRule="auto"/>
        <w:rPr>
          <w:sz w:val="20"/>
          <w:szCs w:val="20"/>
          <w:color w:val="auto"/>
        </w:rPr>
      </w:pPr>
      <w:r>
        <w:rPr>
          <w:rFonts w:ascii="Arial" w:cs="Arial" w:eastAsia="Arial" w:hAnsi="Arial"/>
          <w:sz w:val="16"/>
          <w:szCs w:val="16"/>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 approval trials with due diligence or the applicant disseminates false or misleading promotional materials related to the product.</w:t>
      </w:r>
    </w:p>
    <w:p>
      <w:pPr>
        <w:spacing w:after="0" w:line="171"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of receipt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right="40" w:firstLine="445"/>
        <w:spacing w:after="0" w:line="254" w:lineRule="auto"/>
        <w:rPr>
          <w:sz w:val="20"/>
          <w:szCs w:val="20"/>
          <w:color w:val="auto"/>
        </w:rPr>
      </w:pPr>
      <w:r>
        <w:rPr>
          <w:rFonts w:ascii="Arial" w:cs="Arial" w:eastAsia="Arial" w:hAnsi="Arial"/>
          <w:sz w:val="16"/>
          <w:szCs w:val="16"/>
          <w:color w:val="auto"/>
        </w:rPr>
        <w:t>An orphan drug designation qualifies the manufacturer for certain tax credits and may lead to market exclusivity for seven years following the date of the drug’s approval by the FDA. The FDCA provides that a drug 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82" w:lineRule="exact"/>
        <w:rPr>
          <w:sz w:val="20"/>
          <w:szCs w:val="20"/>
          <w:color w:val="auto"/>
        </w:rPr>
      </w:pPr>
    </w:p>
    <w:p>
      <w:pPr>
        <w:ind w:right="140" w:firstLine="445"/>
        <w:spacing w:after="0" w:line="266" w:lineRule="auto"/>
        <w:rPr>
          <w:sz w:val="20"/>
          <w:szCs w:val="20"/>
          <w:color w:val="auto"/>
        </w:rPr>
      </w:pPr>
      <w:r>
        <w:rPr>
          <w:rFonts w:ascii="Arial" w:cs="Arial" w:eastAsia="Arial" w:hAnsi="Arial"/>
          <w:sz w:val="16"/>
          <w:szCs w:val="16"/>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78" w:lineRule="exact"/>
        <w:rPr>
          <w:sz w:val="20"/>
          <w:szCs w:val="20"/>
          <w:color w:val="auto"/>
        </w:rPr>
      </w:pPr>
    </w:p>
    <w:p>
      <w:pPr>
        <w:jc w:val="both"/>
        <w:ind w:right="60" w:firstLine="445"/>
        <w:spacing w:after="0" w:line="266" w:lineRule="auto"/>
        <w:rPr>
          <w:sz w:val="20"/>
          <w:szCs w:val="20"/>
          <w:color w:val="auto"/>
        </w:rPr>
      </w:pPr>
      <w:r>
        <w:rPr>
          <w:rFonts w:ascii="Arial" w:cs="Arial" w:eastAsia="Arial" w:hAnsi="Arial"/>
          <w:sz w:val="16"/>
          <w:szCs w:val="16"/>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Post-Marketing Requirements</w:t>
      </w:r>
    </w:p>
    <w:p>
      <w:pPr>
        <w:spacing w:after="0" w:line="111"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6"/>
          <w:szCs w:val="16"/>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71" w:lineRule="exact"/>
        <w:rPr>
          <w:sz w:val="20"/>
          <w:szCs w:val="20"/>
          <w:color w:val="auto"/>
        </w:rPr>
      </w:pPr>
    </w:p>
    <w:p>
      <w:pPr>
        <w:ind w:right="40" w:firstLine="445"/>
        <w:spacing w:after="0" w:line="253" w:lineRule="auto"/>
        <w:rPr>
          <w:sz w:val="20"/>
          <w:szCs w:val="20"/>
          <w:color w:val="auto"/>
        </w:rPr>
      </w:pPr>
      <w:r>
        <w:rPr>
          <w:rFonts w:ascii="Arial" w:cs="Arial" w:eastAsia="Arial" w:hAnsi="Arial"/>
          <w:sz w:val="16"/>
          <w:szCs w:val="16"/>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81" w:lineRule="exact"/>
        <w:rPr>
          <w:sz w:val="20"/>
          <w:szCs w:val="20"/>
          <w:color w:val="auto"/>
        </w:rPr>
      </w:pPr>
    </w:p>
    <w:p>
      <w:pPr>
        <w:ind w:right="400" w:firstLine="445"/>
        <w:spacing w:after="0" w:line="286" w:lineRule="auto"/>
        <w:rPr>
          <w:sz w:val="20"/>
          <w:szCs w:val="20"/>
          <w:color w:val="auto"/>
        </w:rPr>
      </w:pPr>
      <w:r>
        <w:rPr>
          <w:rFonts w:ascii="Arial" w:cs="Arial" w:eastAsia="Arial" w:hAnsi="Arial"/>
          <w:sz w:val="16"/>
          <w:szCs w:val="16"/>
          <w:color w:val="auto"/>
        </w:rPr>
        <w:t>In addition, drug products manufactured or distributed pursuant to FDA approvals, are subject to additional and continuing regulation by the FDA, including, among other things:</w:t>
      </w:r>
    </w:p>
    <w:p>
      <w:pPr>
        <w:spacing w:after="0" w:line="48" w:lineRule="exact"/>
        <w:rPr>
          <w:sz w:val="20"/>
          <w:szCs w:val="20"/>
          <w:color w:val="auto"/>
        </w:rPr>
      </w:pPr>
    </w:p>
    <w:p>
      <w:pPr>
        <w:ind w:left="860" w:hanging="420"/>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record-keeping requirements;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reporting of adverse experiences associated with the product;</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providing the FDA with updated safety and efficacy information;</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distribution of drug samples;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notifying the FDA and gaining its approval of specified manufacturing or labeling changes;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drug establishment registration and drug listing requirements; and</w:t>
      </w:r>
    </w:p>
    <w:p>
      <w:pPr>
        <w:spacing w:after="0" w:line="153" w:lineRule="exact"/>
        <w:rPr>
          <w:rFonts w:ascii="Arial" w:cs="Arial" w:eastAsia="Arial" w:hAnsi="Arial"/>
          <w:sz w:val="16"/>
          <w:szCs w:val="16"/>
          <w:color w:val="auto"/>
        </w:rPr>
      </w:pPr>
    </w:p>
    <w:p>
      <w:pPr>
        <w:ind w:left="860" w:right="180" w:hanging="420"/>
        <w:spacing w:after="0" w:line="266" w:lineRule="auto"/>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71"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 Accordingly, manufacturers must continue to expend time, money and effort in the area of production, distribution and quality control to maintain compliance with cGMP and other aspects of regulatory compliance.</w:t>
      </w:r>
    </w:p>
    <w:p>
      <w:pPr>
        <w:spacing w:after="0" w:line="181" w:lineRule="exact"/>
        <w:rPr>
          <w:sz w:val="20"/>
          <w:szCs w:val="20"/>
          <w:color w:val="auto"/>
        </w:rPr>
      </w:pPr>
    </w:p>
    <w:p>
      <w:pPr>
        <w:ind w:right="80" w:firstLine="445"/>
        <w:spacing w:after="0" w:line="256" w:lineRule="auto"/>
        <w:rPr>
          <w:sz w:val="20"/>
          <w:szCs w:val="20"/>
          <w:color w:val="auto"/>
        </w:rPr>
      </w:pPr>
      <w:r>
        <w:rPr>
          <w:rFonts w:ascii="Arial" w:cs="Arial" w:eastAsia="Arial" w:hAnsi="Arial"/>
          <w:sz w:val="16"/>
          <w:szCs w:val="16"/>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0" w:lineRule="exact"/>
        <w:rPr>
          <w:sz w:val="20"/>
          <w:szCs w:val="20"/>
          <w:color w:val="auto"/>
        </w:rPr>
      </w:pPr>
    </w:p>
    <w:p>
      <w:pPr>
        <w:ind w:right="320" w:firstLine="445"/>
        <w:spacing w:after="0" w:line="256" w:lineRule="auto"/>
        <w:rPr>
          <w:sz w:val="20"/>
          <w:szCs w:val="20"/>
          <w:color w:val="auto"/>
        </w:rPr>
      </w:pPr>
      <w:r>
        <w:rPr>
          <w:rFonts w:ascii="Arial" w:cs="Arial" w:eastAsia="Arial" w:hAnsi="Arial"/>
          <w:sz w:val="16"/>
          <w:szCs w:val="16"/>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72" w:lineRule="exact"/>
        <w:rPr>
          <w:sz w:val="20"/>
          <w:szCs w:val="20"/>
          <w:color w:val="auto"/>
        </w:rPr>
      </w:pPr>
    </w:p>
    <w:p>
      <w:pPr>
        <w:ind w:left="860" w:hanging="420"/>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restrictions on the commercialization or manufacturing of the drug, market withdrawals or recalls;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fines, warning letters or holds on post-approval clinical studies;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FDA refusal to approve pending NDAs or supplements to approved NDAs;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ind w:left="860" w:hanging="420"/>
        <w:spacing w:after="0"/>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drug seizure or detention, or refusal to permit the import or export of drugs; or</w:t>
      </w:r>
    </w:p>
    <w:p>
      <w:pPr>
        <w:spacing w:after="0" w:line="113" w:lineRule="exact"/>
        <w:rPr>
          <w:rFonts w:ascii="Arial" w:cs="Arial" w:eastAsia="Arial" w:hAnsi="Arial"/>
          <w:sz w:val="16"/>
          <w:szCs w:val="16"/>
          <w:color w:val="auto"/>
        </w:rPr>
      </w:pPr>
    </w:p>
    <w:p>
      <w:pPr>
        <w:ind w:left="860" w:hanging="420"/>
        <w:spacing w:after="0"/>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194" w:lineRule="exact"/>
        <w:rPr>
          <w:sz w:val="20"/>
          <w:szCs w:val="20"/>
          <w:color w:val="auto"/>
        </w:rPr>
      </w:pPr>
    </w:p>
    <w:p>
      <w:pPr>
        <w:ind w:right="220" w:firstLine="445"/>
        <w:spacing w:after="0" w:line="256"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U.S. Patent Term Restoration</w:t>
      </w:r>
    </w:p>
    <w:p>
      <w:pPr>
        <w:spacing w:after="0" w:line="111" w:lineRule="exact"/>
        <w:rPr>
          <w:sz w:val="20"/>
          <w:szCs w:val="20"/>
          <w:color w:val="auto"/>
        </w:rPr>
      </w:pPr>
    </w:p>
    <w:p>
      <w:pPr>
        <w:ind w:right="20" w:firstLine="445"/>
        <w:spacing w:after="0" w:line="252" w:lineRule="auto"/>
        <w:rPr>
          <w:sz w:val="20"/>
          <w:szCs w:val="20"/>
          <w:color w:val="auto"/>
        </w:rPr>
      </w:pPr>
      <w:r>
        <w:rPr>
          <w:rFonts w:ascii="Arial" w:cs="Arial" w:eastAsia="Arial" w:hAnsi="Arial"/>
          <w:sz w:val="16"/>
          <w:szCs w:val="16"/>
          <w:color w:val="auto"/>
        </w:rPr>
        <w:t>A patent claiming a new product may be eligible for a limited patent term extension under the Hatch- 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Other U.S. Healthcare Laws and Compliance Requirements</w:t>
      </w:r>
    </w:p>
    <w:p>
      <w:pPr>
        <w:spacing w:after="0" w:line="111" w:lineRule="exact"/>
        <w:rPr>
          <w:sz w:val="20"/>
          <w:szCs w:val="20"/>
          <w:color w:val="auto"/>
        </w:rPr>
      </w:pPr>
    </w:p>
    <w:p>
      <w:pPr>
        <w:ind w:right="80" w:firstLine="445"/>
        <w:spacing w:after="0" w:line="252"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w:t>
      </w:r>
      <w:r>
        <w:rPr>
          <w:rFonts w:ascii="Arial" w:cs="Arial" w:eastAsia="Arial" w:hAnsi="Arial"/>
          <w:sz w:val="16"/>
          <w:szCs w:val="16"/>
          <w:i w:val="1"/>
          <w:iCs w:val="1"/>
          <w:color w:val="auto"/>
        </w:rPr>
        <w:t>e.g., the</w:t>
      </w:r>
      <w:r>
        <w:rPr>
          <w:rFonts w:ascii="Arial" w:cs="Arial" w:eastAsia="Arial" w:hAnsi="Arial"/>
          <w:sz w:val="16"/>
          <w:szCs w:val="16"/>
          <w:color w:val="auto"/>
        </w:rPr>
        <w:t xml:space="preserve"> </w:t>
      </w:r>
      <w:r>
        <w:rPr>
          <w:rFonts w:ascii="Arial" w:cs="Arial" w:eastAsia="Arial" w:hAnsi="Arial"/>
          <w:sz w:val="16"/>
          <w:szCs w:val="16"/>
          <w:i w:val="1"/>
          <w:iCs w:val="1"/>
          <w:color w:val="auto"/>
        </w:rPr>
        <w:t>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(defined below),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federal and state healthcare laws and regulations, include, without limitation, the following:</w:t>
      </w:r>
    </w:p>
    <w:p>
      <w:pPr>
        <w:spacing w:after="0" w:line="113" w:lineRule="exact"/>
        <w:rPr>
          <w:sz w:val="20"/>
          <w:szCs w:val="20"/>
          <w:color w:val="auto"/>
        </w:rPr>
      </w:pPr>
    </w:p>
    <w:p>
      <w:pPr>
        <w:ind w:left="860" w:hanging="420"/>
        <w:spacing w:after="0" w:line="248" w:lineRule="auto"/>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The Patient Protection and Affordable Care Act, as amended by the Health Care and Education Reconciliation Act (collectively,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 xml:space="preserve"> consulting/speaking arrangements, discount and rebate offers, grants, charitable contributions, and patient support offerings, among others. A conviction for violation of the Anti-Kickback Statute can result in criminal fines and/or imprisonment and requires mandatory exclusion from participation in federal 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87" w:lineRule="exact"/>
        <w:rPr>
          <w:rFonts w:ascii="Arial" w:cs="Arial" w:eastAsia="Arial" w:hAnsi="Arial"/>
          <w:sz w:val="16"/>
          <w:szCs w:val="16"/>
          <w:color w:val="auto"/>
        </w:rPr>
      </w:pPr>
    </w:p>
    <w:p>
      <w:pPr>
        <w:ind w:left="860" w:right="40" w:hanging="420"/>
        <w:spacing w:after="0" w:line="250" w:lineRule="auto"/>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The Federal Civil False Claims Act</w:t>
      </w:r>
      <w:r>
        <w:rPr>
          <w:rFonts w:ascii="Arial" w:cs="Arial" w:eastAsia="Arial" w:hAnsi="Arial"/>
          <w:sz w:val="16"/>
          <w:szCs w:val="16"/>
          <w:color w:val="auto"/>
        </w:rPr>
        <w:t>—Imposes civil penalties, including through civil whistleblower or</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actions, against individuals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860" w:right="80"/>
        <w:spacing w:after="0" w:line="256" w:lineRule="auto"/>
        <w:rPr>
          <w:sz w:val="20"/>
          <w:szCs w:val="20"/>
          <w:color w:val="auto"/>
        </w:rPr>
      </w:pPr>
      <w:r>
        <w:rPr>
          <w:rFonts w:ascii="Arial" w:cs="Arial" w:eastAsia="Arial" w:hAnsi="Arial"/>
          <w:sz w:val="16"/>
          <w:szCs w:val="16"/>
          <w:color w:val="auto"/>
        </w:rPr>
        <w:t>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72" w:lineRule="exact"/>
        <w:rPr>
          <w:sz w:val="20"/>
          <w:szCs w:val="20"/>
          <w:color w:val="auto"/>
        </w:rPr>
      </w:pPr>
    </w:p>
    <w:p>
      <w:pPr>
        <w:ind w:left="860" w:right="20" w:hanging="420"/>
        <w:spacing w:after="0" w:line="259"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The Federal Criminal Statute on False Statements Relating to Health Care Matters</w:t>
      </w:r>
      <w:r>
        <w:rPr>
          <w:rFonts w:ascii="Arial" w:cs="Arial" w:eastAsia="Arial" w:hAnsi="Arial"/>
          <w:sz w:val="16"/>
          <w:szCs w:val="16"/>
          <w:color w:val="auto"/>
        </w:rPr>
        <w:t>—Makes it a crime to knowingly and willfully falsify, conceal,</w:t>
      </w:r>
      <w:r>
        <w:rPr>
          <w:rFonts w:ascii="Arial" w:cs="Arial" w:eastAsia="Arial" w:hAnsi="Arial"/>
          <w:sz w:val="16"/>
          <w:szCs w:val="16"/>
          <w:i w:val="1"/>
          <w:iCs w:val="1"/>
          <w:color w:val="auto"/>
        </w:rPr>
        <w:t xml:space="preserve"> </w:t>
      </w:r>
      <w:r>
        <w:rPr>
          <w:rFonts w:ascii="Arial" w:cs="Arial" w:eastAsia="Arial" w:hAnsi="Arial"/>
          <w:sz w:val="16"/>
          <w:szCs w:val="16"/>
          <w:color w:val="auto"/>
        </w:rPr>
        <w:t>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69" w:lineRule="exact"/>
        <w:rPr>
          <w:rFonts w:ascii="Arial" w:cs="Arial" w:eastAsia="Arial" w:hAnsi="Arial"/>
          <w:sz w:val="16"/>
          <w:szCs w:val="16"/>
          <w:color w:val="auto"/>
        </w:rPr>
      </w:pPr>
    </w:p>
    <w:p>
      <w:pPr>
        <w:ind w:left="860" w:right="220" w:hanging="420"/>
        <w:spacing w:after="0" w:line="259"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Health Insurance Portability and Accountability Act of 1996 (“HIPAA”), makes it a</w:t>
      </w:r>
      <w:r>
        <w:rPr>
          <w:rFonts w:ascii="Arial" w:cs="Arial" w:eastAsia="Arial" w:hAnsi="Arial"/>
          <w:sz w:val="16"/>
          <w:szCs w:val="16"/>
          <w:i w:val="1"/>
          <w:iCs w:val="1"/>
          <w:color w:val="auto"/>
        </w:rPr>
        <w:t xml:space="preserve"> </w:t>
      </w:r>
      <w:r>
        <w:rPr>
          <w:rFonts w:ascii="Arial" w:cs="Arial" w:eastAsia="Arial" w:hAnsi="Arial"/>
          <w:sz w:val="16"/>
          <w:szCs w:val="16"/>
          <w:color w:val="auto"/>
        </w:rPr>
        <w:t>crime to knowingly and willfully execute, or attempt to execute, a 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69" w:lineRule="exact"/>
        <w:rPr>
          <w:rFonts w:ascii="Arial" w:cs="Arial" w:eastAsia="Arial" w:hAnsi="Arial"/>
          <w:sz w:val="16"/>
          <w:szCs w:val="16"/>
          <w:color w:val="auto"/>
        </w:rPr>
      </w:pPr>
    </w:p>
    <w:p>
      <w:pPr>
        <w:ind w:left="860" w:hanging="420"/>
        <w:spacing w:after="0" w:line="256"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1" w:lineRule="exact"/>
        <w:rPr>
          <w:rFonts w:ascii="Arial" w:cs="Arial" w:eastAsia="Arial" w:hAnsi="Arial"/>
          <w:sz w:val="16"/>
          <w:szCs w:val="16"/>
          <w:color w:val="auto"/>
        </w:rPr>
      </w:pPr>
    </w:p>
    <w:p>
      <w:pPr>
        <w:ind w:left="860" w:right="20" w:hanging="420"/>
        <w:spacing w:after="0" w:line="250"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—HIPAA, as amended by the Health Information Technology for Economic and Clinical Health Act</w:t>
      </w:r>
      <w:r>
        <w:rPr>
          <w:rFonts w:ascii="Arial" w:cs="Arial" w:eastAsia="Arial" w:hAnsi="Arial"/>
          <w:sz w:val="16"/>
          <w:szCs w:val="16"/>
          <w:i w:val="1"/>
          <w:iCs w:val="1"/>
          <w:color w:val="auto"/>
        </w:rPr>
        <w:t xml:space="preserve"> </w:t>
      </w:r>
      <w:r>
        <w:rPr>
          <w:rFonts w:ascii="Arial" w:cs="Arial" w:eastAsia="Arial" w:hAnsi="Arial"/>
          <w:sz w:val="16"/>
          <w:szCs w:val="16"/>
          <w:color w:val="auto"/>
        </w:rPr>
        <w:t>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81" w:lineRule="exact"/>
        <w:rPr>
          <w:rFonts w:ascii="Arial" w:cs="Arial" w:eastAsia="Arial" w:hAnsi="Arial"/>
          <w:sz w:val="16"/>
          <w:szCs w:val="16"/>
          <w:color w:val="auto"/>
        </w:rPr>
      </w:pPr>
    </w:p>
    <w:p>
      <w:pPr>
        <w:ind w:left="860" w:right="80" w:hanging="420"/>
        <w:spacing w:after="0" w:line="254"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The Federal Physician Payments Sunshine Act</w:t>
      </w:r>
      <w:r>
        <w:rPr>
          <w:rFonts w:ascii="Arial" w:cs="Arial" w:eastAsia="Arial" w:hAnsi="Arial"/>
          <w:sz w:val="16"/>
          <w:szCs w:val="16"/>
          <w:color w:val="auto"/>
        </w:rPr>
        <w:t>—Requires “applicable manufacturers” of drugs, devices, biologics, and medical supplies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73" w:lineRule="exact"/>
        <w:rPr>
          <w:rFonts w:ascii="Arial" w:cs="Arial" w:eastAsia="Arial" w:hAnsi="Arial"/>
          <w:sz w:val="16"/>
          <w:szCs w:val="16"/>
          <w:color w:val="auto"/>
        </w:rPr>
      </w:pPr>
    </w:p>
    <w:p>
      <w:pPr>
        <w:jc w:val="both"/>
        <w:ind w:left="860" w:right="40" w:hanging="420"/>
        <w:spacing w:after="0" w:line="266"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Analogous State Laws</w:t>
      </w:r>
      <w:r>
        <w:rPr>
          <w:rFonts w:ascii="Arial" w:cs="Arial" w:eastAsia="Arial" w:hAnsi="Arial"/>
          <w:sz w:val="16"/>
          <w:szCs w:val="16"/>
          <w:color w:val="auto"/>
        </w:rPr>
        <w:t>—There are state law equivalents of the above federal laws, such as the Anti- Kickback Statute and the False Claims Act,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apply to items and services reimbursed by any third-party payor, including commercial insurers (</w:t>
      </w:r>
      <w:r>
        <w:rPr>
          <w:rFonts w:ascii="Arial" w:cs="Arial" w:eastAsia="Arial" w:hAnsi="Arial"/>
          <w:sz w:val="16"/>
          <w:szCs w:val="16"/>
          <w:i w:val="1"/>
          <w:iCs w:val="1"/>
          <w:color w:val="auto"/>
        </w:rPr>
        <w:t>i.e.</w:t>
      </w:r>
      <w:r>
        <w:rPr>
          <w:rFonts w:ascii="Arial" w:cs="Arial" w:eastAsia="Arial" w:hAnsi="Arial"/>
          <w:sz w:val="16"/>
          <w:szCs w:val="16"/>
          <w:color w:val="auto"/>
        </w:rPr>
        <w:t>, so-called “all-payor anti-kickback laws”).</w:t>
      </w:r>
    </w:p>
    <w:p>
      <w:pPr>
        <w:spacing w:after="0" w:line="63" w:lineRule="exact"/>
        <w:rPr>
          <w:rFonts w:ascii="Arial" w:cs="Arial" w:eastAsia="Arial" w:hAnsi="Arial"/>
          <w:sz w:val="16"/>
          <w:szCs w:val="16"/>
          <w:color w:val="auto"/>
        </w:rPr>
      </w:pPr>
    </w:p>
    <w:p>
      <w:pPr>
        <w:ind w:left="860" w:right="60" w:hanging="420"/>
        <w:spacing w:after="0" w:line="250"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State Laws </w:t>
      </w:r>
      <w:r>
        <w:rPr>
          <w:rFonts w:ascii="Arial" w:cs="Arial" w:eastAsia="Arial" w:hAnsi="Arial"/>
          <w:sz w:val="16"/>
          <w:szCs w:val="16"/>
          <w:color w:val="auto"/>
        </w:rPr>
        <w:t>Regulating</w:t>
      </w:r>
      <w:r>
        <w:rPr>
          <w:rFonts w:ascii="Arial" w:cs="Arial" w:eastAsia="Arial" w:hAnsi="Arial"/>
          <w:sz w:val="16"/>
          <w:szCs w:val="16"/>
          <w:i w:val="1"/>
          <w:iCs w:val="1"/>
          <w:color w:val="auto"/>
        </w:rPr>
        <w:t xml:space="preserve"> Pharmaceutical Manufacturer Compliance Programs, Drug Price Transparency, and Other Practices</w:t>
      </w:r>
      <w:r>
        <w:rPr>
          <w:rFonts w:ascii="Arial" w:cs="Arial" w:eastAsia="Arial" w:hAnsi="Arial"/>
          <w:sz w:val="16"/>
          <w:szCs w:val="16"/>
          <w:color w:val="auto"/>
        </w:rPr>
        <w:t>—Some state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78" w:lineRule="exact"/>
        <w:rPr>
          <w:rFonts w:ascii="Arial" w:cs="Arial" w:eastAsia="Arial" w:hAnsi="Arial"/>
          <w:sz w:val="16"/>
          <w:szCs w:val="16"/>
          <w:color w:val="auto"/>
        </w:rPr>
      </w:pPr>
    </w:p>
    <w:p>
      <w:pPr>
        <w:ind w:left="860" w:hanging="420"/>
        <w:spacing w:after="0"/>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are also required to satisfy the product tracing, verification and reporting requirements set out in the Drug Quality and Security Act.</w:t>
      </w:r>
    </w:p>
    <w:p>
      <w:pPr>
        <w:spacing w:after="0" w:line="262" w:lineRule="exact"/>
        <w:rPr>
          <w:sz w:val="20"/>
          <w:szCs w:val="20"/>
          <w:color w:val="auto"/>
        </w:rPr>
      </w:pPr>
    </w:p>
    <w:p>
      <w:pPr>
        <w:ind w:right="20" w:firstLine="445"/>
        <w:spacing w:after="0" w:line="256"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80" w:lineRule="exact"/>
        <w:rPr>
          <w:sz w:val="20"/>
          <w:szCs w:val="20"/>
          <w:color w:val="auto"/>
        </w:rPr>
      </w:pPr>
    </w:p>
    <w:p>
      <w:pPr>
        <w:ind w:right="20" w:firstLine="445"/>
        <w:spacing w:after="0" w:line="25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-1108075</wp:posOffset>
            </wp:positionV>
            <wp:extent cx="285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U.S. Healthcare Reform</w:t>
      </w:r>
    </w:p>
    <w:p>
      <w:pPr>
        <w:spacing w:after="0" w:line="111" w:lineRule="exact"/>
        <w:rPr>
          <w:sz w:val="20"/>
          <w:szCs w:val="20"/>
          <w:color w:val="auto"/>
        </w:rPr>
      </w:pPr>
    </w:p>
    <w:p>
      <w:pPr>
        <w:ind w:right="40" w:firstLine="445"/>
        <w:spacing w:after="0" w:line="253" w:lineRule="auto"/>
        <w:rPr>
          <w:sz w:val="20"/>
          <w:szCs w:val="20"/>
          <w:color w:val="auto"/>
        </w:rPr>
      </w:pPr>
      <w:r>
        <w:rPr>
          <w:rFonts w:ascii="Arial" w:cs="Arial" w:eastAsia="Arial" w:hAnsi="Arial"/>
          <w:sz w:val="16"/>
          <w:szCs w:val="16"/>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73" w:lineRule="exact"/>
        <w:rPr>
          <w:sz w:val="20"/>
          <w:szCs w:val="20"/>
          <w:color w:val="auto"/>
        </w:rPr>
      </w:pPr>
    </w:p>
    <w:p>
      <w:pPr>
        <w:ind w:left="860" w:right="320" w:hanging="420"/>
        <w:spacing w:after="0" w:line="286"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47" w:lineRule="exact"/>
        <w:rPr>
          <w:rFonts w:ascii="Arial" w:cs="Arial" w:eastAsia="Arial" w:hAnsi="Arial"/>
          <w:sz w:val="16"/>
          <w:szCs w:val="16"/>
          <w:color w:val="auto"/>
        </w:rPr>
      </w:pPr>
    </w:p>
    <w:p>
      <w:pPr>
        <w:ind w:left="860" w:right="280" w:hanging="420"/>
        <w:spacing w:after="0" w:line="286"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47" w:lineRule="exact"/>
        <w:rPr>
          <w:rFonts w:ascii="Arial" w:cs="Arial" w:eastAsia="Arial" w:hAnsi="Arial"/>
          <w:sz w:val="16"/>
          <w:szCs w:val="16"/>
          <w:color w:val="auto"/>
        </w:rPr>
      </w:pPr>
    </w:p>
    <w:p>
      <w:pPr>
        <w:ind w:left="860" w:right="40" w:hanging="420"/>
        <w:spacing w:after="0" w:line="286"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False Claims Act and the Anti-Kickback Statute, which include, among other things, new government investigative powers and enhanced penalties for non-compliance;</w:t>
      </w:r>
    </w:p>
    <w:p>
      <w:pPr>
        <w:spacing w:after="0" w:line="47" w:lineRule="exact"/>
        <w:rPr>
          <w:rFonts w:ascii="Arial" w:cs="Arial" w:eastAsia="Arial" w:hAnsi="Arial"/>
          <w:sz w:val="16"/>
          <w:szCs w:val="16"/>
          <w:color w:val="auto"/>
        </w:rPr>
      </w:pPr>
    </w:p>
    <w:p>
      <w:pPr>
        <w:ind w:left="860" w:right="60" w:hanging="420"/>
        <w:spacing w:after="0" w:line="266"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63" w:lineRule="exact"/>
        <w:rPr>
          <w:rFonts w:ascii="Arial" w:cs="Arial" w:eastAsia="Arial" w:hAnsi="Arial"/>
          <w:sz w:val="16"/>
          <w:szCs w:val="16"/>
          <w:color w:val="auto"/>
        </w:rPr>
      </w:pPr>
    </w:p>
    <w:p>
      <w:pPr>
        <w:ind w:left="860" w:right="40" w:hanging="420"/>
        <w:spacing w:after="0" w:line="286"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expansion of the types of entities eligible for discounts under the Public Health Service pharmaceutical pricing program (</w:t>
      </w:r>
      <w:r>
        <w:rPr>
          <w:rFonts w:ascii="Arial" w:cs="Arial" w:eastAsia="Arial" w:hAnsi="Arial"/>
          <w:sz w:val="16"/>
          <w:szCs w:val="16"/>
          <w:i w:val="1"/>
          <w:iCs w:val="1"/>
          <w:color w:val="auto"/>
        </w:rPr>
        <w:t>i.e.</w:t>
      </w:r>
      <w:r>
        <w:rPr>
          <w:rFonts w:ascii="Arial" w:cs="Arial" w:eastAsia="Arial" w:hAnsi="Arial"/>
          <w:sz w:val="16"/>
          <w:szCs w:val="16"/>
          <w:color w:val="auto"/>
        </w:rPr>
        <w:t>, the 340B program);</w:t>
      </w:r>
    </w:p>
    <w:p>
      <w:pPr>
        <w:spacing w:after="0" w:line="153" w:lineRule="exact"/>
        <w:rPr>
          <w:rFonts w:ascii="Arial" w:cs="Arial" w:eastAsia="Arial" w:hAnsi="Arial"/>
          <w:sz w:val="16"/>
          <w:szCs w:val="16"/>
          <w:color w:val="auto"/>
        </w:rPr>
      </w:pPr>
    </w:p>
    <w:p>
      <w:pPr>
        <w:ind w:left="860" w:right="560" w:hanging="420"/>
        <w:spacing w:after="0" w:line="286"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reporting of certain financial arrangements between manufacturers of drugs, biologics, devices, and medical supplies and physicians and teaching hospitals under the Physician Payments Sunshine Act;</w:t>
      </w:r>
    </w:p>
    <w:p>
      <w:pPr>
        <w:spacing w:after="0" w:line="47" w:lineRule="exact"/>
        <w:rPr>
          <w:rFonts w:ascii="Arial" w:cs="Arial" w:eastAsia="Arial" w:hAnsi="Arial"/>
          <w:sz w:val="16"/>
          <w:szCs w:val="16"/>
          <w:color w:val="auto"/>
        </w:rPr>
      </w:pPr>
    </w:p>
    <w:p>
      <w:pPr>
        <w:ind w:left="860" w:right="20" w:hanging="420"/>
        <w:spacing w:after="0" w:line="286"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requirement to annually report certain information regarding drug samples that manufacturers and distributors provide to licensed practitioners; and</w:t>
      </w:r>
    </w:p>
    <w:p>
      <w:pPr>
        <w:spacing w:after="0" w:line="47" w:lineRule="exact"/>
        <w:rPr>
          <w:rFonts w:ascii="Arial" w:cs="Arial" w:eastAsia="Arial" w:hAnsi="Arial"/>
          <w:sz w:val="16"/>
          <w:szCs w:val="16"/>
          <w:color w:val="auto"/>
        </w:rPr>
      </w:pPr>
    </w:p>
    <w:p>
      <w:pPr>
        <w:ind w:left="860" w:right="280" w:hanging="420"/>
        <w:spacing w:after="0" w:line="286"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creation of the Patient-Centered Outcomes Research Institute to oversee, identify priorities in, and conduct comparative clinical effectiveness research, along with funding for such research.</w:t>
      </w:r>
    </w:p>
    <w:p>
      <w:pPr>
        <w:spacing w:after="0" w:line="156"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to repeal or replace certain aspects of the PPACA.</w:t>
      </w:r>
    </w:p>
    <w:p>
      <w:pPr>
        <w:spacing w:after="0" w:line="156" w:lineRule="exact"/>
        <w:rPr>
          <w:sz w:val="20"/>
          <w:szCs w:val="20"/>
          <w:color w:val="auto"/>
        </w:rPr>
      </w:pPr>
    </w:p>
    <w:p>
      <w:pPr>
        <w:ind w:right="20" w:firstLine="445"/>
        <w:spacing w:after="0" w:line="252"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Court of the United States granted certiorari on March 2, 2020, heard oral arguments on November 10, 2020, and on June 17, 2021 issued its opinion ruling that Texas and other states that initially challenged the individual mandate did not have standing.</w:t>
      </w:r>
    </w:p>
    <w:p>
      <w:pPr>
        <w:spacing w:after="0" w:line="156"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During his tenure, President Trump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While the Biden administration has proposed to repeal or roll-back certain of the actions taken by the Trump administration,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87" w:lineRule="exact"/>
        <w:rPr>
          <w:sz w:val="20"/>
          <w:szCs w:val="20"/>
          <w:color w:val="auto"/>
        </w:rPr>
      </w:pPr>
    </w:p>
    <w:p>
      <w:pPr>
        <w:ind w:right="40" w:firstLine="445"/>
        <w:spacing w:after="0" w:line="252" w:lineRule="auto"/>
        <w:rPr>
          <w:sz w:val="20"/>
          <w:szCs w:val="20"/>
          <w:color w:val="auto"/>
        </w:rPr>
      </w:pPr>
      <w:r>
        <w:rPr>
          <w:rFonts w:ascii="Arial" w:cs="Arial" w:eastAsia="Arial" w:hAnsi="Arial"/>
          <w:sz w:val="16"/>
          <w:szCs w:val="16"/>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3" w:lineRule="exact"/>
        <w:rPr>
          <w:sz w:val="20"/>
          <w:szCs w:val="20"/>
          <w:color w:val="auto"/>
        </w:rPr>
      </w:pPr>
    </w:p>
    <w:p>
      <w:pPr>
        <w:ind w:right="20" w:firstLine="445"/>
        <w:spacing w:after="0" w:line="249"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in the United States. Congress is considering various legislative proposals to further increase transparency around prices and price increases, lower out-of-pocket costs for consumers, and decrease spending on prescription drugs by government programs.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this executive order is implemented, the “most-favored-nation” price would generally reflect the lowest price, after certain adjustments, for a pharmaceutical product sold in an economically comparable member country of the Organisation for Economic Co-operation and Development. On December 28, 2020, the U.S. District Court for the Northern District of California issued a preliminary injunction halting implementation of the executive order nationwide pending completion of the notice and comment process, and on August 10, 2021, the CMS published a proposed rule that would rescind the “most-favored nation” pricing model for Medicare Part B drugs. However, the U.S. Congress continues to conduct inquiries into the prescription drug industry’s pricing practices, and at the state level in the United States, legislatures are also increasingly passing legislation and states are implementing regulations designed to control spending on, and patient out of pocket costs for, drug products.</w:t>
      </w:r>
    </w:p>
    <w:p>
      <w:pPr>
        <w:spacing w:after="0" w:line="191" w:lineRule="exact"/>
        <w:rPr>
          <w:sz w:val="20"/>
          <w:szCs w:val="20"/>
          <w:color w:val="auto"/>
        </w:rPr>
      </w:pPr>
    </w:p>
    <w:p>
      <w:pPr>
        <w:ind w:right="180" w:firstLine="445"/>
        <w:spacing w:after="0" w:line="259" w:lineRule="auto"/>
        <w:rPr>
          <w:sz w:val="20"/>
          <w:szCs w:val="20"/>
          <w:color w:val="auto"/>
        </w:rPr>
      </w:pPr>
      <w:r>
        <w:rPr>
          <w:rFonts w:ascii="Arial" w:cs="Arial" w:eastAsia="Arial" w:hAnsi="Arial"/>
          <w:sz w:val="16"/>
          <w:szCs w:val="16"/>
          <w:color w:val="auto"/>
        </w:rPr>
        <w:t>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78" w:lineRule="exact"/>
        <w:rPr>
          <w:sz w:val="20"/>
          <w:szCs w:val="20"/>
          <w:color w:val="auto"/>
        </w:rPr>
      </w:pPr>
    </w:p>
    <w:p>
      <w:pPr>
        <w:ind w:right="260" w:firstLine="445"/>
        <w:spacing w:after="0" w:line="259" w:lineRule="auto"/>
        <w:rPr>
          <w:sz w:val="20"/>
          <w:szCs w:val="20"/>
          <w:color w:val="auto"/>
        </w:rPr>
      </w:pPr>
      <w:r>
        <w:rPr>
          <w:rFonts w:ascii="Arial" w:cs="Arial" w:eastAsia="Arial" w:hAnsi="Arial"/>
          <w:sz w:val="16"/>
          <w:szCs w:val="16"/>
          <w:color w:val="auto"/>
        </w:rPr>
        <w:t>We expect that these,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Privacy and Information Security</w:t>
      </w:r>
    </w:p>
    <w:p>
      <w:pPr>
        <w:spacing w:after="0" w:line="111" w:lineRule="exact"/>
        <w:rPr>
          <w:sz w:val="20"/>
          <w:szCs w:val="20"/>
          <w:color w:val="auto"/>
        </w:rPr>
      </w:pPr>
    </w:p>
    <w:p>
      <w:pPr>
        <w:ind w:right="40" w:firstLine="445"/>
        <w:spacing w:after="0" w:line="251" w:lineRule="auto"/>
        <w:rPr>
          <w:sz w:val="20"/>
          <w:szCs w:val="20"/>
          <w:color w:val="auto"/>
        </w:rPr>
      </w:pPr>
      <w:r>
        <w:rPr>
          <w:rFonts w:ascii="Arial" w:cs="Arial" w:eastAsia="Arial" w:hAnsi="Arial"/>
          <w:sz w:val="16"/>
          <w:szCs w:val="16"/>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response, containment, mitigation of cybersecurity incidents as well as in defense against claims that our information security was unreasonable or otherwise violated applicable laws or contractual obligations.</w:t>
      </w:r>
    </w:p>
    <w:p>
      <w:pPr>
        <w:spacing w:after="0" w:line="156" w:lineRule="exact"/>
        <w:rPr>
          <w:sz w:val="20"/>
          <w:szCs w:val="20"/>
          <w:color w:val="auto"/>
        </w:rPr>
      </w:pPr>
    </w:p>
    <w:p>
      <w:pPr>
        <w:ind w:right="100" w:firstLine="445"/>
        <w:spacing w:after="0" w:line="259" w:lineRule="auto"/>
        <w:rPr>
          <w:sz w:val="20"/>
          <w:szCs w:val="20"/>
          <w:color w:val="auto"/>
        </w:rPr>
      </w:pPr>
      <w:r>
        <w:rPr>
          <w:rFonts w:ascii="Arial" w:cs="Arial" w:eastAsia="Arial" w:hAnsi="Arial"/>
          <w:sz w:val="16"/>
          <w:szCs w:val="16"/>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78" w:lineRule="exact"/>
        <w:rPr>
          <w:sz w:val="20"/>
          <w:szCs w:val="20"/>
          <w:color w:val="auto"/>
        </w:rPr>
      </w:pPr>
    </w:p>
    <w:p>
      <w:pPr>
        <w:ind w:right="60" w:firstLine="445"/>
        <w:spacing w:after="0" w:line="259"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78" w:lineRule="exact"/>
        <w:rPr>
          <w:sz w:val="20"/>
          <w:szCs w:val="20"/>
          <w:color w:val="auto"/>
        </w:rPr>
      </w:pPr>
    </w:p>
    <w:p>
      <w:pPr>
        <w:ind w:right="40" w:firstLine="445"/>
        <w:spacing w:after="0" w:line="256" w:lineRule="auto"/>
        <w:rPr>
          <w:sz w:val="20"/>
          <w:szCs w:val="20"/>
          <w:color w:val="auto"/>
        </w:rPr>
      </w:pPr>
      <w:r>
        <w:rPr>
          <w:rFonts w:ascii="Arial" w:cs="Arial" w:eastAsia="Arial" w:hAnsi="Arial"/>
          <w:sz w:val="16"/>
          <w:szCs w:val="16"/>
          <w:color w:val="auto"/>
        </w:rPr>
        <w:t>Additionally, the Federal Trade Commission, or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0" w:lineRule="exact"/>
        <w:rPr>
          <w:sz w:val="20"/>
          <w:szCs w:val="20"/>
          <w:color w:val="auto"/>
        </w:rPr>
      </w:pPr>
    </w:p>
    <w:p>
      <w:pPr>
        <w:ind w:firstLine="445"/>
        <w:spacing w:after="0" w:line="259" w:lineRule="auto"/>
        <w:rPr>
          <w:sz w:val="20"/>
          <w:szCs w:val="20"/>
          <w:color w:val="auto"/>
        </w:rPr>
      </w:pPr>
      <w:r>
        <w:rPr>
          <w:rFonts w:ascii="Arial" w:cs="Arial" w:eastAsia="Arial" w:hAnsi="Arial"/>
          <w:sz w:val="16"/>
          <w:szCs w:val="16"/>
          <w:color w:val="auto"/>
        </w:rPr>
        <w:t>Further,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w:t>
      </w:r>
    </w:p>
    <w:p>
      <w:pPr>
        <w:spacing w:after="0" w:line="178" w:lineRule="exact"/>
        <w:rPr>
          <w:sz w:val="20"/>
          <w:szCs w:val="20"/>
          <w:color w:val="auto"/>
        </w:rPr>
      </w:pPr>
    </w:p>
    <w:p>
      <w:pPr>
        <w:ind w:right="60" w:firstLine="445"/>
        <w:spacing w:after="0" w:line="259" w:lineRule="auto"/>
        <w:rPr>
          <w:sz w:val="20"/>
          <w:szCs w:val="20"/>
          <w:color w:val="auto"/>
        </w:rPr>
      </w:pPr>
      <w:r>
        <w:rPr>
          <w:rFonts w:ascii="Arial" w:cs="Arial" w:eastAsia="Arial" w:hAnsi="Arial"/>
          <w:sz w:val="16"/>
          <w:szCs w:val="16"/>
          <w:color w:val="auto"/>
        </w:rPr>
        <w:t>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78" w:lineRule="exact"/>
        <w:rPr>
          <w:sz w:val="20"/>
          <w:szCs w:val="20"/>
          <w:color w:val="auto"/>
        </w:rPr>
      </w:pPr>
    </w:p>
    <w:p>
      <w:pPr>
        <w:ind w:right="20" w:firstLine="445"/>
        <w:spacing w:after="0" w:line="249"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CJEU declared the Privacy Shield to be invalid. The CJEU upheld the validity of the standard contractual clauses, or SCCs, as a legal mechanism to transfer personal data but companies relying on SCCs will— subject to additional guidance from regulators in the EEA—need to evaluate and implement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w:t>
      </w:r>
    </w:p>
    <w:p>
      <w:pPr>
        <w:spacing w:after="0" w:line="190" w:lineRule="exact"/>
        <w:rPr>
          <w:sz w:val="20"/>
          <w:szCs w:val="20"/>
          <w:color w:val="auto"/>
        </w:rPr>
      </w:pPr>
    </w:p>
    <w:p>
      <w:pPr>
        <w:ind w:right="20" w:firstLine="445"/>
        <w:spacing w:after="0" w:line="259" w:lineRule="auto"/>
        <w:rPr>
          <w:sz w:val="20"/>
          <w:szCs w:val="20"/>
          <w:color w:val="auto"/>
        </w:rPr>
      </w:pPr>
      <w:r>
        <w:rPr>
          <w:rFonts w:ascii="Arial" w:cs="Arial" w:eastAsia="Arial" w:hAnsi="Arial"/>
          <w:sz w:val="16"/>
          <w:szCs w:val="16"/>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7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6"/>
          <w:szCs w:val="16"/>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Foreign Corrupt Practices Act</w:t>
      </w:r>
    </w:p>
    <w:p>
      <w:pPr>
        <w:spacing w:after="0" w:line="111" w:lineRule="exact"/>
        <w:rPr>
          <w:sz w:val="20"/>
          <w:szCs w:val="20"/>
          <w:color w:val="auto"/>
        </w:rPr>
      </w:pPr>
    </w:p>
    <w:p>
      <w:pPr>
        <w:ind w:right="40" w:firstLine="445"/>
        <w:spacing w:after="0" w:line="259"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Additional Regulation</w:t>
      </w:r>
    </w:p>
    <w:p>
      <w:pPr>
        <w:spacing w:after="0" w:line="111" w:lineRule="exact"/>
        <w:rPr>
          <w:sz w:val="20"/>
          <w:szCs w:val="20"/>
          <w:color w:val="auto"/>
        </w:rPr>
      </w:pPr>
    </w:p>
    <w:p>
      <w:pPr>
        <w:ind w:right="160" w:firstLine="445"/>
        <w:spacing w:after="0" w:line="254"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European Medicines Agency</w:t>
      </w:r>
    </w:p>
    <w:p>
      <w:pPr>
        <w:spacing w:after="0" w:line="111" w:lineRule="exact"/>
        <w:rPr>
          <w:sz w:val="20"/>
          <w:szCs w:val="20"/>
          <w:color w:val="auto"/>
        </w:rPr>
      </w:pPr>
    </w:p>
    <w:p>
      <w:pPr>
        <w:ind w:right="80" w:firstLine="445"/>
        <w:spacing w:after="0" w:line="252"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the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pacing w:after="0" w:line="183" w:lineRule="exact"/>
        <w:rPr>
          <w:sz w:val="20"/>
          <w:szCs w:val="20"/>
          <w:color w:val="auto"/>
        </w:rPr>
      </w:pPr>
    </w:p>
    <w:p>
      <w:pPr>
        <w:ind w:right="20" w:firstLine="445"/>
        <w:spacing w:after="0" w:line="253" w:lineRule="auto"/>
        <w:rPr>
          <w:sz w:val="20"/>
          <w:szCs w:val="20"/>
          <w:color w:val="auto"/>
        </w:rPr>
      </w:pPr>
      <w:r>
        <w:rPr>
          <w:rFonts w:ascii="Arial" w:cs="Arial" w:eastAsia="Arial" w:hAnsi="Arial"/>
          <w:sz w:val="16"/>
          <w:szCs w:val="16"/>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81" w:lineRule="exact"/>
        <w:rPr>
          <w:sz w:val="20"/>
          <w:szCs w:val="20"/>
          <w:color w:val="auto"/>
        </w:rPr>
      </w:pPr>
    </w:p>
    <w:p>
      <w:pPr>
        <w:ind w:right="120" w:firstLine="445"/>
        <w:spacing w:after="0" w:line="250"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 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 lasts up to 60 active days, the CHMP adopts a final opinion. The European Commission usually takes its decision to grant a legally binding authorization within 67 days after obtaining the CHMP decision.</w:t>
      </w:r>
    </w:p>
    <w:p>
      <w:pPr>
        <w:spacing w:after="0" w:line="189" w:lineRule="exact"/>
        <w:rPr>
          <w:sz w:val="20"/>
          <w:szCs w:val="20"/>
          <w:color w:val="auto"/>
        </w:rPr>
      </w:pPr>
    </w:p>
    <w:p>
      <w:pPr>
        <w:ind w:right="240" w:firstLine="445"/>
        <w:spacing w:after="0" w:line="266" w:lineRule="auto"/>
        <w:rPr>
          <w:sz w:val="20"/>
          <w:szCs w:val="20"/>
          <w:color w:val="auto"/>
        </w:rPr>
      </w:pPr>
      <w:r>
        <w:rPr>
          <w:rFonts w:ascii="Arial" w:cs="Arial" w:eastAsia="Arial" w:hAnsi="Arial"/>
          <w:sz w:val="16"/>
          <w:szCs w:val="16"/>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labelling to ensure that the benefits of certain prescription drugs outweigh their risks.</w:t>
      </w:r>
    </w:p>
    <w:p>
      <w:pPr>
        <w:spacing w:after="0" w:line="28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Accelerated Assessment Procedures</w:t>
      </w:r>
    </w:p>
    <w:p>
      <w:pPr>
        <w:spacing w:after="0" w:line="111"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Conditional Marketing Authorization and Authorization under Exceptional Circumstances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color w:val="auto"/>
        </w:rPr>
        <w:t>A conditional marketing authorization is valid for one year, can be renewed annually and may be requested by an applicant or proposed by the CHMP for medicinal products which aim at:</w:t>
      </w:r>
    </w:p>
    <w:p>
      <w:pPr>
        <w:spacing w:after="0" w:line="48" w:lineRule="exact"/>
        <w:rPr>
          <w:sz w:val="20"/>
          <w:szCs w:val="20"/>
          <w:color w:val="auto"/>
        </w:rPr>
      </w:pPr>
    </w:p>
    <w:p>
      <w:pPr>
        <w:ind w:left="860" w:hanging="420"/>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treatment, prevention or medical diagnosis of seriously debilitating or life-threatening diseases;</w:t>
      </w:r>
    </w:p>
    <w:p>
      <w:pPr>
        <w:spacing w:after="0" w:line="153" w:lineRule="exact"/>
        <w:rPr>
          <w:rFonts w:ascii="Arial" w:cs="Arial" w:eastAsia="Arial" w:hAnsi="Arial"/>
          <w:sz w:val="16"/>
          <w:szCs w:val="16"/>
          <w:color w:val="auto"/>
        </w:rPr>
      </w:pPr>
    </w:p>
    <w:p>
      <w:pPr>
        <w:ind w:left="860" w:hanging="420"/>
        <w:spacing w:after="0" w:line="286"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medicinal products designated as orphan medicinal products in accordance with Regulation (EC) No. 141/2000, as amended.</w:t>
      </w:r>
    </w:p>
    <w:p>
      <w:pPr>
        <w:spacing w:after="0" w:line="262" w:lineRule="exact"/>
        <w:rPr>
          <w:sz w:val="20"/>
          <w:szCs w:val="20"/>
          <w:color w:val="auto"/>
        </w:rPr>
      </w:pPr>
    </w:p>
    <w:p>
      <w:pPr>
        <w:ind w:right="620" w:firstLine="445"/>
        <w:spacing w:after="0" w:line="286" w:lineRule="auto"/>
        <w:rPr>
          <w:sz w:val="20"/>
          <w:szCs w:val="20"/>
          <w:color w:val="auto"/>
        </w:rPr>
      </w:pPr>
      <w:r>
        <w:rPr>
          <w:rFonts w:ascii="Arial" w:cs="Arial" w:eastAsia="Arial" w:hAnsi="Arial"/>
          <w:sz w:val="16"/>
          <w:szCs w:val="16"/>
          <w:color w:val="auto"/>
        </w:rPr>
        <w:t>A conditional marketing authorization may be requested by an applicant or proposed by the CHMP for medicinal products if all of the following requirements are met:</w:t>
      </w:r>
    </w:p>
    <w:p>
      <w:pPr>
        <w:spacing w:after="0" w:line="48" w:lineRule="exact"/>
        <w:rPr>
          <w:sz w:val="20"/>
          <w:szCs w:val="20"/>
          <w:color w:val="auto"/>
        </w:rPr>
      </w:pPr>
    </w:p>
    <w:p>
      <w:pPr>
        <w:ind w:left="860" w:hanging="420"/>
        <w:spacing w:after="0"/>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risk-benefit balance of the medicinal product, as defined in Article 1(28a) of Directive 2001/83/EC, as amended, is positive;</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it is likely that the applicant will be in a position to provide comprehensive clinical data;</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unmet medical needs will be fulfilled (no existing satisfactory methods or the medicinal product provides major therapeutic advantage); and</w:t>
      </w:r>
    </w:p>
    <w:p>
      <w:pPr>
        <w:spacing w:after="0" w:line="153" w:lineRule="exact"/>
        <w:rPr>
          <w:rFonts w:ascii="Arial" w:cs="Arial" w:eastAsia="Arial" w:hAnsi="Arial"/>
          <w:sz w:val="16"/>
          <w:szCs w:val="16"/>
          <w:color w:val="auto"/>
        </w:rPr>
      </w:pPr>
    </w:p>
    <w:p>
      <w:pPr>
        <w:ind w:left="860" w:right="120" w:hanging="420"/>
        <w:spacing w:after="0" w:line="286"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benefit to public health of the immediate availability on the market of the medicinal product concerned outweighs the risk inherent in the fact that additional data are still required.</w:t>
      </w:r>
    </w:p>
    <w:p>
      <w:pPr>
        <w:spacing w:after="0" w:line="156" w:lineRule="exact"/>
        <w:rPr>
          <w:sz w:val="20"/>
          <w:szCs w:val="20"/>
          <w:color w:val="auto"/>
        </w:rPr>
      </w:pPr>
    </w:p>
    <w:p>
      <w:pPr>
        <w:jc w:val="both"/>
        <w:ind w:right="80" w:firstLine="445"/>
        <w:spacing w:after="0" w:line="259" w:lineRule="auto"/>
        <w:rPr>
          <w:sz w:val="20"/>
          <w:szCs w:val="20"/>
          <w:color w:val="auto"/>
        </w:rPr>
      </w:pPr>
      <w:r>
        <w:rPr>
          <w:rFonts w:ascii="Arial" w:cs="Arial" w:eastAsia="Arial" w:hAnsi="Arial"/>
          <w:sz w:val="16"/>
          <w:szCs w:val="16"/>
          <w:color w:val="auto"/>
        </w:rPr>
        <w:t>The legal basis for a conditional marketing authorization is Article 14-a of Regulation (EC) No. 726/2004, as amended. The provisions for the granting of such an authorization are further elaborated in Regulation (EC) No. 507/2006</w:t>
      </w:r>
      <w:r>
        <w:rPr>
          <w:rFonts w:ascii="Arial" w:cs="Arial" w:eastAsia="Arial" w:hAnsi="Arial"/>
          <w:sz w:val="16"/>
          <w:szCs w:val="16"/>
          <w:i w:val="1"/>
          <w:iCs w:val="1"/>
          <w:color w:val="auto"/>
        </w:rPr>
        <w:t>.</w:t>
      </w:r>
      <w:r>
        <w:rPr>
          <w:rFonts w:ascii="Arial" w:cs="Arial" w:eastAsia="Arial" w:hAnsi="Arial"/>
          <w:sz w:val="16"/>
          <w:szCs w:val="16"/>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178" w:lineRule="exact"/>
        <w:rPr>
          <w:sz w:val="20"/>
          <w:szCs w:val="20"/>
          <w:color w:val="auto"/>
        </w:rPr>
      </w:pPr>
    </w:p>
    <w:p>
      <w:pPr>
        <w:ind w:right="280" w:firstLine="445"/>
        <w:spacing w:after="0" w:line="286" w:lineRule="auto"/>
        <w:rPr>
          <w:sz w:val="20"/>
          <w:szCs w:val="20"/>
          <w:color w:val="auto"/>
        </w:rPr>
      </w:pPr>
      <w:r>
        <w:rPr>
          <w:rFonts w:ascii="Arial" w:cs="Arial" w:eastAsia="Arial" w:hAnsi="Arial"/>
          <w:sz w:val="16"/>
          <w:szCs w:val="16"/>
          <w:color w:val="auto"/>
        </w:rPr>
        <w:t>In addition, authorization under exceptional circumstances may be requested when it is not possible to provide comprehensive data on the efficacy and safety under normal conditions of use, because:</w:t>
      </w:r>
    </w:p>
    <w:p>
      <w:pPr>
        <w:spacing w:after="0" w:line="48" w:lineRule="exact"/>
        <w:rPr>
          <w:sz w:val="20"/>
          <w:szCs w:val="20"/>
          <w:color w:val="auto"/>
        </w:rPr>
      </w:pPr>
    </w:p>
    <w:p>
      <w:pPr>
        <w:ind w:left="860" w:right="480" w:hanging="420"/>
        <w:spacing w:after="0" w:line="286" w:lineRule="auto"/>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present state of scientific knowledge, comprehensive information cannot be provided; or</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it would be contrary to generally accepted principles of medical ethics to collect such information.</w:t>
      </w:r>
    </w:p>
    <w:p>
      <w:pPr>
        <w:spacing w:after="0" w:line="262" w:lineRule="exact"/>
        <w:rPr>
          <w:sz w:val="20"/>
          <w:szCs w:val="20"/>
          <w:color w:val="auto"/>
        </w:rPr>
      </w:pPr>
    </w:p>
    <w:p>
      <w:pPr>
        <w:ind w:right="180" w:firstLine="445"/>
        <w:spacing w:after="0" w:line="253" w:lineRule="auto"/>
        <w:rPr>
          <w:sz w:val="20"/>
          <w:szCs w:val="20"/>
          <w:color w:val="auto"/>
        </w:rPr>
      </w:pPr>
      <w:r>
        <w:rPr>
          <w:rFonts w:ascii="Arial" w:cs="Arial" w:eastAsia="Arial" w:hAnsi="Arial"/>
          <w:sz w:val="16"/>
          <w:szCs w:val="16"/>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Manufacturing and Manufacturers’ Authorization</w:t>
      </w:r>
    </w:p>
    <w:p>
      <w:pPr>
        <w:spacing w:after="0" w:line="111"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Commercialization and Promotion</w:t>
      </w:r>
    </w:p>
    <w:p>
      <w:pPr>
        <w:spacing w:after="0" w:line="111" w:lineRule="exact"/>
        <w:rPr>
          <w:sz w:val="20"/>
          <w:szCs w:val="20"/>
          <w:color w:val="auto"/>
        </w:rPr>
      </w:pPr>
    </w:p>
    <w:p>
      <w:pPr>
        <w:ind w:right="100" w:firstLine="445"/>
        <w:spacing w:after="0" w:line="253" w:lineRule="auto"/>
        <w:rPr>
          <w:sz w:val="20"/>
          <w:szCs w:val="20"/>
          <w:color w:val="auto"/>
        </w:rPr>
      </w:pPr>
      <w:r>
        <w:rPr>
          <w:rFonts w:ascii="Arial" w:cs="Arial" w:eastAsia="Arial" w:hAnsi="Arial"/>
          <w:sz w:val="16"/>
          <w:szCs w:val="16"/>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Commercialization and promotion of prescription only medicinal products to consumers or patients (directly or indirectly) is strictly forbidden. Advertising of medicines pre-approval or off-label is also prohibited.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Regulatory Data Protection and Market Exclusivity</w:t>
      </w:r>
    </w:p>
    <w:p>
      <w:pPr>
        <w:spacing w:after="0" w:line="111" w:lineRule="exact"/>
        <w:rPr>
          <w:sz w:val="20"/>
          <w:szCs w:val="20"/>
          <w:color w:val="auto"/>
        </w:rPr>
      </w:pPr>
    </w:p>
    <w:p>
      <w:pPr>
        <w:ind w:right="140" w:firstLine="445"/>
        <w:spacing w:after="0" w:line="252" w:lineRule="auto"/>
        <w:rPr>
          <w:sz w:val="20"/>
          <w:szCs w:val="20"/>
          <w:color w:val="auto"/>
        </w:rPr>
      </w:pPr>
      <w:r>
        <w:rPr>
          <w:rFonts w:ascii="Arial" w:cs="Arial" w:eastAsia="Arial" w:hAnsi="Arial"/>
          <w:sz w:val="16"/>
          <w:szCs w:val="16"/>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nonclinical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pacing w:after="0" w:line="181" w:lineRule="exact"/>
        <w:rPr>
          <w:sz w:val="20"/>
          <w:szCs w:val="20"/>
          <w:color w:val="auto"/>
        </w:rPr>
      </w:pPr>
    </w:p>
    <w:p>
      <w:pPr>
        <w:ind w:right="60" w:firstLine="445"/>
        <w:spacing w:after="0" w:line="266" w:lineRule="auto"/>
        <w:rPr>
          <w:sz w:val="20"/>
          <w:szCs w:val="20"/>
          <w:color w:val="auto"/>
        </w:rPr>
      </w:pPr>
      <w:r>
        <w:rPr>
          <w:rFonts w:ascii="Arial" w:cs="Arial" w:eastAsia="Arial" w:hAnsi="Arial"/>
          <w:sz w:val="16"/>
          <w:szCs w:val="16"/>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 marketing authorization may be granted, for the same therapeutic indication, to a similar drug if:</w:t>
      </w:r>
    </w:p>
    <w:p>
      <w:pPr>
        <w:spacing w:after="0" w:line="113" w:lineRule="exact"/>
        <w:rPr>
          <w:sz w:val="20"/>
          <w:szCs w:val="20"/>
          <w:color w:val="auto"/>
        </w:rPr>
      </w:pPr>
    </w:p>
    <w:p>
      <w:pPr>
        <w:ind w:left="860" w:hanging="420"/>
        <w:spacing w:after="0"/>
        <w:tabs>
          <w:tab w:leader="none" w:pos="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drug has given its consent to the second applicant;</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drug is unable to supply sufficient quantities of the drug; or</w:t>
      </w:r>
    </w:p>
    <w:p>
      <w:pPr>
        <w:spacing w:after="0" w:line="153" w:lineRule="exact"/>
        <w:rPr>
          <w:rFonts w:ascii="Arial" w:cs="Arial" w:eastAsia="Arial" w:hAnsi="Arial"/>
          <w:sz w:val="16"/>
          <w:szCs w:val="16"/>
          <w:color w:val="auto"/>
        </w:rPr>
      </w:pPr>
    </w:p>
    <w:p>
      <w:pPr>
        <w:ind w:left="860" w:right="80" w:hanging="420"/>
        <w:spacing w:after="0" w:line="286" w:lineRule="auto"/>
        <w:tabs>
          <w:tab w:leader="none" w:pos="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second applicant can establish in the application that the second drug, although similar to the orphan drug already authorized, is safer, more effective or otherwise clinically superior.</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Regulation (EC) No 847/2000 lays down definitions of the concepts “similar drug” and “clinical superiority.”</w:t>
      </w:r>
    </w:p>
    <w:p>
      <w:pPr>
        <w:spacing w:after="0" w:line="221" w:lineRule="exact"/>
        <w:rPr>
          <w:sz w:val="20"/>
          <w:szCs w:val="20"/>
          <w:color w:val="auto"/>
        </w:rPr>
      </w:pPr>
    </w:p>
    <w:p>
      <w:pPr>
        <w:ind w:right="140" w:firstLine="445"/>
        <w:spacing w:after="0" w:line="259" w:lineRule="auto"/>
        <w:rPr>
          <w:sz w:val="20"/>
          <w:szCs w:val="20"/>
          <w:color w:val="auto"/>
        </w:rPr>
      </w:pPr>
      <w:r>
        <w:rPr>
          <w:rFonts w:ascii="Arial" w:cs="Arial" w:eastAsia="Arial" w:hAnsi="Arial"/>
          <w:sz w:val="16"/>
          <w:szCs w:val="16"/>
          <w:color w:val="auto"/>
        </w:rPr>
        <w:t>In order to be eligible for incentives made available by the European Union and by the Member States to support research into, and the development and availability of, orphan drugs, the medicinal product needs to be designated as an orphan drug pursuant to Regulation (EC)No. 141/2000, as amended. Regulation (EC) No. 141/2000, as amended, states that a medicinal product shall be designated as an orphan medicinal product if its manufacturer can establish:</w:t>
      </w:r>
    </w:p>
    <w:p>
      <w:pPr>
        <w:spacing w:after="0" w:line="70" w:lineRule="exact"/>
        <w:rPr>
          <w:sz w:val="20"/>
          <w:szCs w:val="20"/>
          <w:color w:val="auto"/>
        </w:rPr>
      </w:pPr>
    </w:p>
    <w:p>
      <w:pPr>
        <w:ind w:left="860" w:right="40" w:hanging="420"/>
        <w:spacing w:after="0" w:line="259" w:lineRule="auto"/>
        <w:tabs>
          <w:tab w:leader="none" w:pos="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69" w:lineRule="exact"/>
        <w:rPr>
          <w:rFonts w:ascii="Arial" w:cs="Arial" w:eastAsia="Arial" w:hAnsi="Arial"/>
          <w:sz w:val="16"/>
          <w:szCs w:val="16"/>
          <w:color w:val="auto"/>
        </w:rPr>
      </w:pPr>
    </w:p>
    <w:p>
      <w:pPr>
        <w:ind w:left="860" w:right="640" w:hanging="420"/>
        <w:spacing w:after="0" w:line="286" w:lineRule="auto"/>
        <w:tabs>
          <w:tab w:leader="none" w:pos="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Small- or Medium-Sized Enterprise Status</w:t>
      </w:r>
    </w:p>
    <w:p>
      <w:pPr>
        <w:spacing w:after="0" w:line="111" w:lineRule="exact"/>
        <w:rPr>
          <w:sz w:val="20"/>
          <w:szCs w:val="20"/>
          <w:color w:val="auto"/>
        </w:rPr>
      </w:pPr>
    </w:p>
    <w:p>
      <w:pPr>
        <w:ind w:right="20" w:firstLine="445"/>
        <w:spacing w:after="0" w:line="254" w:lineRule="auto"/>
        <w:rPr>
          <w:sz w:val="20"/>
          <w:szCs w:val="20"/>
          <w:color w:val="auto"/>
        </w:rPr>
      </w:pPr>
      <w:r>
        <w:rPr>
          <w:rFonts w:ascii="Arial" w:cs="Arial" w:eastAsia="Arial" w:hAnsi="Arial"/>
          <w:sz w:val="16"/>
          <w:szCs w:val="16"/>
          <w:color w:val="auto"/>
        </w:rPr>
        <w:t>In the European Union, manufacturers may benefit from further incentives, including administrative and procedural assistance and fee reductions when they are classified as a small- 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Administrative, regulatory and financial support is available to companies assigned the SME status by the EMA, including:</w:t>
      </w:r>
    </w:p>
    <w:p>
      <w:pPr>
        <w:spacing w:after="0" w:line="113" w:lineRule="exact"/>
        <w:rPr>
          <w:sz w:val="20"/>
          <w:szCs w:val="20"/>
          <w:color w:val="auto"/>
        </w:rPr>
      </w:pPr>
    </w:p>
    <w:p>
      <w:pPr>
        <w:ind w:left="860" w:hanging="420"/>
        <w:spacing w:after="0"/>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direct assistance by phone, email, teleconference or through briefing meetings on regulatory aspects of the pharmaceutical legislation;</w:t>
      </w:r>
    </w:p>
    <w:p>
      <w:pPr>
        <w:spacing w:after="0" w:line="153" w:lineRule="exact"/>
        <w:rPr>
          <w:rFonts w:ascii="Arial" w:cs="Arial" w:eastAsia="Arial" w:hAnsi="Arial"/>
          <w:sz w:val="16"/>
          <w:szCs w:val="16"/>
          <w:color w:val="auto"/>
        </w:rPr>
      </w:pPr>
    </w:p>
    <w:p>
      <w:pPr>
        <w:ind w:left="860" w:right="380" w:hanging="420"/>
        <w:spacing w:after="0" w:line="286" w:lineRule="auto"/>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fee exemptions and reductions for pre- and post-authorization regulatory procedures, including scientific advice, inspections and pharmaco-vigilance;</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assistance with translations of product information into all official European Union languages;</w:t>
      </w:r>
    </w:p>
    <w:p>
      <w:pPr>
        <w:spacing w:after="0" w:line="153" w:lineRule="exact"/>
        <w:rPr>
          <w:rFonts w:ascii="Arial" w:cs="Arial" w:eastAsia="Arial" w:hAnsi="Arial"/>
          <w:sz w:val="16"/>
          <w:szCs w:val="16"/>
          <w:color w:val="auto"/>
        </w:rPr>
      </w:pPr>
    </w:p>
    <w:p>
      <w:pPr>
        <w:ind w:left="860" w:right="780" w:hanging="420"/>
        <w:spacing w:after="0" w:line="286" w:lineRule="auto"/>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guidance on clinical data publication and a free redaction tool license;</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workshops and training sessions.</w:t>
      </w:r>
    </w:p>
    <w:p>
      <w:pPr>
        <w:spacing w:after="0" w:line="37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Development of Medicines for Children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Several incentives for the development of medicines for children are available in the European Union:</w:t>
      </w:r>
    </w:p>
    <w:p>
      <w:pPr>
        <w:spacing w:after="0" w:line="113" w:lineRule="exact"/>
        <w:rPr>
          <w:sz w:val="20"/>
          <w:szCs w:val="20"/>
          <w:color w:val="auto"/>
        </w:rPr>
      </w:pPr>
    </w:p>
    <w:p>
      <w:pPr>
        <w:ind w:left="860" w:right="180" w:hanging="420"/>
        <w:spacing w:after="0" w:line="286" w:lineRule="auto"/>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orphan medicines, the incentive is an additional two years of market exclusivity;</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scientific advice and protocol assistance at the EMA are free of charge for questions relating to the development of medicines for children; and</w:t>
      </w:r>
    </w:p>
    <w:p>
      <w:pPr>
        <w:spacing w:after="0" w:line="153" w:lineRule="exact"/>
        <w:rPr>
          <w:rFonts w:ascii="Arial" w:cs="Arial" w:eastAsia="Arial" w:hAnsi="Arial"/>
          <w:sz w:val="16"/>
          <w:szCs w:val="16"/>
          <w:color w:val="auto"/>
        </w:rPr>
      </w:pPr>
    </w:p>
    <w:p>
      <w:pPr>
        <w:ind w:left="860" w:right="760" w:hanging="420"/>
        <w:spacing w:after="0" w:line="286" w:lineRule="auto"/>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Pediatric Regulation</w:t>
      </w:r>
    </w:p>
    <w:p>
      <w:pPr>
        <w:spacing w:after="0" w:line="111"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111" w:lineRule="exact"/>
        <w:rPr>
          <w:sz w:val="20"/>
          <w:szCs w:val="20"/>
          <w:color w:val="auto"/>
        </w:rPr>
      </w:pPr>
    </w:p>
    <w:p>
      <w:pPr>
        <w:ind w:right="220" w:firstLine="445"/>
        <w:spacing w:after="0" w:line="25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78" w:lineRule="exact"/>
        <w:rPr>
          <w:sz w:val="20"/>
          <w:szCs w:val="20"/>
          <w:color w:val="auto"/>
        </w:rPr>
      </w:pPr>
    </w:p>
    <w:p>
      <w:pPr>
        <w:ind w:firstLine="445"/>
        <w:spacing w:after="0" w:line="251" w:lineRule="auto"/>
        <w:rPr>
          <w:sz w:val="20"/>
          <w:szCs w:val="20"/>
          <w:color w:val="auto"/>
        </w:rPr>
      </w:pPr>
      <w:r>
        <w:rPr>
          <w:rFonts w:ascii="Arial" w:cs="Arial" w:eastAsia="Arial" w:hAnsi="Arial"/>
          <w:sz w:val="16"/>
          <w:szCs w:val="16"/>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5" w:lineRule="exact"/>
        <w:rPr>
          <w:sz w:val="20"/>
          <w:szCs w:val="20"/>
          <w:color w:val="auto"/>
        </w:rPr>
      </w:pPr>
    </w:p>
    <w:p>
      <w:pPr>
        <w:jc w:val="both"/>
        <w:ind w:right="400" w:firstLine="445"/>
        <w:spacing w:after="0" w:line="266" w:lineRule="auto"/>
        <w:rPr>
          <w:sz w:val="20"/>
          <w:szCs w:val="20"/>
          <w:color w:val="auto"/>
        </w:rPr>
      </w:pPr>
      <w:r>
        <w:rPr>
          <w:rFonts w:ascii="Arial" w:cs="Arial" w:eastAsia="Arial" w:hAnsi="Arial"/>
          <w:sz w:val="16"/>
          <w:szCs w:val="16"/>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374" w:lineRule="exact"/>
        <w:rPr>
          <w:sz w:val="20"/>
          <w:szCs w:val="20"/>
          <w:color w:val="auto"/>
        </w:rPr>
      </w:pPr>
    </w:p>
    <w:p>
      <w:pPr>
        <w:ind w:right="60" w:firstLine="445"/>
        <w:spacing w:after="0" w:line="253"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81" w:lineRule="exact"/>
        <w:rPr>
          <w:sz w:val="20"/>
          <w:szCs w:val="20"/>
          <w:color w:val="auto"/>
        </w:rPr>
      </w:pPr>
    </w:p>
    <w:p>
      <w:pPr>
        <w:ind w:firstLine="445"/>
        <w:spacing w:after="0" w:line="259"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w:t>
      </w:r>
    </w:p>
    <w:p>
      <w:pPr>
        <w:spacing w:after="0" w:line="178" w:lineRule="exact"/>
        <w:rPr>
          <w:sz w:val="20"/>
          <w:szCs w:val="20"/>
          <w:color w:val="auto"/>
        </w:rPr>
      </w:pPr>
    </w:p>
    <w:p>
      <w:pPr>
        <w:jc w:val="both"/>
        <w:ind w:right="180" w:firstLine="445"/>
        <w:spacing w:after="0" w:line="266" w:lineRule="auto"/>
        <w:rPr>
          <w:sz w:val="20"/>
          <w:szCs w:val="20"/>
          <w:color w:val="auto"/>
        </w:rPr>
      </w:pPr>
      <w:r>
        <w:rPr>
          <w:rFonts w:ascii="Arial" w:cs="Arial" w:eastAsia="Arial" w:hAnsi="Arial"/>
          <w:sz w:val="16"/>
          <w:szCs w:val="16"/>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1" w:lineRule="exact"/>
        <w:rPr>
          <w:sz w:val="20"/>
          <w:szCs w:val="20"/>
          <w:color w:val="auto"/>
        </w:rPr>
      </w:pPr>
    </w:p>
    <w:p>
      <w:pPr>
        <w:ind w:right="60" w:firstLine="445"/>
        <w:spacing w:after="0" w:line="256"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8" w:lineRule="exact"/>
        <w:rPr>
          <w:sz w:val="20"/>
          <w:szCs w:val="20"/>
          <w:color w:val="auto"/>
        </w:rPr>
      </w:pPr>
    </w:p>
    <w:p>
      <w:pPr>
        <w:ind w:left="860" w:hanging="420"/>
        <w:spacing w:after="0"/>
        <w:tabs>
          <w:tab w:leader="none" w:pos="86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w:t>
      </w:r>
    </w:p>
    <w:p>
      <w:pPr>
        <w:spacing w:after="0" w:line="154" w:lineRule="exact"/>
        <w:rPr>
          <w:sz w:val="20"/>
          <w:szCs w:val="20"/>
          <w:color w:val="auto"/>
        </w:rPr>
      </w:pPr>
    </w:p>
    <w:p>
      <w:pPr>
        <w:jc w:val="both"/>
        <w:ind w:right="240" w:firstLine="445"/>
        <w:spacing w:after="0" w:line="266" w:lineRule="auto"/>
        <w:rPr>
          <w:sz w:val="20"/>
          <w:szCs w:val="20"/>
          <w:color w:val="auto"/>
        </w:rPr>
      </w:pPr>
      <w:r>
        <w:rPr>
          <w:rFonts w:ascii="Arial" w:cs="Arial" w:eastAsia="Arial" w:hAnsi="Arial"/>
          <w:sz w:val="16"/>
          <w:szCs w:val="16"/>
          <w:color w:val="auto"/>
        </w:rPr>
        <w:t>We were incorporated as a Dutch private company with limited liability (</w:t>
      </w:r>
      <w:r>
        <w:rPr>
          <w:rFonts w:ascii="Arial" w:cs="Arial" w:eastAsia="Arial" w:hAnsi="Arial"/>
          <w:sz w:val="16"/>
          <w:szCs w:val="16"/>
          <w:i w:val="1"/>
          <w:iCs w:val="1"/>
          <w:color w:val="auto"/>
        </w:rPr>
        <w:t>besloten vennootschap</w:t>
      </w:r>
      <w:r>
        <w:rPr>
          <w:rFonts w:ascii="Arial" w:cs="Arial" w:eastAsia="Arial" w:hAnsi="Arial"/>
          <w:sz w:val="16"/>
          <w:szCs w:val="16"/>
          <w:color w:val="auto"/>
        </w:rPr>
        <w:t>) and currently exist as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(after the conversion of our legal form in the first quarter of 2021), with operating subsidiaries in the Netherlands, Switzerland and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149225</wp:posOffset>
            </wp:positionV>
            <wp:extent cx="4791710" cy="18942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9171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60" w:hanging="420"/>
        <w:spacing w:after="0"/>
        <w:tabs>
          <w:tab w:leader="none" w:pos="86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plants and equipment</w:t>
      </w:r>
    </w:p>
    <w:p>
      <w:pPr>
        <w:spacing w:after="0" w:line="154" w:lineRule="exact"/>
        <w:rPr>
          <w:sz w:val="20"/>
          <w:szCs w:val="20"/>
          <w:color w:val="auto"/>
        </w:rPr>
      </w:pPr>
    </w:p>
    <w:p>
      <w:pPr>
        <w:ind w:right="720" w:firstLine="445"/>
        <w:spacing w:after="0" w:line="286" w:lineRule="auto"/>
        <w:rPr>
          <w:sz w:val="20"/>
          <w:szCs w:val="20"/>
          <w:color w:val="auto"/>
        </w:rPr>
      </w:pPr>
      <w:r>
        <w:rPr>
          <w:rFonts w:ascii="Arial" w:cs="Arial" w:eastAsia="Arial" w:hAnsi="Arial"/>
          <w:sz w:val="16"/>
          <w:szCs w:val="16"/>
          <w:color w:val="auto"/>
        </w:rPr>
        <w:t>We have offices in Lexington, Massachusetts; Zug, Switzerland; and Leiden, The Netherlands. Our office space in Massachusetts measuring approximately 475 square meters is rented through 31 May 2024; our office space in Switzerland measuring approximately 58</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square meters is rented on a monthly basis; and our office space in the incubator at the Bioscience Park in Leiden measuring approximately 216.5 square meters is sub-leased on a yearly basis.</w:t>
      </w: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4A. UNRESOLVED STAFF COMMENTS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221" w:lineRule="exact"/>
        <w:rPr>
          <w:sz w:val="20"/>
          <w:szCs w:val="20"/>
          <w:color w:val="auto"/>
        </w:rPr>
      </w:pPr>
    </w:p>
    <w:p>
      <w:pPr>
        <w:ind w:left="860" w:hanging="420"/>
        <w:spacing w:after="0"/>
        <w:tabs>
          <w:tab w:leader="none" w:pos="8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156" w:lineRule="exact"/>
        <w:rPr>
          <w:sz w:val="20"/>
          <w:szCs w:val="20"/>
          <w:color w:val="auto"/>
        </w:rPr>
      </w:pPr>
    </w:p>
    <w:p>
      <w:pPr>
        <w:ind w:right="80" w:firstLine="445"/>
        <w:spacing w:after="0" w:line="255"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included elsewhere in this Annual Report.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the “ITEM 3. KEY INFORMATION—D. Risk factors” and “Cautionary Statement Regarding Forward-Looking Statements” sections.</w:t>
      </w:r>
    </w:p>
    <w:p>
      <w:pPr>
        <w:spacing w:after="0" w:line="76" w:lineRule="exact"/>
        <w:rPr>
          <w:sz w:val="20"/>
          <w:szCs w:val="20"/>
          <w:color w:val="auto"/>
        </w:rPr>
      </w:pPr>
    </w:p>
    <w:p>
      <w:pPr>
        <w:ind w:right="360" w:firstLine="445"/>
        <w:spacing w:after="0" w:line="283" w:lineRule="auto"/>
        <w:rPr>
          <w:sz w:val="20"/>
          <w:szCs w:val="20"/>
          <w:color w:val="auto"/>
        </w:rPr>
      </w:pPr>
      <w:r>
        <w:rPr>
          <w:rFonts w:ascii="Arial" w:cs="Arial" w:eastAsia="Arial" w:hAnsi="Arial"/>
          <w:sz w:val="16"/>
          <w:szCs w:val="16"/>
          <w:i w:val="1"/>
          <w:iCs w:val="1"/>
          <w:color w:val="auto"/>
        </w:rPr>
        <w:t>Our audited consolidated financial statements are included elsewhere in this Annual Report. These financial statements are prepared pursuant to IFRS as issued by IASB. As permitted by the rules of the SEC for foreign private issuers, we do not reconcile our financial statements to U.S. GAAP.</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firstLine="445"/>
        <w:spacing w:after="0" w:line="24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extended-release product candidate, PHVS719, respectively. We commenced our RAPIDe-1 Phase 2 clinical trial of PHVS416 in February 2021. We also commenced a Phase 2 clinical trial for prophylaxis in 2021 using twice-daily dosing of the PHVS416 softgel capsules (CHAPTER-1). Our primary objective with this trial is to assess the safety profile of PHVS416 dose regimens for prophylactic treatments in HAE patients. We also initiated a Phase 1 clinical trial with PHVS719 in 2021 to assess pharmacokinetics of the extended-release formulation.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firstLine="445"/>
        <w:spacing w:after="0" w:line="266" w:lineRule="auto"/>
        <w:rPr>
          <w:sz w:val="20"/>
          <w:szCs w:val="20"/>
          <w:color w:val="auto"/>
        </w:rPr>
      </w:pPr>
      <w:r>
        <w:rPr>
          <w:rFonts w:ascii="Arial" w:cs="Arial" w:eastAsia="Arial" w:hAnsi="Arial"/>
          <w:sz w:val="16"/>
          <w:szCs w:val="16"/>
          <w:color w:val="auto"/>
        </w:rPr>
        <w:t>The COVID-19 outbreak spread globally and severely restricted the level of economic activity around the world. In response to 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w:t>
      </w:r>
    </w:p>
    <w:p>
      <w:pPr>
        <w:spacing w:after="0" w:line="171" w:lineRule="exact"/>
        <w:rPr>
          <w:sz w:val="20"/>
          <w:szCs w:val="20"/>
          <w:color w:val="auto"/>
        </w:rPr>
      </w:pPr>
    </w:p>
    <w:p>
      <w:pPr>
        <w:ind w:right="100" w:firstLine="445"/>
        <w:spacing w:after="0" w:line="253" w:lineRule="auto"/>
        <w:rPr>
          <w:sz w:val="20"/>
          <w:szCs w:val="20"/>
          <w:color w:val="auto"/>
        </w:rPr>
      </w:pPr>
      <w:r>
        <w:rPr>
          <w:rFonts w:ascii="Arial" w:cs="Arial" w:eastAsia="Arial" w:hAnsi="Arial"/>
          <w:sz w:val="16"/>
          <w:szCs w:val="16"/>
          <w:color w:val="auto"/>
        </w:rPr>
        <w:t>We have taken steps to identify and mitigate the adverse effects and risks to the Company as a result of the pandemic. We have modified our business practices, including implementing work from home arrangements for employees able to perform their duties remotely, restricting nonessential travel, and practicing safe social distancing in our operations. We expect to continue to take actions as may be required or recommended by government authorities or in the best interests of our employees and business partners. While the impact of COVID-19 on the Company’s operations and financial performance has so far been limited, the extent to which COVID-19 may impact our financial condition or results of operations in the future is uncertain. For instance, the ongoing spread of variants of the COVID-19 virus may continue to interrupt, or delay, our clinical trial activities, regulatory reviews, manufacturing activities and supply chain.</w:t>
      </w:r>
    </w:p>
    <w:p>
      <w:pPr>
        <w:spacing w:after="0" w:line="181" w:lineRule="exact"/>
        <w:rPr>
          <w:sz w:val="20"/>
          <w:szCs w:val="20"/>
          <w:color w:val="auto"/>
        </w:rPr>
      </w:pPr>
    </w:p>
    <w:p>
      <w:pPr>
        <w:ind w:right="140" w:firstLine="445"/>
        <w:spacing w:after="0" w:line="253" w:lineRule="auto"/>
        <w:rPr>
          <w:sz w:val="20"/>
          <w:szCs w:val="20"/>
          <w:color w:val="auto"/>
        </w:rPr>
      </w:pPr>
      <w:r>
        <w:rPr>
          <w:rFonts w:ascii="Arial" w:cs="Arial" w:eastAsia="Arial" w:hAnsi="Arial"/>
          <w:sz w:val="16"/>
          <w:szCs w:val="16"/>
          <w:color w:val="auto"/>
        </w:rPr>
        <w:t>The COVID-19 outbreak delayed, and may continue to delay, enrollment in our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in 2020 we experienced an approximate two-month delay in starting the enrollment of our now completed Phase 1 multiple ascending dose study of PHA121 in healthy volunteers as a result of COVID-19. In addition, even with our distributed operations, employee vaccinations and our observation of social distancing measures, there remains the possibility that key personnel may become ill or are otherwise unable to work, which could affect our operations.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120" w:firstLine="441"/>
        <w:spacing w:after="0" w:line="253" w:lineRule="auto"/>
        <w:rPr>
          <w:sz w:val="20"/>
          <w:szCs w:val="20"/>
          <w:color w:val="auto"/>
        </w:rPr>
      </w:pPr>
      <w:r>
        <w:rPr>
          <w:rFonts w:ascii="Arial" w:cs="Arial" w:eastAsia="Arial" w:hAnsi="Arial"/>
          <w:sz w:val="16"/>
          <w:szCs w:val="16"/>
          <w:color w:val="auto"/>
        </w:rPr>
        <w:t>Furthermore, the spread of the virus may affect the operations of key governmental agencies, such as the FDA, which may delay the development of our product candidates. The spread of an infectious disease, including COVID-19, may also result in the inability of our suppliers to deliver components or raw materials, and the inability of our CDMOs to provide supplies of our product candidates for our planned clinical trials, on a timely basis or at all. Further, an infectious disease, including COVID-19, may also impact the ability of our CROs, including nonclinical CROs, to provide services to support our clinical program.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w:t>
      </w:r>
    </w:p>
    <w:p>
      <w:pPr>
        <w:spacing w:after="0" w:line="181" w:lineRule="exact"/>
        <w:rPr>
          <w:sz w:val="20"/>
          <w:szCs w:val="20"/>
          <w:color w:val="auto"/>
        </w:rPr>
      </w:pPr>
    </w:p>
    <w:p>
      <w:pPr>
        <w:ind w:right="580" w:firstLine="425"/>
        <w:spacing w:after="0" w:line="259" w:lineRule="auto"/>
        <w:rPr>
          <w:sz w:val="20"/>
          <w:szCs w:val="20"/>
          <w:color w:val="auto"/>
        </w:rPr>
      </w:pPr>
      <w:r>
        <w:rPr>
          <w:rFonts w:ascii="Arial" w:cs="Arial" w:eastAsia="Arial" w:hAnsi="Arial"/>
          <w:sz w:val="16"/>
          <w:szCs w:val="16"/>
          <w:color w:val="auto"/>
        </w:rPr>
        <w:t>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 If we are unable to meet our milestones it might jeopardize our funding opportunities.</w:t>
      </w:r>
    </w:p>
    <w:p>
      <w:pPr>
        <w:spacing w:after="0" w:line="164"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A discussion of our financial condition and results of operations for the year ended December 31, 2020 can be found in our annual report on form 20-F, filed with the SEC on April 29, 2021.</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Revenues</w:t>
      </w:r>
    </w:p>
    <w:p>
      <w:pPr>
        <w:spacing w:after="0" w:line="111" w:lineRule="exact"/>
        <w:rPr>
          <w:sz w:val="20"/>
          <w:szCs w:val="20"/>
          <w:color w:val="auto"/>
        </w:rPr>
      </w:pPr>
    </w:p>
    <w:p>
      <w:pPr>
        <w:ind w:right="240" w:firstLine="444"/>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Annual Report. We do not expect to recognize any revenues before we are able to commercialize our first product.</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1" w:lineRule="exact"/>
        <w:rPr>
          <w:sz w:val="20"/>
          <w:szCs w:val="20"/>
          <w:color w:val="auto"/>
        </w:rPr>
      </w:pPr>
    </w:p>
    <w:p>
      <w:pPr>
        <w:ind w:right="220" w:firstLine="445"/>
        <w:spacing w:after="0" w:line="259" w:lineRule="auto"/>
        <w:rPr>
          <w:sz w:val="20"/>
          <w:szCs w:val="20"/>
          <w:color w:val="auto"/>
        </w:rPr>
      </w:pPr>
      <w:r>
        <w:rPr>
          <w:rFonts w:ascii="Arial" w:cs="Arial" w:eastAsia="Arial" w:hAnsi="Arial"/>
          <w:sz w:val="16"/>
          <w:szCs w:val="16"/>
          <w:color w:val="auto"/>
        </w:rPr>
        <w:t>We are focused on the clinical development of PHA121. Since our inception, we have devoted substantially all of our resources to research and development efforts relating to the development of PHA121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860" w:right="180" w:hanging="420"/>
        <w:spacing w:after="0" w:line="286" w:lineRule="auto"/>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pre-clinical expenses, which include costs of our outsourced discovery, preclinical and nonclinical development studies;</w:t>
      </w:r>
    </w:p>
    <w:p>
      <w:pPr>
        <w:spacing w:after="0" w:line="153" w:lineRule="exact"/>
        <w:rPr>
          <w:rFonts w:ascii="Arial" w:cs="Arial" w:eastAsia="Arial" w:hAnsi="Arial"/>
          <w:sz w:val="16"/>
          <w:szCs w:val="16"/>
          <w:color w:val="auto"/>
        </w:rPr>
      </w:pPr>
    </w:p>
    <w:p>
      <w:pPr>
        <w:ind w:left="860" w:right="380" w:hanging="420"/>
        <w:spacing w:after="0" w:line="286" w:lineRule="auto"/>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47" w:lineRule="exact"/>
        <w:rPr>
          <w:rFonts w:ascii="Arial" w:cs="Arial" w:eastAsia="Arial" w:hAnsi="Arial"/>
          <w:sz w:val="16"/>
          <w:szCs w:val="16"/>
          <w:color w:val="auto"/>
        </w:rPr>
      </w:pPr>
    </w:p>
    <w:p>
      <w:pPr>
        <w:ind w:left="860" w:right="200" w:hanging="420"/>
        <w:spacing w:after="0" w:line="286" w:lineRule="auto"/>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47" w:lineRule="exact"/>
        <w:rPr>
          <w:rFonts w:ascii="Arial" w:cs="Arial" w:eastAsia="Arial" w:hAnsi="Arial"/>
          <w:sz w:val="16"/>
          <w:szCs w:val="16"/>
          <w:color w:val="auto"/>
        </w:rPr>
      </w:pPr>
    </w:p>
    <w:p>
      <w:pPr>
        <w:ind w:left="860" w:right="320" w:hanging="420"/>
        <w:spacing w:after="0" w:line="286" w:lineRule="auto"/>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advisers’ fees, including discovery, nonclinical, clinical, chemistry, manufacturing, and controls- related and other consulting services;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license costs.</w:t>
      </w:r>
    </w:p>
    <w:p>
      <w:pPr>
        <w:spacing w:after="0" w:line="262" w:lineRule="exact"/>
        <w:rPr>
          <w:sz w:val="20"/>
          <w:szCs w:val="20"/>
          <w:color w:val="auto"/>
        </w:rPr>
      </w:pPr>
    </w:p>
    <w:p>
      <w:pPr>
        <w:ind w:right="260" w:firstLine="445"/>
        <w:spacing w:after="0" w:line="266" w:lineRule="auto"/>
        <w:rPr>
          <w:sz w:val="20"/>
          <w:szCs w:val="20"/>
          <w:color w:val="auto"/>
        </w:rPr>
      </w:pPr>
      <w:r>
        <w:rPr>
          <w:rFonts w:ascii="Arial" w:cs="Arial" w:eastAsia="Arial" w:hAnsi="Arial"/>
          <w:sz w:val="16"/>
          <w:szCs w:val="16"/>
          <w:color w:val="auto"/>
        </w:rPr>
        <w:t>We expect that our total research and development expense in 2022 will be in the range of €55 million to €65 million as we continue to focus on the development of our product candidates PHVS416 and PHVS719, as well as explore potential expansion programs. We anticipate that research and development expenses will continue to increase as we continue to progress PHVS416 and PHVS719 through clinical development.</w:t>
      </w:r>
    </w:p>
    <w:p>
      <w:pPr>
        <w:spacing w:after="0" w:line="171" w:lineRule="exact"/>
        <w:rPr>
          <w:sz w:val="20"/>
          <w:szCs w:val="20"/>
          <w:color w:val="auto"/>
        </w:rPr>
      </w:pPr>
    </w:p>
    <w:p>
      <w:pPr>
        <w:ind w:right="40" w:firstLine="445"/>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clinical trials over a longer period of time, and we anticipate that our research and development expenses may further increase.</w:t>
      </w:r>
    </w:p>
    <w:p>
      <w:pPr>
        <w:spacing w:after="0" w:line="171" w:lineRule="exact"/>
        <w:rPr>
          <w:sz w:val="20"/>
          <w:szCs w:val="20"/>
          <w:color w:val="auto"/>
        </w:rPr>
      </w:pPr>
    </w:p>
    <w:p>
      <w:pPr>
        <w:ind w:right="200" w:firstLine="445"/>
        <w:spacing w:after="0" w:line="259"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our product candidates, if approved for marketing. This is due to numerous risks and uncertainties associated with developing drugs. See “ITEM 3. KEY INFORMATION: — D. Risk factors.”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11" w:lineRule="exact"/>
        <w:rPr>
          <w:sz w:val="20"/>
          <w:szCs w:val="20"/>
          <w:color w:val="auto"/>
        </w:rPr>
      </w:pPr>
    </w:p>
    <w:p>
      <w:pPr>
        <w:ind w:right="120" w:firstLine="445"/>
        <w:spacing w:after="0" w:line="266"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expect these expenses to be in the range of €18 million to €25 million in 2022. General and administrative expenses consist of the following:</w:t>
      </w:r>
    </w:p>
    <w:p>
      <w:pPr>
        <w:spacing w:after="0" w:line="97" w:lineRule="exact"/>
        <w:rPr>
          <w:sz w:val="20"/>
          <w:szCs w:val="20"/>
          <w:color w:val="auto"/>
        </w:rPr>
      </w:pPr>
    </w:p>
    <w:p>
      <w:pPr>
        <w:ind w:left="860" w:right="660" w:hanging="420"/>
        <w:spacing w:after="0" w:line="286" w:lineRule="auto"/>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auditors’ and advisers’ fees, including accounting, tax, legal and other consulting services;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rental expenses, facilities and IT expenses and other general expenses relating to our operations; and</w:t>
      </w:r>
    </w:p>
    <w:p>
      <w:pPr>
        <w:spacing w:after="0" w:line="153" w:lineRule="exact"/>
        <w:rPr>
          <w:rFonts w:ascii="Arial" w:cs="Arial" w:eastAsia="Arial" w:hAnsi="Arial"/>
          <w:sz w:val="16"/>
          <w:szCs w:val="16"/>
          <w:color w:val="auto"/>
        </w:rPr>
      </w:pPr>
    </w:p>
    <w:p>
      <w:pPr>
        <w:ind w:left="860" w:right="340" w:hanging="420"/>
        <w:spacing w:after="0" w:line="286" w:lineRule="auto"/>
        <w:tabs>
          <w:tab w:leader="none" w:pos="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56" w:lineRule="exact"/>
        <w:rPr>
          <w:sz w:val="20"/>
          <w:szCs w:val="20"/>
          <w:color w:val="auto"/>
        </w:rPr>
      </w:pPr>
    </w:p>
    <w:p>
      <w:pPr>
        <w:ind w:right="60" w:firstLine="445"/>
        <w:spacing w:after="0" w:line="266"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19"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w:t>
      </w:r>
    </w:p>
    <w:p>
      <w:pPr>
        <w:spacing w:after="0" w:line="73" w:lineRule="exact"/>
        <w:rPr>
          <w:sz w:val="20"/>
          <w:szCs w:val="20"/>
          <w:color w:val="auto"/>
        </w:rPr>
      </w:pPr>
    </w:p>
    <w:p>
      <w:pPr>
        <w:ind w:right="880" w:firstLine="222"/>
        <w:spacing w:after="0" w:line="286" w:lineRule="auto"/>
        <w:rPr>
          <w:sz w:val="20"/>
          <w:szCs w:val="20"/>
          <w:color w:val="auto"/>
        </w:rPr>
      </w:pPr>
      <w:r>
        <w:rPr>
          <w:rFonts w:ascii="Arial" w:cs="Arial" w:eastAsia="Arial" w:hAnsi="Arial"/>
          <w:sz w:val="16"/>
          <w:szCs w:val="16"/>
          <w:color w:val="auto"/>
        </w:rPr>
        <w:t>The fair values of these instruments are recognized as personnel expenses in either research and development and expenses or general and administrative expenses.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share-based payment expense recorded for the years ended December 31, 2021 and 2020 were €8,196,387 and €1,587,736 respectively.</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2021 and 2020</w:t>
      </w:r>
    </w:p>
    <w:p>
      <w:pPr>
        <w:spacing w:after="0" w:line="111" w:lineRule="exact"/>
        <w:rPr>
          <w:sz w:val="20"/>
          <w:szCs w:val="20"/>
          <w:color w:val="auto"/>
        </w:rPr>
      </w:pPr>
    </w:p>
    <w:p>
      <w:pPr>
        <w:ind w:right="220" w:firstLine="222"/>
        <w:spacing w:after="0" w:line="266" w:lineRule="auto"/>
        <w:rPr>
          <w:sz w:val="20"/>
          <w:szCs w:val="20"/>
          <w:color w:val="auto"/>
        </w:rPr>
      </w:pPr>
      <w:r>
        <w:rPr>
          <w:rFonts w:ascii="Arial" w:cs="Arial" w:eastAsia="Arial" w:hAnsi="Arial"/>
          <w:sz w:val="16"/>
          <w:szCs w:val="16"/>
          <w:color w:val="auto"/>
        </w:rPr>
        <w:t>A discussion of the financial results for the year ended December 31, 2020 as compared to the year ended December 31, 2019 can be found in the section entitled “Item 5. Operating and Financial Review and Prospects—A. Operating Results— Financial operations overview—Comparison of the years ended December 31, 2020 and 2019” in our annual report on form 20-F, filed with the SEC on April 29,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2021 and 2020</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loss for the periods indicated:</w:t>
      </w:r>
    </w:p>
    <w:p>
      <w:pPr>
        <w:spacing w:after="0" w:line="29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7"/>
              </w:rPr>
              <w:t>For the year ended</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2"/>
            <w:vMerge w:val="restart"/>
          </w:tcPr>
          <w:p>
            <w:pPr>
              <w:jc w:val="right"/>
              <w:ind w:right="419"/>
              <w:spacing w:after="0"/>
              <w:rPr>
                <w:sz w:val="20"/>
                <w:szCs w:val="20"/>
                <w:color w:val="auto"/>
              </w:rPr>
            </w:pPr>
            <w:r>
              <w:rPr>
                <w:rFonts w:ascii="Arial" w:cs="Arial" w:eastAsia="Arial" w:hAnsi="Arial"/>
                <w:sz w:val="13"/>
                <w:szCs w:val="13"/>
                <w:b w:val="1"/>
                <w:bCs w:val="1"/>
                <w:color w:val="auto"/>
              </w:rPr>
              <w:t>Change</w:t>
            </w:r>
          </w:p>
        </w:tc>
        <w:tc>
          <w:tcPr>
            <w:tcW w:w="102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03"/>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ind w:left="980"/>
              <w:spacing w:after="0" w:line="142" w:lineRule="exact"/>
              <w:rPr>
                <w:sz w:val="20"/>
                <w:szCs w:val="20"/>
                <w:color w:val="auto"/>
              </w:rPr>
            </w:pPr>
            <w:r>
              <w:rPr>
                <w:rFonts w:ascii="Arial" w:cs="Arial" w:eastAsia="Arial" w:hAnsi="Arial"/>
                <w:sz w:val="13"/>
                <w:szCs w:val="13"/>
                <w:b w:val="1"/>
                <w:bCs w:val="1"/>
                <w:color w:val="auto"/>
              </w:rPr>
              <w:t>(in €)</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(35,789,166)</w:t>
            </w:r>
          </w:p>
        </w:tc>
        <w:tc>
          <w:tcPr>
            <w:tcW w:w="12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(19,508,101)</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(16,281,065)</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(18,349,460)</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(5,498,491)</w:t>
            </w:r>
          </w:p>
        </w:tc>
        <w:tc>
          <w:tcPr>
            <w:tcW w:w="8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(12,850,969)</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(54,138,626)</w:t>
            </w:r>
          </w:p>
        </w:tc>
        <w:tc>
          <w:tcPr>
            <w:tcW w:w="12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(25,006,592)</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(29,132,034)</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116%</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Net foreign exchange income / (loss)</w:t>
            </w:r>
          </w:p>
        </w:tc>
        <w:tc>
          <w:tcPr>
            <w:tcW w:w="1020" w:type="dxa"/>
            <w:vAlign w:val="bottom"/>
          </w:tcPr>
          <w:p>
            <w:pPr>
              <w:jc w:val="right"/>
              <w:spacing w:after="0"/>
              <w:rPr>
                <w:sz w:val="20"/>
                <w:szCs w:val="20"/>
                <w:color w:val="auto"/>
              </w:rPr>
            </w:pPr>
            <w:r>
              <w:rPr>
                <w:rFonts w:ascii="Arial" w:cs="Arial" w:eastAsia="Arial" w:hAnsi="Arial"/>
                <w:sz w:val="16"/>
                <w:szCs w:val="16"/>
                <w:color w:val="auto"/>
              </w:rPr>
              <w:t>11,477,964</w:t>
            </w:r>
          </w:p>
        </w:tc>
        <w:tc>
          <w:tcPr>
            <w:tcW w:w="200" w:type="dxa"/>
            <w:vAlign w:val="bottom"/>
          </w:tcPr>
          <w:p>
            <w:pPr>
              <w:spacing w:after="0"/>
              <w:rPr>
                <w:sz w:val="17"/>
                <w:szCs w:val="17"/>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(1,062,363)</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12,540,327</w:t>
            </w:r>
          </w:p>
        </w:tc>
        <w:tc>
          <w:tcPr>
            <w:tcW w:w="2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before income tax</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(42,660,662)</w:t>
            </w:r>
          </w:p>
        </w:tc>
        <w:tc>
          <w:tcPr>
            <w:tcW w:w="12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(26,068,955)</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(16,591,707)</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Income taxes</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(70,117)</w:t>
            </w:r>
          </w:p>
        </w:tc>
        <w:tc>
          <w:tcPr>
            <w:tcW w:w="1020" w:type="dxa"/>
            <w:vAlign w:val="bottom"/>
          </w:tcPr>
          <w:p>
            <w:pPr>
              <w:jc w:val="right"/>
              <w:spacing w:after="0"/>
              <w:rPr>
                <w:sz w:val="20"/>
                <w:szCs w:val="20"/>
                <w:color w:val="auto"/>
              </w:rPr>
            </w:pPr>
            <w:r>
              <w:rPr>
                <w:rFonts w:ascii="Arial" w:cs="Arial" w:eastAsia="Arial" w:hAnsi="Arial"/>
                <w:sz w:val="16"/>
                <w:szCs w:val="16"/>
                <w:color w:val="auto"/>
              </w:rPr>
              <w:t>83,251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(153,368)</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for the period</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(42,730,779)</w:t>
            </w:r>
          </w:p>
        </w:tc>
        <w:tc>
          <w:tcPr>
            <w:tcW w:w="12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(25,985,704)</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(16,745,075)</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430"/>
        </w:trPr>
        <w:tc>
          <w:tcPr>
            <w:tcW w:w="5300" w:type="dxa"/>
            <w:vAlign w:val="bottom"/>
            <w:gridSpan w:val="2"/>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7"/>
              </w:rPr>
              <w:t>For the year ended</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2"/>
            <w:vMerge w:val="restart"/>
          </w:tcPr>
          <w:p>
            <w:pPr>
              <w:jc w:val="right"/>
              <w:ind w:right="419"/>
              <w:spacing w:after="0"/>
              <w:rPr>
                <w:sz w:val="20"/>
                <w:szCs w:val="20"/>
                <w:color w:val="auto"/>
              </w:rPr>
            </w:pPr>
            <w:r>
              <w:rPr>
                <w:rFonts w:ascii="Arial" w:cs="Arial" w:eastAsia="Arial" w:hAnsi="Arial"/>
                <w:sz w:val="13"/>
                <w:szCs w:val="13"/>
                <w:b w:val="1"/>
                <w:bCs w:val="1"/>
                <w:color w:val="auto"/>
              </w:rPr>
              <w:t>Change</w:t>
            </w:r>
          </w:p>
        </w:tc>
        <w:tc>
          <w:tcPr>
            <w:tcW w:w="102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03"/>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ind w:left="980"/>
              <w:spacing w:after="0" w:line="141" w:lineRule="exact"/>
              <w:rPr>
                <w:sz w:val="20"/>
                <w:szCs w:val="20"/>
                <w:color w:val="auto"/>
              </w:rPr>
            </w:pPr>
            <w:r>
              <w:rPr>
                <w:rFonts w:ascii="Arial" w:cs="Arial" w:eastAsia="Arial" w:hAnsi="Arial"/>
                <w:sz w:val="13"/>
                <w:szCs w:val="13"/>
                <w:b w:val="1"/>
                <w:bCs w:val="1"/>
                <w:color w:val="auto"/>
              </w:rPr>
              <w:t>(in €)</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Personnel expenses</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(7,988,097)</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(2,951,323)</w:t>
            </w:r>
          </w:p>
        </w:tc>
        <w:tc>
          <w:tcPr>
            <w:tcW w:w="8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(5,036,774)</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Clinical expenses</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(16,944,557)</w:t>
            </w:r>
          </w:p>
        </w:tc>
        <w:tc>
          <w:tcPr>
            <w:tcW w:w="12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(8,748,748)</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(8,195,809)</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Nonclinical expenses</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(3,891,479)</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(3,322,590)</w:t>
            </w:r>
          </w:p>
        </w:tc>
        <w:tc>
          <w:tcPr>
            <w:tcW w:w="8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(568,889)</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(6,325,068)</w:t>
            </w:r>
          </w:p>
        </w:tc>
        <w:tc>
          <w:tcPr>
            <w:tcW w:w="12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(4,311,958)</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(2,013,110)</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License costs</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3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(500,000)</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Intellectual property costs</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(139,966)</w:t>
            </w:r>
          </w:p>
        </w:tc>
        <w:tc>
          <w:tcPr>
            <w:tcW w:w="12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(173,482)</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33,516</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Total research and development expenses</w:t>
            </w: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vMerge w:val="continue"/>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(35,789,166</w:t>
            </w:r>
          </w:p>
        </w:tc>
        <w:tc>
          <w:tcPr>
            <w:tcW w:w="200" w:type="dxa"/>
            <w:vAlign w:val="bottom"/>
            <w:vMerge w:val="continue"/>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(19,508,101</w:t>
            </w:r>
          </w:p>
        </w:tc>
        <w:tc>
          <w:tcPr>
            <w:tcW w:w="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(16,281,065</w:t>
            </w:r>
          </w:p>
        </w:tc>
        <w:tc>
          <w:tcPr>
            <w:tcW w:w="220" w:type="dxa"/>
            <w:vAlign w:val="bottom"/>
            <w:vMerge w:val="continue"/>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increased by €16,281,065 in 2021, or 83% from €19,508,101 for the year ended December 31, 2020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€35,789,166 for the year ended December 31, 2021. The increase in research and development expenses was primarily due to the further expansion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Phase 1 clinical program in 2021 and the start of our Phase 2 clinical program in 2021. The cost of manufacturing and formulation of PHA121 for nonclinical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clinical studies is also a major cost driver in 2021. In personnel expenses, an amount of €4,107,605 for 2021 and €1,215,937 for 2020 is related to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arrangements. The increase in the share-based payment expenses is due to the new grants awarded in 2021. The remaining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increase in personnel expenses is driven by the growth of our organization and yearly merit adjustments. In 2021, a milestone payment of €500,000 was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paid to AnalytiCon upon commencement of Phase 2 development.</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General and Administrative Expenses</w:t>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7"/>
              </w:rPr>
              <w:t>For the year ended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13"/>
                <w:szCs w:val="13"/>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6"/>
              </w:rPr>
              <w:t>December 31</w:t>
            </w:r>
          </w:p>
        </w:tc>
        <w:tc>
          <w:tcPr>
            <w:tcW w:w="1140" w:type="dxa"/>
            <w:vAlign w:val="bottom"/>
            <w:gridSpan w:val="2"/>
            <w:vMerge w:val="restart"/>
          </w:tcPr>
          <w:p>
            <w:pPr>
              <w:jc w:val="right"/>
              <w:ind w:right="419"/>
              <w:spacing w:after="0"/>
              <w:rPr>
                <w:sz w:val="20"/>
                <w:szCs w:val="20"/>
                <w:color w:val="auto"/>
              </w:rPr>
            </w:pPr>
            <w:r>
              <w:rPr>
                <w:rFonts w:ascii="Arial" w:cs="Arial" w:eastAsia="Arial" w:hAnsi="Arial"/>
                <w:sz w:val="13"/>
                <w:szCs w:val="13"/>
                <w:b w:val="1"/>
                <w:bCs w:val="1"/>
                <w:color w:val="auto"/>
              </w:rPr>
              <w:t>Change</w:t>
            </w:r>
          </w:p>
        </w:tc>
        <w:tc>
          <w:tcPr>
            <w:tcW w:w="102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03"/>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ind w:left="980"/>
              <w:spacing w:after="0" w:line="142" w:lineRule="exact"/>
              <w:rPr>
                <w:sz w:val="20"/>
                <w:szCs w:val="20"/>
                <w:color w:val="auto"/>
              </w:rPr>
            </w:pPr>
            <w:r>
              <w:rPr>
                <w:rFonts w:ascii="Arial" w:cs="Arial" w:eastAsia="Arial" w:hAnsi="Arial"/>
                <w:sz w:val="13"/>
                <w:szCs w:val="13"/>
                <w:b w:val="1"/>
                <w:bCs w:val="1"/>
                <w:color w:val="auto"/>
              </w:rPr>
              <w:t>(in €)</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(7,033,913)</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(1,490,674)</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(5,543,239)</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Consulting fees</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(757,233)</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(1,042,195)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284,962</w:t>
            </w:r>
          </w:p>
        </w:tc>
        <w:tc>
          <w:tcPr>
            <w:tcW w:w="2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2"/>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(2,868,684)</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(943,322)</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(1,925,362)</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(1,306,714)</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(1,275,842)</w:t>
            </w:r>
          </w:p>
        </w:tc>
        <w:tc>
          <w:tcPr>
            <w:tcW w:w="8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(30,872)</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Facilities, communication &amp; office expenses</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(5,648,763)</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(551,223)</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(5,097,540)</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Travel expenses</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(143,582)</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(26,773)</w:t>
            </w:r>
          </w:p>
        </w:tc>
        <w:tc>
          <w:tcPr>
            <w:tcW w:w="80" w:type="dxa"/>
            <w:vAlign w:val="bottom"/>
          </w:tcPr>
          <w:p>
            <w:pPr>
              <w:spacing w:after="0"/>
              <w:rPr>
                <w:sz w:val="17"/>
                <w:szCs w:val="17"/>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(116,809)</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(590,571)</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(168,462)</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(422,109)</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General and administrative expenses</w:t>
            </w: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(18,349,460</w:t>
            </w:r>
          </w:p>
        </w:tc>
        <w:tc>
          <w:tcPr>
            <w:tcW w:w="200" w:type="dxa"/>
            <w:vAlign w:val="bottom"/>
            <w:vMerge w:val="continue"/>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(5,498,491)</w:t>
            </w:r>
          </w:p>
        </w:tc>
        <w:tc>
          <w:tcPr>
            <w:tcW w:w="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(12,850,969</w:t>
            </w:r>
          </w:p>
        </w:tc>
        <w:tc>
          <w:tcPr>
            <w:tcW w:w="220" w:type="dxa"/>
            <w:vAlign w:val="bottom"/>
            <w:vMerge w:val="continue"/>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234%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General and administrative expenses increased by €12,850,969, or 234% from €5,498,491 for the year ended December 31, 2020 to €18,349,460 for the year ended December 31, 2021. The increase in general and administrative expenses was mainly driven by the growth of the Company in connection with the completion of the IPO, which also led to additional expenses inherent to being a public company. Furthermore, key personnel in our commercial department have been hired and commercial build-out was initiated in 2021. In the personnel expenses for the year ended December 31, 2021 and 2020 an amount of €4,088,781 and €371,799 respectively, was included which related to share-based payments arrangements. The increase in the share-based payment expenses is due to the new grants made in 2021. The remaining increase in personnel expenses is driven by the growth of our organization and yearly merit adjustments.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Net foreign exchange income/(loss)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foreign exchange income/(loss) for the year ended December 31, 2021 and 2020 were €11,477,964 and (€1,062,363) respectively, a change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€12,540,327. The amount mainly relates to unrealized foreign exchange income, which is mostly the result of translating the Company’s bank balances held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USD to EUR. The foreign exchange rates developed in favor of the Company in 2021.</w:t>
      </w:r>
    </w:p>
    <w:p>
      <w:pPr>
        <w:sectPr>
          <w:pgSz w:w="11900" w:h="16838" w:orient="portrait"/>
          <w:cols w:equalWidth="0" w:num="1">
            <w:col w:w="11160"/>
          </w:cols>
          <w:pgMar w:left="320" w:top="125" w:right="419" w:bottom="1440" w:gutter="0" w:footer="0" w:header="0"/>
        </w:sect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Income taxes</w:t>
      </w:r>
    </w:p>
    <w:p>
      <w:pPr>
        <w:spacing w:after="0" w:line="111" w:lineRule="exact"/>
        <w:rPr>
          <w:sz w:val="20"/>
          <w:szCs w:val="20"/>
          <w:color w:val="auto"/>
        </w:rPr>
      </w:pPr>
    </w:p>
    <w:p>
      <w:pPr>
        <w:ind w:right="80" w:firstLine="445"/>
        <w:spacing w:after="0" w:line="252" w:lineRule="auto"/>
        <w:rPr>
          <w:sz w:val="20"/>
          <w:szCs w:val="20"/>
          <w:color w:val="auto"/>
        </w:rPr>
      </w:pPr>
      <w:r>
        <w:rPr>
          <w:rFonts w:ascii="Arial" w:cs="Arial" w:eastAsia="Arial" w:hAnsi="Arial"/>
          <w:sz w:val="16"/>
          <w:szCs w:val="16"/>
          <w:color w:val="auto"/>
        </w:rPr>
        <w:t>We have a history of losses. The tax expense over the year ended December 31, 2021 relates to a temporary difference in the Company’s US subsidiary for which a deferred tax asset is recognized, offset by the current tax charges relating to the Company’s US subsidiary as the result of a cost-plus agreement between the US entity and Group’s principal entity resulting in a taxable profit in the United States of America. We have not recognized deferred tax assets relating to losses carried forward for the Company’s Dutch and Swiss entities for approximately €95.7 million (2020: €43.3 million). These losses carried forward are available for offsetting against future taxable profits of the companies in which the losses arose. A new Dutch tax law entered into force on 1 January 2022. Under the new tax law profits in a given year can be offset against tax loss carry forwards for an unlimited period of time. However, the amount of the offset will be limited to 50% of taxable income (in excess of €1 million). Under Swiss law, losses can be offset against future income or capital gains for seven years.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13" w:lineRule="exact"/>
        <w:rPr>
          <w:sz w:val="20"/>
          <w:szCs w:val="20"/>
          <w:color w:val="auto"/>
        </w:rPr>
      </w:pPr>
    </w:p>
    <w:p>
      <w:pPr>
        <w:ind w:right="20" w:firstLine="445"/>
        <w:spacing w:after="0" w:line="254"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Annual Report for a description of our other significant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Share-based Compensation Arrangements</w:t>
      </w:r>
    </w:p>
    <w:p>
      <w:pPr>
        <w:spacing w:after="0" w:line="113" w:lineRule="exact"/>
        <w:rPr>
          <w:sz w:val="20"/>
          <w:szCs w:val="20"/>
          <w:color w:val="auto"/>
        </w:rPr>
      </w:pPr>
    </w:p>
    <w:p>
      <w:pPr>
        <w:ind w:right="100" w:firstLine="445"/>
        <w:spacing w:after="0" w:line="259" w:lineRule="auto"/>
        <w:rPr>
          <w:sz w:val="20"/>
          <w:szCs w:val="20"/>
          <w:color w:val="auto"/>
        </w:rPr>
      </w:pPr>
      <w:r>
        <w:rPr>
          <w:rFonts w:ascii="Arial" w:cs="Arial" w:eastAsia="Arial" w:hAnsi="Arial"/>
          <w:sz w:val="16"/>
          <w:szCs w:val="16"/>
          <w:color w:val="auto"/>
        </w:rPr>
        <w:t>We adopted an equity-settled share-based compensation plan in 2016, pursuant to which certain participants are granted the right to acquire ordinary shares or RSU’s of the Company. This plan has been superseded by the 2021 long term incentive plan (“LTIP”). The grants made under these plans are accounted for in accordance with the policy as stated in Note 2.15 to our consolidated financial statements included elsewhere in this Annual Report. The total amount to be expensed is determined by reference to the fair value of the options or RSUs granted.</w:t>
      </w:r>
    </w:p>
    <w:p>
      <w:pPr>
        <w:spacing w:after="0" w:line="178" w:lineRule="exact"/>
        <w:rPr>
          <w:sz w:val="20"/>
          <w:szCs w:val="20"/>
          <w:color w:val="auto"/>
        </w:rPr>
      </w:pPr>
    </w:p>
    <w:p>
      <w:pPr>
        <w:ind w:right="320" w:firstLine="445"/>
        <w:spacing w:after="0" w:line="266" w:lineRule="auto"/>
        <w:rPr>
          <w:sz w:val="20"/>
          <w:szCs w:val="20"/>
          <w:color w:val="auto"/>
        </w:rPr>
      </w:pPr>
      <w:r>
        <w:rPr>
          <w:rFonts w:ascii="Arial" w:cs="Arial" w:eastAsia="Arial" w:hAnsi="Arial"/>
          <w:sz w:val="16"/>
          <w:szCs w:val="16"/>
          <w:color w:val="auto"/>
        </w:rPr>
        <w:t>Due to the lack of quoted market prices for the options and RSU’s granted under the equity plan 2016, we have determined the fair value for the measurement of the equity-settled transactions at the grant date with assistance of an external appraiser, considering certain assumptions relating to the volatility of stock price, the determination of an appropriate risk-free interest rate and expected dividends.</w:t>
      </w:r>
    </w:p>
    <w:p>
      <w:pPr>
        <w:spacing w:after="0" w:line="171" w:lineRule="exact"/>
        <w:rPr>
          <w:sz w:val="20"/>
          <w:szCs w:val="20"/>
          <w:color w:val="auto"/>
        </w:rPr>
      </w:pPr>
    </w:p>
    <w:p>
      <w:pPr>
        <w:ind w:right="220" w:firstLine="445"/>
        <w:spacing w:after="0" w:line="286" w:lineRule="auto"/>
        <w:rPr>
          <w:sz w:val="20"/>
          <w:szCs w:val="20"/>
          <w:color w:val="auto"/>
        </w:rPr>
      </w:pPr>
      <w:r>
        <w:rPr>
          <w:rFonts w:ascii="Arial" w:cs="Arial" w:eastAsia="Arial" w:hAnsi="Arial"/>
          <w:sz w:val="16"/>
          <w:szCs w:val="16"/>
          <w:color w:val="auto"/>
        </w:rPr>
        <w:t>We consider numerous objective and subjective factors to determine the best estimate of the fair value of the ordinary shares as of each grant date, including:</w:t>
      </w:r>
    </w:p>
    <w:p>
      <w:pPr>
        <w:spacing w:after="0" w:line="48" w:lineRule="exact"/>
        <w:rPr>
          <w:sz w:val="20"/>
          <w:szCs w:val="20"/>
          <w:color w:val="auto"/>
        </w:rPr>
      </w:pPr>
    </w:p>
    <w:p>
      <w:pPr>
        <w:ind w:left="860" w:hanging="420"/>
        <w:spacing w:after="0"/>
        <w:tabs>
          <w:tab w:leader="none" w:pos="8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progress of the research and development programs;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contemporaneous third-party valuations of the ordinary shares for the share issuances in 2016, 2019 and 2020;</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rights and preferences of the preferred shares relative to the ordinary shares;</w:t>
      </w:r>
    </w:p>
    <w:p>
      <w:pPr>
        <w:spacing w:after="0" w:line="153" w:lineRule="exact"/>
        <w:rPr>
          <w:rFonts w:ascii="Arial" w:cs="Arial" w:eastAsia="Arial" w:hAnsi="Arial"/>
          <w:sz w:val="16"/>
          <w:szCs w:val="16"/>
          <w:color w:val="auto"/>
        </w:rPr>
      </w:pPr>
    </w:p>
    <w:p>
      <w:pPr>
        <w:ind w:left="860" w:right="60" w:hanging="420"/>
        <w:spacing w:after="0" w:line="286" w:lineRule="auto"/>
        <w:tabs>
          <w:tab w:leader="none" w:pos="8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likelihood of achieving a discrete liquidity event, such as a sale of the company or an initial public offering given prevailing market conditions; and</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external market and economic conditions impacting the industry sector.</w:t>
      </w:r>
    </w:p>
    <w:p>
      <w:pPr>
        <w:spacing w:after="0" w:line="262" w:lineRule="exact"/>
        <w:rPr>
          <w:sz w:val="20"/>
          <w:szCs w:val="20"/>
          <w:color w:val="auto"/>
        </w:rPr>
      </w:pPr>
    </w:p>
    <w:p>
      <w:pPr>
        <w:ind w:right="40" w:firstLine="445"/>
        <w:spacing w:after="0" w:line="256" w:lineRule="auto"/>
        <w:rPr>
          <w:sz w:val="20"/>
          <w:szCs w:val="20"/>
          <w:color w:val="auto"/>
        </w:rPr>
      </w:pPr>
      <w:r>
        <w:rPr>
          <w:rFonts w:ascii="Arial" w:cs="Arial" w:eastAsia="Arial" w:hAnsi="Arial"/>
          <w:sz w:val="16"/>
          <w:szCs w:val="16"/>
          <w:color w:val="auto"/>
        </w:rPr>
        <w:t>The fair value of an option or an RSU was measured based on the estimated fair value of an ordinary share at grant date. An external valuation expert has estimated the fair value of the Company’s ordinary shares, on a minority basis, as of the grant dates based on the pricing of the most recent financing round of the Company at the time. As we were a private company and the equity instruments were not marketable, an Option Pricing Model, with estimated probabilities of two different exit scenarios (IPO and Trade Sale), was applied to back-solve the Company’s total equity value such that the value per Series B preferred share and Series C preferred shares is equal to the investment price per share paid in the investment round.</w:t>
      </w:r>
    </w:p>
    <w:p>
      <w:pPr>
        <w:spacing w:after="0" w:line="180" w:lineRule="exact"/>
        <w:rPr>
          <w:sz w:val="20"/>
          <w:szCs w:val="20"/>
          <w:color w:val="auto"/>
        </w:rPr>
      </w:pPr>
    </w:p>
    <w:p>
      <w:pPr>
        <w:ind w:right="520" w:firstLine="445"/>
        <w:spacing w:after="0" w:line="266" w:lineRule="auto"/>
        <w:rPr>
          <w:sz w:val="20"/>
          <w:szCs w:val="20"/>
          <w:color w:val="auto"/>
        </w:rPr>
      </w:pPr>
      <w:r>
        <w:rPr>
          <w:rFonts w:ascii="Arial" w:cs="Arial" w:eastAsia="Arial" w:hAnsi="Arial"/>
          <w:sz w:val="16"/>
          <w:szCs w:val="16"/>
          <w:color w:val="auto"/>
        </w:rPr>
        <w:t>This estimated total equity value has been used as input to the Option Pricing Model when determining the fair value of the Company’s ordinary shares at the grant/measurement dates. The Option Pricing Model uses the Black-Scholes Option-Pricing Model to determine the fair value of the Company’s different share classes based upon the Company’s total equity value.</w:t>
      </w:r>
    </w:p>
    <w:p>
      <w:pPr>
        <w:spacing w:after="0" w:line="171" w:lineRule="exact"/>
        <w:rPr>
          <w:sz w:val="20"/>
          <w:szCs w:val="20"/>
          <w:color w:val="auto"/>
        </w:rPr>
      </w:pPr>
    </w:p>
    <w:p>
      <w:pPr>
        <w:ind w:right="300" w:firstLine="445"/>
        <w:spacing w:after="0" w:line="286" w:lineRule="auto"/>
        <w:rPr>
          <w:sz w:val="20"/>
          <w:szCs w:val="20"/>
          <w:color w:val="auto"/>
        </w:rPr>
      </w:pPr>
      <w:r>
        <w:rPr>
          <w:rFonts w:ascii="Arial" w:cs="Arial" w:eastAsia="Arial" w:hAnsi="Arial"/>
          <w:sz w:val="16"/>
          <w:szCs w:val="16"/>
          <w:color w:val="auto"/>
        </w:rPr>
        <w:t>The inputs used in the measurement of the fair value per ordinary share pre-IPO at the grant/ measurement date based upon the total equity value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08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January 1,</w:t>
            </w:r>
          </w:p>
        </w:tc>
      </w:tr>
      <w:tr>
        <w:trPr>
          <w:trHeight w:val="153"/>
        </w:trPr>
        <w:tc>
          <w:tcPr>
            <w:tcW w:w="3700" w:type="dxa"/>
            <w:vAlign w:val="bottom"/>
            <w:tcBorders>
              <w:bottom w:val="single" w:sz="8" w:color="CFF0FC"/>
            </w:tcBorders>
          </w:tcPr>
          <w:p>
            <w:pPr>
              <w:spacing w:after="0"/>
              <w:rPr>
                <w:sz w:val="13"/>
                <w:szCs w:val="13"/>
                <w:color w:val="auto"/>
              </w:rPr>
            </w:pPr>
          </w:p>
        </w:tc>
        <w:tc>
          <w:tcPr>
            <w:tcW w:w="5460" w:type="dxa"/>
            <w:vAlign w:val="bottom"/>
            <w:tcBorders>
              <w:bottom w:val="single" w:sz="8" w:color="CFF0FC"/>
            </w:tcBorders>
          </w:tcPr>
          <w:p>
            <w:pPr>
              <w:spacing w:after="0"/>
              <w:rPr>
                <w:sz w:val="13"/>
                <w:szCs w:val="13"/>
                <w:color w:val="auto"/>
              </w:rPr>
            </w:pPr>
          </w:p>
        </w:tc>
        <w:tc>
          <w:tcPr>
            <w:tcW w:w="1860" w:type="dxa"/>
            <w:vAlign w:val="bottom"/>
            <w:tcBorders>
              <w:bottom w:val="single" w:sz="8" w:color="auto"/>
            </w:tcBorders>
          </w:tcPr>
          <w:p>
            <w:pPr>
              <w:jc w:val="right"/>
              <w:ind w:right="728"/>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FF0FC"/>
            </w:tcBorders>
          </w:tcPr>
          <w:p>
            <w:pPr>
              <w:spacing w:after="0"/>
              <w:rPr>
                <w:sz w:val="13"/>
                <w:szCs w:val="13"/>
                <w:color w:val="auto"/>
              </w:rPr>
            </w:pPr>
          </w:p>
        </w:tc>
      </w:tr>
      <w:tr>
        <w:trPr>
          <w:trHeight w:val="196"/>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 (%)</w:t>
            </w:r>
          </w:p>
        </w:tc>
        <w:tc>
          <w:tcPr>
            <w:tcW w:w="5460" w:type="dxa"/>
            <w:vAlign w:val="bottom"/>
            <w:shd w:val="clear" w:color="auto" w:fill="CFF0FC"/>
          </w:tcPr>
          <w:p>
            <w:pPr>
              <w:spacing w:after="0"/>
              <w:rPr>
                <w:sz w:val="17"/>
                <w:szCs w:val="17"/>
                <w:color w:val="auto"/>
              </w:rPr>
            </w:pPr>
          </w:p>
        </w:tc>
        <w:tc>
          <w:tcPr>
            <w:tcW w:w="2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85%</w:t>
            </w: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Expected life (years)</w:t>
            </w:r>
          </w:p>
        </w:tc>
        <w:tc>
          <w:tcPr>
            <w:tcW w:w="732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7"/>
                <w:szCs w:val="17"/>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 (%)</w:t>
            </w:r>
          </w:p>
        </w:tc>
        <w:tc>
          <w:tcPr>
            <w:tcW w:w="75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r>
      <w:tr>
        <w:trPr>
          <w:trHeight w:val="215"/>
        </w:trPr>
        <w:tc>
          <w:tcPr>
            <w:tcW w:w="370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546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620"/>
        </w:trPr>
        <w:tc>
          <w:tcPr>
            <w:tcW w:w="3700" w:type="dxa"/>
            <w:vAlign w:val="bottom"/>
          </w:tcPr>
          <w:p>
            <w:pPr>
              <w:spacing w:after="0"/>
              <w:rPr>
                <w:sz w:val="24"/>
                <w:szCs w:val="24"/>
                <w:color w:val="auto"/>
              </w:rPr>
            </w:pPr>
          </w:p>
        </w:tc>
        <w:tc>
          <w:tcPr>
            <w:tcW w:w="5460" w:type="dxa"/>
            <w:vAlign w:val="bottom"/>
          </w:tcPr>
          <w:p>
            <w:pPr>
              <w:jc w:val="right"/>
              <w:ind w:right="3359"/>
              <w:spacing w:after="0"/>
              <w:rPr>
                <w:sz w:val="20"/>
                <w:szCs w:val="20"/>
                <w:color w:val="auto"/>
              </w:rPr>
            </w:pPr>
            <w:r>
              <w:rPr>
                <w:rFonts w:ascii="Arial" w:cs="Arial" w:eastAsia="Arial" w:hAnsi="Arial"/>
                <w:sz w:val="16"/>
                <w:szCs w:val="16"/>
                <w:color w:val="auto"/>
              </w:rPr>
              <w:t>75</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4"/>
        </w:trPr>
        <w:tc>
          <w:tcPr>
            <w:tcW w:w="3700" w:type="dxa"/>
            <w:vAlign w:val="bottom"/>
            <w:tcBorders>
              <w:bottom w:val="single" w:sz="8" w:color="9A9A9A"/>
            </w:tcBorders>
          </w:tcPr>
          <w:p>
            <w:pPr>
              <w:spacing w:after="0"/>
              <w:rPr>
                <w:sz w:val="9"/>
                <w:szCs w:val="9"/>
                <w:color w:val="auto"/>
              </w:rPr>
            </w:pPr>
          </w:p>
        </w:tc>
        <w:tc>
          <w:tcPr>
            <w:tcW w:w="54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480" w:firstLine="445"/>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July 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9"/>
              </w:rPr>
              <w:t>June 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June 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9"/>
              </w:rPr>
              <w:t>February 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January 1,</w:t>
            </w:r>
          </w:p>
        </w:tc>
      </w:tr>
      <w:tr>
        <w:trPr>
          <w:trHeight w:val="153"/>
        </w:trPr>
        <w:tc>
          <w:tcPr>
            <w:tcW w:w="3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left="45"/>
              <w:spacing w:after="0"/>
              <w:rPr>
                <w:sz w:val="20"/>
                <w:szCs w:val="20"/>
                <w:color w:val="auto"/>
              </w:rPr>
            </w:pPr>
            <w:r>
              <w:rPr>
                <w:rFonts w:ascii="Arial" w:cs="Arial" w:eastAsia="Arial" w:hAnsi="Arial"/>
                <w:sz w:val="13"/>
                <w:szCs w:val="13"/>
                <w:b w:val="1"/>
                <w:bCs w:val="1"/>
                <w:color w:val="auto"/>
                <w:w w:val="96"/>
              </w:rPr>
              <w:t>2021</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left="5"/>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640" w:type="dxa"/>
            <w:vAlign w:val="bottom"/>
            <w:tcBorders>
              <w:bottom w:val="single" w:sz="8" w:color="CFF0FC"/>
            </w:tcBorders>
          </w:tcPr>
          <w:p>
            <w:pPr>
              <w:spacing w:after="0"/>
              <w:rPr>
                <w:sz w:val="12"/>
                <w:szCs w:val="12"/>
                <w:color w:val="auto"/>
              </w:rPr>
            </w:pPr>
          </w:p>
        </w:tc>
        <w:tc>
          <w:tcPr>
            <w:tcW w:w="132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98"/>
              </w:rPr>
              <w:t>Option 1</w:t>
            </w:r>
          </w:p>
        </w:tc>
        <w:tc>
          <w:tcPr>
            <w:tcW w:w="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8"/>
              </w:rPr>
              <w:t>Option 2</w:t>
            </w: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96"/>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Number of options</w:t>
            </w: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88,000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873,000</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107,000</w:t>
            </w:r>
          </w:p>
        </w:tc>
        <w:tc>
          <w:tcPr>
            <w:tcW w:w="100" w:type="dxa"/>
            <w:vAlign w:val="bottom"/>
            <w:shd w:val="clear" w:color="auto" w:fill="CFF0FC"/>
          </w:tcPr>
          <w:p>
            <w:pPr>
              <w:spacing w:after="0"/>
              <w:rPr>
                <w:sz w:val="17"/>
                <w:szCs w:val="17"/>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Fair value of the options</w:t>
            </w:r>
          </w:p>
        </w:tc>
        <w:tc>
          <w:tcPr>
            <w:tcW w:w="1320" w:type="dxa"/>
            <w:vAlign w:val="bottom"/>
          </w:tcPr>
          <w:p>
            <w:pPr>
              <w:spacing w:after="0"/>
              <w:rPr>
                <w:sz w:val="17"/>
                <w:szCs w:val="17"/>
                <w:color w:val="auto"/>
              </w:rPr>
            </w:pP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10.90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11.88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7"/>
                <w:szCs w:val="17"/>
                <w:color w:val="auto"/>
              </w:rPr>
            </w:pPr>
          </w:p>
        </w:tc>
      </w:tr>
      <w:tr>
        <w:trPr>
          <w:trHeight w:val="203"/>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Fair value of the ordinary shares</w:t>
            </w:r>
          </w:p>
        </w:tc>
        <w:tc>
          <w:tcPr>
            <w:tcW w:w="13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14.67</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FF0FC"/>
          </w:tcPr>
          <w:p>
            <w:pPr>
              <w:spacing w:after="0"/>
              <w:rPr>
                <w:sz w:val="17"/>
                <w:szCs w:val="17"/>
                <w:color w:val="auto"/>
              </w:rPr>
            </w:pPr>
          </w:p>
        </w:tc>
      </w:tr>
      <w:tr>
        <w:trPr>
          <w:trHeight w:val="455"/>
        </w:trPr>
        <w:tc>
          <w:tcPr>
            <w:tcW w:w="3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July 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4"/>
          </w:tcPr>
          <w:p>
            <w:pPr>
              <w:ind w:left="20"/>
              <w:spacing w:after="0"/>
              <w:rPr>
                <w:sz w:val="20"/>
                <w:szCs w:val="20"/>
                <w:color w:val="auto"/>
              </w:rPr>
            </w:pPr>
            <w:r>
              <w:rPr>
                <w:rFonts w:ascii="Arial" w:cs="Arial" w:eastAsia="Arial" w:hAnsi="Arial"/>
                <w:sz w:val="13"/>
                <w:szCs w:val="13"/>
                <w:b w:val="1"/>
                <w:bCs w:val="1"/>
                <w:color w:val="auto"/>
              </w:rPr>
              <w:t>June 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9"/>
              </w:rPr>
              <w:t>June 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3"/>
                <w:szCs w:val="13"/>
                <w:b w:val="1"/>
                <w:bCs w:val="1"/>
                <w:color w:val="auto"/>
              </w:rPr>
              <w:t>February 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w w:val="93"/>
              </w:rPr>
              <w:t>January 1,</w:t>
            </w:r>
          </w:p>
        </w:tc>
      </w:tr>
      <w:tr>
        <w:trPr>
          <w:trHeight w:val="153"/>
        </w:trPr>
        <w:tc>
          <w:tcPr>
            <w:tcW w:w="3640" w:type="dxa"/>
            <w:vAlign w:val="bottom"/>
          </w:tcPr>
          <w:p>
            <w:pPr>
              <w:spacing w:after="0"/>
              <w:rPr>
                <w:sz w:val="13"/>
                <w:szCs w:val="13"/>
                <w:color w:val="auto"/>
              </w:rPr>
            </w:pPr>
          </w:p>
        </w:tc>
        <w:tc>
          <w:tcPr>
            <w:tcW w:w="2300" w:type="dxa"/>
            <w:vAlign w:val="bottom"/>
            <w:gridSpan w:val="4"/>
          </w:tcPr>
          <w:p>
            <w:pPr>
              <w:jc w:val="right"/>
              <w:ind w:right="283"/>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285"/>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245"/>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84"/>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85"/>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rPr>
              <w:t>Option 1</w:t>
            </w:r>
          </w:p>
        </w:tc>
        <w:tc>
          <w:tcPr>
            <w:tcW w:w="2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ind w:right="125"/>
              <w:spacing w:after="0" w:line="142" w:lineRule="exact"/>
              <w:rPr>
                <w:sz w:val="20"/>
                <w:szCs w:val="20"/>
                <w:color w:val="auto"/>
              </w:rPr>
            </w:pPr>
            <w:r>
              <w:rPr>
                <w:rFonts w:ascii="Arial" w:cs="Arial" w:eastAsia="Arial" w:hAnsi="Arial"/>
                <w:sz w:val="13"/>
                <w:szCs w:val="13"/>
                <w:b w:val="1"/>
                <w:bCs w:val="1"/>
                <w:color w:val="auto"/>
                <w:w w:val="98"/>
              </w:rPr>
              <w:t>Option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Exercise price</w:t>
            </w:r>
          </w:p>
        </w:tc>
        <w:tc>
          <w:tcPr>
            <w:tcW w:w="132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14.67</w:t>
            </w:r>
          </w:p>
        </w:tc>
        <w:tc>
          <w:tcPr>
            <w:tcW w:w="2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16.74</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gridSpan w:val="3"/>
            <w:shd w:val="clear" w:color="auto" w:fill="CFF0FC"/>
          </w:tcPr>
          <w:p>
            <w:pPr>
              <w:ind w:left="4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Expected volatility (%)</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85%</w:t>
            </w:r>
          </w:p>
        </w:tc>
      </w:tr>
      <w:tr>
        <w:trPr>
          <w:trHeight w:val="203"/>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Expected life (years)</w:t>
            </w: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Risk-free interest rate (%)</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(0.6)%</w:t>
            </w:r>
          </w:p>
        </w:tc>
      </w:tr>
      <w:tr>
        <w:trPr>
          <w:trHeight w:val="203"/>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Expected dividend yield</w:t>
            </w: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Expected volatility was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or US Government bonds depending on whether the exercise price is in euros or in US Dollars. The expected dividend yield is zero considering the stage of the Company.</w:t>
      </w:r>
    </w:p>
    <w:p>
      <w:pPr>
        <w:spacing w:after="0" w:line="2"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On January 1, 2021 the Company granted a total of 107,000 stock options to members of key management with an exercise price of €7.25 per share with a final exercise date of December 31, 2030 unless forfeited or exercised on an earlier date. On February 4, 2021, a total of 873,000 stock options were granted to members of key management with an exercise price of $20 per share with a final exercise date of February 3, 2031 unless forfeited or exercised on an earlier date. 25% of the aggregate number of share options shall vest on the 12-month anniversary of the vesting commencement date, and thereafter 1/48th of the aggregate number of share options shall vest on each subsequent monthly anniversary of the vesting commencement date until either the option is fully vested or the option holders’ continuous service terminates.</w:t>
      </w:r>
    </w:p>
    <w:p>
      <w:pPr>
        <w:spacing w:after="0" w:line="184" w:lineRule="exact"/>
        <w:rPr>
          <w:sz w:val="20"/>
          <w:szCs w:val="20"/>
          <w:color w:val="auto"/>
        </w:rPr>
      </w:pPr>
    </w:p>
    <w:p>
      <w:pPr>
        <w:ind w:right="20" w:firstLine="445"/>
        <w:spacing w:after="0" w:line="252" w:lineRule="auto"/>
        <w:rPr>
          <w:sz w:val="20"/>
          <w:szCs w:val="20"/>
          <w:color w:val="auto"/>
        </w:rPr>
      </w:pPr>
      <w:r>
        <w:rPr>
          <w:rFonts w:ascii="Arial" w:cs="Arial" w:eastAsia="Arial" w:hAnsi="Arial"/>
          <w:sz w:val="16"/>
          <w:szCs w:val="16"/>
          <w:color w:val="auto"/>
        </w:rPr>
        <w:t>On February 3, 2020 132,000 stock options were granted to a member of key management with an exercise price of €2.38 per share with a final exercise date of February 2, 2030 unless forfeited or exercised on an earlier date. Each of 2020, 2021, and 2022 is a performance period. The Board has determined the performance goals for the related performance period before September 30 of the respective year. On July 13, 2020 the performance goals for 2020 were determined and the fair value of the 44,000 stock options was reassessed for the stock options subject to the performance goals for 2020. The Board resolved to modify the terms and conditions related to the performance options effective June 25, 2021. The performance condition was released and the vesting period was changed from vesting on December 31, 2021 of the second tranche and December 31, 2022 of the third tranche to monthly vesting starting from February 3, 2020. Each month, 1/48 of the options will vest, with final vesting on February 4, 2024. Since this modification did not change Management’s best estimate of when the options will be exercised, no incremental fair value was granted.</w:t>
      </w:r>
    </w:p>
    <w:p>
      <w:pPr>
        <w:spacing w:after="0" w:line="183" w:lineRule="exact"/>
        <w:rPr>
          <w:sz w:val="20"/>
          <w:szCs w:val="20"/>
          <w:color w:val="auto"/>
        </w:rPr>
      </w:pPr>
    </w:p>
    <w:p>
      <w:pPr>
        <w:ind w:right="20" w:firstLine="445"/>
        <w:spacing w:after="0" w:line="259" w:lineRule="auto"/>
        <w:rPr>
          <w:sz w:val="20"/>
          <w:szCs w:val="20"/>
          <w:color w:val="auto"/>
        </w:rPr>
      </w:pPr>
      <w:r>
        <w:rPr>
          <w:rFonts w:ascii="Arial" w:cs="Arial" w:eastAsia="Arial" w:hAnsi="Arial"/>
          <w:sz w:val="16"/>
          <w:szCs w:val="16"/>
          <w:color w:val="auto"/>
        </w:rPr>
        <w:t>On June 25, 2021, a total of 14,000 stock options were granted to a member of key management with an exercise price of $20 per share with a final exercise date of February 3, 2031 unless forfeited or exercised on an earlier date. 25% of the aggregate number of share options shall vest on February 3,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78" w:lineRule="exact"/>
        <w:rPr>
          <w:sz w:val="20"/>
          <w:szCs w:val="20"/>
          <w:color w:val="auto"/>
        </w:rPr>
      </w:pPr>
    </w:p>
    <w:p>
      <w:pPr>
        <w:ind w:right="80" w:firstLine="445"/>
        <w:spacing w:after="0" w:line="259" w:lineRule="auto"/>
        <w:rPr>
          <w:sz w:val="20"/>
          <w:szCs w:val="20"/>
          <w:color w:val="auto"/>
        </w:rPr>
      </w:pPr>
      <w:r>
        <w:rPr>
          <w:rFonts w:ascii="Arial" w:cs="Arial" w:eastAsia="Arial" w:hAnsi="Arial"/>
          <w:sz w:val="16"/>
          <w:szCs w:val="16"/>
          <w:color w:val="auto"/>
        </w:rPr>
        <w:t>On July 1, 2021, a total of 150,000 stock options were granted to members of key management with an exercise price of $17.43 per share with a final exercise date of June 30, 2031 unless forfeited or exercised on an earlier date. 25% of the aggregate number of share options shall vest on June 30,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205" w:lineRule="exact"/>
        <w:rPr>
          <w:sz w:val="20"/>
          <w:szCs w:val="20"/>
          <w:color w:val="auto"/>
        </w:rPr>
      </w:pPr>
    </w:p>
    <w:p>
      <w:pPr>
        <w:ind w:right="60" w:firstLine="247"/>
        <w:spacing w:after="0" w:line="265" w:lineRule="auto"/>
        <w:rPr>
          <w:sz w:val="20"/>
          <w:szCs w:val="20"/>
          <w:color w:val="auto"/>
        </w:rPr>
      </w:pPr>
      <w:r>
        <w:rPr>
          <w:rFonts w:ascii="Arial" w:cs="Arial" w:eastAsia="Arial" w:hAnsi="Arial"/>
          <w:sz w:val="16"/>
          <w:szCs w:val="16"/>
          <w:color w:val="auto"/>
        </w:rPr>
        <w:t>During 2021 the Company granted a total of 175,991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expenses are recognized over the service period in the consolidated statements of profit or loss and other comprehensive income.</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expenditures</w:t>
      </w:r>
    </w:p>
    <w:p>
      <w:pPr>
        <w:spacing w:after="0" w:line="113" w:lineRule="exact"/>
        <w:rPr>
          <w:sz w:val="20"/>
          <w:szCs w:val="20"/>
          <w:color w:val="auto"/>
        </w:rPr>
      </w:pPr>
    </w:p>
    <w:p>
      <w:pPr>
        <w:ind w:right="100" w:firstLine="445"/>
        <w:spacing w:after="0" w:line="259"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see Note 2.16 and Note 3 to our consolidated financial statements included elsewhere in this Annual Report.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performed relative to the actual status and timing of services performed may vary and could result in reporting amounts that are too high or too low in any particular period.</w:t>
      </w:r>
    </w:p>
    <w:p>
      <w:pPr>
        <w:spacing w:after="0" w:line="264" w:lineRule="exact"/>
        <w:rPr>
          <w:sz w:val="20"/>
          <w:szCs w:val="20"/>
          <w:color w:val="auto"/>
        </w:rPr>
      </w:pPr>
    </w:p>
    <w:p>
      <w:pPr>
        <w:ind w:left="860" w:hanging="420"/>
        <w:spacing w:after="0"/>
        <w:tabs>
          <w:tab w:leader="none" w:pos="86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154" w:lineRule="exact"/>
        <w:rPr>
          <w:sz w:val="20"/>
          <w:szCs w:val="20"/>
          <w:color w:val="auto"/>
        </w:rPr>
      </w:pPr>
    </w:p>
    <w:p>
      <w:pPr>
        <w:ind w:right="360" w:firstLine="445"/>
        <w:spacing w:after="0" w:line="259" w:lineRule="auto"/>
        <w:rPr>
          <w:sz w:val="20"/>
          <w:szCs w:val="20"/>
          <w:color w:val="auto"/>
        </w:rPr>
      </w:pPr>
      <w:r>
        <w:rPr>
          <w:rFonts w:ascii="Arial" w:cs="Arial" w:eastAsia="Arial" w:hAnsi="Arial"/>
          <w:sz w:val="16"/>
          <w:szCs w:val="16"/>
          <w:color w:val="auto"/>
        </w:rPr>
        <w:t>Since inception, we have incurred significant operating losses. We incurred losses of €42,730,779 during the year ended December 31, 2021 and €25,985,704 during the year ended December 31, 2020. Since inception, we have not generated any revenues or net cash flows from sales. We will not receive any revenues or net cash flows from sales until we successful develop a product candidate, obtain regulatory approval and successfully commercialize it. There is no assurance that we will be able to do so.</w:t>
      </w:r>
    </w:p>
    <w:p>
      <w:pPr>
        <w:spacing w:after="0" w:line="178"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To date, we have relied solely on the issuance of equity securities to finance our operations and internal growth. From inception through December 31, 2021, we have raised the following capital:</w:t>
      </w:r>
    </w:p>
    <w:p>
      <w:pPr>
        <w:spacing w:after="0" w:line="48" w:lineRule="exact"/>
        <w:rPr>
          <w:sz w:val="20"/>
          <w:szCs w:val="20"/>
          <w:color w:val="auto"/>
        </w:rPr>
      </w:pPr>
    </w:p>
    <w:p>
      <w:pPr>
        <w:ind w:left="860" w:hanging="420"/>
        <w:spacing w:after="0"/>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issuance of 4,850,000 Common shares raising €225,000;</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issuance of 5,242,850 Series A preferred shares raising €14,899,133 (net of transaction costs); and</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issuance of 3,003,391 Series B-1 preferred shares raising €21,631,526 (net of transaction costs).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issuance of 4,646,756 Series B-2 preferred shares raising €34,246,281 (net of transaction costs).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issuance of 5,826,279 Series C preferred shares raising €67,183,593 (net of transaction costs).</w:t>
      </w:r>
    </w:p>
    <w:p>
      <w:pPr>
        <w:spacing w:after="0" w:line="262" w:lineRule="exact"/>
        <w:rPr>
          <w:sz w:val="20"/>
          <w:szCs w:val="20"/>
          <w:color w:val="auto"/>
        </w:rPr>
      </w:pPr>
    </w:p>
    <w:p>
      <w:pPr>
        <w:ind w:right="440" w:firstLine="445"/>
        <w:spacing w:after="0" w:line="266"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Series A preferred shares, Series B and Series C preferred shares were automatically converted to ordinary shares and 9,511,075 ordinary shares were issued. Together with the issuance of new ordinary shares, the par value of each ordinary share was increased from €0.01 to €0.12.</w:t>
      </w:r>
    </w:p>
    <w:p>
      <w:pPr>
        <w:spacing w:after="0" w:line="171" w:lineRule="exact"/>
        <w:rPr>
          <w:sz w:val="20"/>
          <w:szCs w:val="20"/>
          <w:color w:val="auto"/>
        </w:rPr>
      </w:pPr>
    </w:p>
    <w:p>
      <w:pPr>
        <w:ind w:right="180" w:firstLine="445"/>
        <w:spacing w:after="0" w:line="286" w:lineRule="auto"/>
        <w:rPr>
          <w:sz w:val="20"/>
          <w:szCs w:val="20"/>
          <w:color w:val="auto"/>
        </w:rPr>
      </w:pPr>
      <w:r>
        <w:rPr>
          <w:rFonts w:ascii="Arial" w:cs="Arial" w:eastAsia="Arial" w:hAnsi="Arial"/>
          <w:sz w:val="16"/>
          <w:szCs w:val="16"/>
          <w:color w:val="auto"/>
        </w:rPr>
        <w:t>As of December 31, 2021 we held cash and cash equivalents of €209,353,132. We expect that our existing cash will enable us to fund our operating expenses and capital expenditure requirements into the first quarter of 2024.</w:t>
      </w:r>
    </w:p>
    <w:p>
      <w:pPr>
        <w:spacing w:after="0" w:line="156" w:lineRule="exact"/>
        <w:rPr>
          <w:sz w:val="20"/>
          <w:szCs w:val="20"/>
          <w:color w:val="auto"/>
        </w:rPr>
      </w:pPr>
    </w:p>
    <w:p>
      <w:pPr>
        <w:ind w:right="20" w:firstLine="445"/>
        <w:spacing w:after="0" w:line="259" w:lineRule="auto"/>
        <w:rPr>
          <w:sz w:val="20"/>
          <w:szCs w:val="20"/>
          <w:color w:val="auto"/>
        </w:rPr>
      </w:pPr>
      <w:r>
        <w:rPr>
          <w:rFonts w:ascii="Arial" w:cs="Arial" w:eastAsia="Arial" w:hAnsi="Arial"/>
          <w:sz w:val="16"/>
          <w:szCs w:val="16"/>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70" w:lineRule="exact"/>
        <w:rPr>
          <w:sz w:val="20"/>
          <w:szCs w:val="20"/>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progress and cost of our discovery and nonclinical development;</w:t>
      </w:r>
    </w:p>
    <w:p>
      <w:pPr>
        <w:spacing w:after="0" w:line="153" w:lineRule="exact"/>
        <w:rPr>
          <w:rFonts w:ascii="Arial" w:cs="Arial" w:eastAsia="Arial" w:hAnsi="Arial"/>
          <w:sz w:val="16"/>
          <w:szCs w:val="16"/>
          <w:color w:val="auto"/>
        </w:rPr>
      </w:pPr>
    </w:p>
    <w:p>
      <w:pPr>
        <w:ind w:left="860" w:right="100" w:hanging="420"/>
        <w:spacing w:after="0" w:line="286" w:lineRule="auto"/>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costs associated with any future investigator-sponsored clinical trials;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53" w:lineRule="exact"/>
        <w:rPr>
          <w:rFonts w:ascii="Arial" w:cs="Arial" w:eastAsia="Arial" w:hAnsi="Arial"/>
          <w:sz w:val="16"/>
          <w:szCs w:val="16"/>
          <w:color w:val="auto"/>
        </w:rPr>
      </w:pPr>
    </w:p>
    <w:p>
      <w:pPr>
        <w:ind w:left="860" w:right="640" w:hanging="420"/>
        <w:spacing w:after="0" w:line="286" w:lineRule="auto"/>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7" w:lineRule="exact"/>
        <w:rPr>
          <w:rFonts w:ascii="Arial" w:cs="Arial" w:eastAsia="Arial" w:hAnsi="Arial"/>
          <w:sz w:val="16"/>
          <w:szCs w:val="16"/>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costs and capital expenditures associated with process optimizations and nonclinical and clinical manufacturing;</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 of acquiring or licensing additional products or technologies, if any;</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costs of any delays caused by the COVID-19 pandemic and associated restrictions;</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53" w:lineRule="exact"/>
        <w:rPr>
          <w:rFonts w:ascii="Arial" w:cs="Arial" w:eastAsia="Arial" w:hAnsi="Arial"/>
          <w:sz w:val="16"/>
          <w:szCs w:val="16"/>
          <w:color w:val="auto"/>
        </w:rPr>
      </w:pPr>
    </w:p>
    <w:p>
      <w:pPr>
        <w:ind w:left="860" w:hanging="420"/>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cost of operating as a public company in the United States.</w:t>
      </w:r>
    </w:p>
    <w:p>
      <w:pPr>
        <w:spacing w:after="0" w:line="262" w:lineRule="exact"/>
        <w:rPr>
          <w:sz w:val="20"/>
          <w:szCs w:val="20"/>
          <w:color w:val="auto"/>
        </w:rPr>
      </w:pPr>
    </w:p>
    <w:p>
      <w:pPr>
        <w:ind w:right="360" w:firstLine="445"/>
        <w:spacing w:after="0" w:line="26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71" w:lineRule="exact"/>
        <w:rPr>
          <w:sz w:val="20"/>
          <w:szCs w:val="20"/>
          <w:color w:val="auto"/>
        </w:rPr>
      </w:pPr>
    </w:p>
    <w:p>
      <w:pPr>
        <w:ind w:right="60" w:firstLine="445"/>
        <w:spacing w:after="0" w:line="259" w:lineRule="auto"/>
        <w:rPr>
          <w:sz w:val="20"/>
          <w:szCs w:val="20"/>
          <w:color w:val="auto"/>
        </w:rPr>
      </w:pPr>
      <w:r>
        <w:rPr>
          <w:rFonts w:ascii="Arial" w:cs="Arial" w:eastAsia="Arial" w:hAnsi="Arial"/>
          <w:sz w:val="16"/>
          <w:szCs w:val="16"/>
          <w:color w:val="auto"/>
        </w:rPr>
        <w:t>To the extent that we raise additional funds by issuing and selling equity or equity-linked securities, shareholders will experience dilution. Debt financings,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wars, regional unrest,</w:t>
      </w:r>
    </w:p>
    <w:p>
      <w:pPr>
        <w:sectPr>
          <w:pgSz w:w="11900" w:h="16838" w:orient="portrait"/>
          <w:cols w:equalWidth="0" w:num="1">
            <w:col w:w="11220"/>
          </w:cols>
          <w:pgMar w:left="320" w:top="125" w:right="359" w:bottom="144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pandemics and epidemics). If we are unable to raise additional funds when needed, we may be required to delay, reduce, or terminate some or all of our development programs and clinical trials. We may also be required to sell or license to other technologies or our clinical product candidate that we would prefer to develop and commercialize ourselves.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Cash Flows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for the years ended December 31, 2021 and December 31, 2020</w:t>
      </w:r>
    </w:p>
    <w:p>
      <w:pPr>
        <w:spacing w:after="0" w:line="192" w:lineRule="exact"/>
        <w:rPr>
          <w:sz w:val="20"/>
          <w:szCs w:val="20"/>
          <w:color w:val="auto"/>
        </w:rPr>
      </w:pPr>
    </w:p>
    <w:p>
      <w:pPr>
        <w:ind w:right="260" w:firstLine="222"/>
        <w:spacing w:after="0" w:line="266" w:lineRule="auto"/>
        <w:rPr>
          <w:sz w:val="20"/>
          <w:szCs w:val="20"/>
          <w:color w:val="auto"/>
        </w:rPr>
      </w:pPr>
      <w:r>
        <w:rPr>
          <w:rFonts w:ascii="Arial" w:cs="Arial" w:eastAsia="Arial" w:hAnsi="Arial"/>
          <w:sz w:val="16"/>
          <w:szCs w:val="16"/>
          <w:color w:val="auto"/>
        </w:rPr>
        <w:t>A discussion of our cash flows for the year ended December 31, 2020 as compared to the year ended December 31, 2019 can be found in the section entitled “Item 5. Operating and Financial Review and Prospects—B. Liquidity and Capital Resources—Cash Flows—Comparison of the years ended December 31, 2020 and 2019” in our annual report on form 20-F, filed with the SEC on April 29, 2021.</w:t>
      </w:r>
    </w:p>
    <w:p>
      <w:pPr>
        <w:spacing w:after="0" w:line="3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2500" w:type="dxa"/>
            <w:vAlign w:val="bottom"/>
            <w:gridSpan w:val="3"/>
          </w:tcPr>
          <w:p>
            <w:pPr>
              <w:jc w:val="right"/>
              <w:ind w:right="840"/>
              <w:spacing w:after="0"/>
              <w:rPr>
                <w:sz w:val="20"/>
                <w:szCs w:val="20"/>
                <w:color w:val="auto"/>
              </w:rPr>
            </w:pPr>
            <w:r>
              <w:rPr>
                <w:rFonts w:ascii="Arial" w:cs="Arial" w:eastAsia="Arial" w:hAnsi="Arial"/>
                <w:sz w:val="13"/>
                <w:szCs w:val="13"/>
                <w:b w:val="1"/>
                <w:bCs w:val="1"/>
                <w:color w:val="auto"/>
              </w:rPr>
              <w:t>For the year ended</w:t>
            </w: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Pr>
          <w:p>
            <w:pPr>
              <w:spacing w:after="0"/>
              <w:rPr>
                <w:sz w:val="13"/>
                <w:szCs w:val="13"/>
                <w:color w:val="auto"/>
              </w:rPr>
            </w:pPr>
          </w:p>
        </w:tc>
        <w:tc>
          <w:tcPr>
            <w:tcW w:w="2500" w:type="dxa"/>
            <w:vAlign w:val="bottom"/>
            <w:gridSpan w:val="3"/>
          </w:tcPr>
          <w:p>
            <w:pPr>
              <w:jc w:val="right"/>
              <w:ind w:right="980"/>
              <w:spacing w:after="0"/>
              <w:rPr>
                <w:sz w:val="20"/>
                <w:szCs w:val="20"/>
                <w:color w:val="auto"/>
              </w:rPr>
            </w:pPr>
            <w:r>
              <w:rPr>
                <w:rFonts w:ascii="Arial" w:cs="Arial" w:eastAsia="Arial" w:hAnsi="Arial"/>
                <w:sz w:val="13"/>
                <w:szCs w:val="13"/>
                <w:b w:val="1"/>
                <w:bCs w:val="1"/>
                <w:color w:val="auto"/>
              </w:rPr>
              <w:t>December 31,</w:t>
            </w:r>
          </w:p>
        </w:tc>
        <w:tc>
          <w:tcPr>
            <w:tcW w:w="1300" w:type="dxa"/>
            <w:vAlign w:val="bottom"/>
            <w:vMerge w:val="restart"/>
          </w:tcPr>
          <w:p>
            <w:pPr>
              <w:jc w:val="right"/>
              <w:ind w:right="561"/>
              <w:spacing w:after="0"/>
              <w:rPr>
                <w:sz w:val="20"/>
                <w:szCs w:val="20"/>
                <w:color w:val="auto"/>
              </w:rPr>
            </w:pPr>
            <w:r>
              <w:rPr>
                <w:rFonts w:ascii="Arial" w:cs="Arial" w:eastAsia="Arial" w:hAnsi="Arial"/>
                <w:sz w:val="13"/>
                <w:szCs w:val="13"/>
                <w:b w:val="1"/>
                <w:bCs w:val="1"/>
                <w:color w:val="auto"/>
              </w:rPr>
              <w:t>Change</w:t>
            </w:r>
          </w:p>
        </w:tc>
        <w:tc>
          <w:tcPr>
            <w:tcW w:w="86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464"/>
              <w:spacing w:after="0" w:line="142" w:lineRule="exact"/>
              <w:rPr>
                <w:sz w:val="20"/>
                <w:szCs w:val="20"/>
                <w:color w:val="auto"/>
              </w:rPr>
            </w:pPr>
            <w:r>
              <w:rPr>
                <w:rFonts w:ascii="Arial" w:cs="Arial" w:eastAsia="Arial" w:hAnsi="Arial"/>
                <w:sz w:val="13"/>
                <w:szCs w:val="13"/>
                <w:b w:val="1"/>
                <w:bCs w:val="1"/>
                <w:color w:val="auto"/>
              </w:rPr>
              <w:t>2021</w:t>
            </w:r>
          </w:p>
        </w:tc>
        <w:tc>
          <w:tcPr>
            <w:tcW w:w="1040" w:type="dxa"/>
            <w:vAlign w:val="bottom"/>
            <w:tcBorders>
              <w:top w:val="single" w:sz="8" w:color="auto"/>
              <w:bottom w:val="single" w:sz="8" w:color="auto"/>
            </w:tcBorders>
          </w:tcPr>
          <w:p>
            <w:pPr>
              <w:jc w:val="right"/>
              <w:ind w:right="283"/>
              <w:spacing w:after="0" w:line="142"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(in €)</w:t>
            </w: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used in operating activities</w:t>
            </w:r>
          </w:p>
        </w:tc>
        <w:tc>
          <w:tcPr>
            <w:tcW w:w="11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(44,599,683)</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(21,499,593)</w:t>
            </w:r>
          </w:p>
        </w:tc>
        <w:tc>
          <w:tcPr>
            <w:tcW w:w="1300" w:type="dxa"/>
            <w:vAlign w:val="bottom"/>
            <w:shd w:val="clear" w:color="auto" w:fill="CFF0FC"/>
          </w:tcPr>
          <w:p>
            <w:pPr>
              <w:jc w:val="right"/>
              <w:ind w:right="221"/>
              <w:spacing w:after="0"/>
              <w:rPr>
                <w:sz w:val="20"/>
                <w:szCs w:val="20"/>
                <w:color w:val="auto"/>
              </w:rPr>
            </w:pPr>
            <w:r>
              <w:rPr>
                <w:rFonts w:ascii="Arial" w:cs="Arial" w:eastAsia="Arial" w:hAnsi="Arial"/>
                <w:sz w:val="16"/>
                <w:szCs w:val="16"/>
                <w:color w:val="auto"/>
              </w:rPr>
              <w:t>(23,100,090)</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(130,032)</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(42,977)</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(87,055)</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provided by financing activities</w:t>
            </w:r>
          </w:p>
        </w:tc>
        <w:tc>
          <w:tcPr>
            <w:tcW w:w="118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143,671,339</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101,200,801</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01"/>
              <w:spacing w:after="0"/>
              <w:rPr>
                <w:sz w:val="20"/>
                <w:szCs w:val="20"/>
                <w:color w:val="auto"/>
              </w:rPr>
            </w:pPr>
            <w:r>
              <w:rPr>
                <w:rFonts w:ascii="Arial" w:cs="Arial" w:eastAsia="Arial" w:hAnsi="Arial"/>
                <w:sz w:val="16"/>
                <w:szCs w:val="16"/>
                <w:color w:val="auto"/>
              </w:rPr>
              <w:t>42,470,538</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1180" w:type="dxa"/>
            <w:vAlign w:val="bottom"/>
          </w:tcPr>
          <w:p>
            <w:pPr>
              <w:jc w:val="right"/>
              <w:ind w:right="104"/>
              <w:spacing w:after="0"/>
              <w:rPr>
                <w:sz w:val="20"/>
                <w:szCs w:val="20"/>
                <w:color w:val="auto"/>
              </w:rPr>
            </w:pPr>
            <w:r>
              <w:rPr>
                <w:rFonts w:ascii="Arial" w:cs="Arial" w:eastAsia="Arial" w:hAnsi="Arial"/>
                <w:sz w:val="16"/>
                <w:szCs w:val="16"/>
                <w:b w:val="1"/>
                <w:bCs w:val="1"/>
                <w:color w:val="auto"/>
              </w:rPr>
              <w:t>98,941,624</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79,658,231</w:t>
            </w:r>
          </w:p>
        </w:tc>
        <w:tc>
          <w:tcPr>
            <w:tcW w:w="280" w:type="dxa"/>
            <w:vAlign w:val="bottom"/>
          </w:tcPr>
          <w:p>
            <w:pPr>
              <w:spacing w:after="0"/>
              <w:rPr>
                <w:sz w:val="17"/>
                <w:szCs w:val="17"/>
                <w:color w:val="auto"/>
              </w:rPr>
            </w:pPr>
          </w:p>
        </w:tc>
        <w:tc>
          <w:tcPr>
            <w:tcW w:w="1300" w:type="dxa"/>
            <w:vAlign w:val="bottom"/>
          </w:tcPr>
          <w:p>
            <w:pPr>
              <w:jc w:val="right"/>
              <w:ind w:right="301"/>
              <w:spacing w:after="0"/>
              <w:rPr>
                <w:sz w:val="20"/>
                <w:szCs w:val="20"/>
                <w:color w:val="auto"/>
              </w:rPr>
            </w:pPr>
            <w:r>
              <w:rPr>
                <w:rFonts w:ascii="Arial" w:cs="Arial" w:eastAsia="Arial" w:hAnsi="Arial"/>
                <w:sz w:val="16"/>
                <w:szCs w:val="16"/>
                <w:b w:val="1"/>
                <w:bCs w:val="1"/>
                <w:color w:val="auto"/>
              </w:rPr>
              <w:t>19,283,393</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02"/>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18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98,628,871</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20,326,372</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01"/>
              <w:spacing w:after="0"/>
              <w:rPr>
                <w:sz w:val="20"/>
                <w:szCs w:val="20"/>
                <w:color w:val="auto"/>
              </w:rPr>
            </w:pPr>
            <w:r>
              <w:rPr>
                <w:rFonts w:ascii="Arial" w:cs="Arial" w:eastAsia="Arial" w:hAnsi="Arial"/>
                <w:sz w:val="16"/>
                <w:szCs w:val="16"/>
                <w:b w:val="1"/>
                <w:bCs w:val="1"/>
                <w:color w:val="auto"/>
              </w:rPr>
              <w:t>78,302,499</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385%</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1180" w:type="dxa"/>
            <w:vAlign w:val="bottom"/>
          </w:tcPr>
          <w:p>
            <w:pPr>
              <w:jc w:val="right"/>
              <w:ind w:right="104"/>
              <w:spacing w:after="0"/>
              <w:rPr>
                <w:sz w:val="20"/>
                <w:szCs w:val="20"/>
                <w:color w:val="auto"/>
              </w:rPr>
            </w:pPr>
            <w:r>
              <w:rPr>
                <w:rFonts w:ascii="Arial" w:cs="Arial" w:eastAsia="Arial" w:hAnsi="Arial"/>
                <w:sz w:val="16"/>
                <w:szCs w:val="16"/>
                <w:color w:val="auto"/>
              </w:rPr>
              <w:t>11,782,637</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(1,355,732)</w:t>
            </w:r>
          </w:p>
        </w:tc>
        <w:tc>
          <w:tcPr>
            <w:tcW w:w="1300" w:type="dxa"/>
            <w:vAlign w:val="bottom"/>
          </w:tcPr>
          <w:p>
            <w:pPr>
              <w:jc w:val="right"/>
              <w:ind w:right="301"/>
              <w:spacing w:after="0"/>
              <w:rPr>
                <w:sz w:val="20"/>
                <w:szCs w:val="20"/>
                <w:color w:val="auto"/>
              </w:rPr>
            </w:pPr>
            <w:r>
              <w:rPr>
                <w:rFonts w:ascii="Arial" w:cs="Arial" w:eastAsia="Arial" w:hAnsi="Arial"/>
                <w:sz w:val="16"/>
                <w:szCs w:val="16"/>
                <w:color w:val="auto"/>
              </w:rPr>
              <w:t>13,138,369</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18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209,353,132</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98,628,871</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01"/>
              <w:spacing w:after="0"/>
              <w:rPr>
                <w:sz w:val="20"/>
                <w:szCs w:val="20"/>
                <w:color w:val="auto"/>
              </w:rPr>
            </w:pPr>
            <w:r>
              <w:rPr>
                <w:rFonts w:ascii="Arial" w:cs="Arial" w:eastAsia="Arial" w:hAnsi="Arial"/>
                <w:sz w:val="16"/>
                <w:szCs w:val="16"/>
                <w:b w:val="1"/>
                <w:bCs w:val="1"/>
                <w:color w:val="auto"/>
              </w:rPr>
              <w:t>110,724,261</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112%</w:t>
            </w:r>
          </w:p>
        </w:tc>
        <w:tc>
          <w:tcPr>
            <w:tcW w:w="0" w:type="dxa"/>
            <w:vAlign w:val="bottom"/>
          </w:tcPr>
          <w:p>
            <w:pPr>
              <w:spacing w:after="0"/>
              <w:rPr>
                <w:sz w:val="1"/>
                <w:szCs w:val="1"/>
                <w:color w:val="auto"/>
              </w:rPr>
            </w:pPr>
          </w:p>
        </w:tc>
      </w:tr>
    </w:tbl>
    <w:p>
      <w:pPr>
        <w:spacing w:after="0" w:line="35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ind w:right="680" w:firstLine="445"/>
        <w:spacing w:after="0" w:line="286"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flows used in operating activities increased by €23,100,090 or 107%, from €21,499,593 for the year ended December 31, 2020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€44,599,683 for the year ended December 31, 2021, primarily reflecting the increase in research and development expenses and other operating expenses,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due to progression made in the development programs and the growth of our organization in 2021.</w:t>
      </w:r>
    </w:p>
    <w:p>
      <w:pPr>
        <w:spacing w:after="0" w:line="3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ind w:right="120" w:firstLine="445"/>
        <w:spacing w:after="0" w:line="266" w:lineRule="auto"/>
        <w:rPr>
          <w:sz w:val="20"/>
          <w:szCs w:val="20"/>
          <w:color w:val="auto"/>
        </w:rPr>
      </w:pPr>
      <w:r>
        <w:rPr>
          <w:rFonts w:ascii="Arial" w:cs="Arial" w:eastAsia="Arial" w:hAnsi="Arial"/>
          <w:sz w:val="16"/>
          <w:szCs w:val="16"/>
          <w:color w:val="auto"/>
        </w:rPr>
        <w:t>Net cash flows used in investing activities increased by €87,055 or 203%, from €42,977 for the year ended December 31, 2020 to €130,032 for the year ended December 31, 2021, primarily as a result of capital expenditures for office equipment as a result of the increase in personnel and the number of offices rented.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flows provided by financing activities increased by €42,470,538, or 42%, from €101,200,801 for the year ended December 31, 2020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€143,671,339 for the year ended December 31, 2021 primarily as the result of net proceeds of €146,154,986 from the IPO net of underwriting discount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 transaction costs.</w:t>
      </w:r>
    </w:p>
    <w:p>
      <w:pPr>
        <w:spacing w:after="0" w:line="3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Tabular disclosure of contractual obligations</w:t>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relating to our contractual obligations and commitments as of December 31, 2021:</w:t>
      </w:r>
    </w:p>
    <w:p>
      <w:pPr>
        <w:spacing w:after="0" w:line="18"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1200" w:type="dxa"/>
            <w:vAlign w:val="bottom"/>
            <w:gridSpan w:val="2"/>
          </w:tcPr>
          <w:p>
            <w:pPr>
              <w:ind w:left="340"/>
              <w:spacing w:after="0"/>
              <w:rPr>
                <w:sz w:val="20"/>
                <w:szCs w:val="20"/>
                <w:color w:val="auto"/>
              </w:rPr>
            </w:pPr>
            <w:r>
              <w:rPr>
                <w:rFonts w:ascii="Arial" w:cs="Arial" w:eastAsia="Arial" w:hAnsi="Arial"/>
                <w:sz w:val="13"/>
                <w:szCs w:val="13"/>
                <w:b w:val="1"/>
                <w:bCs w:val="1"/>
                <w:color w:val="auto"/>
              </w:rPr>
              <w:t>Total</w:t>
            </w:r>
          </w:p>
        </w:tc>
        <w:tc>
          <w:tcPr>
            <w:tcW w:w="13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7"/>
              </w:rPr>
              <w:t>Less than 1</w:t>
            </w: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Between 1</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More than</w:t>
            </w:r>
          </w:p>
        </w:tc>
      </w:tr>
      <w:tr>
        <w:trPr>
          <w:trHeight w:val="142"/>
        </w:trPr>
        <w:tc>
          <w:tcPr>
            <w:tcW w:w="52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center"/>
              <w:ind w:right="320"/>
              <w:spacing w:after="0" w:line="142" w:lineRule="exact"/>
              <w:rPr>
                <w:sz w:val="20"/>
                <w:szCs w:val="20"/>
                <w:color w:val="auto"/>
              </w:rPr>
            </w:pPr>
            <w:r>
              <w:rPr>
                <w:rFonts w:ascii="Arial" w:cs="Arial" w:eastAsia="Arial" w:hAnsi="Arial"/>
                <w:sz w:val="13"/>
                <w:szCs w:val="13"/>
                <w:b w:val="1"/>
                <w:bCs w:val="1"/>
                <w:color w:val="auto"/>
                <w:w w:val="97"/>
              </w:rPr>
              <w:t>year</w:t>
            </w:r>
          </w:p>
        </w:tc>
        <w:tc>
          <w:tcPr>
            <w:tcW w:w="1120" w:type="dxa"/>
            <w:vAlign w:val="bottom"/>
            <w:gridSpan w:val="2"/>
          </w:tcPr>
          <w:p>
            <w:pPr>
              <w:jc w:val="center"/>
              <w:ind w:right="320"/>
              <w:spacing w:after="0" w:line="142" w:lineRule="exact"/>
              <w:rPr>
                <w:sz w:val="20"/>
                <w:szCs w:val="20"/>
                <w:color w:val="auto"/>
              </w:rPr>
            </w:pPr>
            <w:r>
              <w:rPr>
                <w:rFonts w:ascii="Arial" w:cs="Arial" w:eastAsia="Arial" w:hAnsi="Arial"/>
                <w:sz w:val="13"/>
                <w:szCs w:val="13"/>
                <w:b w:val="1"/>
                <w:bCs w:val="1"/>
                <w:color w:val="auto"/>
                <w:w w:val="94"/>
              </w:rPr>
              <w:t>and 3 years</w:t>
            </w:r>
          </w:p>
        </w:tc>
        <w:tc>
          <w:tcPr>
            <w:tcW w:w="1160" w:type="dxa"/>
            <w:vAlign w:val="bottom"/>
            <w:gridSpan w:val="2"/>
          </w:tcPr>
          <w:p>
            <w:pPr>
              <w:jc w:val="center"/>
              <w:ind w:right="120"/>
              <w:spacing w:after="0" w:line="142" w:lineRule="exact"/>
              <w:rPr>
                <w:sz w:val="20"/>
                <w:szCs w:val="20"/>
                <w:color w:val="auto"/>
              </w:rPr>
            </w:pPr>
            <w:r>
              <w:rPr>
                <w:rFonts w:ascii="Arial" w:cs="Arial" w:eastAsia="Arial" w:hAnsi="Arial"/>
                <w:sz w:val="13"/>
                <w:szCs w:val="13"/>
                <w:b w:val="1"/>
                <w:bCs w:val="1"/>
                <w:color w:val="auto"/>
                <w:w w:val="98"/>
              </w:rPr>
              <w:t>5 years</w:t>
            </w:r>
          </w:p>
        </w:tc>
      </w:tr>
      <w:tr>
        <w:trPr>
          <w:trHeight w:val="142"/>
        </w:trPr>
        <w:tc>
          <w:tcPr>
            <w:tcW w:w="5280" w:type="dxa"/>
            <w:vAlign w:val="bottom"/>
            <w:tcBorders>
              <w:bottom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3"/>
          </w:tcPr>
          <w:p>
            <w:pPr>
              <w:ind w:left="1000"/>
              <w:spacing w:after="0" w:line="142" w:lineRule="exact"/>
              <w:rPr>
                <w:sz w:val="20"/>
                <w:szCs w:val="20"/>
                <w:color w:val="auto"/>
              </w:rPr>
            </w:pPr>
            <w:r>
              <w:rPr>
                <w:rFonts w:ascii="Arial" w:cs="Arial" w:eastAsia="Arial" w:hAnsi="Arial"/>
                <w:sz w:val="13"/>
                <w:szCs w:val="13"/>
                <w:b w:val="1"/>
                <w:bCs w:val="1"/>
                <w:color w:val="auto"/>
              </w:rPr>
              <w:t>(in €)</w:t>
            </w:r>
          </w:p>
        </w:tc>
        <w:tc>
          <w:tcPr>
            <w:tcW w:w="9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r>
      <w:tr>
        <w:trPr>
          <w:trHeight w:val="196"/>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Service contracts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19,504,000</w:t>
            </w:r>
          </w:p>
        </w:tc>
        <w:tc>
          <w:tcPr>
            <w:tcW w:w="20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16,153,000</w:t>
            </w:r>
          </w:p>
        </w:tc>
        <w:tc>
          <w:tcPr>
            <w:tcW w:w="2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3,351,000</w:t>
            </w:r>
          </w:p>
        </w:tc>
        <w:tc>
          <w:tcPr>
            <w:tcW w:w="20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19,504,000</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16,153,000</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3,351,000</w:t>
            </w:r>
          </w:p>
        </w:tc>
        <w:tc>
          <w:tcPr>
            <w:tcW w:w="200" w:type="dxa"/>
            <w:vAlign w:val="bottom"/>
          </w:tcPr>
          <w:p>
            <w:pPr>
              <w:spacing w:after="0"/>
              <w:rPr>
                <w:sz w:val="17"/>
                <w:szCs w:val="17"/>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table above does not include potential milestone fees, sublicense fees, royalty fees, licensing maintenance fees, and reimbursement of patent maintenance costs that we may be required to pay under the agreement we have entered into with AnalytiCon to license intellectual property. We have not included such potential obligations in the table above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“ITEM 4. INFORMATION ON THE COMPANY——B. Business Overview—License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Service contracts</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commitments from service contracts mainly result from contracts with nonclinical and clinical CROs and CDMOs.</w:t>
      </w:r>
    </w:p>
    <w:p>
      <w:pPr>
        <w:spacing w:after="0" w:line="200" w:lineRule="exact"/>
        <w:rPr>
          <w:sz w:val="20"/>
          <w:szCs w:val="20"/>
          <w:color w:val="auto"/>
        </w:rPr>
      </w:pPr>
    </w:p>
    <w:p>
      <w:pPr>
        <w:spacing w:after="0" w:line="224" w:lineRule="exact"/>
        <w:rPr>
          <w:sz w:val="20"/>
          <w:szCs w:val="20"/>
          <w:color w:val="auto"/>
        </w:rPr>
      </w:pPr>
    </w:p>
    <w:p>
      <w:pPr>
        <w:ind w:left="840" w:hanging="387"/>
        <w:spacing w:after="0"/>
        <w:tabs>
          <w:tab w:leader="none" w:pos="84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 etc.</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4. INFORMATION ON THE COMPANY——B. Business Overview—Intellectual Property.”</w:t>
      </w:r>
    </w:p>
    <w:p>
      <w:pPr>
        <w:spacing w:after="0" w:line="200" w:lineRule="exact"/>
        <w:rPr>
          <w:sz w:val="20"/>
          <w:szCs w:val="20"/>
          <w:color w:val="auto"/>
        </w:rPr>
      </w:pPr>
    </w:p>
    <w:p>
      <w:pPr>
        <w:spacing w:after="0" w:line="224" w:lineRule="exact"/>
        <w:rPr>
          <w:sz w:val="20"/>
          <w:szCs w:val="20"/>
          <w:color w:val="auto"/>
        </w:rPr>
      </w:pPr>
    </w:p>
    <w:p>
      <w:pPr>
        <w:ind w:left="980" w:hanging="527"/>
        <w:spacing w:after="0"/>
        <w:tabs>
          <w:tab w:leader="none" w:pos="98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trend information, see “ITEM 5. OPERATING AND FINANCIAL REVIEW AND PROSPECTS.”</w:t>
      </w:r>
    </w:p>
    <w:p>
      <w:pPr>
        <w:spacing w:after="0" w:line="200" w:lineRule="exact"/>
        <w:rPr>
          <w:sz w:val="20"/>
          <w:szCs w:val="20"/>
          <w:color w:val="auto"/>
        </w:rPr>
      </w:pP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Critical accounting estimates</w:t>
      </w:r>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consolidated financial statements are prepared in conformity with IFRS, as issued by the IASB. In preparing our consolidated financial statements, we make judgements, estimates and assumptions about the application of our accounting policies which affect the reported amounts of assets, liabilities, revenue and expenses. Our critical accounting judgements and sources of estimation uncertainty are described in Note 2.19 to our consolidated financial statements, which are included elsewhere in this Annual Report.</w:t>
      </w: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181" w:lineRule="exact"/>
        <w:rPr>
          <w:sz w:val="20"/>
          <w:szCs w:val="20"/>
          <w:color w:val="auto"/>
        </w:rPr>
      </w:pPr>
    </w:p>
    <w:p>
      <w:pPr>
        <w:ind w:left="980" w:hanging="486"/>
        <w:spacing w:after="0"/>
        <w:tabs>
          <w:tab w:leader="none" w:pos="98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 Board of Directors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our Board and Senior Management as of the date of this Annual Report.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ind w:left="380"/>
              <w:spacing w:after="0"/>
              <w:rPr>
                <w:sz w:val="20"/>
                <w:szCs w:val="20"/>
                <w:color w:val="auto"/>
              </w:rPr>
            </w:pPr>
            <w:r>
              <w:rPr>
                <w:rFonts w:ascii="Arial" w:cs="Arial" w:eastAsia="Arial" w:hAnsi="Arial"/>
                <w:sz w:val="13"/>
                <w:szCs w:val="13"/>
                <w:b w:val="1"/>
                <w:bCs w:val="1"/>
                <w:color w:val="auto"/>
              </w:rPr>
              <w:t>Initial year of</w:t>
            </w:r>
          </w:p>
        </w:tc>
        <w:tc>
          <w:tcPr>
            <w:tcW w:w="1560" w:type="dxa"/>
            <w:vAlign w:val="bottom"/>
          </w:tcPr>
          <w:p>
            <w:pPr>
              <w:spacing w:after="0"/>
              <w:rPr>
                <w:sz w:val="13"/>
                <w:szCs w:val="13"/>
                <w:color w:val="auto"/>
              </w:rPr>
            </w:pPr>
          </w:p>
        </w:tc>
      </w:tr>
      <w:tr>
        <w:trPr>
          <w:trHeight w:val="153"/>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Age</w:t>
            </w:r>
          </w:p>
        </w:tc>
        <w:tc>
          <w:tcPr>
            <w:tcW w:w="1680" w:type="dxa"/>
            <w:vAlign w:val="bottom"/>
            <w:gridSpan w:val="2"/>
          </w:tcPr>
          <w:p>
            <w:pPr>
              <w:ind w:left="380"/>
              <w:spacing w:after="0"/>
              <w:rPr>
                <w:sz w:val="20"/>
                <w:szCs w:val="20"/>
                <w:color w:val="auto"/>
              </w:rPr>
            </w:pPr>
            <w:r>
              <w:rPr>
                <w:rFonts w:ascii="Arial" w:cs="Arial" w:eastAsia="Arial" w:hAnsi="Arial"/>
                <w:sz w:val="13"/>
                <w:szCs w:val="13"/>
                <w:b w:val="1"/>
                <w:bCs w:val="1"/>
                <w:color w:val="auto"/>
              </w:rPr>
              <w:t>appointment</w:t>
            </w:r>
          </w:p>
        </w:tc>
        <w:tc>
          <w:tcPr>
            <w:tcW w:w="1560" w:type="dxa"/>
            <w:vAlign w:val="bottom"/>
          </w:tcPr>
          <w:p>
            <w:pPr>
              <w:jc w:val="right"/>
              <w:ind w:right="560"/>
              <w:spacing w:after="0"/>
              <w:rPr>
                <w:sz w:val="20"/>
                <w:szCs w:val="20"/>
                <w:color w:val="auto"/>
              </w:rPr>
            </w:pPr>
            <w:r>
              <w:rPr>
                <w:rFonts w:ascii="Arial" w:cs="Arial" w:eastAsia="Arial" w:hAnsi="Arial"/>
                <w:sz w:val="13"/>
                <w:szCs w:val="13"/>
                <w:b w:val="1"/>
                <w:bCs w:val="1"/>
                <w:color w:val="auto"/>
              </w:rPr>
              <w:t>Term</w:t>
            </w:r>
          </w:p>
        </w:tc>
      </w:tr>
      <w:tr>
        <w:trPr>
          <w:trHeight w:val="196"/>
        </w:trPr>
        <w:tc>
          <w:tcPr>
            <w:tcW w:w="3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Board</w:t>
            </w:r>
          </w:p>
        </w:tc>
        <w:tc>
          <w:tcPr>
            <w:tcW w:w="140" w:type="dxa"/>
            <w:vAlign w:val="bottom"/>
            <w:tcBorders>
              <w:top w:val="single" w:sz="8" w:color="CFF0FC"/>
            </w:tcBorders>
            <w:shd w:val="clear" w:color="auto" w:fill="CFF0FC"/>
          </w:tcPr>
          <w:p>
            <w:pPr>
              <w:spacing w:after="0"/>
              <w:rPr>
                <w:sz w:val="17"/>
                <w:szCs w:val="17"/>
                <w:color w:val="auto"/>
              </w:rPr>
            </w:pPr>
          </w:p>
        </w:tc>
        <w:tc>
          <w:tcPr>
            <w:tcW w:w="4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Berndt Modig</w:t>
            </w:r>
          </w:p>
        </w:tc>
        <w:tc>
          <w:tcPr>
            <w:tcW w:w="4160" w:type="dxa"/>
            <w:vAlign w:val="bottom"/>
            <w:gridSpan w:val="2"/>
          </w:tcPr>
          <w:p>
            <w:pPr>
              <w:spacing w:after="0"/>
              <w:rPr>
                <w:sz w:val="20"/>
                <w:szCs w:val="20"/>
                <w:color w:val="auto"/>
              </w:rPr>
            </w:pPr>
            <w:r>
              <w:rPr>
                <w:rFonts w:ascii="Arial" w:cs="Arial" w:eastAsia="Arial" w:hAnsi="Arial"/>
                <w:sz w:val="16"/>
                <w:szCs w:val="16"/>
                <w:color w:val="auto"/>
              </w:rPr>
              <w:t>Chief Executive Officer and Executive Director</w:t>
            </w:r>
          </w:p>
        </w:tc>
        <w:tc>
          <w:tcPr>
            <w:tcW w:w="420" w:type="dxa"/>
            <w:vAlign w:val="bottom"/>
          </w:tcPr>
          <w:p>
            <w:pPr>
              <w:jc w:val="right"/>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2015</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2024</w:t>
            </w:r>
          </w:p>
        </w:tc>
      </w:tr>
      <w:tr>
        <w:trPr>
          <w:trHeight w:val="203"/>
        </w:trPr>
        <w:tc>
          <w:tcPr>
            <w:tcW w:w="3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Hans Schikan, PharmD</w:t>
            </w:r>
          </w:p>
        </w:tc>
        <w:tc>
          <w:tcPr>
            <w:tcW w:w="4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Non-Executive Director</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2024</w:t>
            </w: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David Meeker, M.D.</w:t>
            </w:r>
          </w:p>
        </w:tc>
        <w:tc>
          <w:tcPr>
            <w:tcW w:w="4160" w:type="dxa"/>
            <w:vAlign w:val="bottom"/>
            <w:gridSpan w:val="2"/>
          </w:tcPr>
          <w:p>
            <w:pPr>
              <w:spacing w:after="0"/>
              <w:rPr>
                <w:sz w:val="20"/>
                <w:szCs w:val="20"/>
                <w:color w:val="auto"/>
              </w:rPr>
            </w:pPr>
            <w:r>
              <w:rPr>
                <w:rFonts w:ascii="Arial" w:cs="Arial" w:eastAsia="Arial" w:hAnsi="Arial"/>
                <w:sz w:val="16"/>
                <w:szCs w:val="16"/>
                <w:color w:val="auto"/>
              </w:rPr>
              <w:t>Non-Executive Director</w:t>
            </w:r>
          </w:p>
        </w:tc>
        <w:tc>
          <w:tcPr>
            <w:tcW w:w="420" w:type="dxa"/>
            <w:vAlign w:val="bottom"/>
          </w:tcPr>
          <w:p>
            <w:pPr>
              <w:jc w:val="right"/>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2025</w:t>
            </w:r>
          </w:p>
        </w:tc>
      </w:tr>
      <w:tr>
        <w:trPr>
          <w:trHeight w:val="203"/>
        </w:trPr>
        <w:tc>
          <w:tcPr>
            <w:tcW w:w="3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Glassman, M.D.</w:t>
            </w:r>
          </w:p>
        </w:tc>
        <w:tc>
          <w:tcPr>
            <w:tcW w:w="4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Non-Executive Director</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2025</w:t>
            </w: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Viviane Monges</w:t>
            </w:r>
          </w:p>
        </w:tc>
        <w:tc>
          <w:tcPr>
            <w:tcW w:w="4160" w:type="dxa"/>
            <w:vAlign w:val="bottom"/>
            <w:gridSpan w:val="2"/>
          </w:tcPr>
          <w:p>
            <w:pPr>
              <w:spacing w:after="0"/>
              <w:rPr>
                <w:sz w:val="20"/>
                <w:szCs w:val="20"/>
                <w:color w:val="auto"/>
              </w:rPr>
            </w:pPr>
            <w:r>
              <w:rPr>
                <w:rFonts w:ascii="Arial" w:cs="Arial" w:eastAsia="Arial" w:hAnsi="Arial"/>
                <w:sz w:val="16"/>
                <w:szCs w:val="16"/>
                <w:color w:val="auto"/>
              </w:rPr>
              <w:t>Non-Executive Director</w:t>
            </w:r>
          </w:p>
        </w:tc>
        <w:tc>
          <w:tcPr>
            <w:tcW w:w="420" w:type="dxa"/>
            <w:vAlign w:val="bottom"/>
          </w:tcPr>
          <w:p>
            <w:pPr>
              <w:jc w:val="right"/>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2025</w:t>
            </w:r>
          </w:p>
        </w:tc>
      </w:tr>
      <w:tr>
        <w:trPr>
          <w:trHeight w:val="203"/>
        </w:trPr>
        <w:tc>
          <w:tcPr>
            <w:tcW w:w="3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Anne Marie de Jonge Schuermans (*)</w:t>
            </w:r>
          </w:p>
        </w:tc>
        <w:tc>
          <w:tcPr>
            <w:tcW w:w="4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Non-Executive Director</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Elisabeth Björk, M.D. (*)</w:t>
            </w:r>
          </w:p>
        </w:tc>
        <w:tc>
          <w:tcPr>
            <w:tcW w:w="4160" w:type="dxa"/>
            <w:vAlign w:val="bottom"/>
            <w:gridSpan w:val="2"/>
          </w:tcPr>
          <w:p>
            <w:pPr>
              <w:spacing w:after="0"/>
              <w:rPr>
                <w:sz w:val="20"/>
                <w:szCs w:val="20"/>
                <w:color w:val="auto"/>
              </w:rPr>
            </w:pPr>
            <w:r>
              <w:rPr>
                <w:rFonts w:ascii="Arial" w:cs="Arial" w:eastAsia="Arial" w:hAnsi="Arial"/>
                <w:sz w:val="16"/>
                <w:szCs w:val="16"/>
                <w:color w:val="auto"/>
              </w:rPr>
              <w:t>Non-Executive Director</w:t>
            </w: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31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Senior Management</w:t>
            </w:r>
          </w:p>
        </w:tc>
        <w:tc>
          <w:tcPr>
            <w:tcW w:w="4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Berndt Modig</w:t>
            </w:r>
          </w:p>
        </w:tc>
        <w:tc>
          <w:tcPr>
            <w:tcW w:w="4160" w:type="dxa"/>
            <w:vAlign w:val="bottom"/>
            <w:gridSpan w:val="2"/>
          </w:tcPr>
          <w:p>
            <w:pPr>
              <w:spacing w:after="0"/>
              <w:rPr>
                <w:sz w:val="20"/>
                <w:szCs w:val="20"/>
                <w:color w:val="auto"/>
              </w:rPr>
            </w:pPr>
            <w:r>
              <w:rPr>
                <w:rFonts w:ascii="Arial" w:cs="Arial" w:eastAsia="Arial" w:hAnsi="Arial"/>
                <w:sz w:val="16"/>
                <w:szCs w:val="16"/>
                <w:color w:val="auto"/>
              </w:rPr>
              <w:t>Chief Executive Officer and Director</w:t>
            </w:r>
          </w:p>
        </w:tc>
        <w:tc>
          <w:tcPr>
            <w:tcW w:w="420" w:type="dxa"/>
            <w:vAlign w:val="bottom"/>
          </w:tcPr>
          <w:p>
            <w:pPr>
              <w:jc w:val="right"/>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2015</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3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Jochen Knolle, Ph.D,</w:t>
            </w:r>
          </w:p>
        </w:tc>
        <w:tc>
          <w:tcPr>
            <w:tcW w:w="4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Chief Scientific Officer and Chief Operating Officer</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Peng Lu, M.D., Ph.D.</w:t>
            </w:r>
          </w:p>
        </w:tc>
        <w:tc>
          <w:tcPr>
            <w:tcW w:w="4160" w:type="dxa"/>
            <w:vAlign w:val="bottom"/>
            <w:gridSpan w:val="2"/>
          </w:tcPr>
          <w:p>
            <w:pPr>
              <w:spacing w:after="0"/>
              <w:rPr>
                <w:sz w:val="20"/>
                <w:szCs w:val="20"/>
                <w:color w:val="auto"/>
              </w:rPr>
            </w:pPr>
            <w:r>
              <w:rPr>
                <w:rFonts w:ascii="Arial" w:cs="Arial" w:eastAsia="Arial" w:hAnsi="Arial"/>
                <w:sz w:val="16"/>
                <w:szCs w:val="16"/>
                <w:color w:val="auto"/>
              </w:rPr>
              <w:t>Chief Medical Officer</w:t>
            </w:r>
          </w:p>
        </w:tc>
        <w:tc>
          <w:tcPr>
            <w:tcW w:w="420" w:type="dxa"/>
            <w:vAlign w:val="bottom"/>
          </w:tcPr>
          <w:p>
            <w:pPr>
              <w:jc w:val="right"/>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3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Anne Lesage, Ph.D.</w:t>
            </w:r>
          </w:p>
        </w:tc>
        <w:tc>
          <w:tcPr>
            <w:tcW w:w="4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Chief Early Development Officer</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Morgan Conn, Ph.D.</w:t>
            </w:r>
          </w:p>
        </w:tc>
        <w:tc>
          <w:tcPr>
            <w:tcW w:w="4160" w:type="dxa"/>
            <w:vAlign w:val="bottom"/>
            <w:gridSpan w:val="2"/>
          </w:tcPr>
          <w:p>
            <w:pPr>
              <w:spacing w:after="0"/>
              <w:rPr>
                <w:sz w:val="20"/>
                <w:szCs w:val="20"/>
                <w:color w:val="auto"/>
              </w:rPr>
            </w:pPr>
            <w:r>
              <w:rPr>
                <w:rFonts w:ascii="Arial" w:cs="Arial" w:eastAsia="Arial" w:hAnsi="Arial"/>
                <w:sz w:val="16"/>
                <w:szCs w:val="16"/>
                <w:color w:val="auto"/>
              </w:rPr>
              <w:t>Chief Business Officer</w:t>
            </w:r>
          </w:p>
        </w:tc>
        <w:tc>
          <w:tcPr>
            <w:tcW w:w="420" w:type="dxa"/>
            <w:vAlign w:val="bottom"/>
          </w:tcPr>
          <w:p>
            <w:pPr>
              <w:jc w:val="right"/>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2017</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3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Anna Nijdam, MSc RA</w:t>
            </w:r>
          </w:p>
        </w:tc>
        <w:tc>
          <w:tcPr>
            <w:tcW w:w="4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Head of Finance and Principal Accounting Officer</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r>
      <w:tr>
        <w:trPr>
          <w:trHeight w:val="215"/>
        </w:trPr>
        <w:tc>
          <w:tcPr>
            <w:tcW w:w="3160" w:type="dxa"/>
            <w:vAlign w:val="bottom"/>
            <w:gridSpan w:val="2"/>
          </w:tcPr>
          <w:p>
            <w:pPr>
              <w:spacing w:after="0"/>
              <w:rPr>
                <w:sz w:val="20"/>
                <w:szCs w:val="20"/>
                <w:color w:val="auto"/>
              </w:rPr>
            </w:pPr>
            <w:r>
              <w:rPr>
                <w:rFonts w:ascii="Arial" w:cs="Arial" w:eastAsia="Arial" w:hAnsi="Arial"/>
                <w:sz w:val="16"/>
                <w:szCs w:val="16"/>
                <w:color w:val="auto"/>
              </w:rPr>
              <w:t>Wim Souverijns, Ph.D</w:t>
            </w:r>
          </w:p>
        </w:tc>
        <w:tc>
          <w:tcPr>
            <w:tcW w:w="4160" w:type="dxa"/>
            <w:vAlign w:val="bottom"/>
            <w:gridSpan w:val="2"/>
          </w:tcPr>
          <w:p>
            <w:pPr>
              <w:spacing w:after="0"/>
              <w:rPr>
                <w:sz w:val="20"/>
                <w:szCs w:val="20"/>
                <w:color w:val="auto"/>
              </w:rPr>
            </w:pPr>
            <w:r>
              <w:rPr>
                <w:rFonts w:ascii="Arial" w:cs="Arial" w:eastAsia="Arial" w:hAnsi="Arial"/>
                <w:sz w:val="16"/>
                <w:szCs w:val="16"/>
                <w:color w:val="auto"/>
              </w:rPr>
              <w:t>Chief Community Engagement and Commercial Officer</w:t>
            </w:r>
          </w:p>
        </w:tc>
        <w:tc>
          <w:tcPr>
            <w:tcW w:w="420" w:type="dxa"/>
            <w:vAlign w:val="bottom"/>
          </w:tcPr>
          <w:p>
            <w:pPr>
              <w:jc w:val="right"/>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0142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Interim director (appointment as director expected at our 2022 general meeting)</w:t>
      </w:r>
    </w:p>
    <w:p>
      <w:pPr>
        <w:spacing w:after="0" w:line="181" w:lineRule="exact"/>
        <w:rPr>
          <w:sz w:val="20"/>
          <w:szCs w:val="20"/>
          <w:color w:val="auto"/>
        </w:rPr>
      </w:pPr>
    </w:p>
    <w:p>
      <w:pPr>
        <w:jc w:val="both"/>
        <w:ind w:right="40" w:firstLine="445"/>
        <w:spacing w:after="0" w:line="286" w:lineRule="auto"/>
        <w:rPr>
          <w:sz w:val="20"/>
          <w:szCs w:val="20"/>
          <w:color w:val="auto"/>
        </w:rPr>
      </w:pPr>
      <w:r>
        <w:rPr>
          <w:rFonts w:ascii="Arial" w:cs="Arial" w:eastAsia="Arial" w:hAnsi="Arial"/>
          <w:sz w:val="16"/>
          <w:szCs w:val="16"/>
          <w:color w:val="auto"/>
        </w:rPr>
        <w:t>Unless otherwise indicated, the current business address for members of our Board and Senior Management is Pharvaris N.V., J.H. Oortweg 21, 2333 CH Leiden, The Netherlands.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brief summary of the business experience of our Board and Senior Management.</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Berndt Modig</w:t>
      </w:r>
    </w:p>
    <w:p>
      <w:pPr>
        <w:spacing w:after="0" w:line="179" w:lineRule="exact"/>
        <w:rPr>
          <w:sz w:val="20"/>
          <w:szCs w:val="20"/>
          <w:color w:val="auto"/>
        </w:rPr>
      </w:pPr>
    </w:p>
    <w:p>
      <w:pPr>
        <w:ind w:right="20" w:firstLine="445"/>
        <w:spacing w:after="0" w:line="259" w:lineRule="auto"/>
        <w:rPr>
          <w:sz w:val="20"/>
          <w:szCs w:val="20"/>
          <w:color w:val="auto"/>
        </w:rPr>
      </w:pPr>
      <w:r>
        <w:rPr>
          <w:rFonts w:ascii="Arial" w:cs="Arial" w:eastAsia="Arial" w:hAnsi="Arial"/>
          <w:sz w:val="16"/>
          <w:szCs w:val="16"/>
          <w:color w:val="auto"/>
        </w:rPr>
        <w:t>Mr. Modig co-founded Pharvaris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51" w:lineRule="exact"/>
        <w:rPr>
          <w:sz w:val="20"/>
          <w:szCs w:val="20"/>
          <w:color w:val="auto"/>
        </w:rPr>
      </w:pPr>
    </w:p>
    <w:p>
      <w:pPr>
        <w:ind w:right="40" w:firstLine="445"/>
        <w:spacing w:after="0" w:line="256" w:lineRule="auto"/>
        <w:rPr>
          <w:sz w:val="20"/>
          <w:szCs w:val="20"/>
          <w:color w:val="auto"/>
        </w:rPr>
      </w:pPr>
      <w:r>
        <w:rPr>
          <w:rFonts w:ascii="Arial" w:cs="Arial" w:eastAsia="Arial" w:hAnsi="Arial"/>
          <w:sz w:val="16"/>
          <w:szCs w:val="16"/>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Shire plc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w:t>
      </w:r>
    </w:p>
    <w:p>
      <w:pPr>
        <w:spacing w:after="0" w:line="139" w:lineRule="exact"/>
        <w:rPr>
          <w:sz w:val="20"/>
          <w:szCs w:val="20"/>
          <w:color w:val="auto"/>
        </w:rPr>
      </w:pPr>
    </w:p>
    <w:p>
      <w:pPr>
        <w:ind w:right="240" w:firstLine="445"/>
        <w:spacing w:after="0" w:line="259" w:lineRule="auto"/>
        <w:rPr>
          <w:sz w:val="20"/>
          <w:szCs w:val="20"/>
          <w:color w:val="auto"/>
        </w:rPr>
      </w:pPr>
      <w:r>
        <w:rPr>
          <w:rFonts w:ascii="Arial" w:cs="Arial" w:eastAsia="Arial" w:hAnsi="Arial"/>
          <w:sz w:val="16"/>
          <w:szCs w:val="16"/>
          <w:color w:val="auto"/>
        </w:rPr>
        <w:t>Mr. Modig also serves as a director, chair of the compensation committee and member of the audit committee of Sio Gene Therapies Inc., and as a member of the supervisory board and chair of the audit committee of Centogene N.V., both publicly held pharmaceutical companies. Mr. Modig received a bachelor’s degree in business administration, economics and German from the University of Lund, Sweden, and an MBA from INSEAD, Fontainebleau, France. Mr. Modig is a certified public accountant (inactive).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Hans Schikan, PharmD</w:t>
      </w:r>
    </w:p>
    <w:p>
      <w:pPr>
        <w:spacing w:after="0" w:line="192" w:lineRule="exact"/>
        <w:rPr>
          <w:sz w:val="20"/>
          <w:szCs w:val="20"/>
          <w:color w:val="auto"/>
        </w:rPr>
      </w:pPr>
    </w:p>
    <w:p>
      <w:pPr>
        <w:ind w:right="420" w:firstLine="445"/>
        <w:spacing w:after="0" w:line="286" w:lineRule="auto"/>
        <w:rPr>
          <w:sz w:val="20"/>
          <w:szCs w:val="20"/>
          <w:color w:val="auto"/>
        </w:rPr>
      </w:pPr>
      <w:r>
        <w:rPr>
          <w:rFonts w:ascii="Arial" w:cs="Arial" w:eastAsia="Arial" w:hAnsi="Arial"/>
          <w:sz w:val="16"/>
          <w:szCs w:val="16"/>
          <w:color w:val="auto"/>
        </w:rPr>
        <w:t>Mr. Schikan co-founded Pharvaris and has served as a director since 2019. He is the former CEO of Prosensa Holding N.V., a biopharmaceutical company focusing on novel RNA modulating treatments for rare diseases including Duchenne muscular dystrophy.</w:t>
      </w:r>
    </w:p>
    <w:p>
      <w:pPr>
        <w:spacing w:after="0" w:line="115" w:lineRule="exact"/>
        <w:rPr>
          <w:sz w:val="20"/>
          <w:szCs w:val="20"/>
          <w:color w:val="auto"/>
        </w:rPr>
      </w:pPr>
    </w:p>
    <w:p>
      <w:pPr>
        <w:jc w:val="both"/>
        <w:ind w:right="80" w:firstLine="445"/>
        <w:spacing w:after="0" w:line="286" w:lineRule="auto"/>
        <w:rPr>
          <w:sz w:val="20"/>
          <w:szCs w:val="20"/>
          <w:color w:val="auto"/>
        </w:rPr>
      </w:pPr>
      <w:r>
        <w:rPr>
          <w:rFonts w:ascii="Arial" w:cs="Arial" w:eastAsia="Arial" w:hAnsi="Arial"/>
          <w:sz w:val="16"/>
          <w:szCs w:val="16"/>
          <w:color w:val="auto"/>
        </w:rPr>
        <w:t>Mr. Schikan was previously at Genzyme, most recently serving as VP for Global Marketing and Strategic Development of Genzyme’s product portfolio for rare genetic diseases. He is currently Chairman of the Board of Microbiotica, InteRNA and Complix, and board member of Vicore Pharma and VectivBio.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ind w:right="280" w:firstLine="445"/>
        <w:spacing w:after="0" w:line="266" w:lineRule="auto"/>
        <w:rPr>
          <w:sz w:val="20"/>
          <w:szCs w:val="20"/>
          <w:color w:val="auto"/>
        </w:rPr>
      </w:pPr>
      <w:r>
        <w:rPr>
          <w:rFonts w:ascii="Arial" w:cs="Arial" w:eastAsia="Arial" w:hAnsi="Arial"/>
          <w:sz w:val="16"/>
          <w:szCs w:val="16"/>
          <w:color w:val="auto"/>
        </w:rPr>
        <w:t>Mr. Schikan is also a member of the Top Team of the Dutch Top Sector Life Sciences &amp; Health. Previously, he served on the boards of Sobi, Hansa Biopharma, Asceneuron, Wilson Therapeutics (acquired by Alexion) and Therachon (acquired by Pfizer). He holds a Pharm.D. degree from Utrecht University.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David Meeker, M.D.</w:t>
      </w:r>
    </w:p>
    <w:p>
      <w:pPr>
        <w:spacing w:after="0" w:line="179" w:lineRule="exact"/>
        <w:rPr>
          <w:sz w:val="20"/>
          <w:szCs w:val="20"/>
          <w:color w:val="auto"/>
        </w:rPr>
      </w:pPr>
    </w:p>
    <w:p>
      <w:pPr>
        <w:ind w:right="20" w:firstLine="445"/>
        <w:spacing w:after="0" w:line="253" w:lineRule="auto"/>
        <w:rPr>
          <w:sz w:val="20"/>
          <w:szCs w:val="20"/>
          <w:color w:val="auto"/>
        </w:rPr>
      </w:pPr>
      <w:r>
        <w:rPr>
          <w:rFonts w:ascii="Arial" w:cs="Arial" w:eastAsia="Arial" w:hAnsi="Arial"/>
          <w:sz w:val="16"/>
          <w:szCs w:val="16"/>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He also served as a Director of MyoKardia, Inc. until its acquisition by Bristol Myers Squibb.</w:t>
      </w:r>
    </w:p>
    <w:p>
      <w:pPr>
        <w:spacing w:after="0" w:line="141" w:lineRule="exact"/>
        <w:rPr>
          <w:sz w:val="20"/>
          <w:szCs w:val="20"/>
          <w:color w:val="auto"/>
        </w:rPr>
      </w:pPr>
    </w:p>
    <w:p>
      <w:pPr>
        <w:ind w:right="300" w:firstLine="445"/>
        <w:spacing w:after="0" w:line="286" w:lineRule="auto"/>
        <w:rPr>
          <w:sz w:val="20"/>
          <w:szCs w:val="20"/>
          <w:color w:val="auto"/>
        </w:rPr>
      </w:pPr>
      <w:r>
        <w:rPr>
          <w:rFonts w:ascii="Arial" w:cs="Arial" w:eastAsia="Arial" w:hAnsi="Arial"/>
          <w:sz w:val="16"/>
          <w:szCs w:val="16"/>
          <w:color w:val="auto"/>
        </w:rPr>
        <w:t>Dr. Meeker holds a medical degree from the University of Vermont Medical School and completed the Advanced Management Program at Harvard Business School in 2000.</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Robert Glassman, M.D.</w:t>
      </w:r>
    </w:p>
    <w:p>
      <w:pPr>
        <w:spacing w:after="0" w:line="179" w:lineRule="exact"/>
        <w:rPr>
          <w:sz w:val="20"/>
          <w:szCs w:val="20"/>
          <w:color w:val="auto"/>
        </w:rPr>
      </w:pPr>
    </w:p>
    <w:p>
      <w:pPr>
        <w:ind w:right="60" w:firstLine="445"/>
        <w:spacing w:after="0" w:line="254" w:lineRule="auto"/>
        <w:rPr>
          <w:sz w:val="20"/>
          <w:szCs w:val="20"/>
          <w:color w:val="auto"/>
        </w:rPr>
      </w:pPr>
      <w:r>
        <w:rPr>
          <w:rFonts w:ascii="Arial" w:cs="Arial" w:eastAsia="Arial" w:hAnsi="Arial"/>
          <w:sz w:val="16"/>
          <w:szCs w:val="16"/>
          <w:color w:val="auto"/>
        </w:rPr>
        <w:t>Dr. Glassman has been a director since January 2021. Dr. Glassman is currently the Public Equity Venture Partner at OrbiMed Advisors. Previously, Dr. Glassman had been working as a senior investment banker for 17 years, most recently serving as Vice Chairman at Credit Suisse Securities since 2015. Prior to joining Credit Suisse Securities, Dr. Glassman served as a Managing Director at Bank of America Merrill Lynch between 2010-2015. From 2009-2010, Dr. Glassman served as a private equity partner at OrbiMed Advisors. Earlier in his career, Dr. Glassman was with Merrill Lynch Global Private Equity where he oversaw a very successful healthcare portfolio and at McKinsey &amp; Co. where he consulted for a wide range of clients within their Pharmaceutical and Medical Products practice.</w:t>
      </w:r>
    </w:p>
    <w:p>
      <w:pPr>
        <w:spacing w:after="0" w:line="141" w:lineRule="exact"/>
        <w:rPr>
          <w:sz w:val="20"/>
          <w:szCs w:val="20"/>
          <w:color w:val="auto"/>
        </w:rPr>
      </w:pPr>
    </w:p>
    <w:p>
      <w:pPr>
        <w:ind w:right="20" w:firstLine="445"/>
        <w:spacing w:after="0" w:line="254" w:lineRule="auto"/>
        <w:rPr>
          <w:sz w:val="20"/>
          <w:szCs w:val="20"/>
          <w:color w:val="auto"/>
        </w:rPr>
      </w:pPr>
      <w:r>
        <w:rPr>
          <w:rFonts w:ascii="Arial" w:cs="Arial" w:eastAsia="Arial" w:hAnsi="Arial"/>
          <w:sz w:val="16"/>
          <w:szCs w:val="16"/>
          <w:color w:val="auto"/>
        </w:rPr>
        <w:t>Dr. Glassman was a board-certified hematologist-oncologist who remains on the faculty of Weil Cornell as a Clinical Assistant Professor of Medicine. He has co-authored numerous articles in peer-reviewed journals and spoken widely in industry and academic forums on clinical development, reimbursement, and data interpretation. Dr. Glassman received his AB from Harvard College magna cum laude and an MD from Harvard Medical School. He completed his residency in internal medicine at the Hospital of the University of Pennsylvania, and his fellowship in hematology and oncology at Weill Cornell. He also spent several years as a basic science investigator at Rockefeller University in the laboratory of Hidesaburo Hanafusa, where he received Howard Hughes Medical Institute and American Cancer Society awards.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Elisabeth Björk, M.D.</w:t>
      </w:r>
    </w:p>
    <w:p>
      <w:pPr>
        <w:spacing w:after="0" w:line="153" w:lineRule="exact"/>
        <w:rPr>
          <w:sz w:val="20"/>
          <w:szCs w:val="20"/>
          <w:color w:val="auto"/>
        </w:rPr>
      </w:pPr>
    </w:p>
    <w:p>
      <w:pPr>
        <w:ind w:firstLine="445"/>
        <w:spacing w:after="0" w:line="264" w:lineRule="auto"/>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 has been a director since December 2021. Dr. Bj</w:t>
      </w:r>
      <w:r>
        <w:rPr>
          <w:rFonts w:ascii="Arial" w:cs="Arial" w:eastAsia="Arial" w:hAnsi="Arial"/>
          <w:sz w:val="16"/>
          <w:szCs w:val="16"/>
          <w:color w:val="auto"/>
        </w:rPr>
        <w:t>ӧ</w:t>
      </w:r>
      <w:r>
        <w:rPr>
          <w:rFonts w:ascii="Arial" w:cs="Arial" w:eastAsia="Arial" w:hAnsi="Arial"/>
          <w:sz w:val="16"/>
          <w:szCs w:val="16"/>
          <w:color w:val="auto"/>
        </w:rPr>
        <w:t>rk is currently the Senior Vice President, Head of Late-stage Development, Cardiovascular, Renal and Metabolism (CVRM), BioPharmaceuticals R&amp;D at AstraZeneca leading the global development of medicines within this area. Throughout her career at AstraZeneca (since 2002), she has gained broad drug development experience covering clinical development phase I-IV, large outcomes programs, major global filings and health authority interactions, and commercial strategy/implementation. Dr Bj</w:t>
      </w:r>
      <w:r>
        <w:rPr>
          <w:rFonts w:ascii="Arial" w:cs="Arial" w:eastAsia="Arial" w:hAnsi="Arial"/>
          <w:sz w:val="16"/>
          <w:szCs w:val="16"/>
          <w:color w:val="auto"/>
        </w:rPr>
        <w:t>ӧ</w:t>
      </w:r>
      <w:r>
        <w:rPr>
          <w:rFonts w:ascii="Arial" w:cs="Arial" w:eastAsia="Arial" w:hAnsi="Arial"/>
          <w:sz w:val="16"/>
          <w:szCs w:val="16"/>
          <w:color w:val="auto"/>
        </w:rPr>
        <w:t>rk is an endocrinologist by training and an associate professor of medicine at Uppsala University, Sweden. She is also a board member of Rocket Pharmaceuticals, Chalmers University of Technology, Chalmers Ventures AB, Bj</w:t>
      </w:r>
      <w:r>
        <w:rPr>
          <w:rFonts w:ascii="Arial" w:cs="Arial" w:eastAsia="Arial" w:hAnsi="Arial"/>
          <w:sz w:val="16"/>
          <w:szCs w:val="16"/>
          <w:color w:val="auto"/>
        </w:rPr>
        <w:t>ӧ</w:t>
      </w:r>
      <w:r>
        <w:rPr>
          <w:rFonts w:ascii="Arial" w:cs="Arial" w:eastAsia="Arial" w:hAnsi="Arial"/>
          <w:sz w:val="16"/>
          <w:szCs w:val="16"/>
          <w:color w:val="auto"/>
        </w:rPr>
        <w:t>rks Matematik o Mera AB, and rfidcompare europe AB.</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Viviane Monges</w:t>
      </w:r>
    </w:p>
    <w:p>
      <w:pPr>
        <w:spacing w:after="0" w:line="192" w:lineRule="exact"/>
        <w:rPr>
          <w:sz w:val="20"/>
          <w:szCs w:val="20"/>
          <w:color w:val="auto"/>
        </w:rPr>
      </w:pPr>
    </w:p>
    <w:p>
      <w:pPr>
        <w:ind w:right="20" w:firstLine="445"/>
        <w:spacing w:after="0" w:line="256" w:lineRule="auto"/>
        <w:rPr>
          <w:sz w:val="20"/>
          <w:szCs w:val="20"/>
          <w:color w:val="auto"/>
        </w:rPr>
      </w:pPr>
      <w:r>
        <w:rPr>
          <w:rFonts w:ascii="Arial" w:cs="Arial" w:eastAsia="Arial" w:hAnsi="Arial"/>
          <w:sz w:val="16"/>
          <w:szCs w:val="16"/>
          <w:color w:val="auto"/>
        </w:rPr>
        <w:t>Ms. Monges has been a director since July 2021 and serves as the company’s audit chair. She currently serves as a non-executive director at multiple companies, such as DBV Technologies, ADC Therapeutics, UCB, and Novo Holdings. Prior to these roles, Viviane was the VP of Finance of the Nestlé Business Excellence Division. Prof to that she held several Finance leadership roles at Novartis’s OTC Division where she was Global CFO. Prior to her time at Novartis, Ms. Monges served as CFO of European Pharmaceuticals at Pfizer and as CFO of the Global Pharmaceutical Business unit of Pfizer. She holds an undergraduate degree in business administration as well as an MBA with a major in finance from Ecole Supérieure de Commerce de Paris (ESCP).</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Anne Marie de Jonge Schuermans</w:t>
      </w:r>
    </w:p>
    <w:p>
      <w:pPr>
        <w:spacing w:after="0" w:line="179" w:lineRule="exact"/>
        <w:rPr>
          <w:sz w:val="20"/>
          <w:szCs w:val="20"/>
          <w:color w:val="auto"/>
        </w:rPr>
      </w:pPr>
    </w:p>
    <w:p>
      <w:pPr>
        <w:ind w:right="320" w:firstLine="445"/>
        <w:spacing w:after="0" w:line="266" w:lineRule="auto"/>
        <w:rPr>
          <w:sz w:val="20"/>
          <w:szCs w:val="20"/>
          <w:color w:val="auto"/>
        </w:rPr>
      </w:pPr>
      <w:r>
        <w:rPr>
          <w:rFonts w:ascii="Arial" w:cs="Arial" w:eastAsia="Arial" w:hAnsi="Arial"/>
          <w:sz w:val="16"/>
          <w:szCs w:val="16"/>
          <w:color w:val="auto"/>
        </w:rPr>
        <w:t>Dr. de Jonge Schuermans has been a director since December 2021. Dr. de Jonge Schuermans is currently an Executive Committee member and Senior Vice President at Swedish Orphan Biovitrum (Sobi) where she is responsible for all Technical Operations encompassing CMC Development, Manufacturing, Sourcing, Supply Chain and Quality for a broad range of commercial and development products in rare diseases.</w:t>
      </w:r>
    </w:p>
    <w:p>
      <w:pPr>
        <w:spacing w:after="0" w:line="144" w:lineRule="exact"/>
        <w:rPr>
          <w:sz w:val="20"/>
          <w:szCs w:val="20"/>
          <w:color w:val="auto"/>
        </w:rPr>
      </w:pPr>
    </w:p>
    <w:p>
      <w:pPr>
        <w:ind w:right="260" w:firstLine="445"/>
        <w:spacing w:after="0" w:line="266" w:lineRule="auto"/>
        <w:rPr>
          <w:sz w:val="20"/>
          <w:szCs w:val="20"/>
          <w:color w:val="auto"/>
        </w:rPr>
      </w:pPr>
      <w:r>
        <w:rPr>
          <w:rFonts w:ascii="Arial" w:cs="Arial" w:eastAsia="Arial" w:hAnsi="Arial"/>
          <w:sz w:val="16"/>
          <w:szCs w:val="16"/>
          <w:color w:val="auto"/>
        </w:rPr>
        <w:t>Prior to joining Sobi, Dr. de Jonge Schuermans held roles as VP Global Manufacturing Operations and VP Global Supply Chain Operations &amp; Partnerships at Biogen. Before that she spent almost 15 years in Novartis in various technical roles. Throughout her career she has built up experience in Biotech, Pharma, Medical Device and Consumer Health for a wide range of technologies in multiple territories and regulations.</w:t>
      </w:r>
    </w:p>
    <w:p>
      <w:pPr>
        <w:spacing w:after="0" w:line="131" w:lineRule="exact"/>
        <w:rPr>
          <w:sz w:val="20"/>
          <w:szCs w:val="20"/>
          <w:color w:val="auto"/>
        </w:rPr>
      </w:pPr>
    </w:p>
    <w:p>
      <w:pPr>
        <w:ind w:right="200" w:firstLine="445"/>
        <w:spacing w:after="0" w:line="286" w:lineRule="auto"/>
        <w:rPr>
          <w:sz w:val="20"/>
          <w:szCs w:val="20"/>
          <w:color w:val="auto"/>
        </w:rPr>
      </w:pPr>
      <w:r>
        <w:rPr>
          <w:rFonts w:ascii="Arial" w:cs="Arial" w:eastAsia="Arial" w:hAnsi="Arial"/>
          <w:sz w:val="16"/>
          <w:szCs w:val="16"/>
          <w:color w:val="auto"/>
        </w:rPr>
        <w:t>Dr. de Jonge Schuermans obtained her PhD from the Swiss Federal Institute of Technology Zurich (ETHZ) and holds M.Sc. degrees in Agriculture &amp; Natural Environment from Wageningen Agricultural University in the Netherlands, and Ecole Polytechnique Fédérale Lausanne (EPFL) in Switzerland.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Senior management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Jochen Knolle, Ph.D.</w:t>
      </w:r>
    </w:p>
    <w:p>
      <w:pPr>
        <w:spacing w:after="0" w:line="179" w:lineRule="exact"/>
        <w:rPr>
          <w:sz w:val="20"/>
          <w:szCs w:val="20"/>
          <w:color w:val="auto"/>
        </w:rPr>
      </w:pPr>
    </w:p>
    <w:p>
      <w:pPr>
        <w:jc w:val="both"/>
        <w:ind w:right="340" w:firstLine="445"/>
        <w:spacing w:after="0" w:line="266" w:lineRule="auto"/>
        <w:rPr>
          <w:sz w:val="20"/>
          <w:szCs w:val="20"/>
          <w:color w:val="auto"/>
        </w:rPr>
      </w:pPr>
      <w:r>
        <w:rPr>
          <w:rFonts w:ascii="Arial" w:cs="Arial" w:eastAsia="Arial" w:hAnsi="Arial"/>
          <w:sz w:val="16"/>
          <w:szCs w:val="16"/>
          <w:color w:val="auto"/>
        </w:rPr>
        <w:t>Dr. Knolle co-founded Pharvaris and has served as Chief Scientific Officer and Chief Operating Officer since its inception. Dr. Knolle’s experience spans 40 years in the pharmaceutical industry. Dr. Knolle is named as an author of many publications and as an inventor for many patents, including the approved therapeutics Quinapril, a marketed ACE inhibitor, and icatibant.</w:t>
      </w:r>
    </w:p>
    <w:p>
      <w:pPr>
        <w:spacing w:after="0" w:line="131" w:lineRule="exact"/>
        <w:rPr>
          <w:sz w:val="20"/>
          <w:szCs w:val="20"/>
          <w:color w:val="auto"/>
        </w:rPr>
      </w:pPr>
    </w:p>
    <w:p>
      <w:pPr>
        <w:ind w:firstLine="445"/>
        <w:spacing w:after="0" w:line="259" w:lineRule="auto"/>
        <w:rPr>
          <w:sz w:val="20"/>
          <w:szCs w:val="20"/>
          <w:color w:val="auto"/>
        </w:rPr>
      </w:pPr>
      <w:r>
        <w:rPr>
          <w:rFonts w:ascii="Arial" w:cs="Arial" w:eastAsia="Arial" w:hAnsi="Arial"/>
          <w:sz w:val="16"/>
          <w:szCs w:val="16"/>
          <w:color w:val="auto"/>
        </w:rPr>
        <w:t>From 1978 to 1998, Dr. Knolle worked in several functions in the central pharmaceutical research unit of Hoechst AG and Hoechst-Marion-Roussel (HMR). In 1998, Dr. Knolle left HMR to join Axys Pharmaceuticals (now Celera) in San Francisco, where he served as VP for Medicinal Chemistry and structural biology. From 2001 to 2008, Dr. Knolle was the Chief Scientific Officer and Head of R&amp;D in the management board of Jerini AG in Berlin, Germany. In 2008, Dr. Knolle left the management of Jerini AG and established JCK Consult.</w:t>
      </w:r>
    </w:p>
    <w:p>
      <w:pPr>
        <w:spacing w:after="0" w:line="151" w:lineRule="exact"/>
        <w:rPr>
          <w:sz w:val="20"/>
          <w:szCs w:val="20"/>
          <w:color w:val="auto"/>
        </w:rPr>
      </w:pPr>
    </w:p>
    <w:p>
      <w:pPr>
        <w:ind w:right="220" w:firstLine="445"/>
        <w:spacing w:after="0" w:line="259" w:lineRule="auto"/>
        <w:rPr>
          <w:sz w:val="20"/>
          <w:szCs w:val="20"/>
          <w:color w:val="auto"/>
        </w:rPr>
      </w:pPr>
      <w:r>
        <w:rPr>
          <w:rFonts w:ascii="Arial" w:cs="Arial" w:eastAsia="Arial" w:hAnsi="Arial"/>
          <w:sz w:val="16"/>
          <w:szCs w:val="16"/>
          <w:color w:val="auto"/>
        </w:rPr>
        <w:t>In addition to his consultancy activities, Dr. Knolle acts as a board member for Thermosome. He co-founded Kosa Pharma and 3B Pharmaceuticals and has been a board member for the Charité Research Organisation GmbH and a Senior Advisor for Kurma Partners. Dr. Knolle studied chemistry in Göttingen and Münster. After a post-doc in the laboratory of the Nobel Laureate E.J. Corey at Harvard University, he joined the pharmaceutical unit of Hoechst AG in 1978.</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Peng Lu, M.D., Ph.D</w:t>
      </w:r>
      <w:r>
        <w:rPr>
          <w:rFonts w:ascii="Arial" w:cs="Arial" w:eastAsia="Arial" w:hAnsi="Arial"/>
          <w:sz w:val="16"/>
          <w:szCs w:val="16"/>
          <w:color w:val="auto"/>
        </w:rPr>
        <w:t>.</w:t>
      </w:r>
    </w:p>
    <w:p>
      <w:pPr>
        <w:spacing w:after="0" w:line="181" w:lineRule="exact"/>
        <w:rPr>
          <w:sz w:val="20"/>
          <w:szCs w:val="20"/>
          <w:color w:val="auto"/>
        </w:rPr>
      </w:pPr>
    </w:p>
    <w:p>
      <w:pPr>
        <w:ind w:right="540" w:firstLine="445"/>
        <w:spacing w:after="0" w:line="286" w:lineRule="auto"/>
        <w:rPr>
          <w:sz w:val="20"/>
          <w:szCs w:val="20"/>
          <w:color w:val="auto"/>
        </w:rPr>
      </w:pPr>
      <w:r>
        <w:rPr>
          <w:rFonts w:ascii="Arial" w:cs="Arial" w:eastAsia="Arial" w:hAnsi="Arial"/>
          <w:sz w:val="16"/>
          <w:szCs w:val="16"/>
          <w:color w:val="auto"/>
        </w:rPr>
        <w:t>Dr. Lu joined the Company in 2020, bringing 15 years of protein therapeutics and small molecule drug development experience including within genetic rare diseases.</w:t>
      </w:r>
    </w:p>
    <w:p>
      <w:pPr>
        <w:spacing w:after="0" w:line="129" w:lineRule="exact"/>
        <w:rPr>
          <w:sz w:val="20"/>
          <w:szCs w:val="20"/>
          <w:color w:val="auto"/>
        </w:rPr>
      </w:pPr>
    </w:p>
    <w:p>
      <w:pPr>
        <w:ind w:right="160" w:firstLine="445"/>
        <w:spacing w:after="0" w:line="259" w:lineRule="auto"/>
        <w:rPr>
          <w:sz w:val="20"/>
          <w:szCs w:val="20"/>
          <w:color w:val="auto"/>
        </w:rPr>
      </w:pPr>
      <w:r>
        <w:rPr>
          <w:rFonts w:ascii="Arial" w:cs="Arial" w:eastAsia="Arial" w:hAnsi="Arial"/>
          <w:sz w:val="16"/>
          <w:szCs w:val="16"/>
          <w:color w:val="auto"/>
        </w:rPr>
        <w:t>Previously, Dr. Lu served as the Vice President, Global Program Lead for rare diseases at Takeda (via acquisition of Shire). During Dr. Lu’s time at Takeda/Shire, she was instrumental in leading project teams that successfully completed two Phase 3 pivotal HAE studies and achieved global approval of TAKHZYRO (lanadelumab-flyo) for the prevention of HAE attacks in the U.S., EU, and the rest of the world. In addition, she has also led the life-cycle management of TAKHZYRO beyond HAE, looking to broaden indications in other plasma-kallikrein-mediated diseases.</w:t>
      </w:r>
    </w:p>
    <w:p>
      <w:pPr>
        <w:spacing w:after="0" w:line="137" w:lineRule="exact"/>
        <w:rPr>
          <w:sz w:val="20"/>
          <w:szCs w:val="20"/>
          <w:color w:val="auto"/>
        </w:rPr>
      </w:pPr>
    </w:p>
    <w:p>
      <w:pPr>
        <w:ind w:right="20" w:firstLine="445"/>
        <w:spacing w:after="0" w:line="259" w:lineRule="auto"/>
        <w:rPr>
          <w:sz w:val="20"/>
          <w:szCs w:val="20"/>
          <w:color w:val="auto"/>
        </w:rPr>
      </w:pPr>
      <w:r>
        <w:rPr>
          <w:rFonts w:ascii="Arial" w:cs="Arial" w:eastAsia="Arial" w:hAnsi="Arial"/>
          <w:sz w:val="16"/>
          <w:szCs w:val="16"/>
          <w:color w:val="auto"/>
        </w:rPr>
        <w:t>Prior to Takeda/Shire, Dr. Lu held roles in clinical development, translational research and clinical pharmacology with increasing levels of responsibility at AbbVie and Roche/Genentech, where she was responsible for the design and implementation of early and late development clinical strategy across a broad range of indications including autoimmune, respiratory, and genetic diseases leading to multiple approvals. Dr. Lu received her medical degree from Beijing Medical University and Ph.D. from The University of Texas, Austin, in systems biology.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Anne Lesage, Ph.D.</w:t>
      </w:r>
    </w:p>
    <w:p>
      <w:pPr>
        <w:spacing w:after="0" w:line="395" w:lineRule="exact"/>
        <w:rPr>
          <w:sz w:val="20"/>
          <w:szCs w:val="20"/>
          <w:color w:val="auto"/>
        </w:rPr>
      </w:pPr>
    </w:p>
    <w:p>
      <w:pPr>
        <w:ind w:right="340" w:firstLine="445"/>
        <w:spacing w:after="0" w:line="286" w:lineRule="auto"/>
        <w:rPr>
          <w:sz w:val="20"/>
          <w:szCs w:val="20"/>
          <w:color w:val="auto"/>
        </w:rPr>
      </w:pPr>
      <w:r>
        <w:rPr>
          <w:rFonts w:ascii="Arial" w:cs="Arial" w:eastAsia="Arial" w:hAnsi="Arial"/>
          <w:sz w:val="16"/>
          <w:szCs w:val="16"/>
          <w:color w:val="auto"/>
        </w:rPr>
        <w:t>Dr. Lesage co-founded Pharvaris and has led the translational science, preclinical and nonclinical development since its inception. Dr. Lesage has over 25 years’ experience in drug discovery, preclinical and early development and scientific and strategic project management.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1992 until 2010, Dr. Lesage held different leadership positions with increasing responsibility in the neuroscience drug discovery unit at Johnson</w:t>
      </w:r>
    </w:p>
    <w:p>
      <w:pPr>
        <w:spacing w:after="0" w:line="21" w:lineRule="exact"/>
        <w:rPr>
          <w:sz w:val="20"/>
          <w:szCs w:val="20"/>
          <w:color w:val="auto"/>
        </w:rPr>
      </w:pPr>
    </w:p>
    <w:p>
      <w:pPr>
        <w:ind w:left="160" w:hanging="152"/>
        <w:spacing w:after="0"/>
        <w:tabs>
          <w:tab w:leader="none" w:pos="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Johnson. Dr. Lesage started as project team lead, and moved to head of exploratory research and biology head of psychiatry. Dr. Lesage is an inventor on</w:t>
      </w:r>
    </w:p>
    <w:p>
      <w:pPr>
        <w:spacing w:after="0" w:line="5" w:lineRule="exact"/>
        <w:rPr>
          <w:rFonts w:ascii="Arial" w:cs="Arial" w:eastAsia="Arial" w:hAnsi="Arial"/>
          <w:sz w:val="16"/>
          <w:szCs w:val="16"/>
          <w:color w:val="auto"/>
        </w:rPr>
      </w:pPr>
    </w:p>
    <w:p>
      <w:pPr>
        <w:ind w:right="540"/>
        <w:spacing w:after="0" w:line="265" w:lineRule="auto"/>
        <w:rPr>
          <w:rFonts w:ascii="Arial" w:cs="Arial" w:eastAsia="Arial" w:hAnsi="Arial"/>
          <w:sz w:val="16"/>
          <w:szCs w:val="16"/>
          <w:color w:val="auto"/>
        </w:rPr>
      </w:pPr>
      <w:r>
        <w:rPr>
          <w:rFonts w:ascii="Arial" w:cs="Arial" w:eastAsia="Arial" w:hAnsi="Arial"/>
          <w:sz w:val="16"/>
          <w:szCs w:val="16"/>
          <w:color w:val="auto"/>
        </w:rPr>
        <w:t>9 patents and an author of 45 publications. Dr. Lesage founded GrayMatters Consulting in 2010 and advised early and late-stage biotech companies, venture capital organizations, and government agencies and initiatives. In 2013, Dr. Lesage co-founded Kosa Pharma.</w:t>
      </w:r>
    </w:p>
    <w:p>
      <w:pPr>
        <w:spacing w:after="0" w:line="158" w:lineRule="exact"/>
        <w:rPr>
          <w:sz w:val="20"/>
          <w:szCs w:val="20"/>
          <w:color w:val="auto"/>
        </w:rPr>
      </w:pPr>
    </w:p>
    <w:p>
      <w:pPr>
        <w:jc w:val="both"/>
        <w:ind w:right="60" w:firstLine="445"/>
        <w:spacing w:after="0" w:line="266" w:lineRule="auto"/>
        <w:rPr>
          <w:sz w:val="20"/>
          <w:szCs w:val="20"/>
          <w:color w:val="auto"/>
        </w:rPr>
      </w:pPr>
      <w:r>
        <w:rPr>
          <w:rFonts w:ascii="Arial" w:cs="Arial" w:eastAsia="Arial" w:hAnsi="Arial"/>
          <w:sz w:val="16"/>
          <w:szCs w:val="16"/>
          <w:color w:val="auto"/>
        </w:rPr>
        <w:t>Dr. Lesage is trained as a biochemist and holds a Ph.D. in molecular biology. Dr. Lesage studied biochemistry at the University of Ghent, received her Ph.D. in the group of Professor Walter Fiers, and was a post-doctoral fellow in the Child Psychiatry department of Stanford University Medical School and in the CNRS Laboratory of Viral Oncology of Hospital Paul Brousse in Paris.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Morgan Conn, Ph.D.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 Conn joined the Company in 2017, and has over 20 years of experience in the biopharmaceutical industry.</w:t>
      </w:r>
    </w:p>
    <w:p>
      <w:pPr>
        <w:spacing w:after="0" w:line="194" w:lineRule="exact"/>
        <w:rPr>
          <w:sz w:val="20"/>
          <w:szCs w:val="20"/>
          <w:color w:val="auto"/>
        </w:rPr>
      </w:pPr>
    </w:p>
    <w:p>
      <w:pPr>
        <w:ind w:right="20" w:firstLine="445"/>
        <w:spacing w:after="0" w:line="253" w:lineRule="auto"/>
        <w:rPr>
          <w:sz w:val="20"/>
          <w:szCs w:val="20"/>
          <w:color w:val="auto"/>
        </w:rPr>
      </w:pPr>
      <w:r>
        <w:rPr>
          <w:rFonts w:ascii="Arial" w:cs="Arial" w:eastAsia="Arial" w:hAnsi="Arial"/>
          <w:sz w:val="16"/>
          <w:szCs w:val="16"/>
          <w:color w:val="auto"/>
        </w:rPr>
        <w:t>Previously, Dr. Conn worked at PTC Therapeutics from 2001-2017, initially in Research and subsequently helping to build the Business Development function, holding positions of increasing responsibility including global head and Vice President, Business Development. During this time, Dr. Conn was instrumental to all corporate transactions, including collaborations, licenses, and acquisitions with leading pharma, biotech, and academic organizations, and supported private and public financing events behind the company’s growth from a discovery organization to a global commercial entity. Dr. Conn’s portfolio includes transactions and financings supporting three rare pediatric neuromuscular medicines now commercialized: TRANSLARNA (ataluren), EMFLAZA (deflazacort), and EVRYSDI (risdiplam). In 2017, Dr. Conn founded CallisBio, a consulting firm offering strategic and implementation services in biopharma business and corporate development including transactions and financing.</w:t>
      </w:r>
    </w:p>
    <w:p>
      <w:pPr>
        <w:spacing w:after="0" w:line="141" w:lineRule="exact"/>
        <w:rPr>
          <w:sz w:val="20"/>
          <w:szCs w:val="20"/>
          <w:color w:val="auto"/>
        </w:rPr>
      </w:pPr>
    </w:p>
    <w:p>
      <w:pPr>
        <w:ind w:right="180" w:firstLine="445"/>
        <w:spacing w:after="0" w:line="259" w:lineRule="auto"/>
        <w:rPr>
          <w:sz w:val="20"/>
          <w:szCs w:val="20"/>
          <w:color w:val="auto"/>
        </w:rPr>
      </w:pPr>
      <w:r>
        <w:rPr>
          <w:rFonts w:ascii="Arial" w:cs="Arial" w:eastAsia="Arial" w:hAnsi="Arial"/>
          <w:sz w:val="16"/>
          <w:szCs w:val="16"/>
          <w:color w:val="auto"/>
        </w:rPr>
        <w:t>Early in his career, Dr. Conn served as an Assistant Professor in Chemistry at Amherst College, with a cross appointment in the Graduate Molecular and Cellular Biology program at the University of Massachusetts (Amherst). Dr. Conn holds a B.Sc. (Hons) in Chemistry and Biochemistry from the University of Toronto; a Ph.D. in Organic Chemistry from the Massachusetts Institute of Technology as both an NSF and NSERC pre- doctoral fellow; and, studied as a post-doctoral Research Fellow of the Miller Institute for Basic Research in Science at the University of California, Berkeley.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Anna Nijdam, MSc RA</w:t>
      </w:r>
    </w:p>
    <w:p>
      <w:pPr>
        <w:spacing w:after="0" w:line="192" w:lineRule="exact"/>
        <w:rPr>
          <w:sz w:val="20"/>
          <w:szCs w:val="20"/>
          <w:color w:val="auto"/>
        </w:rPr>
      </w:pPr>
    </w:p>
    <w:p>
      <w:pPr>
        <w:ind w:right="60" w:firstLine="445"/>
        <w:spacing w:after="0" w:line="254" w:lineRule="auto"/>
        <w:rPr>
          <w:sz w:val="20"/>
          <w:szCs w:val="20"/>
          <w:color w:val="auto"/>
        </w:rPr>
      </w:pPr>
      <w:r>
        <w:rPr>
          <w:rFonts w:ascii="Arial" w:cs="Arial" w:eastAsia="Arial" w:hAnsi="Arial"/>
          <w:sz w:val="16"/>
          <w:szCs w:val="16"/>
          <w:color w:val="auto"/>
        </w:rPr>
        <w:t>Ms. Nijdam joined the Company in 2020, with over 12 years’ experience in the financial industry as a chartered accountant. From 2008 until 2020, Ms. Nijdam worked in the Assurance Services group at Ernst &amp; Young Accountants LLP in Rotterdam, the Netherlands, where she held various leadership positions, including most recently serving as a Senior Manager. Ms. Nijdam is treasurer at the Entrepreneurs Foundation and a member of the Associations Audit Committee of Hockey Club Rotterdam and previously served as a member of the supervisory board of Access to Seeds Foundation. Ms. Nijdam holds a master’s in economics from the Erasmus University of Rotterdam and a Register Accountant title (Dutch Certified Public Accountant) from Nivra Nyenrode in the Netherlands.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Wim Souverijns, Ph.D.</w:t>
      </w:r>
    </w:p>
    <w:p>
      <w:pPr>
        <w:spacing w:after="0" w:line="179" w:lineRule="exact"/>
        <w:rPr>
          <w:sz w:val="20"/>
          <w:szCs w:val="20"/>
          <w:color w:val="auto"/>
        </w:rPr>
      </w:pPr>
    </w:p>
    <w:p>
      <w:pPr>
        <w:ind w:right="280" w:firstLine="445"/>
        <w:spacing w:after="0" w:line="286" w:lineRule="auto"/>
        <w:rPr>
          <w:sz w:val="20"/>
          <w:szCs w:val="20"/>
          <w:color w:val="auto"/>
        </w:rPr>
      </w:pPr>
      <w:r>
        <w:rPr>
          <w:rFonts w:ascii="Arial" w:cs="Arial" w:eastAsia="Arial" w:hAnsi="Arial"/>
          <w:sz w:val="16"/>
          <w:szCs w:val="16"/>
          <w:color w:val="auto"/>
        </w:rPr>
        <w:t>Dr. Souverijns joined the Company in July 2021 with over 25 years of experience in pharmaceutical portfolio strategic and operational leadership at ObsEva, Celgene, and Amgen.</w:t>
      </w:r>
    </w:p>
    <w:p>
      <w:pPr>
        <w:spacing w:after="0" w:line="129" w:lineRule="exact"/>
        <w:rPr>
          <w:sz w:val="20"/>
          <w:szCs w:val="20"/>
          <w:color w:val="auto"/>
        </w:rPr>
      </w:pPr>
    </w:p>
    <w:p>
      <w:pPr>
        <w:ind w:right="40" w:firstLine="445"/>
        <w:spacing w:after="0" w:line="256" w:lineRule="auto"/>
        <w:rPr>
          <w:sz w:val="20"/>
          <w:szCs w:val="20"/>
          <w:color w:val="auto"/>
        </w:rPr>
      </w:pPr>
      <w:r>
        <w:rPr>
          <w:rFonts w:ascii="Arial" w:cs="Arial" w:eastAsia="Arial" w:hAnsi="Arial"/>
          <w:sz w:val="16"/>
          <w:szCs w:val="16"/>
          <w:color w:val="auto"/>
        </w:rPr>
        <w:t>Dr. Souverijns joined the Company from his most recent position as the Chief Commercial Officer at ObsEva where he was responsible for the commercialization of its women’s health product portfolio. Prior to joining ObsEva, he spent 11 years at Celgene where he contributed to the successful build out of the product portfolio in diverse strategic and operational leadership roles. He developed a broad pharmaceutical background through various international assignments at PwC Consulting and in different market access roles at Amgen, both at the European and global level. Dr. Souverijns holds a degree in bio-engineering from the KU Leuven, Belgium, and obtained a Ph.D. from the same institute.</w:t>
      </w:r>
    </w:p>
    <w:p>
      <w:pPr>
        <w:spacing w:after="0" w:line="139" w:lineRule="exact"/>
        <w:rPr>
          <w:sz w:val="20"/>
          <w:szCs w:val="20"/>
          <w:color w:val="auto"/>
        </w:rPr>
      </w:pPr>
    </w:p>
    <w:p>
      <w:pPr>
        <w:ind w:left="880" w:hanging="440"/>
        <w:spacing w:after="0"/>
        <w:tabs>
          <w:tab w:leader="none" w:pos="88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Other Benefits of Members of Our Board</w:t>
      </w:r>
    </w:p>
    <w:p>
      <w:pPr>
        <w:spacing w:after="0" w:line="181" w:lineRule="exact"/>
        <w:rPr>
          <w:sz w:val="20"/>
          <w:szCs w:val="20"/>
          <w:color w:val="auto"/>
        </w:rPr>
      </w:pPr>
    </w:p>
    <w:p>
      <w:pPr>
        <w:ind w:right="160" w:firstLine="445"/>
        <w:spacing w:after="0" w:line="253" w:lineRule="auto"/>
        <w:rPr>
          <w:sz w:val="20"/>
          <w:szCs w:val="20"/>
          <w:color w:val="auto"/>
        </w:rPr>
      </w:pPr>
      <w:r>
        <w:rPr>
          <w:rFonts w:ascii="Arial" w:cs="Arial" w:eastAsia="Arial" w:hAnsi="Arial"/>
          <w:sz w:val="16"/>
          <w:szCs w:val="16"/>
          <w:color w:val="auto"/>
        </w:rPr>
        <w:t>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our directors, provided that such compensation is consistent with our compensation policy. Such compensation policy requires approval by our general meeting by a simple majority of votes cast. The Board determines the compensation of individual directors with due observance of the compensation policy. A proposal with respect to compensation schemes in the form of shares or rights to shares in which directors may participate is subject to approval by our general meeting by a simple majority of votes cast. Such a proposal must set out at least the maximum number of shares or rights to subscribe for shares to be granted to the directors and the criteria for granting or amendment.</w:t>
      </w:r>
    </w:p>
    <w:p>
      <w:pPr>
        <w:spacing w:after="0" w:line="154" w:lineRule="exact"/>
        <w:rPr>
          <w:sz w:val="20"/>
          <w:szCs w:val="20"/>
          <w:color w:val="auto"/>
        </w:rPr>
      </w:pPr>
    </w:p>
    <w:p>
      <w:pPr>
        <w:ind w:right="240" w:firstLine="445"/>
        <w:spacing w:after="0" w:line="266" w:lineRule="auto"/>
        <w:rPr>
          <w:sz w:val="20"/>
          <w:szCs w:val="20"/>
          <w:color w:val="auto"/>
        </w:rPr>
      </w:pPr>
      <w:r>
        <w:rPr>
          <w:rFonts w:ascii="Arial" w:cs="Arial" w:eastAsia="Arial" w:hAnsi="Arial"/>
          <w:sz w:val="16"/>
          <w:szCs w:val="16"/>
          <w:color w:val="auto"/>
        </w:rPr>
        <w:t>Our compensation policy authorizes our Board to determine the amount, level and structure of the compensation packages of our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Board.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Compensation of our Board and Senior Management</w:t>
      </w:r>
    </w:p>
    <w:p>
      <w:pPr>
        <w:spacing w:after="0" w:line="181" w:lineRule="exact"/>
        <w:rPr>
          <w:sz w:val="20"/>
          <w:szCs w:val="20"/>
          <w:color w:val="auto"/>
        </w:rPr>
      </w:pPr>
    </w:p>
    <w:p>
      <w:pPr>
        <w:ind w:right="300" w:firstLine="445"/>
        <w:spacing w:after="0" w:line="266" w:lineRule="auto"/>
        <w:rPr>
          <w:sz w:val="20"/>
          <w:szCs w:val="20"/>
          <w:color w:val="auto"/>
        </w:rPr>
      </w:pPr>
      <w:r>
        <w:rPr>
          <w:rFonts w:ascii="Arial" w:cs="Arial" w:eastAsia="Arial" w:hAnsi="Arial"/>
          <w:sz w:val="16"/>
          <w:szCs w:val="16"/>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w:t>
      </w:r>
    </w:p>
    <w:p>
      <w:pPr>
        <w:spacing w:after="0" w:line="144" w:lineRule="exact"/>
        <w:rPr>
          <w:sz w:val="20"/>
          <w:szCs w:val="20"/>
          <w:color w:val="auto"/>
        </w:rPr>
      </w:pPr>
    </w:p>
    <w:p>
      <w:pPr>
        <w:ind w:right="240" w:firstLine="445"/>
        <w:spacing w:after="0" w:line="266" w:lineRule="auto"/>
        <w:rPr>
          <w:sz w:val="20"/>
          <w:szCs w:val="20"/>
          <w:color w:val="auto"/>
        </w:rPr>
      </w:pPr>
      <w:r>
        <w:rPr>
          <w:rFonts w:ascii="Arial" w:cs="Arial" w:eastAsia="Arial" w:hAnsi="Arial"/>
          <w:sz w:val="16"/>
          <w:szCs w:val="16"/>
          <w:color w:val="auto"/>
        </w:rPr>
        <w:t>The aggregate compensation, including benefits in kind, accrued or paid to members of our Board and Senior Management with respect to the year ended December 31, 2021 for services in all capacities was approximately €6,470,014. For the year ended December 31, 2021, we paid Mr. Modig, our Chief Executive Officer and Executive Director, €721,585 in compensation and benefits in kind.</w:t>
      </w:r>
    </w:p>
    <w:p>
      <w:pPr>
        <w:spacing w:after="0" w:line="131"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The table below shows the aggregate compensation, including benefits in kind, accrued or paid to individual members of the Board for the year ended December 31, 2021 in such capacity.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Base salary</w:t>
            </w:r>
          </w:p>
        </w:tc>
        <w:tc>
          <w:tcPr>
            <w:tcW w:w="40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remuneration</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2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Mr. Modig</w:t>
            </w:r>
          </w:p>
        </w:tc>
        <w:tc>
          <w:tcPr>
            <w:tcW w:w="25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414,000</w:t>
            </w:r>
          </w:p>
        </w:tc>
        <w:tc>
          <w:tcPr>
            <w:tcW w:w="18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721,585</w:t>
            </w:r>
          </w:p>
        </w:tc>
        <w:tc>
          <w:tcPr>
            <w:tcW w:w="80" w:type="dxa"/>
            <w:vAlign w:val="bottom"/>
            <w:tcBorders>
              <w:top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Dr. Glassman</w:t>
            </w: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28,900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Meeker</w:t>
            </w:r>
          </w:p>
        </w:tc>
        <w:tc>
          <w:tcPr>
            <w:tcW w:w="2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58,675</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Mr. Schikan</w:t>
            </w: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50,940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Ms. Monges</w:t>
            </w:r>
          </w:p>
        </w:tc>
        <w:tc>
          <w:tcPr>
            <w:tcW w:w="2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12,870</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Dr. de Jonge Schuermans</w:t>
            </w: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Björk</w:t>
            </w:r>
          </w:p>
        </w:tc>
        <w:tc>
          <w:tcPr>
            <w:tcW w:w="2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Mr. Kleijwegt</w:t>
            </w: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23,380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Mr. Gaster</w:t>
            </w:r>
          </w:p>
        </w:tc>
        <w:tc>
          <w:tcPr>
            <w:tcW w:w="2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8,841</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2540" w:type="dxa"/>
            <w:vAlign w:val="bottom"/>
            <w:vMerge w:val="restart"/>
          </w:tcPr>
          <w:p>
            <w:pPr>
              <w:jc w:val="right"/>
              <w:ind w:right="1299"/>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number of options granted to individual members of the Board for the year ended December 31, 2021 in such capacity.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00" w:type="dxa"/>
            <w:vAlign w:val="bottom"/>
          </w:tcPr>
          <w:p>
            <w:pPr>
              <w:jc w:val="right"/>
              <w:ind w:right="123"/>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Exercise</w:t>
            </w:r>
          </w:p>
        </w:tc>
        <w:tc>
          <w:tcPr>
            <w:tcW w:w="1320" w:type="dxa"/>
            <w:vAlign w:val="bottom"/>
          </w:tcPr>
          <w:p>
            <w:pPr>
              <w:jc w:val="right"/>
              <w:ind w:right="283"/>
              <w:spacing w:after="0"/>
              <w:rPr>
                <w:sz w:val="20"/>
                <w:szCs w:val="20"/>
                <w:color w:val="auto"/>
              </w:rPr>
            </w:pPr>
            <w:r>
              <w:rPr>
                <w:rFonts w:ascii="Arial" w:cs="Arial" w:eastAsia="Arial" w:hAnsi="Arial"/>
                <w:sz w:val="13"/>
                <w:szCs w:val="13"/>
                <w:b w:val="1"/>
                <w:bCs w:val="1"/>
                <w:color w:val="auto"/>
              </w:rPr>
              <w:t>Expiration</w:t>
            </w:r>
          </w:p>
        </w:tc>
      </w:tr>
      <w:tr>
        <w:trPr>
          <w:trHeight w:val="153"/>
        </w:trPr>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00" w:type="dxa"/>
            <w:vAlign w:val="bottom"/>
          </w:tcPr>
          <w:p>
            <w:pPr>
              <w:jc w:val="right"/>
              <w:ind w:right="203"/>
              <w:spacing w:after="0"/>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Price</w:t>
            </w:r>
          </w:p>
        </w:tc>
        <w:tc>
          <w:tcPr>
            <w:tcW w:w="1320" w:type="dxa"/>
            <w:vAlign w:val="bottom"/>
          </w:tcPr>
          <w:p>
            <w:pPr>
              <w:jc w:val="right"/>
              <w:ind w:right="463"/>
              <w:spacing w:after="0"/>
              <w:rPr>
                <w:sz w:val="20"/>
                <w:szCs w:val="20"/>
                <w:color w:val="auto"/>
              </w:rPr>
            </w:pPr>
            <w:r>
              <w:rPr>
                <w:rFonts w:ascii="Arial" w:cs="Arial" w:eastAsia="Arial" w:hAnsi="Arial"/>
                <w:sz w:val="13"/>
                <w:szCs w:val="13"/>
                <w:b w:val="1"/>
                <w:bCs w:val="1"/>
                <w:color w:val="auto"/>
              </w:rPr>
              <w:t>Date</w:t>
            </w:r>
          </w:p>
        </w:tc>
      </w:tr>
      <w:tr>
        <w:trPr>
          <w:trHeight w:val="196"/>
        </w:trPr>
        <w:tc>
          <w:tcPr>
            <w:tcW w:w="1140" w:type="dxa"/>
            <w:vAlign w:val="bottom"/>
          </w:tcPr>
          <w:p>
            <w:pPr>
              <w:spacing w:after="0"/>
              <w:rPr>
                <w:sz w:val="17"/>
                <w:szCs w:val="17"/>
                <w:color w:val="auto"/>
              </w:rPr>
            </w:pPr>
          </w:p>
        </w:tc>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Mr. Modig</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Jan 1, 2030</w:t>
            </w:r>
          </w:p>
        </w:tc>
      </w:tr>
      <w:tr>
        <w:trPr>
          <w:trHeight w:val="203"/>
        </w:trPr>
        <w:tc>
          <w:tcPr>
            <w:tcW w:w="114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Mr. Modig</w:t>
            </w:r>
          </w:p>
        </w:tc>
        <w:tc>
          <w:tcPr>
            <w:tcW w:w="1000" w:type="dxa"/>
            <w:vAlign w:val="bottom"/>
          </w:tcPr>
          <w:p>
            <w:pPr>
              <w:jc w:val="right"/>
              <w:spacing w:after="0"/>
              <w:rPr>
                <w:sz w:val="20"/>
                <w:szCs w:val="20"/>
                <w:color w:val="auto"/>
              </w:rPr>
            </w:pPr>
            <w:r>
              <w:rPr>
                <w:rFonts w:ascii="Arial" w:cs="Arial" w:eastAsia="Arial" w:hAnsi="Arial"/>
                <w:sz w:val="16"/>
                <w:szCs w:val="16"/>
                <w:color w:val="auto"/>
              </w:rPr>
              <w:t>250,000</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20.00</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Feb 5, 2031</w:t>
            </w:r>
          </w:p>
        </w:tc>
      </w:tr>
      <w:tr>
        <w:trPr>
          <w:trHeight w:val="203"/>
        </w:trPr>
        <w:tc>
          <w:tcPr>
            <w:tcW w:w="1140" w:type="dxa"/>
            <w:vAlign w:val="bottom"/>
          </w:tcPr>
          <w:p>
            <w:pPr>
              <w:spacing w:after="0"/>
              <w:rPr>
                <w:sz w:val="17"/>
                <w:szCs w:val="17"/>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Glassman</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4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 5, 2031</w:t>
            </w:r>
          </w:p>
        </w:tc>
      </w:tr>
      <w:tr>
        <w:trPr>
          <w:trHeight w:val="203"/>
        </w:trPr>
        <w:tc>
          <w:tcPr>
            <w:tcW w:w="114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Dr. Glassman</w:t>
            </w:r>
          </w:p>
        </w:tc>
        <w:tc>
          <w:tcPr>
            <w:tcW w:w="1000" w:type="dxa"/>
            <w:vAlign w:val="bottom"/>
          </w:tcPr>
          <w:p>
            <w:pPr>
              <w:jc w:val="right"/>
              <w:spacing w:after="0"/>
              <w:rPr>
                <w:sz w:val="20"/>
                <w:szCs w:val="20"/>
                <w:color w:val="auto"/>
              </w:rPr>
            </w:pPr>
            <w:r>
              <w:rPr>
                <w:rFonts w:ascii="Arial" w:cs="Arial" w:eastAsia="Arial" w:hAnsi="Arial"/>
                <w:sz w:val="16"/>
                <w:szCs w:val="16"/>
                <w:color w:val="auto"/>
              </w:rPr>
              <w:t>27,000</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7.25</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Jan 1, 2031</w:t>
            </w:r>
          </w:p>
        </w:tc>
      </w:tr>
      <w:tr>
        <w:trPr>
          <w:trHeight w:val="203"/>
        </w:trPr>
        <w:tc>
          <w:tcPr>
            <w:tcW w:w="1140" w:type="dxa"/>
            <w:vAlign w:val="bottom"/>
          </w:tcPr>
          <w:p>
            <w:pPr>
              <w:spacing w:after="0"/>
              <w:rPr>
                <w:sz w:val="17"/>
                <w:szCs w:val="17"/>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Meeker</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80,000</w:t>
            </w:r>
          </w:p>
        </w:tc>
        <w:tc>
          <w:tcPr>
            <w:tcW w:w="4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 1, 2031</w:t>
            </w:r>
          </w:p>
        </w:tc>
      </w:tr>
      <w:tr>
        <w:trPr>
          <w:trHeight w:val="203"/>
        </w:trPr>
        <w:tc>
          <w:tcPr>
            <w:tcW w:w="114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Mr. Schikan</w:t>
            </w:r>
          </w:p>
        </w:tc>
        <w:tc>
          <w:tcPr>
            <w:tcW w:w="1000" w:type="dxa"/>
            <w:vAlign w:val="bottom"/>
          </w:tcPr>
          <w:p>
            <w:pPr>
              <w:jc w:val="right"/>
              <w:spacing w:after="0"/>
              <w:rPr>
                <w:sz w:val="20"/>
                <w:szCs w:val="20"/>
                <w:color w:val="auto"/>
              </w:rPr>
            </w:pPr>
            <w:r>
              <w:rPr>
                <w:rFonts w:ascii="Arial" w:cs="Arial" w:eastAsia="Arial" w:hAnsi="Arial"/>
                <w:sz w:val="16"/>
                <w:szCs w:val="16"/>
                <w:color w:val="auto"/>
              </w:rPr>
              <w:t>35,000</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20.00</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Feb 5, 2031</w:t>
            </w:r>
          </w:p>
        </w:tc>
      </w:tr>
      <w:tr>
        <w:trPr>
          <w:trHeight w:val="203"/>
        </w:trPr>
        <w:tc>
          <w:tcPr>
            <w:tcW w:w="1140" w:type="dxa"/>
            <w:vAlign w:val="bottom"/>
          </w:tcPr>
          <w:p>
            <w:pPr>
              <w:spacing w:after="0"/>
              <w:rPr>
                <w:sz w:val="17"/>
                <w:szCs w:val="17"/>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Ms. Monges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4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July 1, 2031</w:t>
            </w:r>
          </w:p>
        </w:tc>
      </w:tr>
      <w:tr>
        <w:trPr>
          <w:trHeight w:val="229"/>
        </w:trPr>
        <w:tc>
          <w:tcPr>
            <w:tcW w:w="1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bl>
    <w:p>
      <w:pPr>
        <w:spacing w:after="0" w:line="16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Share Ownership of our Board and Senior Management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share ownership of our Board and Senior Management as of March 10, 2022.</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Number of</w:t>
            </w: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Percentage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30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Ordinary</w:t>
            </w: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of Shares</w:t>
            </w:r>
          </w:p>
        </w:tc>
        <w:tc>
          <w:tcPr>
            <w:tcW w:w="1140" w:type="dxa"/>
            <w:vAlign w:val="bottom"/>
            <w:gridSpan w:val="2"/>
          </w:tcPr>
          <w:p>
            <w:pPr>
              <w:ind w:left="320"/>
              <w:spacing w:after="0"/>
              <w:rPr>
                <w:sz w:val="20"/>
                <w:szCs w:val="20"/>
                <w:color w:val="auto"/>
              </w:rPr>
            </w:pPr>
            <w:r>
              <w:rPr>
                <w:rFonts w:ascii="Arial" w:cs="Arial" w:eastAsia="Arial" w:hAnsi="Arial"/>
                <w:sz w:val="13"/>
                <w:szCs w:val="13"/>
                <w:b w:val="1"/>
                <w:bCs w:val="1"/>
                <w:color w:val="auto"/>
              </w:rPr>
              <w:t>Voting</w:t>
            </w:r>
          </w:p>
        </w:tc>
      </w:tr>
      <w:tr>
        <w:trPr>
          <w:trHeight w:val="153"/>
        </w:trPr>
        <w:tc>
          <w:tcPr>
            <w:tcW w:w="5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Shares</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Rights</w:t>
            </w:r>
          </w:p>
        </w:tc>
        <w:tc>
          <w:tcPr>
            <w:tcW w:w="100" w:type="dxa"/>
            <w:vAlign w:val="bottom"/>
            <w:tcBorders>
              <w:bottom w:val="single" w:sz="8" w:color="CFF0FC"/>
            </w:tcBorders>
          </w:tcPr>
          <w:p>
            <w:pPr>
              <w:spacing w:after="0"/>
              <w:rPr>
                <w:sz w:val="13"/>
                <w:szCs w:val="13"/>
                <w:color w:val="auto"/>
              </w:rPr>
            </w:pPr>
          </w:p>
        </w:tc>
      </w:tr>
      <w:tr>
        <w:trPr>
          <w:trHeight w:val="196"/>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Mr. Modig(1)</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1,200,000</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3.6197%</w:t>
            </w:r>
          </w:p>
        </w:tc>
        <w:tc>
          <w:tcPr>
            <w:tcW w:w="1040" w:type="dxa"/>
            <w:vAlign w:val="bottom"/>
            <w:shd w:val="clear" w:color="auto" w:fill="CFF0FC"/>
          </w:tcPr>
          <w:p>
            <w:pPr>
              <w:ind w:left="880"/>
              <w:spacing w:after="0"/>
              <w:rPr>
                <w:sz w:val="20"/>
                <w:szCs w:val="20"/>
                <w:color w:val="auto"/>
              </w:rPr>
            </w:pPr>
            <w:r>
              <w:rPr>
                <w:rFonts w:ascii="Arial" w:cs="Arial" w:eastAsia="Arial" w:hAnsi="Arial"/>
                <w:sz w:val="16"/>
                <w:szCs w:val="16"/>
                <w:color w:val="auto"/>
                <w:w w:val="71"/>
              </w:rPr>
              <w:t>(3)</w:t>
            </w:r>
          </w:p>
        </w:tc>
        <w:tc>
          <w:tcPr>
            <w:tcW w:w="10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rPr>
                <w:sz w:val="20"/>
                <w:szCs w:val="20"/>
                <w:color w:val="auto"/>
              </w:rPr>
            </w:pPr>
            <w:r>
              <w:rPr>
                <w:rFonts w:ascii="Arial" w:cs="Arial" w:eastAsia="Arial" w:hAnsi="Arial"/>
                <w:sz w:val="16"/>
                <w:szCs w:val="16"/>
                <w:color w:val="auto"/>
              </w:rPr>
              <w:t>Dr. Knolle</w:t>
            </w:r>
          </w:p>
        </w:tc>
        <w:tc>
          <w:tcPr>
            <w:tcW w:w="1040" w:type="dxa"/>
            <w:vAlign w:val="bottom"/>
          </w:tcPr>
          <w:p>
            <w:pPr>
              <w:jc w:val="right"/>
              <w:spacing w:after="0"/>
              <w:rPr>
                <w:sz w:val="20"/>
                <w:szCs w:val="20"/>
                <w:color w:val="auto"/>
              </w:rPr>
            </w:pPr>
            <w:r>
              <w:rPr>
                <w:rFonts w:ascii="Arial" w:cs="Arial" w:eastAsia="Arial" w:hAnsi="Arial"/>
                <w:sz w:val="16"/>
                <w:szCs w:val="16"/>
                <w:color w:val="auto"/>
              </w:rPr>
              <w:t>1,200,000</w:t>
            </w:r>
          </w:p>
        </w:tc>
        <w:tc>
          <w:tcPr>
            <w:tcW w:w="2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3.6197%</w:t>
            </w:r>
          </w:p>
        </w:tc>
        <w:tc>
          <w:tcPr>
            <w:tcW w:w="1140" w:type="dxa"/>
            <w:vAlign w:val="bottom"/>
            <w:gridSpan w:val="2"/>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Mr. Schikan</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1.5082%</w:t>
            </w:r>
          </w:p>
        </w:tc>
        <w:tc>
          <w:tcPr>
            <w:tcW w:w="114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tcPr>
          <w:p>
            <w:pPr>
              <w:spacing w:after="0"/>
              <w:rPr>
                <w:sz w:val="20"/>
                <w:szCs w:val="20"/>
                <w:color w:val="auto"/>
              </w:rPr>
            </w:pPr>
            <w:r>
              <w:rPr>
                <w:rFonts w:ascii="Arial" w:cs="Arial" w:eastAsia="Arial" w:hAnsi="Arial"/>
                <w:sz w:val="16"/>
                <w:szCs w:val="16"/>
                <w:color w:val="auto"/>
              </w:rPr>
              <w:t>Dr. Lesage(2)</w:t>
            </w:r>
          </w:p>
        </w:tc>
        <w:tc>
          <w:tcPr>
            <w:tcW w:w="1040" w:type="dxa"/>
            <w:vAlign w:val="bottom"/>
          </w:tcPr>
          <w:p>
            <w:pPr>
              <w:jc w:val="right"/>
              <w:spacing w:after="0"/>
              <w:rPr>
                <w:sz w:val="20"/>
                <w:szCs w:val="20"/>
                <w:color w:val="auto"/>
              </w:rPr>
            </w:pPr>
            <w:r>
              <w:rPr>
                <w:rFonts w:ascii="Arial" w:cs="Arial" w:eastAsia="Arial" w:hAnsi="Arial"/>
                <w:sz w:val="16"/>
                <w:szCs w:val="16"/>
                <w:color w:val="auto"/>
              </w:rPr>
              <w:t>250,000</w:t>
            </w:r>
          </w:p>
        </w:tc>
        <w:tc>
          <w:tcPr>
            <w:tcW w:w="2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0.7541%</w:t>
            </w:r>
          </w:p>
        </w:tc>
        <w:tc>
          <w:tcPr>
            <w:tcW w:w="1140" w:type="dxa"/>
            <w:vAlign w:val="bottom"/>
            <w:gridSpan w:val="2"/>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0.1508%</w:t>
            </w:r>
          </w:p>
        </w:tc>
        <w:tc>
          <w:tcPr>
            <w:tcW w:w="114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tcPr>
          <w:p>
            <w:pPr>
              <w:spacing w:after="0"/>
              <w:rPr>
                <w:sz w:val="20"/>
                <w:szCs w:val="20"/>
                <w:color w:val="auto"/>
              </w:rPr>
            </w:pPr>
            <w:r>
              <w:rPr>
                <w:rFonts w:ascii="Arial" w:cs="Arial" w:eastAsia="Arial" w:hAnsi="Arial"/>
                <w:sz w:val="16"/>
                <w:szCs w:val="16"/>
                <w:color w:val="auto"/>
              </w:rPr>
              <w:t>Dr. Glassman</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Dr. Björk</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tcPr>
          <w:p>
            <w:pPr>
              <w:spacing w:after="0"/>
              <w:rPr>
                <w:sz w:val="20"/>
                <w:szCs w:val="20"/>
                <w:color w:val="auto"/>
              </w:rPr>
            </w:pPr>
            <w:r>
              <w:rPr>
                <w:rFonts w:ascii="Arial" w:cs="Arial" w:eastAsia="Arial" w:hAnsi="Arial"/>
                <w:sz w:val="16"/>
                <w:szCs w:val="16"/>
                <w:color w:val="auto"/>
              </w:rPr>
              <w:t>Ms. Monges</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Dr. de Jonge Schuermans</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tcPr>
          <w:p>
            <w:pPr>
              <w:spacing w:after="0"/>
              <w:rPr>
                <w:sz w:val="20"/>
                <w:szCs w:val="20"/>
                <w:color w:val="auto"/>
              </w:rPr>
            </w:pPr>
            <w:r>
              <w:rPr>
                <w:rFonts w:ascii="Arial" w:cs="Arial" w:eastAsia="Arial" w:hAnsi="Arial"/>
                <w:sz w:val="16"/>
                <w:szCs w:val="16"/>
                <w:color w:val="auto"/>
              </w:rPr>
              <w:t>Dr. Lu</w:t>
            </w:r>
          </w:p>
        </w:tc>
        <w:tc>
          <w:tcPr>
            <w:tcW w:w="1040" w:type="dxa"/>
            <w:vAlign w:val="bottom"/>
          </w:tcPr>
          <w:p>
            <w:pPr>
              <w:jc w:val="right"/>
              <w:spacing w:after="0"/>
              <w:rPr>
                <w:sz w:val="20"/>
                <w:szCs w:val="20"/>
                <w:color w:val="auto"/>
              </w:rPr>
            </w:pPr>
            <w:r>
              <w:rPr>
                <w:rFonts w:ascii="Arial" w:cs="Arial" w:eastAsia="Arial" w:hAnsi="Arial"/>
                <w:sz w:val="16"/>
                <w:szCs w:val="16"/>
                <w:color w:val="auto"/>
              </w:rPr>
              <w:t>34,000</w:t>
            </w:r>
          </w:p>
        </w:tc>
        <w:tc>
          <w:tcPr>
            <w:tcW w:w="2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0.1026%</w:t>
            </w:r>
          </w:p>
        </w:tc>
        <w:tc>
          <w:tcPr>
            <w:tcW w:w="1140" w:type="dxa"/>
            <w:vAlign w:val="bottom"/>
            <w:gridSpan w:val="2"/>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Dr. Conn</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14,242</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0.043%</w:t>
            </w:r>
          </w:p>
        </w:tc>
        <w:tc>
          <w:tcPr>
            <w:tcW w:w="114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tcPr>
          <w:p>
            <w:pPr>
              <w:spacing w:after="0"/>
              <w:rPr>
                <w:sz w:val="20"/>
                <w:szCs w:val="20"/>
                <w:color w:val="auto"/>
              </w:rPr>
            </w:pPr>
            <w:r>
              <w:rPr>
                <w:rFonts w:ascii="Arial" w:cs="Arial" w:eastAsia="Arial" w:hAnsi="Arial"/>
                <w:sz w:val="16"/>
                <w:szCs w:val="16"/>
                <w:color w:val="auto"/>
              </w:rPr>
              <w:t>Ms. Nijdam</w:t>
            </w:r>
          </w:p>
        </w:tc>
        <w:tc>
          <w:tcPr>
            <w:tcW w:w="1040" w:type="dxa"/>
            <w:vAlign w:val="bottom"/>
          </w:tcPr>
          <w:p>
            <w:pPr>
              <w:jc w:val="right"/>
              <w:spacing w:after="0"/>
              <w:rPr>
                <w:sz w:val="20"/>
                <w:szCs w:val="20"/>
                <w:color w:val="auto"/>
              </w:rPr>
            </w:pPr>
            <w:r>
              <w:rPr>
                <w:rFonts w:ascii="Arial" w:cs="Arial" w:eastAsia="Arial" w:hAnsi="Arial"/>
                <w:sz w:val="16"/>
                <w:szCs w:val="16"/>
                <w:color w:val="auto"/>
              </w:rPr>
              <w:t>1,978</w:t>
            </w:r>
          </w:p>
        </w:tc>
        <w:tc>
          <w:tcPr>
            <w:tcW w:w="2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0.0060%</w:t>
            </w:r>
          </w:p>
        </w:tc>
        <w:tc>
          <w:tcPr>
            <w:tcW w:w="1140" w:type="dxa"/>
            <w:vAlign w:val="bottom"/>
            <w:gridSpan w:val="2"/>
          </w:tcPr>
          <w:p>
            <w:pPr>
              <w:ind w:left="880"/>
              <w:spacing w:after="0"/>
              <w:rPr>
                <w:sz w:val="20"/>
                <w:szCs w:val="20"/>
                <w:color w:val="auto"/>
              </w:rPr>
            </w:pPr>
            <w:r>
              <w:rPr>
                <w:rFonts w:ascii="Arial" w:cs="Arial" w:eastAsia="Arial" w:hAnsi="Arial"/>
                <w:sz w:val="16"/>
                <w:szCs w:val="16"/>
                <w:color w:val="auto"/>
              </w:rPr>
              <w:t>(3)</w:t>
            </w:r>
          </w:p>
        </w:tc>
      </w:tr>
      <w:tr>
        <w:trPr>
          <w:trHeight w:val="203"/>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Dr. Souverijns</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(3)</w:t>
            </w:r>
          </w:p>
        </w:tc>
      </w:tr>
    </w:tbl>
    <w:p>
      <w:pPr>
        <w:spacing w:after="0" w:line="229"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ordinary shares held by Schoodic Management B.V., an entity controlled by Mr. Modig.</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ordinary shares held by GrayMatters Consulting BVBA, an entity controlled by Dr. Lesage.</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ordinary share carries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20142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25" w:right="111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Option Ownership of our Board and Senior Management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option ownership of our Board and Senior Management as of March 10, 2022.</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Percentage</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Percentage</w:t>
            </w:r>
          </w:p>
        </w:tc>
        <w:tc>
          <w:tcPr>
            <w:tcW w:w="1300" w:type="dxa"/>
            <w:vAlign w:val="bottom"/>
          </w:tcPr>
          <w:p>
            <w:pPr>
              <w:spacing w:after="0"/>
              <w:rPr>
                <w:sz w:val="13"/>
                <w:szCs w:val="13"/>
                <w:color w:val="auto"/>
              </w:rPr>
            </w:pPr>
          </w:p>
        </w:tc>
      </w:tr>
      <w:tr>
        <w:trPr>
          <w:trHeight w:val="148"/>
        </w:trPr>
        <w:tc>
          <w:tcPr>
            <w:tcW w:w="5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Exercise</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of Shares</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of Fully</w:t>
            </w:r>
          </w:p>
        </w:tc>
        <w:tc>
          <w:tcPr>
            <w:tcW w:w="1300" w:type="dxa"/>
            <w:vAlign w:val="bottom"/>
          </w:tcPr>
          <w:p>
            <w:pPr>
              <w:jc w:val="right"/>
              <w:ind w:right="261"/>
              <w:spacing w:after="0"/>
              <w:rPr>
                <w:sz w:val="20"/>
                <w:szCs w:val="20"/>
                <w:color w:val="auto"/>
              </w:rPr>
            </w:pPr>
            <w:r>
              <w:rPr>
                <w:rFonts w:ascii="Arial" w:cs="Arial" w:eastAsia="Arial" w:hAnsi="Arial"/>
                <w:sz w:val="13"/>
                <w:szCs w:val="13"/>
                <w:b w:val="1"/>
                <w:bCs w:val="1"/>
                <w:color w:val="auto"/>
              </w:rPr>
              <w:t>Expiration</w:t>
            </w:r>
          </w:p>
        </w:tc>
      </w:tr>
      <w:tr>
        <w:trPr>
          <w:trHeight w:val="153"/>
        </w:trPr>
        <w:tc>
          <w:tcPr>
            <w:tcW w:w="50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Options</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Price</w:t>
            </w:r>
          </w:p>
        </w:tc>
        <w:tc>
          <w:tcPr>
            <w:tcW w:w="2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Outstanding</w:t>
            </w:r>
          </w:p>
        </w:tc>
        <w:tc>
          <w:tcPr>
            <w:tcW w:w="2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Diluted</w:t>
            </w:r>
          </w:p>
        </w:tc>
        <w:tc>
          <w:tcPr>
            <w:tcW w:w="26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Date</w:t>
            </w:r>
          </w:p>
        </w:tc>
      </w:tr>
      <w:tr>
        <w:trPr>
          <w:trHeight w:val="196"/>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Mr. Modig</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0.45%</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0.38%</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 1, 2030</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Mr. Modig</w:t>
            </w:r>
          </w:p>
        </w:tc>
        <w:tc>
          <w:tcPr>
            <w:tcW w:w="980" w:type="dxa"/>
            <w:vAlign w:val="bottom"/>
          </w:tcPr>
          <w:p>
            <w:pPr>
              <w:jc w:val="right"/>
              <w:spacing w:after="0"/>
              <w:rPr>
                <w:sz w:val="20"/>
                <w:szCs w:val="20"/>
                <w:color w:val="auto"/>
              </w:rPr>
            </w:pPr>
            <w:r>
              <w:rPr>
                <w:rFonts w:ascii="Arial" w:cs="Arial" w:eastAsia="Arial" w:hAnsi="Arial"/>
                <w:sz w:val="16"/>
                <w:szCs w:val="16"/>
                <w:color w:val="auto"/>
              </w:rPr>
              <w:t>250,000</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0.75%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0.64%</w:t>
            </w:r>
          </w:p>
        </w:tc>
        <w:tc>
          <w:tcPr>
            <w:tcW w:w="1300" w:type="dxa"/>
            <w:vAlign w:val="bottom"/>
          </w:tcPr>
          <w:p>
            <w:pPr>
              <w:jc w:val="right"/>
              <w:spacing w:after="0"/>
              <w:rPr>
                <w:sz w:val="20"/>
                <w:szCs w:val="20"/>
                <w:color w:val="auto"/>
              </w:rPr>
            </w:pPr>
            <w:r>
              <w:rPr>
                <w:rFonts w:ascii="Arial" w:cs="Arial" w:eastAsia="Arial" w:hAnsi="Arial"/>
                <w:sz w:val="16"/>
                <w:szCs w:val="16"/>
                <w:color w:val="auto"/>
              </w:rPr>
              <w:t>Feb 5, 2031</w:t>
            </w:r>
          </w:p>
        </w:tc>
      </w:tr>
      <w:tr>
        <w:trPr>
          <w:trHeight w:val="20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Dr. Knolle</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0.45%</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0.38%</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 1, 2030</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Dr. Knolle</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0.45%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0.38%</w:t>
            </w:r>
          </w:p>
        </w:tc>
        <w:tc>
          <w:tcPr>
            <w:tcW w:w="1300" w:type="dxa"/>
            <w:vAlign w:val="bottom"/>
          </w:tcPr>
          <w:p>
            <w:pPr>
              <w:jc w:val="right"/>
              <w:spacing w:after="0"/>
              <w:rPr>
                <w:sz w:val="20"/>
                <w:szCs w:val="20"/>
                <w:color w:val="auto"/>
              </w:rPr>
            </w:pPr>
            <w:r>
              <w:rPr>
                <w:rFonts w:ascii="Arial" w:cs="Arial" w:eastAsia="Arial" w:hAnsi="Arial"/>
                <w:sz w:val="16"/>
                <w:szCs w:val="16"/>
                <w:color w:val="auto"/>
              </w:rPr>
              <w:t>Feb 5, 2031</w:t>
            </w:r>
          </w:p>
        </w:tc>
      </w:tr>
      <w:tr>
        <w:trPr>
          <w:trHeight w:val="20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Dr. Lesage</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0.45%</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0.38%</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 1, 2030</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Dr. Lesage</w:t>
            </w:r>
          </w:p>
        </w:tc>
        <w:tc>
          <w:tcPr>
            <w:tcW w:w="980" w:type="dxa"/>
            <w:vAlign w:val="bottom"/>
          </w:tcPr>
          <w:p>
            <w:pPr>
              <w:jc w:val="right"/>
              <w:spacing w:after="0"/>
              <w:rPr>
                <w:sz w:val="20"/>
                <w:szCs w:val="20"/>
                <w:color w:val="auto"/>
              </w:rPr>
            </w:pPr>
            <w:r>
              <w:rPr>
                <w:rFonts w:ascii="Arial" w:cs="Arial" w:eastAsia="Arial" w:hAnsi="Arial"/>
                <w:sz w:val="16"/>
                <w:szCs w:val="16"/>
                <w:color w:val="auto"/>
              </w:rPr>
              <w:t>120,000</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0.36%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0.31%</w:t>
            </w:r>
          </w:p>
        </w:tc>
        <w:tc>
          <w:tcPr>
            <w:tcW w:w="1300" w:type="dxa"/>
            <w:vAlign w:val="bottom"/>
          </w:tcPr>
          <w:p>
            <w:pPr>
              <w:jc w:val="right"/>
              <w:spacing w:after="0"/>
              <w:rPr>
                <w:sz w:val="20"/>
                <w:szCs w:val="20"/>
                <w:color w:val="auto"/>
              </w:rPr>
            </w:pPr>
            <w:r>
              <w:rPr>
                <w:rFonts w:ascii="Arial" w:cs="Arial" w:eastAsia="Arial" w:hAnsi="Arial"/>
                <w:sz w:val="16"/>
                <w:szCs w:val="16"/>
                <w:color w:val="auto"/>
              </w:rPr>
              <w:t>Feb 5, 2031</w:t>
            </w:r>
          </w:p>
        </w:tc>
      </w:tr>
      <w:tr>
        <w:trPr>
          <w:trHeight w:val="202"/>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Dr. Conn</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0.45%</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0.38%</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 1, 2030</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Dr. Conn</w:t>
            </w:r>
          </w:p>
        </w:tc>
        <w:tc>
          <w:tcPr>
            <w:tcW w:w="980" w:type="dxa"/>
            <w:vAlign w:val="bottom"/>
          </w:tcPr>
          <w:p>
            <w:pPr>
              <w:jc w:val="right"/>
              <w:spacing w:after="0"/>
              <w:rPr>
                <w:sz w:val="20"/>
                <w:szCs w:val="20"/>
                <w:color w:val="auto"/>
              </w:rPr>
            </w:pPr>
            <w:r>
              <w:rPr>
                <w:rFonts w:ascii="Arial" w:cs="Arial" w:eastAsia="Arial" w:hAnsi="Arial"/>
                <w:sz w:val="16"/>
                <w:szCs w:val="16"/>
                <w:color w:val="auto"/>
              </w:rPr>
              <w:t>110,000</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0.33%</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0.28%</w:t>
            </w:r>
          </w:p>
        </w:tc>
        <w:tc>
          <w:tcPr>
            <w:tcW w:w="1300" w:type="dxa"/>
            <w:vAlign w:val="bottom"/>
          </w:tcPr>
          <w:p>
            <w:pPr>
              <w:jc w:val="right"/>
              <w:spacing w:after="0"/>
              <w:rPr>
                <w:sz w:val="20"/>
                <w:szCs w:val="20"/>
                <w:color w:val="auto"/>
              </w:rPr>
            </w:pPr>
            <w:r>
              <w:rPr>
                <w:rFonts w:ascii="Arial" w:cs="Arial" w:eastAsia="Arial" w:hAnsi="Arial"/>
                <w:sz w:val="16"/>
                <w:szCs w:val="16"/>
                <w:color w:val="auto"/>
              </w:rPr>
              <w:t>Feb 5, 2031</w:t>
            </w:r>
          </w:p>
        </w:tc>
      </w:tr>
      <w:tr>
        <w:trPr>
          <w:trHeight w:val="20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Dr. Lu</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1.22%</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1.04%</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 3, 2030</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Dr. Lu</w:t>
            </w:r>
          </w:p>
        </w:tc>
        <w:tc>
          <w:tcPr>
            <w:tcW w:w="980" w:type="dxa"/>
            <w:vAlign w:val="bottom"/>
          </w:tcPr>
          <w:p>
            <w:pPr>
              <w:jc w:val="right"/>
              <w:spacing w:after="0"/>
              <w:rPr>
                <w:sz w:val="20"/>
                <w:szCs w:val="20"/>
                <w:color w:val="auto"/>
              </w:rPr>
            </w:pPr>
            <w:r>
              <w:rPr>
                <w:rFonts w:ascii="Arial" w:cs="Arial" w:eastAsia="Arial" w:hAnsi="Arial"/>
                <w:sz w:val="16"/>
                <w:szCs w:val="16"/>
                <w:color w:val="auto"/>
              </w:rPr>
              <w:t>79,000</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0.24%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0.20%</w:t>
            </w:r>
          </w:p>
        </w:tc>
        <w:tc>
          <w:tcPr>
            <w:tcW w:w="1300" w:type="dxa"/>
            <w:vAlign w:val="bottom"/>
          </w:tcPr>
          <w:p>
            <w:pPr>
              <w:jc w:val="right"/>
              <w:spacing w:after="0"/>
              <w:rPr>
                <w:sz w:val="20"/>
                <w:szCs w:val="20"/>
                <w:color w:val="auto"/>
              </w:rPr>
            </w:pPr>
            <w:r>
              <w:rPr>
                <w:rFonts w:ascii="Arial" w:cs="Arial" w:eastAsia="Arial" w:hAnsi="Arial"/>
                <w:sz w:val="16"/>
                <w:szCs w:val="16"/>
                <w:color w:val="auto"/>
              </w:rPr>
              <w:t>Feb 5, 2031</w:t>
            </w:r>
          </w:p>
        </w:tc>
      </w:tr>
      <w:tr>
        <w:trPr>
          <w:trHeight w:val="20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Dr. Glassman</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0.08%</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0.07%</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 1, 2031</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Dr. Glassman</w:t>
            </w:r>
          </w:p>
        </w:tc>
        <w:tc>
          <w:tcPr>
            <w:tcW w:w="980" w:type="dxa"/>
            <w:vAlign w:val="bottom"/>
          </w:tcPr>
          <w:p>
            <w:pPr>
              <w:jc w:val="right"/>
              <w:spacing w:after="0"/>
              <w:rPr>
                <w:sz w:val="20"/>
                <w:szCs w:val="20"/>
                <w:color w:val="auto"/>
              </w:rPr>
            </w:pPr>
            <w:r>
              <w:rPr>
                <w:rFonts w:ascii="Arial" w:cs="Arial" w:eastAsia="Arial" w:hAnsi="Arial"/>
                <w:sz w:val="16"/>
                <w:szCs w:val="16"/>
                <w:color w:val="auto"/>
              </w:rPr>
              <w:t>8,000</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1300" w:type="dxa"/>
            <w:vAlign w:val="bottom"/>
          </w:tcPr>
          <w:p>
            <w:pPr>
              <w:jc w:val="right"/>
              <w:spacing w:after="0"/>
              <w:rPr>
                <w:sz w:val="20"/>
                <w:szCs w:val="20"/>
                <w:color w:val="auto"/>
              </w:rPr>
            </w:pPr>
            <w:r>
              <w:rPr>
                <w:rFonts w:ascii="Arial" w:cs="Arial" w:eastAsia="Arial" w:hAnsi="Arial"/>
                <w:sz w:val="16"/>
                <w:szCs w:val="16"/>
                <w:color w:val="auto"/>
              </w:rPr>
              <w:t>Feb 5, 2031</w:t>
            </w:r>
          </w:p>
        </w:tc>
      </w:tr>
      <w:tr>
        <w:trPr>
          <w:trHeight w:val="20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0.24%</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0.20%</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 1, 2031</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Ms. Monges</w:t>
            </w:r>
          </w:p>
        </w:tc>
        <w:tc>
          <w:tcPr>
            <w:tcW w:w="980" w:type="dxa"/>
            <w:vAlign w:val="bottom"/>
          </w:tcPr>
          <w:p>
            <w:pPr>
              <w:jc w:val="right"/>
              <w:spacing w:after="0"/>
              <w:rPr>
                <w:sz w:val="20"/>
                <w:szCs w:val="20"/>
                <w:color w:val="auto"/>
              </w:rPr>
            </w:pPr>
            <w:r>
              <w:rPr>
                <w:rFonts w:ascii="Arial" w:cs="Arial" w:eastAsia="Arial" w:hAnsi="Arial"/>
                <w:sz w:val="16"/>
                <w:szCs w:val="16"/>
                <w:color w:val="auto"/>
              </w:rPr>
              <w:t>35,000</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17.43</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0.11%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0.09%</w:t>
            </w:r>
          </w:p>
        </w:tc>
        <w:tc>
          <w:tcPr>
            <w:tcW w:w="1300" w:type="dxa"/>
            <w:vAlign w:val="bottom"/>
          </w:tcPr>
          <w:p>
            <w:pPr>
              <w:jc w:val="right"/>
              <w:spacing w:after="0"/>
              <w:rPr>
                <w:sz w:val="20"/>
                <w:szCs w:val="20"/>
                <w:color w:val="auto"/>
              </w:rPr>
            </w:pPr>
            <w:r>
              <w:rPr>
                <w:rFonts w:ascii="Arial" w:cs="Arial" w:eastAsia="Arial" w:hAnsi="Arial"/>
                <w:sz w:val="16"/>
                <w:szCs w:val="16"/>
                <w:color w:val="auto"/>
              </w:rPr>
              <w:t>July 1, 2031</w:t>
            </w:r>
          </w:p>
        </w:tc>
      </w:tr>
      <w:tr>
        <w:trPr>
          <w:trHeight w:val="20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0.11%</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0.09%</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 1, 2032</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Dr. de Jonge Schuermans</w:t>
            </w:r>
          </w:p>
        </w:tc>
        <w:tc>
          <w:tcPr>
            <w:tcW w:w="980" w:type="dxa"/>
            <w:vAlign w:val="bottom"/>
          </w:tcPr>
          <w:p>
            <w:pPr>
              <w:jc w:val="right"/>
              <w:spacing w:after="0"/>
              <w:rPr>
                <w:sz w:val="20"/>
                <w:szCs w:val="20"/>
                <w:color w:val="auto"/>
              </w:rPr>
            </w:pPr>
            <w:r>
              <w:rPr>
                <w:rFonts w:ascii="Arial" w:cs="Arial" w:eastAsia="Arial" w:hAnsi="Arial"/>
                <w:sz w:val="16"/>
                <w:szCs w:val="16"/>
                <w:color w:val="auto"/>
              </w:rPr>
              <w:t>35,000</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14.39</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0.11%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0.09%</w:t>
            </w:r>
          </w:p>
        </w:tc>
        <w:tc>
          <w:tcPr>
            <w:tcW w:w="1300" w:type="dxa"/>
            <w:vAlign w:val="bottom"/>
          </w:tcPr>
          <w:p>
            <w:pPr>
              <w:jc w:val="right"/>
              <w:spacing w:after="0"/>
              <w:rPr>
                <w:sz w:val="20"/>
                <w:szCs w:val="20"/>
                <w:color w:val="auto"/>
              </w:rPr>
            </w:pPr>
            <w:r>
              <w:rPr>
                <w:rFonts w:ascii="Arial" w:cs="Arial" w:eastAsia="Arial" w:hAnsi="Arial"/>
                <w:sz w:val="16"/>
                <w:szCs w:val="16"/>
                <w:color w:val="auto"/>
              </w:rPr>
              <w:t>Jan 1, 2032</w:t>
            </w:r>
          </w:p>
        </w:tc>
      </w:tr>
      <w:tr>
        <w:trPr>
          <w:trHeight w:val="20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Dr. Souverijns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0.35%</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0.29%</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July 1, 2031</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Mr. Schikan</w:t>
            </w:r>
          </w:p>
        </w:tc>
        <w:tc>
          <w:tcPr>
            <w:tcW w:w="980" w:type="dxa"/>
            <w:vAlign w:val="bottom"/>
          </w:tcPr>
          <w:p>
            <w:pPr>
              <w:jc w:val="right"/>
              <w:spacing w:after="0"/>
              <w:rPr>
                <w:sz w:val="20"/>
                <w:szCs w:val="20"/>
                <w:color w:val="auto"/>
              </w:rPr>
            </w:pPr>
            <w:r>
              <w:rPr>
                <w:rFonts w:ascii="Arial" w:cs="Arial" w:eastAsia="Arial" w:hAnsi="Arial"/>
                <w:sz w:val="16"/>
                <w:szCs w:val="16"/>
                <w:color w:val="auto"/>
              </w:rPr>
              <w:t>35,000</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0.11%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0.09%</w:t>
            </w:r>
          </w:p>
        </w:tc>
        <w:tc>
          <w:tcPr>
            <w:tcW w:w="1300" w:type="dxa"/>
            <w:vAlign w:val="bottom"/>
          </w:tcPr>
          <w:p>
            <w:pPr>
              <w:jc w:val="right"/>
              <w:spacing w:after="0"/>
              <w:rPr>
                <w:sz w:val="20"/>
                <w:szCs w:val="20"/>
                <w:color w:val="auto"/>
              </w:rPr>
            </w:pPr>
            <w:r>
              <w:rPr>
                <w:rFonts w:ascii="Arial" w:cs="Arial" w:eastAsia="Arial" w:hAnsi="Arial"/>
                <w:sz w:val="16"/>
                <w:szCs w:val="16"/>
                <w:color w:val="auto"/>
              </w:rPr>
              <w:t>Feb 5, 2031</w:t>
            </w:r>
          </w:p>
        </w:tc>
      </w:tr>
      <w:tr>
        <w:trPr>
          <w:trHeight w:val="20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Ms. Nijdam</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0.09%</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0.08%</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 5, 2031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2016 Equity Incentive Plan</w:t>
      </w:r>
    </w:p>
    <w:p>
      <w:pPr>
        <w:spacing w:after="0" w:line="179" w:lineRule="exact"/>
        <w:rPr>
          <w:sz w:val="20"/>
          <w:szCs w:val="20"/>
          <w:color w:val="auto"/>
        </w:rPr>
      </w:pPr>
    </w:p>
    <w:p>
      <w:pPr>
        <w:ind w:right="140" w:firstLine="445"/>
        <w:spacing w:after="0" w:line="256" w:lineRule="auto"/>
        <w:rPr>
          <w:sz w:val="20"/>
          <w:szCs w:val="20"/>
          <w:color w:val="auto"/>
        </w:rPr>
      </w:pPr>
      <w:r>
        <w:rPr>
          <w:rFonts w:ascii="Arial" w:cs="Arial" w:eastAsia="Arial" w:hAnsi="Arial"/>
          <w:sz w:val="16"/>
          <w:szCs w:val="16"/>
          <w:color w:val="auto"/>
        </w:rPr>
        <w:t>In 2016, the Company adopted the Pharvaris B.V. 2016 Equity Incentive Plan (the “2016 Plan”) in order to advance the interests of the Company and its stakeholders by enhancing the Company’s ability to attract, retain and motivate persons who are expected to make important contributions to the Company and by providing incentives for such persons to exert maximum efforts for the success of the Company and provide a means by which eligible individuals may benefit from increases in the value of the Company’s shares. The 2016 Plan was amended and restated in connection with our initial public offering. As of March 10, 2022, there were no shares available for issuance under the 2016 Plan.</w:t>
      </w:r>
    </w:p>
    <w:p>
      <w:pPr>
        <w:spacing w:after="0" w:line="153" w:lineRule="exact"/>
        <w:rPr>
          <w:sz w:val="20"/>
          <w:szCs w:val="20"/>
          <w:color w:val="auto"/>
        </w:rPr>
      </w:pPr>
    </w:p>
    <w:p>
      <w:pPr>
        <w:ind w:right="100" w:firstLine="445"/>
        <w:spacing w:after="0" w:line="286" w:lineRule="auto"/>
        <w:rPr>
          <w:sz w:val="20"/>
          <w:szCs w:val="20"/>
          <w:color w:val="auto"/>
        </w:rPr>
      </w:pPr>
      <w:r>
        <w:rPr>
          <w:rFonts w:ascii="Arial" w:cs="Arial" w:eastAsia="Arial" w:hAnsi="Arial"/>
          <w:sz w:val="16"/>
          <w:szCs w:val="16"/>
          <w:color w:val="auto"/>
        </w:rPr>
        <w:t>The 2016 Plan provided for the grant of options, stock appreciation rights, restricted stock, restricted stock units (“RSUs”), performance stock awards, performance cash awards, and other stock-based awards.</w:t>
      </w:r>
    </w:p>
    <w:p>
      <w:pPr>
        <w:spacing w:after="0" w:line="115" w:lineRule="exact"/>
        <w:rPr>
          <w:sz w:val="20"/>
          <w:szCs w:val="20"/>
          <w:color w:val="auto"/>
        </w:rPr>
      </w:pPr>
    </w:p>
    <w:p>
      <w:pPr>
        <w:ind w:right="300" w:firstLine="445"/>
        <w:spacing w:after="0" w:line="266" w:lineRule="auto"/>
        <w:rPr>
          <w:sz w:val="20"/>
          <w:szCs w:val="20"/>
          <w:color w:val="auto"/>
        </w:rPr>
      </w:pPr>
      <w:r>
        <w:rPr>
          <w:rFonts w:ascii="Arial" w:cs="Arial" w:eastAsia="Arial" w:hAnsi="Arial"/>
          <w:sz w:val="16"/>
          <w:szCs w:val="16"/>
          <w:color w:val="auto"/>
        </w:rPr>
        <w:t>In connection with the consummation of our initial public offering, we granted our executive officers and directors stock options to purchase an aggregate of 873,000 ordinary shares in accordance with the terms of the 2016 Plan and the terms and conditions of award agreements evidencing such grants. The exercise price per share was the initial public offering price per share.</w:t>
      </w:r>
    </w:p>
    <w:p>
      <w:pPr>
        <w:spacing w:after="0" w:line="158" w:lineRule="exact"/>
        <w:rPr>
          <w:sz w:val="20"/>
          <w:szCs w:val="20"/>
          <w:color w:val="auto"/>
        </w:rPr>
      </w:pPr>
    </w:p>
    <w:p>
      <w:pPr>
        <w:ind w:left="120" w:right="360" w:firstLine="430"/>
        <w:spacing w:after="0" w:line="286" w:lineRule="auto"/>
        <w:rPr>
          <w:sz w:val="20"/>
          <w:szCs w:val="20"/>
          <w:color w:val="auto"/>
        </w:rPr>
      </w:pPr>
      <w:r>
        <w:rPr>
          <w:rFonts w:ascii="Arial" w:cs="Arial" w:eastAsia="Arial" w:hAnsi="Arial"/>
          <w:sz w:val="16"/>
          <w:szCs w:val="16"/>
          <w:color w:val="auto"/>
        </w:rPr>
        <w:t>As of March 10, 2022, the total number of options held by the Board and Senior Management and other employees is 2,574,295 with a weighted average exercise price of €15,62 per share. None of these options have been exercised.</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10, 2022, the total number of RSUs held by Senior Management and other employees is 233,131.</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2021 Equity Incentive Plan</w:t>
      </w:r>
    </w:p>
    <w:p>
      <w:pPr>
        <w:spacing w:after="0" w:line="179" w:lineRule="exact"/>
        <w:rPr>
          <w:sz w:val="20"/>
          <w:szCs w:val="20"/>
          <w:color w:val="auto"/>
        </w:rPr>
      </w:pPr>
    </w:p>
    <w:p>
      <w:pPr>
        <w:ind w:firstLine="445"/>
        <w:spacing w:after="0" w:line="250" w:lineRule="auto"/>
        <w:rPr>
          <w:sz w:val="20"/>
          <w:szCs w:val="20"/>
          <w:color w:val="auto"/>
        </w:rPr>
      </w:pPr>
      <w:r>
        <w:rPr>
          <w:rFonts w:ascii="Arial" w:cs="Arial" w:eastAsia="Arial" w:hAnsi="Arial"/>
          <w:sz w:val="16"/>
          <w:szCs w:val="16"/>
          <w:color w:val="auto"/>
        </w:rPr>
        <w:t>In order to incentivize our directors and employees, our Board adopted the Pharvaris N.V. 2021 Equity Incentive Plan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 The 2021 Plan is intended to help us secure and retain the services of eligible award recipients, provide incentives for such persons to exert maximum efforts for our success and provide a means by which eligible recipients may benefit from increases in the value of our ordinary shares. Subject to adjustment in the event of certain transactions or changes of capitalization in accordance with the 2021 Plan, ordinary shares equal to 9% of the Company’s issued share capital as of the date of the consummation of the IPO were initially reserved for issuance pursuant to awards under the 2021 Plan. The total number of ordinary shares reserved for issuance under the 2021 Plan will be increased on January 1 of each calendar year during the term of the 2021 Plan, by the lesser of (i) 4% of the total number of shares outstanding as of the date of increase or (ii) such number of ordinary shares determined by our board of directors.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Consulting Agreements with Senior Management</w:t>
      </w:r>
    </w:p>
    <w:p>
      <w:pPr>
        <w:spacing w:after="0" w:line="194"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We have entered into written employment or service agreements with each member of our Senior Management. See “ITEM 7. MAJOR SHAREHOLDERS AND RELATED PARTY TRANSACTIONS—B. Related party transactions —Agreements and Arrangements with Senior Management”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 Contracts</w:t>
      </w:r>
    </w:p>
    <w:p>
      <w:pPr>
        <w:spacing w:after="0" w:line="181" w:lineRule="exact"/>
        <w:rPr>
          <w:sz w:val="20"/>
          <w:szCs w:val="20"/>
          <w:color w:val="auto"/>
        </w:rPr>
      </w:pPr>
    </w:p>
    <w:p>
      <w:pPr>
        <w:ind w:right="420" w:firstLine="445"/>
        <w:spacing w:after="0" w:line="266" w:lineRule="auto"/>
        <w:rPr>
          <w:sz w:val="20"/>
          <w:szCs w:val="20"/>
          <w:color w:val="auto"/>
        </w:rPr>
      </w:pPr>
      <w:r>
        <w:rPr>
          <w:rFonts w:ascii="Arial" w:cs="Arial" w:eastAsia="Arial" w:hAnsi="Arial"/>
          <w:sz w:val="16"/>
          <w:szCs w:val="16"/>
          <w:color w:val="auto"/>
        </w:rPr>
        <w:t>We have entered into service contracts with Dr. Björk, Dr.de Jonge Schuermans, Dr. Glassman, Dr. Meeker, Ms. Monges, and Mr. Schikan that memorialize the terms of their compensation, duties and obligations to the Company. See “ITEM 7. MAJOR SHAREHOLDERS AND RELATED PARTY TRANSACTIONS—B. Related party transactions —Agreements and Arrangements with our Directors”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and Indemnification</w:t>
      </w:r>
    </w:p>
    <w:p>
      <w:pPr>
        <w:spacing w:after="0" w:line="181" w:lineRule="exact"/>
        <w:rPr>
          <w:sz w:val="20"/>
          <w:szCs w:val="20"/>
          <w:color w:val="auto"/>
        </w:rPr>
      </w:pPr>
    </w:p>
    <w:p>
      <w:pPr>
        <w:jc w:val="both"/>
        <w:ind w:right="180" w:firstLine="445"/>
        <w:spacing w:after="0" w:line="266" w:lineRule="auto"/>
        <w:rPr>
          <w:sz w:val="20"/>
          <w:szCs w:val="20"/>
          <w:color w:val="auto"/>
        </w:rPr>
      </w:pPr>
      <w:r>
        <w:rPr>
          <w:rFonts w:ascii="Arial" w:cs="Arial" w:eastAsia="Arial" w:hAnsi="Arial"/>
          <w:sz w:val="16"/>
          <w:szCs w:val="16"/>
          <w:color w:val="auto"/>
        </w:rPr>
        <w:t>Under Dutch law, members of the Board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w:t>
      </w:r>
    </w:p>
    <w:p>
      <w:pPr>
        <w:spacing w:after="0" w:line="131" w:lineRule="exact"/>
        <w:rPr>
          <w:sz w:val="20"/>
          <w:szCs w:val="20"/>
          <w:color w:val="auto"/>
        </w:rPr>
      </w:pPr>
    </w:p>
    <w:p>
      <w:pPr>
        <w:ind w:right="540" w:firstLine="445"/>
        <w:spacing w:after="0" w:line="286" w:lineRule="auto"/>
        <w:rPr>
          <w:sz w:val="20"/>
          <w:szCs w:val="20"/>
          <w:color w:val="auto"/>
        </w:rPr>
      </w:pPr>
      <w:r>
        <w:rPr>
          <w:rFonts w:ascii="Arial" w:cs="Arial" w:eastAsia="Arial" w:hAnsi="Arial"/>
          <w:sz w:val="16"/>
          <w:szCs w:val="16"/>
          <w:color w:val="auto"/>
        </w:rPr>
        <w:t>Members of the Board, Senior Management, certain other of our officers and certain subsidiaries are insured under an insurance policy against damages resulting from their conduct when acting in the capacities as such members or officers.</w:t>
      </w:r>
    </w:p>
    <w:p>
      <w:pPr>
        <w:spacing w:after="0" w:line="129" w:lineRule="exact"/>
        <w:rPr>
          <w:sz w:val="20"/>
          <w:szCs w:val="20"/>
          <w:color w:val="auto"/>
        </w:rPr>
      </w:pPr>
    </w:p>
    <w:p>
      <w:pPr>
        <w:ind w:right="40" w:firstLine="445"/>
        <w:spacing w:after="0" w:line="249" w:lineRule="auto"/>
        <w:rPr>
          <w:sz w:val="20"/>
          <w:szCs w:val="20"/>
          <w:color w:val="auto"/>
        </w:rPr>
      </w:pPr>
      <w:r>
        <w:rPr>
          <w:rFonts w:ascii="Arial" w:cs="Arial" w:eastAsia="Arial" w:hAnsi="Arial"/>
          <w:sz w:val="16"/>
          <w:szCs w:val="16"/>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Dutch Corporate Governance</w:t>
      </w:r>
    </w:p>
    <w:p>
      <w:pPr>
        <w:spacing w:after="0" w:line="181" w:lineRule="exact"/>
        <w:rPr>
          <w:sz w:val="20"/>
          <w:szCs w:val="20"/>
          <w:color w:val="auto"/>
        </w:rPr>
      </w:pPr>
    </w:p>
    <w:p>
      <w:pPr>
        <w:ind w:right="60" w:firstLine="445"/>
        <w:spacing w:after="0" w:line="253" w:lineRule="auto"/>
        <w:rPr>
          <w:sz w:val="20"/>
          <w:szCs w:val="20"/>
          <w:color w:val="auto"/>
        </w:rPr>
      </w:pPr>
      <w:r>
        <w:rPr>
          <w:rFonts w:ascii="Arial" w:cs="Arial" w:eastAsia="Arial" w:hAnsi="Arial"/>
          <w:sz w:val="16"/>
          <w:szCs w:val="16"/>
          <w:color w:val="auto"/>
        </w:rPr>
        <w:t>As a listed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annual reports whether they comply with the provisions of the DCGC. If a company subject to the DCGC does not comply with these provisions, that company would be required to give reason for such non-compliance. We do not comply with all best practice provisions of the DCGC. As of the date of this prospectus, our main from the DCGC are summarized below, but we cannot exclude the possibility of deviating from additional provisions of the DCGC after the date hereof and including in order to follow market practice or governance practices in the United States.</w:t>
      </w:r>
    </w:p>
    <w:p>
      <w:pPr>
        <w:spacing w:after="0" w:line="154" w:lineRule="exact"/>
        <w:rPr>
          <w:sz w:val="20"/>
          <w:szCs w:val="20"/>
          <w:color w:val="auto"/>
        </w:rPr>
      </w:pPr>
    </w:p>
    <w:p>
      <w:pPr>
        <w:ind w:right="200" w:firstLine="445"/>
        <w:spacing w:after="0" w:line="256" w:lineRule="auto"/>
        <w:rPr>
          <w:sz w:val="20"/>
          <w:szCs w:val="20"/>
          <w:color w:val="auto"/>
        </w:rPr>
      </w:pPr>
      <w:r>
        <w:rPr>
          <w:rFonts w:ascii="Arial" w:cs="Arial" w:eastAsia="Arial" w:hAnsi="Arial"/>
          <w:sz w:val="16"/>
          <w:szCs w:val="16"/>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39" w:lineRule="exact"/>
        <w:rPr>
          <w:sz w:val="20"/>
          <w:szCs w:val="20"/>
          <w:color w:val="auto"/>
        </w:rPr>
      </w:pPr>
    </w:p>
    <w:p>
      <w:pPr>
        <w:ind w:right="40" w:firstLine="445"/>
        <w:spacing w:after="0" w:line="259" w:lineRule="auto"/>
        <w:rPr>
          <w:sz w:val="20"/>
          <w:szCs w:val="20"/>
          <w:color w:val="auto"/>
        </w:rPr>
      </w:pPr>
      <w:r>
        <w:rPr>
          <w:rFonts w:ascii="Arial" w:cs="Arial" w:eastAsia="Arial" w:hAnsi="Arial"/>
          <w:sz w:val="16"/>
          <w:szCs w:val="16"/>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37" w:lineRule="exact"/>
        <w:rPr>
          <w:sz w:val="20"/>
          <w:szCs w:val="20"/>
          <w:color w:val="auto"/>
        </w:rPr>
      </w:pPr>
    </w:p>
    <w:p>
      <w:pPr>
        <w:ind w:right="440" w:firstLine="445"/>
        <w:spacing w:after="0" w:line="286" w:lineRule="auto"/>
        <w:rPr>
          <w:sz w:val="20"/>
          <w:szCs w:val="20"/>
          <w:color w:val="auto"/>
        </w:rPr>
      </w:pPr>
      <w:r>
        <w:rPr>
          <w:rFonts w:ascii="Arial" w:cs="Arial" w:eastAsia="Arial" w:hAnsi="Arial"/>
          <w:sz w:val="16"/>
          <w:szCs w:val="16"/>
          <w:color w:val="auto"/>
        </w:rPr>
        <w:t>The DCGC recommends against providing equity awards as part of the compensation of a non-executive director. However, consistent with U.S. market practice, we have granted equity awards to our non-executive directors</w:t>
      </w:r>
    </w:p>
    <w:p>
      <w:pPr>
        <w:spacing w:after="0" w:line="129" w:lineRule="exact"/>
        <w:rPr>
          <w:sz w:val="20"/>
          <w:szCs w:val="20"/>
          <w:color w:val="auto"/>
        </w:rPr>
      </w:pPr>
    </w:p>
    <w:p>
      <w:pPr>
        <w:ind w:right="260" w:firstLine="445"/>
        <w:spacing w:after="0" w:line="286" w:lineRule="auto"/>
        <w:rPr>
          <w:sz w:val="20"/>
          <w:szCs w:val="20"/>
          <w:color w:val="auto"/>
        </w:rPr>
      </w:pPr>
      <w:r>
        <w:rPr>
          <w:rFonts w:ascii="Arial" w:cs="Arial" w:eastAsia="Arial" w:hAnsi="Arial"/>
          <w:sz w:val="16"/>
          <w:szCs w:val="16"/>
          <w:color w:val="auto"/>
        </w:rPr>
        <w:t>Our Plan allows us to set the terms and conditions of equity awards granted thereunder. Under the Plan, we may grant ordinary shares that are not subject to a lock-up period of at least five years after the date of grant, and we may grant options without restricting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exercisability of those options during the first three years after the date of grant. In those cases, this would cause additional deviations from the DCGC.</w:t>
      </w:r>
    </w:p>
    <w:p>
      <w:pPr>
        <w:spacing w:after="0" w:line="194" w:lineRule="exact"/>
        <w:rPr>
          <w:sz w:val="20"/>
          <w:szCs w:val="20"/>
          <w:color w:val="auto"/>
        </w:rPr>
      </w:pPr>
    </w:p>
    <w:p>
      <w:pPr>
        <w:ind w:left="880" w:hanging="440"/>
        <w:spacing w:after="0"/>
        <w:tabs>
          <w:tab w:leader="none" w:pos="88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Structure</w:t>
      </w:r>
    </w:p>
    <w:p>
      <w:pPr>
        <w:spacing w:after="0" w:line="181" w:lineRule="exact"/>
        <w:rPr>
          <w:sz w:val="20"/>
          <w:szCs w:val="20"/>
          <w:color w:val="auto"/>
        </w:rPr>
      </w:pPr>
    </w:p>
    <w:p>
      <w:pPr>
        <w:ind w:right="60" w:firstLine="445"/>
        <w:spacing w:after="0" w:line="250" w:lineRule="auto"/>
        <w:rPr>
          <w:sz w:val="20"/>
          <w:szCs w:val="20"/>
          <w:color w:val="auto"/>
        </w:rPr>
      </w:pPr>
      <w:r>
        <w:rPr>
          <w:rFonts w:ascii="Arial" w:cs="Arial" w:eastAsia="Arial" w:hAnsi="Arial"/>
          <w:sz w:val="16"/>
          <w:szCs w:val="16"/>
          <w:color w:val="auto"/>
        </w:rPr>
        <w:t>The Board is charged with the management of the Company, which includes setting the Company's strategy, subject to the restrictions contained in our Articles of Association. The executive director manages our day-to-day business and operations and implement our strategy. The non-executive directors focus on the supervision of the policy and functioning of the performance of the duties of all directors and our general state of affairs. The directors may divide their tasks among themselves in or pursuant to internal rules.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Our Board is entitled to represent the Company. The power to represent the Company also vests in our chief executive officer, as well as in any other two executive directors acting jointly. Any resolution of the Board regarding a material change in our identity or character, as defined under Dutch law, requires approval of our general meeting. The absence of the approval of the general meeting shall result in the relevant resolution being null and void but shall not affect the powers of representation of the Board or of the executive directors.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may consist of one or more executive directors and one or more non-executive directors. The Board shall be composed of individuals.</w:t>
      </w:r>
    </w:p>
    <w:p>
      <w:pPr>
        <w:spacing w:after="0" w:line="194" w:lineRule="exact"/>
        <w:rPr>
          <w:sz w:val="20"/>
          <w:szCs w:val="20"/>
          <w:color w:val="auto"/>
        </w:rPr>
      </w:pPr>
    </w:p>
    <w:p>
      <w:pPr>
        <w:ind w:right="40" w:firstLine="445"/>
        <w:spacing w:after="0" w:line="259" w:lineRule="auto"/>
        <w:rPr>
          <w:sz w:val="20"/>
          <w:szCs w:val="20"/>
          <w:color w:val="auto"/>
        </w:rPr>
      </w:pPr>
      <w:r>
        <w:rPr>
          <w:rFonts w:ascii="Arial" w:cs="Arial" w:eastAsia="Arial" w:hAnsi="Arial"/>
          <w:sz w:val="16"/>
          <w:szCs w:val="16"/>
          <w:color w:val="auto"/>
        </w:rPr>
        <w:t>Under our Articles of Association, the directors are appointed by the general meeting upon binding nomination by our Board based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37" w:lineRule="exact"/>
        <w:rPr>
          <w:sz w:val="20"/>
          <w:szCs w:val="20"/>
          <w:color w:val="auto"/>
        </w:rPr>
      </w:pPr>
    </w:p>
    <w:p>
      <w:pPr>
        <w:ind w:right="240" w:firstLine="445"/>
        <w:spacing w:after="0" w:line="266" w:lineRule="auto"/>
        <w:rPr>
          <w:sz w:val="20"/>
          <w:szCs w:val="20"/>
          <w:color w:val="auto"/>
        </w:rPr>
      </w:pPr>
      <w:r>
        <w:rPr>
          <w:rFonts w:ascii="Arial" w:cs="Arial" w:eastAsia="Arial" w:hAnsi="Arial"/>
          <w:sz w:val="16"/>
          <w:szCs w:val="16"/>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31" w:lineRule="exact"/>
        <w:rPr>
          <w:sz w:val="20"/>
          <w:szCs w:val="20"/>
          <w:color w:val="auto"/>
        </w:rPr>
      </w:pPr>
    </w:p>
    <w:p>
      <w:pPr>
        <w:ind w:firstLine="445"/>
        <w:spacing w:after="0" w:line="256" w:lineRule="auto"/>
        <w:rPr>
          <w:sz w:val="20"/>
          <w:szCs w:val="20"/>
          <w:color w:val="auto"/>
        </w:rPr>
      </w:pPr>
      <w:r>
        <w:rPr>
          <w:rFonts w:ascii="Arial" w:cs="Arial" w:eastAsia="Arial" w:hAnsi="Arial"/>
          <w:sz w:val="16"/>
          <w:szCs w:val="16"/>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the issued share capital, unless the resolution is passed at the proposal of the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53" w:lineRule="exact"/>
        <w:rPr>
          <w:sz w:val="20"/>
          <w:szCs w:val="20"/>
          <w:color w:val="auto"/>
        </w:rPr>
      </w:pPr>
    </w:p>
    <w:p>
      <w:pPr>
        <w:ind w:right="60" w:firstLine="445"/>
        <w:spacing w:after="0" w:line="266" w:lineRule="auto"/>
        <w:rPr>
          <w:sz w:val="20"/>
          <w:szCs w:val="20"/>
          <w:color w:val="auto"/>
        </w:rPr>
      </w:pPr>
      <w:r>
        <w:rPr>
          <w:rFonts w:ascii="Arial" w:cs="Arial" w:eastAsia="Arial" w:hAnsi="Arial"/>
          <w:sz w:val="16"/>
          <w:szCs w:val="16"/>
          <w:color w:val="auto"/>
        </w:rPr>
        <w:t>The Board may also suspend, but may not remove, an executive director. The Articles of Association do not contain limitations on the period of a term of appointment nor on the number of consecutive terms, but we will be subject to the Dutch Corporate Governance Code, or DCGC, which provides the following best practice recommendations on the terms for directors’ service:</w:t>
      </w:r>
    </w:p>
    <w:p>
      <w:pPr>
        <w:spacing w:after="0" w:line="117" w:lineRule="exact"/>
        <w:rPr>
          <w:sz w:val="20"/>
          <w:szCs w:val="20"/>
          <w:color w:val="auto"/>
        </w:rPr>
      </w:pPr>
    </w:p>
    <w:p>
      <w:pPr>
        <w:ind w:left="840" w:right="220" w:hanging="414"/>
        <w:spacing w:after="0" w:line="286" w:lineRule="auto"/>
        <w:tabs>
          <w:tab w:leader="none" w:pos="8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executive directors should be appointed for a maximum period of four years, without limiting the number of consecutive terms they may serve; and</w:t>
      </w:r>
    </w:p>
    <w:p>
      <w:pPr>
        <w:spacing w:after="0" w:line="101" w:lineRule="exact"/>
        <w:rPr>
          <w:rFonts w:ascii="Arial" w:cs="Arial" w:eastAsia="Arial" w:hAnsi="Arial"/>
          <w:sz w:val="16"/>
          <w:szCs w:val="16"/>
          <w:color w:val="auto"/>
        </w:rPr>
      </w:pPr>
    </w:p>
    <w:p>
      <w:pPr>
        <w:ind w:left="840" w:right="80" w:hanging="414"/>
        <w:spacing w:after="0" w:line="266" w:lineRule="auto"/>
        <w:tabs>
          <w:tab w:leader="none" w:pos="8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non-executive directors should be appointed for two consecutive periods of no more than four years, after which non-executive directors may be reappointed for a maximum of two consecutive periods of no more than two years, provided that of the reasons for any reappointment after an eight-year term of office should be disclosed in the Company’s statutory annual Board report.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 Diversity and Election of Directors</w:t>
      </w:r>
    </w:p>
    <w:p>
      <w:pPr>
        <w:spacing w:after="0" w:line="181"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Our Board is comprised of seven members, one of whom is an executive director. The members of our Board do not have a retirement age requirement under our Articles of Association. No family relationships or other arrangements exist among any member of our Board or Senior Management.</w:t>
      </w:r>
    </w:p>
    <w:p>
      <w:pPr>
        <w:spacing w:after="0" w:line="129" w:lineRule="exact"/>
        <w:rPr>
          <w:sz w:val="20"/>
          <w:szCs w:val="20"/>
          <w:color w:val="auto"/>
        </w:rPr>
      </w:pPr>
    </w:p>
    <w:p>
      <w:pPr>
        <w:ind w:right="100" w:firstLine="445"/>
        <w:spacing w:after="0" w:line="252" w:lineRule="auto"/>
        <w:rPr>
          <w:sz w:val="20"/>
          <w:szCs w:val="20"/>
          <w:color w:val="auto"/>
        </w:rPr>
      </w:pPr>
      <w:r>
        <w:rPr>
          <w:rFonts w:ascii="Arial" w:cs="Arial" w:eastAsia="Arial" w:hAnsi="Arial"/>
          <w:sz w:val="16"/>
          <w:szCs w:val="16"/>
          <w:color w:val="auto"/>
        </w:rPr>
        <w:t>Our diversity policy is that we will balance our Board in terms of gender, age, background and nationality as much as reasonably possible while still having our board composed of the best possible candidates overall. It has been and will remain our priority to have the best available specialists on our Board, irrespective of age, background, nationality and gender, who make a balanced panel of directors able to advise and guide our Company to further growth and success for all its stakeholders. This means we require a number of specialties and character traits to be present. Taking into account the aforementioned and the specialist nature of our business, we will actively seek to further improve diversity on our board if and when proposing new appointments to our Board, whilst acknowledging that age, gender and nationality are important, but not the only factors relevant for the ultimate decision to select a board member. The table below provides information as to the gender diversity of our Board. Dutch law prohibits us from gathering and disclosing demographic background data.</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7" w:lineRule="exact"/>
        <w:rPr>
          <w:sz w:val="20"/>
          <w:szCs w:val="20"/>
          <w:color w:val="auto"/>
        </w:rPr>
      </w:pPr>
    </w:p>
    <w:tbl>
      <w:tblPr>
        <w:tblLayout w:type="fixed"/>
        <w:tblInd w:w="590" w:type="dxa"/>
        <w:tblCellMar>
          <w:top w:w="0" w:type="dxa"/>
          <w:left w:w="0" w:type="dxa"/>
          <w:bottom w:w="0" w:type="dxa"/>
          <w:right w:w="0" w:type="dxa"/>
        </w:tblCellMar>
      </w:tblPr>
      <w:tr>
        <w:trPr>
          <w:trHeight w:val="216"/>
        </w:trPr>
        <w:tc>
          <w:tcPr>
            <w:tcW w:w="7100" w:type="dxa"/>
            <w:vAlign w:val="bottom"/>
            <w:tcBorders>
              <w:top w:val="single" w:sz="8" w:color="auto"/>
              <w:left w:val="single" w:sz="8" w:color="auto"/>
              <w:bottom w:val="single" w:sz="8" w:color="auto"/>
            </w:tcBorders>
            <w:gridSpan w:val="3"/>
          </w:tcPr>
          <w:p>
            <w:pPr>
              <w:ind w:left="3300"/>
              <w:spacing w:after="0"/>
              <w:rPr>
                <w:sz w:val="20"/>
                <w:szCs w:val="20"/>
                <w:color w:val="auto"/>
              </w:rPr>
            </w:pPr>
            <w:r>
              <w:rPr>
                <w:rFonts w:ascii="Arial" w:cs="Arial" w:eastAsia="Arial" w:hAnsi="Arial"/>
                <w:sz w:val="16"/>
                <w:szCs w:val="16"/>
                <w:b w:val="1"/>
                <w:bCs w:val="1"/>
                <w:color w:val="auto"/>
              </w:rPr>
              <w:t>Board Diversity Matrix (As of March 29, 2022)</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Country of Principal Executive Offices:</w:t>
            </w:r>
          </w:p>
        </w:tc>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 Netherlands</w:t>
            </w: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Foreign Private Issuer</w:t>
            </w:r>
          </w:p>
        </w:tc>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Yes</w:t>
            </w: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Disclosure Prohibited under Home Country Law</w:t>
            </w:r>
          </w:p>
        </w:tc>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Yes</w:t>
            </w: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 Number of Directors</w:t>
            </w:r>
          </w:p>
        </w:tc>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7</w:t>
            </w: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80" w:type="dxa"/>
            <w:vAlign w:val="bottom"/>
            <w:tcBorders>
              <w:left w:val="single" w:sz="8" w:color="auto"/>
              <w:right w:val="single" w:sz="8" w:color="auto"/>
            </w:tcBorders>
            <w:shd w:val="clear" w:color="auto" w:fill="D9D9D9"/>
          </w:tcPr>
          <w:p>
            <w:pPr>
              <w:spacing w:after="0"/>
              <w:rPr>
                <w:sz w:val="15"/>
                <w:szCs w:val="15"/>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Female</w:t>
            </w:r>
          </w:p>
        </w:tc>
        <w:tc>
          <w:tcPr>
            <w:tcW w:w="1060" w:type="dxa"/>
            <w:vAlign w:val="bottom"/>
            <w:vMerge w:val="restart"/>
            <w:shd w:val="clear" w:color="auto" w:fill="D9D9D9"/>
          </w:tcPr>
          <w:p>
            <w:pPr>
              <w:jc w:val="center"/>
              <w:ind w:left="179"/>
              <w:spacing w:after="0"/>
              <w:rPr>
                <w:sz w:val="20"/>
                <w:szCs w:val="20"/>
                <w:color w:val="auto"/>
              </w:rPr>
            </w:pPr>
            <w:r>
              <w:rPr>
                <w:rFonts w:ascii="Arial" w:cs="Arial" w:eastAsia="Arial" w:hAnsi="Arial"/>
                <w:sz w:val="16"/>
                <w:szCs w:val="16"/>
                <w:b w:val="1"/>
                <w:bCs w:val="1"/>
                <w:color w:val="auto"/>
              </w:rPr>
              <w:t>Male</w:t>
            </w:r>
          </w:p>
        </w:tc>
        <w:tc>
          <w:tcPr>
            <w:tcW w:w="280" w:type="dxa"/>
            <w:vAlign w:val="bottom"/>
            <w:tcBorders>
              <w:right w:val="single" w:sz="8" w:color="auto"/>
            </w:tcBorders>
            <w:shd w:val="clear" w:color="auto" w:fill="D9D9D9"/>
          </w:tcPr>
          <w:p>
            <w:pPr>
              <w:spacing w:after="0"/>
              <w:rPr>
                <w:sz w:val="15"/>
                <w:szCs w:val="15"/>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Non-Binary</w:t>
            </w:r>
          </w:p>
        </w:tc>
        <w:tc>
          <w:tcPr>
            <w:tcW w:w="1360" w:type="dxa"/>
            <w:vAlign w:val="bottom"/>
            <w:tcBorders>
              <w:right w:val="single" w:sz="8" w:color="auto"/>
            </w:tcBorders>
            <w:shd w:val="clear" w:color="auto" w:fill="D9D9D9"/>
          </w:tcPr>
          <w:p>
            <w:pPr>
              <w:jc w:val="center"/>
              <w:spacing w:after="0" w:line="182" w:lineRule="exact"/>
              <w:rPr>
                <w:sz w:val="20"/>
                <w:szCs w:val="20"/>
                <w:color w:val="auto"/>
              </w:rPr>
            </w:pPr>
            <w:r>
              <w:rPr>
                <w:rFonts w:ascii="Arial" w:cs="Arial" w:eastAsia="Arial" w:hAnsi="Arial"/>
                <w:sz w:val="16"/>
                <w:szCs w:val="16"/>
                <w:b w:val="1"/>
                <w:bCs w:val="1"/>
                <w:color w:val="auto"/>
              </w:rPr>
              <w:t>Did Not Disclose</w:t>
            </w:r>
          </w:p>
        </w:tc>
        <w:tc>
          <w:tcPr>
            <w:tcW w:w="0" w:type="dxa"/>
            <w:vAlign w:val="bottom"/>
          </w:tcPr>
          <w:p>
            <w:pPr>
              <w:spacing w:after="0"/>
              <w:rPr>
                <w:sz w:val="1"/>
                <w:szCs w:val="1"/>
                <w:color w:val="auto"/>
              </w:rPr>
            </w:pPr>
          </w:p>
        </w:tc>
      </w:tr>
      <w:tr>
        <w:trPr>
          <w:trHeight w:val="128"/>
        </w:trPr>
        <w:tc>
          <w:tcPr>
            <w:tcW w:w="4680" w:type="dxa"/>
            <w:vAlign w:val="bottom"/>
            <w:tcBorders>
              <w:left w:val="single" w:sz="8" w:color="auto"/>
              <w:right w:val="single" w:sz="8" w:color="auto"/>
            </w:tcBorders>
            <w:shd w:val="clear" w:color="auto" w:fill="D9D9D9"/>
          </w:tcPr>
          <w:p>
            <w:pPr>
              <w:spacing w:after="0"/>
              <w:rPr>
                <w:sz w:val="11"/>
                <w:szCs w:val="11"/>
                <w:color w:val="auto"/>
              </w:rPr>
            </w:pPr>
          </w:p>
        </w:tc>
        <w:tc>
          <w:tcPr>
            <w:tcW w:w="1360" w:type="dxa"/>
            <w:vAlign w:val="bottom"/>
            <w:tcBorders>
              <w:right w:val="single" w:sz="8" w:color="auto"/>
            </w:tcBorders>
            <w:vMerge w:val="continue"/>
            <w:shd w:val="clear" w:color="auto" w:fill="D9D9D9"/>
          </w:tcPr>
          <w:p>
            <w:pPr>
              <w:spacing w:after="0"/>
              <w:rPr>
                <w:sz w:val="11"/>
                <w:szCs w:val="11"/>
                <w:color w:val="auto"/>
              </w:rPr>
            </w:pPr>
          </w:p>
        </w:tc>
        <w:tc>
          <w:tcPr>
            <w:tcW w:w="1060" w:type="dxa"/>
            <w:vAlign w:val="bottom"/>
            <w:vMerge w:val="continue"/>
            <w:shd w:val="clear" w:color="auto" w:fill="D9D9D9"/>
          </w:tcPr>
          <w:p>
            <w:pPr>
              <w:spacing w:after="0"/>
              <w:rPr>
                <w:sz w:val="11"/>
                <w:szCs w:val="11"/>
                <w:color w:val="auto"/>
              </w:rPr>
            </w:pPr>
          </w:p>
        </w:tc>
        <w:tc>
          <w:tcPr>
            <w:tcW w:w="280" w:type="dxa"/>
            <w:vAlign w:val="bottom"/>
            <w:tcBorders>
              <w:right w:val="single" w:sz="8" w:color="auto"/>
            </w:tcBorders>
            <w:shd w:val="clear" w:color="auto" w:fill="D9D9D9"/>
          </w:tcPr>
          <w:p>
            <w:pPr>
              <w:spacing w:after="0"/>
              <w:rPr>
                <w:sz w:val="11"/>
                <w:szCs w:val="11"/>
                <w:color w:val="auto"/>
              </w:rPr>
            </w:pPr>
          </w:p>
        </w:tc>
        <w:tc>
          <w:tcPr>
            <w:tcW w:w="1360" w:type="dxa"/>
            <w:vAlign w:val="bottom"/>
            <w:tcBorders>
              <w:right w:val="single" w:sz="8" w:color="auto"/>
            </w:tcBorders>
            <w:vMerge w:val="continue"/>
            <w:shd w:val="clear" w:color="auto" w:fill="D9D9D9"/>
          </w:tcPr>
          <w:p>
            <w:pPr>
              <w:spacing w:after="0"/>
              <w:rPr>
                <w:sz w:val="11"/>
                <w:szCs w:val="11"/>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99"/>
              </w:rPr>
              <w:t>Gender</w:t>
            </w:r>
          </w:p>
        </w:tc>
        <w:tc>
          <w:tcPr>
            <w:tcW w:w="0" w:type="dxa"/>
            <w:vAlign w:val="bottom"/>
          </w:tcPr>
          <w:p>
            <w:pPr>
              <w:spacing w:after="0"/>
              <w:rPr>
                <w:sz w:val="1"/>
                <w:szCs w:val="1"/>
                <w:color w:val="auto"/>
              </w:rPr>
            </w:pPr>
          </w:p>
        </w:tc>
      </w:tr>
      <w:tr>
        <w:trPr>
          <w:trHeight w:val="75"/>
        </w:trPr>
        <w:tc>
          <w:tcPr>
            <w:tcW w:w="468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1360" w:type="dxa"/>
            <w:vAlign w:val="bottom"/>
            <w:tcBorders>
              <w:bottom w:val="single" w:sz="8" w:color="auto"/>
              <w:right w:val="single" w:sz="8" w:color="auto"/>
            </w:tcBorders>
            <w:shd w:val="clear" w:color="auto" w:fill="D9D9D9"/>
          </w:tcPr>
          <w:p>
            <w:pPr>
              <w:spacing w:after="0"/>
              <w:rPr>
                <w:sz w:val="6"/>
                <w:szCs w:val="6"/>
                <w:color w:val="auto"/>
              </w:rPr>
            </w:pPr>
          </w:p>
        </w:tc>
        <w:tc>
          <w:tcPr>
            <w:tcW w:w="1060" w:type="dxa"/>
            <w:vAlign w:val="bottom"/>
            <w:tcBorders>
              <w:bottom w:val="single" w:sz="8" w:color="auto"/>
            </w:tcBorders>
            <w:shd w:val="clear" w:color="auto" w:fill="D9D9D9"/>
          </w:tcPr>
          <w:p>
            <w:pPr>
              <w:spacing w:after="0"/>
              <w:rPr>
                <w:sz w:val="6"/>
                <w:szCs w:val="6"/>
                <w:color w:val="auto"/>
              </w:rPr>
            </w:pPr>
          </w:p>
        </w:tc>
        <w:tc>
          <w:tcPr>
            <w:tcW w:w="280" w:type="dxa"/>
            <w:vAlign w:val="bottom"/>
            <w:tcBorders>
              <w:bottom w:val="single" w:sz="8" w:color="auto"/>
              <w:right w:val="single" w:sz="8" w:color="auto"/>
            </w:tcBorders>
            <w:shd w:val="clear" w:color="auto" w:fill="D9D9D9"/>
          </w:tcPr>
          <w:p>
            <w:pPr>
              <w:spacing w:after="0"/>
              <w:rPr>
                <w:sz w:val="6"/>
                <w:szCs w:val="6"/>
                <w:color w:val="auto"/>
              </w:rPr>
            </w:pPr>
          </w:p>
        </w:tc>
        <w:tc>
          <w:tcPr>
            <w:tcW w:w="1360" w:type="dxa"/>
            <w:vAlign w:val="bottom"/>
            <w:tcBorders>
              <w:bottom w:val="single" w:sz="8" w:color="auto"/>
              <w:right w:val="single" w:sz="8" w:color="auto"/>
            </w:tcBorders>
            <w:shd w:val="clear" w:color="auto" w:fill="D9D9D9"/>
          </w:tcPr>
          <w:p>
            <w:pPr>
              <w:spacing w:after="0"/>
              <w:rPr>
                <w:sz w:val="6"/>
                <w:szCs w:val="6"/>
                <w:color w:val="auto"/>
              </w:rPr>
            </w:pPr>
          </w:p>
        </w:tc>
        <w:tc>
          <w:tcPr>
            <w:tcW w:w="1360" w:type="dxa"/>
            <w:vAlign w:val="bottom"/>
            <w:tcBorders>
              <w:bottom w:val="single" w:sz="8" w:color="auto"/>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680" w:type="dxa"/>
            <w:vAlign w:val="bottom"/>
            <w:tcBorders>
              <w:left w:val="single" w:sz="8" w:color="auto"/>
              <w:right w:val="single" w:sz="8" w:color="auto"/>
            </w:tcBorders>
            <w:shd w:val="clear" w:color="auto" w:fill="D9D9D9"/>
          </w:tcPr>
          <w:p>
            <w:pPr>
              <w:spacing w:after="0"/>
              <w:rPr>
                <w:sz w:val="15"/>
                <w:szCs w:val="15"/>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Female</w:t>
            </w:r>
          </w:p>
        </w:tc>
        <w:tc>
          <w:tcPr>
            <w:tcW w:w="1060" w:type="dxa"/>
            <w:vAlign w:val="bottom"/>
            <w:vMerge w:val="restart"/>
            <w:shd w:val="clear" w:color="auto" w:fill="D9D9D9"/>
          </w:tcPr>
          <w:p>
            <w:pPr>
              <w:jc w:val="center"/>
              <w:ind w:left="179"/>
              <w:spacing w:after="0"/>
              <w:rPr>
                <w:sz w:val="20"/>
                <w:szCs w:val="20"/>
                <w:color w:val="auto"/>
              </w:rPr>
            </w:pPr>
            <w:r>
              <w:rPr>
                <w:rFonts w:ascii="Arial" w:cs="Arial" w:eastAsia="Arial" w:hAnsi="Arial"/>
                <w:sz w:val="16"/>
                <w:szCs w:val="16"/>
                <w:b w:val="1"/>
                <w:bCs w:val="1"/>
                <w:color w:val="auto"/>
              </w:rPr>
              <w:t>Male</w:t>
            </w:r>
          </w:p>
        </w:tc>
        <w:tc>
          <w:tcPr>
            <w:tcW w:w="280" w:type="dxa"/>
            <w:vAlign w:val="bottom"/>
            <w:tcBorders>
              <w:right w:val="single" w:sz="8" w:color="auto"/>
            </w:tcBorders>
            <w:shd w:val="clear" w:color="auto" w:fill="D9D9D9"/>
          </w:tcPr>
          <w:p>
            <w:pPr>
              <w:spacing w:after="0"/>
              <w:rPr>
                <w:sz w:val="15"/>
                <w:szCs w:val="15"/>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Non-Binary</w:t>
            </w:r>
          </w:p>
        </w:tc>
        <w:tc>
          <w:tcPr>
            <w:tcW w:w="1360" w:type="dxa"/>
            <w:vAlign w:val="bottom"/>
            <w:tcBorders>
              <w:right w:val="single" w:sz="8" w:color="auto"/>
            </w:tcBorders>
            <w:shd w:val="clear" w:color="auto" w:fill="D9D9D9"/>
          </w:tcPr>
          <w:p>
            <w:pPr>
              <w:jc w:val="center"/>
              <w:spacing w:after="0" w:line="182" w:lineRule="exact"/>
              <w:rPr>
                <w:sz w:val="20"/>
                <w:szCs w:val="20"/>
                <w:color w:val="auto"/>
              </w:rPr>
            </w:pPr>
            <w:r>
              <w:rPr>
                <w:rFonts w:ascii="Arial" w:cs="Arial" w:eastAsia="Arial" w:hAnsi="Arial"/>
                <w:sz w:val="16"/>
                <w:szCs w:val="16"/>
                <w:b w:val="1"/>
                <w:bCs w:val="1"/>
                <w:color w:val="auto"/>
              </w:rPr>
              <w:t>Did Not Disclose</w:t>
            </w:r>
          </w:p>
        </w:tc>
        <w:tc>
          <w:tcPr>
            <w:tcW w:w="0" w:type="dxa"/>
            <w:vAlign w:val="bottom"/>
          </w:tcPr>
          <w:p>
            <w:pPr>
              <w:spacing w:after="0"/>
              <w:rPr>
                <w:sz w:val="1"/>
                <w:szCs w:val="1"/>
                <w:color w:val="auto"/>
              </w:rPr>
            </w:pPr>
          </w:p>
        </w:tc>
      </w:tr>
      <w:tr>
        <w:trPr>
          <w:trHeight w:val="128"/>
        </w:trPr>
        <w:tc>
          <w:tcPr>
            <w:tcW w:w="4680" w:type="dxa"/>
            <w:vAlign w:val="bottom"/>
            <w:tcBorders>
              <w:left w:val="single" w:sz="8" w:color="auto"/>
              <w:right w:val="single" w:sz="8" w:color="auto"/>
            </w:tcBorders>
            <w:shd w:val="clear" w:color="auto" w:fill="D9D9D9"/>
          </w:tcPr>
          <w:p>
            <w:pPr>
              <w:spacing w:after="0"/>
              <w:rPr>
                <w:sz w:val="11"/>
                <w:szCs w:val="11"/>
                <w:color w:val="auto"/>
              </w:rPr>
            </w:pPr>
          </w:p>
        </w:tc>
        <w:tc>
          <w:tcPr>
            <w:tcW w:w="1360" w:type="dxa"/>
            <w:vAlign w:val="bottom"/>
            <w:tcBorders>
              <w:right w:val="single" w:sz="8" w:color="auto"/>
            </w:tcBorders>
            <w:vMerge w:val="continue"/>
            <w:shd w:val="clear" w:color="auto" w:fill="D9D9D9"/>
          </w:tcPr>
          <w:p>
            <w:pPr>
              <w:spacing w:after="0"/>
              <w:rPr>
                <w:sz w:val="11"/>
                <w:szCs w:val="11"/>
                <w:color w:val="auto"/>
              </w:rPr>
            </w:pPr>
          </w:p>
        </w:tc>
        <w:tc>
          <w:tcPr>
            <w:tcW w:w="1060" w:type="dxa"/>
            <w:vAlign w:val="bottom"/>
            <w:vMerge w:val="continue"/>
            <w:shd w:val="clear" w:color="auto" w:fill="D9D9D9"/>
          </w:tcPr>
          <w:p>
            <w:pPr>
              <w:spacing w:after="0"/>
              <w:rPr>
                <w:sz w:val="11"/>
                <w:szCs w:val="11"/>
                <w:color w:val="auto"/>
              </w:rPr>
            </w:pPr>
          </w:p>
        </w:tc>
        <w:tc>
          <w:tcPr>
            <w:tcW w:w="280" w:type="dxa"/>
            <w:vAlign w:val="bottom"/>
            <w:tcBorders>
              <w:right w:val="single" w:sz="8" w:color="auto"/>
            </w:tcBorders>
            <w:shd w:val="clear" w:color="auto" w:fill="D9D9D9"/>
          </w:tcPr>
          <w:p>
            <w:pPr>
              <w:spacing w:after="0"/>
              <w:rPr>
                <w:sz w:val="11"/>
                <w:szCs w:val="11"/>
                <w:color w:val="auto"/>
              </w:rPr>
            </w:pPr>
          </w:p>
        </w:tc>
        <w:tc>
          <w:tcPr>
            <w:tcW w:w="1360" w:type="dxa"/>
            <w:vAlign w:val="bottom"/>
            <w:tcBorders>
              <w:right w:val="single" w:sz="8" w:color="auto"/>
            </w:tcBorders>
            <w:vMerge w:val="continue"/>
            <w:shd w:val="clear" w:color="auto" w:fill="D9D9D9"/>
          </w:tcPr>
          <w:p>
            <w:pPr>
              <w:spacing w:after="0"/>
              <w:rPr>
                <w:sz w:val="11"/>
                <w:szCs w:val="11"/>
                <w:color w:val="auto"/>
              </w:rPr>
            </w:pPr>
          </w:p>
        </w:tc>
        <w:tc>
          <w:tcPr>
            <w:tcW w:w="13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99"/>
              </w:rPr>
              <w:t>Gender</w:t>
            </w:r>
          </w:p>
        </w:tc>
        <w:tc>
          <w:tcPr>
            <w:tcW w:w="0" w:type="dxa"/>
            <w:vAlign w:val="bottom"/>
          </w:tcPr>
          <w:p>
            <w:pPr>
              <w:spacing w:after="0"/>
              <w:rPr>
                <w:sz w:val="1"/>
                <w:szCs w:val="1"/>
                <w:color w:val="auto"/>
              </w:rPr>
            </w:pPr>
          </w:p>
        </w:tc>
      </w:tr>
      <w:tr>
        <w:trPr>
          <w:trHeight w:val="75"/>
        </w:trPr>
        <w:tc>
          <w:tcPr>
            <w:tcW w:w="468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1360" w:type="dxa"/>
            <w:vAlign w:val="bottom"/>
            <w:tcBorders>
              <w:bottom w:val="single" w:sz="8" w:color="auto"/>
              <w:right w:val="single" w:sz="8" w:color="auto"/>
            </w:tcBorders>
            <w:shd w:val="clear" w:color="auto" w:fill="D9D9D9"/>
          </w:tcPr>
          <w:p>
            <w:pPr>
              <w:spacing w:after="0"/>
              <w:rPr>
                <w:sz w:val="6"/>
                <w:szCs w:val="6"/>
                <w:color w:val="auto"/>
              </w:rPr>
            </w:pPr>
          </w:p>
        </w:tc>
        <w:tc>
          <w:tcPr>
            <w:tcW w:w="1060" w:type="dxa"/>
            <w:vAlign w:val="bottom"/>
            <w:tcBorders>
              <w:bottom w:val="single" w:sz="8" w:color="auto"/>
            </w:tcBorders>
            <w:shd w:val="clear" w:color="auto" w:fill="D9D9D9"/>
          </w:tcPr>
          <w:p>
            <w:pPr>
              <w:spacing w:after="0"/>
              <w:rPr>
                <w:sz w:val="6"/>
                <w:szCs w:val="6"/>
                <w:color w:val="auto"/>
              </w:rPr>
            </w:pPr>
          </w:p>
        </w:tc>
        <w:tc>
          <w:tcPr>
            <w:tcW w:w="280" w:type="dxa"/>
            <w:vAlign w:val="bottom"/>
            <w:tcBorders>
              <w:bottom w:val="single" w:sz="8" w:color="auto"/>
              <w:right w:val="single" w:sz="8" w:color="auto"/>
            </w:tcBorders>
            <w:shd w:val="clear" w:color="auto" w:fill="D9D9D9"/>
          </w:tcPr>
          <w:p>
            <w:pPr>
              <w:spacing w:after="0"/>
              <w:rPr>
                <w:sz w:val="6"/>
                <w:szCs w:val="6"/>
                <w:color w:val="auto"/>
              </w:rPr>
            </w:pPr>
          </w:p>
        </w:tc>
        <w:tc>
          <w:tcPr>
            <w:tcW w:w="1360" w:type="dxa"/>
            <w:vAlign w:val="bottom"/>
            <w:tcBorders>
              <w:bottom w:val="single" w:sz="8" w:color="auto"/>
              <w:right w:val="single" w:sz="8" w:color="auto"/>
            </w:tcBorders>
            <w:shd w:val="clear" w:color="auto" w:fill="D9D9D9"/>
          </w:tcPr>
          <w:p>
            <w:pPr>
              <w:spacing w:after="0"/>
              <w:rPr>
                <w:sz w:val="6"/>
                <w:szCs w:val="6"/>
                <w:color w:val="auto"/>
              </w:rPr>
            </w:pPr>
          </w:p>
        </w:tc>
        <w:tc>
          <w:tcPr>
            <w:tcW w:w="1360" w:type="dxa"/>
            <w:vAlign w:val="bottom"/>
            <w:tcBorders>
              <w:bottom w:val="single" w:sz="8" w:color="auto"/>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6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r>
              <w:rPr>
                <w:rFonts w:ascii="Arial" w:cs="Arial" w:eastAsia="Arial" w:hAnsi="Arial"/>
                <w:sz w:val="16"/>
                <w:szCs w:val="16"/>
                <w:b w:val="1"/>
                <w:bCs w:val="1"/>
                <w:color w:val="auto"/>
              </w:rPr>
              <w:t>Part I: Gender Identity</w:t>
            </w:r>
          </w:p>
        </w:tc>
        <w:tc>
          <w:tcPr>
            <w:tcW w:w="1360" w:type="dxa"/>
            <w:vAlign w:val="bottom"/>
            <w:tcBorders>
              <w:bottom w:val="single" w:sz="8" w:color="auto"/>
              <w:right w:val="single" w:sz="8" w:color="D9D9D9"/>
            </w:tcBorders>
            <w:shd w:val="clear" w:color="auto" w:fill="D9D9D9"/>
          </w:tcPr>
          <w:p>
            <w:pPr>
              <w:spacing w:after="0"/>
              <w:rPr>
                <w:sz w:val="17"/>
                <w:szCs w:val="17"/>
                <w:color w:val="auto"/>
              </w:rPr>
            </w:pPr>
          </w:p>
        </w:tc>
        <w:tc>
          <w:tcPr>
            <w:tcW w:w="1060" w:type="dxa"/>
            <w:vAlign w:val="bottom"/>
            <w:tcBorders>
              <w:bottom w:val="single" w:sz="8" w:color="auto"/>
            </w:tcBorders>
            <w:shd w:val="clear" w:color="auto" w:fill="D9D9D9"/>
          </w:tcPr>
          <w:p>
            <w:pPr>
              <w:spacing w:after="0"/>
              <w:rPr>
                <w:sz w:val="17"/>
                <w:szCs w:val="17"/>
                <w:color w:val="auto"/>
              </w:rPr>
            </w:pPr>
          </w:p>
        </w:tc>
        <w:tc>
          <w:tcPr>
            <w:tcW w:w="280" w:type="dxa"/>
            <w:vAlign w:val="bottom"/>
            <w:tcBorders>
              <w:bottom w:val="single" w:sz="8" w:color="auto"/>
              <w:right w:val="single" w:sz="8" w:color="D9D9D9"/>
            </w:tcBorders>
            <w:shd w:val="clear" w:color="auto" w:fill="D9D9D9"/>
          </w:tcPr>
          <w:p>
            <w:pPr>
              <w:spacing w:after="0"/>
              <w:rPr>
                <w:sz w:val="17"/>
                <w:szCs w:val="17"/>
                <w:color w:val="auto"/>
              </w:rPr>
            </w:pPr>
          </w:p>
        </w:tc>
        <w:tc>
          <w:tcPr>
            <w:tcW w:w="1360" w:type="dxa"/>
            <w:vAlign w:val="bottom"/>
            <w:tcBorders>
              <w:bottom w:val="single" w:sz="8" w:color="auto"/>
              <w:right w:val="single" w:sz="8" w:color="D9D9D9"/>
            </w:tcBorders>
            <w:shd w:val="clear" w:color="auto" w:fill="D9D9D9"/>
          </w:tcPr>
          <w:p>
            <w:pPr>
              <w:spacing w:after="0"/>
              <w:rPr>
                <w:sz w:val="17"/>
                <w:szCs w:val="17"/>
                <w:color w:val="auto"/>
              </w:rPr>
            </w:pPr>
          </w:p>
        </w:tc>
        <w:tc>
          <w:tcPr>
            <w:tcW w:w="136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Directors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10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68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r>
              <w:rPr>
                <w:rFonts w:ascii="Arial" w:cs="Arial" w:eastAsia="Arial" w:hAnsi="Arial"/>
                <w:sz w:val="16"/>
                <w:szCs w:val="16"/>
                <w:b w:val="1"/>
                <w:bCs w:val="1"/>
                <w:color w:val="auto"/>
              </w:rPr>
              <w:t>Part II: Demographic Background</w:t>
            </w:r>
          </w:p>
        </w:tc>
        <w:tc>
          <w:tcPr>
            <w:tcW w:w="1360" w:type="dxa"/>
            <w:vAlign w:val="bottom"/>
            <w:tcBorders>
              <w:bottom w:val="single" w:sz="8" w:color="auto"/>
              <w:right w:val="single" w:sz="8" w:color="D9D9D9"/>
            </w:tcBorders>
            <w:shd w:val="clear" w:color="auto" w:fill="D9D9D9"/>
          </w:tcPr>
          <w:p>
            <w:pPr>
              <w:spacing w:after="0"/>
              <w:rPr>
                <w:sz w:val="17"/>
                <w:szCs w:val="17"/>
                <w:color w:val="auto"/>
              </w:rPr>
            </w:pPr>
          </w:p>
        </w:tc>
        <w:tc>
          <w:tcPr>
            <w:tcW w:w="1060" w:type="dxa"/>
            <w:vAlign w:val="bottom"/>
            <w:tcBorders>
              <w:bottom w:val="single" w:sz="8" w:color="auto"/>
            </w:tcBorders>
            <w:shd w:val="clear" w:color="auto" w:fill="D9D9D9"/>
          </w:tcPr>
          <w:p>
            <w:pPr>
              <w:spacing w:after="0"/>
              <w:rPr>
                <w:sz w:val="17"/>
                <w:szCs w:val="17"/>
                <w:color w:val="auto"/>
              </w:rPr>
            </w:pPr>
          </w:p>
        </w:tc>
        <w:tc>
          <w:tcPr>
            <w:tcW w:w="280" w:type="dxa"/>
            <w:vAlign w:val="bottom"/>
            <w:tcBorders>
              <w:bottom w:val="single" w:sz="8" w:color="auto"/>
              <w:right w:val="single" w:sz="8" w:color="D9D9D9"/>
            </w:tcBorders>
            <w:shd w:val="clear" w:color="auto" w:fill="D9D9D9"/>
          </w:tcPr>
          <w:p>
            <w:pPr>
              <w:spacing w:after="0"/>
              <w:rPr>
                <w:sz w:val="17"/>
                <w:szCs w:val="17"/>
                <w:color w:val="auto"/>
              </w:rPr>
            </w:pPr>
          </w:p>
        </w:tc>
        <w:tc>
          <w:tcPr>
            <w:tcW w:w="1360" w:type="dxa"/>
            <w:vAlign w:val="bottom"/>
            <w:tcBorders>
              <w:bottom w:val="single" w:sz="8" w:color="auto"/>
              <w:right w:val="single" w:sz="8" w:color="D9D9D9"/>
            </w:tcBorders>
            <w:shd w:val="clear" w:color="auto" w:fill="D9D9D9"/>
          </w:tcPr>
          <w:p>
            <w:pPr>
              <w:spacing w:after="0"/>
              <w:rPr>
                <w:sz w:val="17"/>
                <w:szCs w:val="17"/>
                <w:color w:val="auto"/>
              </w:rPr>
            </w:pPr>
          </w:p>
        </w:tc>
        <w:tc>
          <w:tcPr>
            <w:tcW w:w="136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Underrepresented Individual in Home Country Jurisdiction</w:t>
            </w:r>
          </w:p>
        </w:tc>
        <w:tc>
          <w:tcPr>
            <w:tcW w:w="1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1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LGBTQ+</w:t>
            </w:r>
          </w:p>
        </w:tc>
        <w:tc>
          <w:tcPr>
            <w:tcW w:w="1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1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Did Not Disclose Demographic Background</w:t>
            </w:r>
          </w:p>
        </w:tc>
        <w:tc>
          <w:tcPr>
            <w:tcW w:w="1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1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Practices</w:t>
      </w:r>
    </w:p>
    <w:p>
      <w:pPr>
        <w:spacing w:after="0" w:line="194"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As a “foreign private issuer,” as defined by the SEC, we are permitted to follow certain governance practices of the Netherlands instead of those otherwise required under the Nasdaq Stock Market, or Nasdaq, rules for domestic issuers. We intend to take advantage of the following limited exemptions:</w:t>
      </w:r>
    </w:p>
    <w:p>
      <w:pPr>
        <w:spacing w:after="0" w:line="102" w:lineRule="exact"/>
        <w:rPr>
          <w:sz w:val="20"/>
          <w:szCs w:val="20"/>
          <w:color w:val="auto"/>
        </w:rPr>
      </w:pPr>
    </w:p>
    <w:p>
      <w:pPr>
        <w:ind w:left="840" w:right="480" w:hanging="414"/>
        <w:spacing w:after="0" w:line="286" w:lineRule="auto"/>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Exemption from filing quarterly reports on Form 10-Q and current reports on Form 8-K disclosing significant events within four days of their occurrence.</w:t>
      </w:r>
    </w:p>
    <w:p>
      <w:pPr>
        <w:spacing w:after="0" w:line="101" w:lineRule="exact"/>
        <w:rPr>
          <w:rFonts w:ascii="Arial" w:cs="Arial" w:eastAsia="Arial" w:hAnsi="Arial"/>
          <w:sz w:val="16"/>
          <w:szCs w:val="16"/>
          <w:color w:val="auto"/>
        </w:rPr>
      </w:pPr>
    </w:p>
    <w:p>
      <w:pPr>
        <w:ind w:left="840" w:hanging="414"/>
        <w:spacing w:after="0" w:line="286" w:lineRule="auto"/>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Exemption from Section 16 rules regarding sales of ordinary shares by insiders, which will provide less data in this regard than to shareholders of U.S. companies that are subject to the Exchange Act.</w:t>
      </w:r>
    </w:p>
    <w:p>
      <w:pPr>
        <w:spacing w:after="0" w:line="101" w:lineRule="exact"/>
        <w:rPr>
          <w:rFonts w:ascii="Arial" w:cs="Arial" w:eastAsia="Arial" w:hAnsi="Arial"/>
          <w:sz w:val="16"/>
          <w:szCs w:val="16"/>
          <w:color w:val="auto"/>
        </w:rPr>
      </w:pPr>
    </w:p>
    <w:p>
      <w:pPr>
        <w:ind w:left="840" w:right="220" w:hanging="414"/>
        <w:spacing w:after="0" w:line="286" w:lineRule="auto"/>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101" w:lineRule="exact"/>
        <w:rPr>
          <w:rFonts w:ascii="Arial" w:cs="Arial" w:eastAsia="Arial" w:hAnsi="Arial"/>
          <w:sz w:val="16"/>
          <w:szCs w:val="16"/>
          <w:color w:val="auto"/>
        </w:rPr>
      </w:pPr>
    </w:p>
    <w:p>
      <w:pPr>
        <w:ind w:left="840" w:hanging="414"/>
        <w:spacing w:after="0" w:line="286" w:lineRule="auto"/>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Exemption from the requirement that we provide in our bylaws for a generally applicable quorum and that such quorum not be less than one-third of the outstanding voting stock.</w:t>
      </w:r>
    </w:p>
    <w:p>
      <w:pPr>
        <w:spacing w:after="0" w:line="101" w:lineRule="exact"/>
        <w:rPr>
          <w:rFonts w:ascii="Arial" w:cs="Arial" w:eastAsia="Arial" w:hAnsi="Arial"/>
          <w:sz w:val="16"/>
          <w:szCs w:val="16"/>
          <w:color w:val="auto"/>
        </w:rPr>
      </w:pPr>
    </w:p>
    <w:p>
      <w:pPr>
        <w:ind w:left="840" w:right="20" w:hanging="414"/>
        <w:spacing w:after="0" w:line="286" w:lineRule="auto"/>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Exemption from the requirement that we solicit proxies and provide proxy statements for all meetings of Shareholders and shall provide copies of such proxy solicitation to Nasdaq.</w:t>
      </w:r>
    </w:p>
    <w:p>
      <w:pPr>
        <w:spacing w:after="0" w:line="101" w:lineRule="exact"/>
        <w:rPr>
          <w:rFonts w:ascii="Arial" w:cs="Arial" w:eastAsia="Arial" w:hAnsi="Arial"/>
          <w:sz w:val="16"/>
          <w:szCs w:val="16"/>
          <w:color w:val="auto"/>
        </w:rPr>
      </w:pPr>
    </w:p>
    <w:p>
      <w:pPr>
        <w:ind w:left="840" w:right="100" w:hanging="414"/>
        <w:spacing w:after="0" w:line="266" w:lineRule="auto"/>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31" w:lineRule="exact"/>
        <w:rPr>
          <w:sz w:val="20"/>
          <w:szCs w:val="20"/>
          <w:color w:val="auto"/>
        </w:rPr>
      </w:pPr>
    </w:p>
    <w:p>
      <w:pPr>
        <w:ind w:right="120" w:firstLine="445"/>
        <w:spacing w:after="0" w:line="286" w:lineRule="auto"/>
        <w:rPr>
          <w:sz w:val="20"/>
          <w:szCs w:val="20"/>
          <w:color w:val="auto"/>
        </w:rPr>
      </w:pPr>
      <w:r>
        <w:rPr>
          <w:rFonts w:ascii="Arial" w:cs="Arial" w:eastAsia="Arial" w:hAnsi="Arial"/>
          <w:sz w:val="16"/>
          <w:szCs w:val="16"/>
          <w:color w:val="auto"/>
        </w:rPr>
        <w:t>Nasdaq Rule 5615(a)(3) provides that a foreign private issuer may rely on home country corporate governance practices in lieu of certain of the rules in the Nasdaq Rule 5600 Series, Rule 5250(b)(3) and Rule 5250(d).</w:t>
      </w:r>
    </w:p>
    <w:p>
      <w:pPr>
        <w:spacing w:after="0" w:line="115"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color w:val="auto"/>
        </w:rPr>
        <w:t>We intend to take all actions necessary to maintain compliance as a foreign private issuer under the applicable corporate governance requirements of the Sarbanes-Oxley Act, the rules adopted by the SEC and the Nasdaq corporate governance rules and listing standards.</w:t>
      </w:r>
    </w:p>
    <w:p>
      <w:pPr>
        <w:spacing w:after="0" w:line="129"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9" w:lineRule="exact"/>
        <w:rPr>
          <w:sz w:val="20"/>
          <w:szCs w:val="20"/>
          <w:color w:val="auto"/>
        </w:rPr>
      </w:pPr>
    </w:p>
    <w:p>
      <w:pPr>
        <w:ind w:right="80" w:firstLine="445"/>
        <w:spacing w:after="0" w:line="268" w:lineRule="auto"/>
        <w:rPr>
          <w:sz w:val="20"/>
          <w:szCs w:val="20"/>
          <w:color w:val="auto"/>
        </w:rPr>
      </w:pPr>
      <w:r>
        <w:rPr>
          <w:rFonts w:ascii="Arial" w:cs="Arial" w:eastAsia="Arial" w:hAnsi="Arial"/>
          <w:sz w:val="16"/>
          <w:szCs w:val="16"/>
          <w:color w:val="auto"/>
        </w:rPr>
        <w:t>The audit committee, which consists of Dr. de Jonge Schuermans, Mr. Schikan, and Ms. Monges, assists the Board in overseeing our accounting and financial reporting processes and the audits of our financial statements. Ms. Monges serves as Chairman of the committee. In addition, the audit committee is responsible for the appointment, compensation, retention and oversight of the work of our independent registered public accounting firm. Our Board has determined that Mr. Schikan and Ms. Monges satisfy the “independence” requirements set forth in the Nasdaq listing standards and Rule 10A-3 under the Exchange Act and expects that Dr. de Jonge Schuermans, Mr. Schikan and Ms. Monges will continue to satisfy such “independence” requirements. Our Board has determined that Mr. Schikan and Ms. Monges qualify as “audit committee financial experts,” as such term is defined in the rules of the SEC.</w:t>
      </w:r>
    </w:p>
    <w:p>
      <w:pPr>
        <w:spacing w:after="0" w:line="131" w:lineRule="exact"/>
        <w:rPr>
          <w:sz w:val="20"/>
          <w:szCs w:val="20"/>
          <w:color w:val="auto"/>
        </w:rPr>
      </w:pPr>
    </w:p>
    <w:p>
      <w:pPr>
        <w:ind w:right="340" w:firstLine="445"/>
        <w:spacing w:after="0" w:line="266" w:lineRule="auto"/>
        <w:rPr>
          <w:sz w:val="20"/>
          <w:szCs w:val="20"/>
          <w:color w:val="auto"/>
        </w:rPr>
      </w:pPr>
      <w:r>
        <w:rPr>
          <w:rFonts w:ascii="Arial" w:cs="Arial" w:eastAsia="Arial" w:hAnsi="Arial"/>
          <w:sz w:val="16"/>
          <w:szCs w:val="16"/>
          <w:color w:val="auto"/>
        </w:rPr>
        <w:t>We are relying on the phase-in rules of the SEC and Nasdaq with respect to the independence of our audit committee. These rules require that all members of our audit committee must meet the independence standard for audit committee membership within one year of the effectiveness of the registration statement relating to our initial public offering.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92" w:lineRule="exact"/>
        <w:rPr>
          <w:sz w:val="20"/>
          <w:szCs w:val="20"/>
          <w:color w:val="auto"/>
        </w:rPr>
      </w:pPr>
    </w:p>
    <w:p>
      <w:pPr>
        <w:jc w:val="both"/>
        <w:ind w:right="200" w:firstLine="445"/>
        <w:spacing w:after="0" w:line="266" w:lineRule="auto"/>
        <w:rPr>
          <w:sz w:val="20"/>
          <w:szCs w:val="20"/>
          <w:color w:val="auto"/>
        </w:rPr>
      </w:pPr>
      <w:r>
        <w:rPr>
          <w:rFonts w:ascii="Arial" w:cs="Arial" w:eastAsia="Arial" w:hAnsi="Arial"/>
          <w:sz w:val="16"/>
          <w:szCs w:val="16"/>
          <w:color w:val="auto"/>
        </w:rPr>
        <w:t>The compensation committee, which consists of Dr. Glassman, Dr. Meeker and Mr. Schikan, assists our Board in overseeing compensation for our executive officers and our directors. Mr. Schikan serves as Chairman of the committee. Our Board has determined that Dr. Glassman, Dr. Meeker and Mr. Schikan satisfy the “independence” requirements under the Exchange Act and the Nasdaq listing standards.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Nomination and corporate governance committee</w:t>
      </w:r>
    </w:p>
    <w:p>
      <w:pPr>
        <w:spacing w:after="0" w:line="179" w:lineRule="exact"/>
        <w:rPr>
          <w:sz w:val="20"/>
          <w:szCs w:val="20"/>
          <w:color w:val="auto"/>
        </w:rPr>
      </w:pPr>
    </w:p>
    <w:p>
      <w:pPr>
        <w:jc w:val="both"/>
        <w:ind w:right="240" w:firstLine="445"/>
        <w:spacing w:after="0" w:line="286" w:lineRule="auto"/>
        <w:rPr>
          <w:sz w:val="20"/>
          <w:szCs w:val="20"/>
          <w:color w:val="auto"/>
        </w:rPr>
      </w:pPr>
      <w:r>
        <w:rPr>
          <w:rFonts w:ascii="Arial" w:cs="Arial" w:eastAsia="Arial" w:hAnsi="Arial"/>
          <w:sz w:val="16"/>
          <w:szCs w:val="16"/>
          <w:color w:val="auto"/>
        </w:rPr>
        <w:t>The nomination and corporate governance committee, which consists of Dr. de Jonge Schuermans, Dr. Björk, and Dr. Meeker, assists our Board in identifying individuals qualified to become members of our Board consistent with criteria established by our Board and in developing our code of conduct.</w:t>
      </w:r>
    </w:p>
    <w:p>
      <w:pPr>
        <w:spacing w:after="0" w:line="156" w:lineRule="exact"/>
        <w:rPr>
          <w:sz w:val="20"/>
          <w:szCs w:val="20"/>
          <w:color w:val="auto"/>
        </w:rPr>
      </w:pPr>
    </w:p>
    <w:p>
      <w:pPr>
        <w:ind w:right="320" w:firstLine="445"/>
        <w:spacing w:after="0" w:line="286" w:lineRule="auto"/>
        <w:rPr>
          <w:sz w:val="20"/>
          <w:szCs w:val="20"/>
          <w:color w:val="auto"/>
        </w:rPr>
      </w:pPr>
      <w:r>
        <w:rPr>
          <w:rFonts w:ascii="Arial" w:cs="Arial" w:eastAsia="Arial" w:hAnsi="Arial"/>
          <w:sz w:val="16"/>
          <w:szCs w:val="16"/>
          <w:color w:val="auto"/>
        </w:rPr>
        <w:t>Dr. Meeker serves as Chairman of the committee. Our Board has determined that Dr. de Jonge Schuermans, Dr. Björk and Dr. Meeker satisfy the “independence” requirements under the Exchange Act and the Nasdaq listing standards.</w:t>
      </w:r>
    </w:p>
    <w:p>
      <w:pPr>
        <w:spacing w:after="0" w:line="115" w:lineRule="exact"/>
        <w:rPr>
          <w:sz w:val="20"/>
          <w:szCs w:val="20"/>
          <w:color w:val="auto"/>
        </w:rPr>
      </w:pPr>
    </w:p>
    <w:p>
      <w:pPr>
        <w:ind w:left="880" w:hanging="440"/>
        <w:spacing w:after="0"/>
        <w:tabs>
          <w:tab w:leader="none" w:pos="88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Employees</w:t>
      </w:r>
    </w:p>
    <w:p>
      <w:pPr>
        <w:spacing w:after="0" w:line="221" w:lineRule="exact"/>
        <w:rPr>
          <w:sz w:val="20"/>
          <w:szCs w:val="20"/>
          <w:color w:val="auto"/>
        </w:rPr>
      </w:pPr>
    </w:p>
    <w:p>
      <w:pPr>
        <w:ind w:right="580" w:firstLine="445"/>
        <w:spacing w:after="0" w:line="256" w:lineRule="auto"/>
        <w:rPr>
          <w:sz w:val="20"/>
          <w:szCs w:val="20"/>
          <w:color w:val="auto"/>
        </w:rPr>
      </w:pPr>
      <w:r>
        <w:rPr>
          <w:rFonts w:ascii="Arial" w:cs="Arial" w:eastAsia="Arial" w:hAnsi="Arial"/>
          <w:sz w:val="16"/>
          <w:szCs w:val="16"/>
          <w:color w:val="auto"/>
        </w:rPr>
        <w:t>As of December 31, 2021, we had 34 employees. None of our employees are represented by labor unions or covered by collective bargaining agreements. We believe our relations with our employees are good.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out the number of employees by geography as of December 31, 2021:</w:t>
      </w:r>
    </w:p>
    <w:tbl>
      <w:tblPr>
        <w:tblLayout w:type="fixed"/>
        <w:tblInd w:w="2260" w:type="dxa"/>
        <w:tblCellMar>
          <w:top w:w="0" w:type="dxa"/>
          <w:left w:w="0" w:type="dxa"/>
          <w:bottom w:w="0" w:type="dxa"/>
          <w:right w:w="0" w:type="dxa"/>
        </w:tblCellMar>
      </w:tblPr>
      <w:tr>
        <w:trPr>
          <w:trHeight w:val="134"/>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2"/>
              </w:rPr>
              <w:t>As of</w:t>
            </w:r>
          </w:p>
        </w:tc>
      </w:tr>
      <w:tr>
        <w:trPr>
          <w:trHeight w:val="148"/>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December 31,</w:t>
            </w:r>
          </w:p>
        </w:tc>
      </w:tr>
      <w:tr>
        <w:trPr>
          <w:trHeight w:val="153"/>
        </w:trPr>
        <w:tc>
          <w:tcPr>
            <w:tcW w:w="5340" w:type="dxa"/>
            <w:vAlign w:val="bottom"/>
            <w:gridSpan w:val="2"/>
          </w:tcPr>
          <w:p>
            <w:pPr>
              <w:spacing w:after="0"/>
              <w:rPr>
                <w:sz w:val="20"/>
                <w:szCs w:val="20"/>
                <w:color w:val="auto"/>
              </w:rPr>
            </w:pPr>
            <w:r>
              <w:rPr>
                <w:rFonts w:ascii="Arial" w:cs="Arial" w:eastAsia="Arial" w:hAnsi="Arial"/>
                <w:sz w:val="13"/>
                <w:szCs w:val="13"/>
                <w:b w:val="1"/>
                <w:bCs w:val="1"/>
                <w:color w:val="auto"/>
              </w:rPr>
              <w:t>Geography</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3"/>
                <w:szCs w:val="13"/>
                <w:color w:val="auto"/>
              </w:rPr>
            </w:pPr>
          </w:p>
        </w:tc>
      </w:tr>
      <w:tr>
        <w:trPr>
          <w:trHeight w:val="196"/>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Switzerland</w:t>
            </w:r>
          </w:p>
        </w:tc>
        <w:tc>
          <w:tcPr>
            <w:tcW w:w="12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top w:val="single" w:sz="8" w:color="CFF0FC"/>
            </w:tcBorders>
            <w:shd w:val="clear" w:color="auto" w:fill="CFF0FC"/>
          </w:tcPr>
          <w:p>
            <w:pPr>
              <w:spacing w:after="0"/>
              <w:rPr>
                <w:sz w:val="17"/>
                <w:szCs w:val="17"/>
                <w:color w:val="auto"/>
              </w:rPr>
            </w:pPr>
          </w:p>
        </w:tc>
      </w:tr>
      <w:tr>
        <w:trPr>
          <w:trHeight w:val="203"/>
        </w:trPr>
        <w:tc>
          <w:tcPr>
            <w:tcW w:w="5340" w:type="dxa"/>
            <w:vAlign w:val="bottom"/>
            <w:gridSpan w:val="2"/>
          </w:tcPr>
          <w:p>
            <w:pPr>
              <w:spacing w:after="0"/>
              <w:rPr>
                <w:sz w:val="20"/>
                <w:szCs w:val="20"/>
                <w:color w:val="auto"/>
              </w:rPr>
            </w:pPr>
            <w:r>
              <w:rPr>
                <w:rFonts w:ascii="Arial" w:cs="Arial" w:eastAsia="Arial" w:hAnsi="Arial"/>
                <w:sz w:val="16"/>
                <w:szCs w:val="16"/>
                <w:color w:val="auto"/>
              </w:rPr>
              <w:t>The Netherlands</w:t>
            </w: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r>
      <w:tr>
        <w:trPr>
          <w:trHeight w:val="203"/>
        </w:trPr>
        <w:tc>
          <w:tcPr>
            <w:tcW w:w="5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7"/>
                <w:szCs w:val="17"/>
                <w:color w:val="auto"/>
              </w:rPr>
            </w:pPr>
          </w:p>
        </w:tc>
      </w:tr>
      <w:tr>
        <w:trPr>
          <w:trHeight w:val="215"/>
        </w:trPr>
        <w:tc>
          <w:tcPr>
            <w:tcW w:w="53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32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r>
    </w:tbl>
    <w:p>
      <w:pPr>
        <w:spacing w:after="0" w:line="190" w:lineRule="exact"/>
        <w:rPr>
          <w:sz w:val="20"/>
          <w:szCs w:val="20"/>
          <w:color w:val="auto"/>
        </w:rPr>
      </w:pPr>
    </w:p>
    <w:p>
      <w:pPr>
        <w:ind w:left="880" w:hanging="440"/>
        <w:spacing w:after="0"/>
        <w:tabs>
          <w:tab w:leader="none" w:pos="88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w:t>
      </w:r>
    </w:p>
    <w:p>
      <w:pPr>
        <w:spacing w:after="0" w:line="221"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See “ITEM 6. DIRECTORS, SENIOR MANAGEMENT AND EMPLOYEES—B. Compensation—Disclosure of Compensation of our Board and Senior Management” and “ITEM 7. MAJOR SHAREHOLDERS AND RELATED PARTY TRANSACTIONS—A. Major shareholders.</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ITEM 7. MAJOR SHAREHOLDERS AND RELATED PARTY TRANSACTIONS</w:t>
      </w:r>
    </w:p>
    <w:p>
      <w:pPr>
        <w:spacing w:after="0" w:line="181" w:lineRule="exact"/>
        <w:rPr>
          <w:sz w:val="20"/>
          <w:szCs w:val="20"/>
          <w:color w:val="auto"/>
        </w:rPr>
      </w:pPr>
    </w:p>
    <w:p>
      <w:pPr>
        <w:ind w:left="800" w:hanging="360"/>
        <w:spacing w:after="0"/>
        <w:tabs>
          <w:tab w:leader="none" w:pos="80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Major shareholders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relating to the beneficial ownership of Pharvaris’ ordinary shares as of March 10, 2022, by:</w:t>
      </w:r>
    </w:p>
    <w:p>
      <w:pPr>
        <w:spacing w:after="0" w:line="167" w:lineRule="exact"/>
        <w:rPr>
          <w:sz w:val="20"/>
          <w:szCs w:val="20"/>
          <w:color w:val="auto"/>
        </w:rPr>
      </w:pPr>
    </w:p>
    <w:p>
      <w:pPr>
        <w:ind w:left="840" w:hanging="414"/>
        <w:spacing w:after="0"/>
        <w:tabs>
          <w:tab w:leader="none" w:pos="8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own beneficially 5% or more of our outstanding ordinary shares;</w:t>
      </w:r>
    </w:p>
    <w:p>
      <w:pPr>
        <w:spacing w:after="0" w:line="207" w:lineRule="exact"/>
        <w:rPr>
          <w:rFonts w:ascii="Arial" w:cs="Arial" w:eastAsia="Arial" w:hAnsi="Arial"/>
          <w:sz w:val="16"/>
          <w:szCs w:val="16"/>
          <w:color w:val="auto"/>
        </w:rPr>
      </w:pPr>
    </w:p>
    <w:p>
      <w:pPr>
        <w:ind w:left="840" w:hanging="414"/>
        <w:spacing w:after="0"/>
        <w:tabs>
          <w:tab w:leader="none" w:pos="8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each member of our Board and Senior Management; and</w:t>
      </w:r>
    </w:p>
    <w:p>
      <w:pPr>
        <w:spacing w:after="0" w:line="207" w:lineRule="exact"/>
        <w:rPr>
          <w:rFonts w:ascii="Arial" w:cs="Arial" w:eastAsia="Arial" w:hAnsi="Arial"/>
          <w:sz w:val="16"/>
          <w:szCs w:val="16"/>
          <w:color w:val="auto"/>
        </w:rPr>
      </w:pPr>
    </w:p>
    <w:p>
      <w:pPr>
        <w:ind w:left="840" w:hanging="414"/>
        <w:spacing w:after="0"/>
        <w:tabs>
          <w:tab w:leader="none" w:pos="8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all members of our Board and Senior Management as a group.</w:t>
      </w:r>
    </w:p>
    <w:p>
      <w:pPr>
        <w:spacing w:after="0" w:line="200" w:lineRule="exact"/>
        <w:rPr>
          <w:sz w:val="20"/>
          <w:szCs w:val="20"/>
          <w:color w:val="auto"/>
        </w:rPr>
      </w:pP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number of ordinary shares beneficially owned by each entity, person and member of Pharvaris’ Board or Senior Management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March 10, 2022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6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This table is based upon information supplied by our named Senior Management, directors, and principal shareholder, and Schedules 13D, and 13G filed with the SEC. The percentage of outstanding ordinary shares is computed on the basis of 33,151,881 ordinary shares outstanding as of March 10, 2022. Ordinary shares that a person has the right to acquire within 60 days of March 10, 2022 are deemed outstanding for purposes of computing the percentage ownership of the person holding such rights, but are not deemed outstanding for purposes of computing the percentage ownership of any other person, except with respect to the percentage ownership of all members of</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Board and Senior Management as a group. Unless otherwise indicated below, the address for each beneficial owner is c/o Pharvaris N.V., J.H. Oortweg 21, 2333 CH Leiden, The Netherlands.</w:t>
      </w:r>
    </w:p>
    <w:tbl>
      <w:tblPr>
        <w:tblLayout w:type="fixed"/>
        <w:tblInd w:w="1700" w:type="dxa"/>
        <w:tblCellMar>
          <w:top w:w="0" w:type="dxa"/>
          <w:left w:w="0" w:type="dxa"/>
          <w:bottom w:w="0" w:type="dxa"/>
          <w:right w:w="0" w:type="dxa"/>
        </w:tblCellMar>
      </w:tblPr>
      <w:tr>
        <w:trPr>
          <w:trHeight w:val="124"/>
        </w:trPr>
        <w:tc>
          <w:tcPr>
            <w:tcW w:w="5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gridSpan w:val="4"/>
          </w:tcPr>
          <w:p>
            <w:pPr>
              <w:jc w:val="right"/>
              <w:ind w:right="480"/>
              <w:spacing w:after="0" w:line="124" w:lineRule="exact"/>
              <w:rPr>
                <w:sz w:val="20"/>
                <w:szCs w:val="20"/>
                <w:color w:val="auto"/>
              </w:rPr>
            </w:pPr>
            <w:r>
              <w:rPr>
                <w:rFonts w:ascii="Arial" w:cs="Arial" w:eastAsia="Arial" w:hAnsi="Arial"/>
                <w:sz w:val="13"/>
                <w:szCs w:val="13"/>
                <w:b w:val="1"/>
                <w:bCs w:val="1"/>
                <w:color w:val="auto"/>
              </w:rPr>
              <w:t>Ordinary Shares Beneficially</w:t>
            </w:r>
          </w:p>
        </w:tc>
      </w:tr>
      <w:tr>
        <w:trPr>
          <w:trHeight w:val="153"/>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4"/>
          </w:tcPr>
          <w:p>
            <w:pPr>
              <w:jc w:val="right"/>
              <w:ind w:right="1120"/>
              <w:spacing w:after="0"/>
              <w:rPr>
                <w:sz w:val="20"/>
                <w:szCs w:val="20"/>
                <w:color w:val="auto"/>
              </w:rPr>
            </w:pPr>
            <w:r>
              <w:rPr>
                <w:rFonts w:ascii="Arial" w:cs="Arial" w:eastAsia="Arial" w:hAnsi="Arial"/>
                <w:sz w:val="13"/>
                <w:szCs w:val="13"/>
                <w:b w:val="1"/>
                <w:bCs w:val="1"/>
                <w:color w:val="auto"/>
              </w:rPr>
              <w:t>Owned</w:t>
            </w:r>
          </w:p>
        </w:tc>
      </w:tr>
      <w:tr>
        <w:trPr>
          <w:trHeight w:val="138"/>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5"/>
              </w:rPr>
              <w:t>Number of</w:t>
            </w:r>
          </w:p>
        </w:tc>
        <w:tc>
          <w:tcPr>
            <w:tcW w:w="1080" w:type="dxa"/>
            <w:vAlign w:val="bottom"/>
            <w:tcBorders>
              <w:top w:val="single" w:sz="8" w:color="auto"/>
            </w:tcBorders>
          </w:tcPr>
          <w:p>
            <w:pPr>
              <w:jc w:val="right"/>
              <w:ind w:right="61"/>
              <w:spacing w:after="0" w:line="138" w:lineRule="exact"/>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1"/>
                <w:szCs w:val="11"/>
                <w:color w:val="auto"/>
              </w:rPr>
            </w:pPr>
          </w:p>
        </w:tc>
      </w:tr>
      <w:tr>
        <w:trPr>
          <w:trHeight w:val="153"/>
        </w:trPr>
        <w:tc>
          <w:tcPr>
            <w:tcW w:w="5380" w:type="dxa"/>
            <w:vAlign w:val="bottom"/>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Shares</w:t>
            </w:r>
          </w:p>
        </w:tc>
        <w:tc>
          <w:tcPr>
            <w:tcW w:w="12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Class</w:t>
            </w:r>
          </w:p>
        </w:tc>
      </w:tr>
      <w:tr>
        <w:trPr>
          <w:trHeight w:val="196"/>
        </w:trPr>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5% Beneficial Owner:</w:t>
            </w:r>
          </w:p>
        </w:tc>
        <w:tc>
          <w:tcPr>
            <w:tcW w:w="10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LSP V Coöperatieve U.A.(1)</w:t>
            </w:r>
          </w:p>
        </w:tc>
        <w:tc>
          <w:tcPr>
            <w:tcW w:w="1060" w:type="dxa"/>
            <w:vAlign w:val="bottom"/>
          </w:tcPr>
          <w:p>
            <w:pPr>
              <w:jc w:val="right"/>
              <w:spacing w:after="0"/>
              <w:rPr>
                <w:sz w:val="20"/>
                <w:szCs w:val="20"/>
                <w:color w:val="auto"/>
              </w:rPr>
            </w:pPr>
            <w:r>
              <w:rPr>
                <w:rFonts w:ascii="Arial" w:cs="Arial" w:eastAsia="Arial" w:hAnsi="Arial"/>
                <w:sz w:val="16"/>
                <w:szCs w:val="16"/>
                <w:color w:val="auto"/>
              </w:rPr>
              <w:t>3,607,566</w:t>
            </w:r>
          </w:p>
        </w:tc>
        <w:tc>
          <w:tcPr>
            <w:tcW w:w="1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10.88%</w:t>
            </w: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Entities affiliated with Foresite Capital(2)</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3,296,068</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9.94%</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FMR LLC (3)</w:t>
            </w:r>
          </w:p>
        </w:tc>
        <w:tc>
          <w:tcPr>
            <w:tcW w:w="1060" w:type="dxa"/>
            <w:vAlign w:val="bottom"/>
          </w:tcPr>
          <w:p>
            <w:pPr>
              <w:jc w:val="right"/>
              <w:spacing w:after="0"/>
              <w:rPr>
                <w:sz w:val="20"/>
                <w:szCs w:val="20"/>
                <w:color w:val="auto"/>
              </w:rPr>
            </w:pPr>
            <w:r>
              <w:rPr>
                <w:rFonts w:ascii="Arial" w:cs="Arial" w:eastAsia="Arial" w:hAnsi="Arial"/>
                <w:sz w:val="16"/>
                <w:szCs w:val="16"/>
                <w:color w:val="auto"/>
              </w:rPr>
              <w:t>3,295,109</w:t>
            </w:r>
          </w:p>
        </w:tc>
        <w:tc>
          <w:tcPr>
            <w:tcW w:w="1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9.94%</w:t>
            </w: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Entities affiliated with Bain Capital Life Sciences Investors, LLC (4)</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3,180,601</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9.59%</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Viking Global Opportunities Illiquid Investments Sub-Master LP(5)</w:t>
            </w:r>
          </w:p>
        </w:tc>
        <w:tc>
          <w:tcPr>
            <w:tcW w:w="1060" w:type="dxa"/>
            <w:vAlign w:val="bottom"/>
          </w:tcPr>
          <w:p>
            <w:pPr>
              <w:jc w:val="right"/>
              <w:spacing w:after="0"/>
              <w:rPr>
                <w:sz w:val="20"/>
                <w:szCs w:val="20"/>
                <w:color w:val="auto"/>
              </w:rPr>
            </w:pPr>
            <w:r>
              <w:rPr>
                <w:rFonts w:ascii="Arial" w:cs="Arial" w:eastAsia="Arial" w:hAnsi="Arial"/>
                <w:sz w:val="16"/>
                <w:szCs w:val="16"/>
                <w:color w:val="auto"/>
              </w:rPr>
              <w:t>2,455,536</w:t>
            </w:r>
          </w:p>
        </w:tc>
        <w:tc>
          <w:tcPr>
            <w:tcW w:w="1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7.41%</w:t>
            </w: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General Atlantic PH B.V.(6)</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2,420,155</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7.30%</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venBio Global Strategic Fund III, L.P.(7)</w:t>
            </w:r>
          </w:p>
        </w:tc>
        <w:tc>
          <w:tcPr>
            <w:tcW w:w="1060" w:type="dxa"/>
            <w:vAlign w:val="bottom"/>
          </w:tcPr>
          <w:p>
            <w:pPr>
              <w:jc w:val="right"/>
              <w:spacing w:after="0"/>
              <w:rPr>
                <w:sz w:val="20"/>
                <w:szCs w:val="20"/>
                <w:color w:val="auto"/>
              </w:rPr>
            </w:pPr>
            <w:r>
              <w:rPr>
                <w:rFonts w:ascii="Arial" w:cs="Arial" w:eastAsia="Arial" w:hAnsi="Arial"/>
                <w:sz w:val="16"/>
                <w:szCs w:val="16"/>
                <w:color w:val="auto"/>
              </w:rPr>
              <w:t>2,303,310</w:t>
            </w:r>
          </w:p>
        </w:tc>
        <w:tc>
          <w:tcPr>
            <w:tcW w:w="1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6.95%</w:t>
            </w: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Board and Senior Management:</w:t>
            </w: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Mr. Modig(8)</w:t>
            </w:r>
          </w:p>
        </w:tc>
        <w:tc>
          <w:tcPr>
            <w:tcW w:w="1060" w:type="dxa"/>
            <w:vAlign w:val="bottom"/>
          </w:tcPr>
          <w:p>
            <w:pPr>
              <w:jc w:val="right"/>
              <w:spacing w:after="0"/>
              <w:rPr>
                <w:sz w:val="20"/>
                <w:szCs w:val="20"/>
                <w:color w:val="auto"/>
              </w:rPr>
            </w:pPr>
            <w:r>
              <w:rPr>
                <w:rFonts w:ascii="Arial" w:cs="Arial" w:eastAsia="Arial" w:hAnsi="Arial"/>
                <w:sz w:val="16"/>
                <w:szCs w:val="16"/>
                <w:color w:val="auto"/>
              </w:rPr>
              <w:t>1,365,625</w:t>
            </w:r>
          </w:p>
        </w:tc>
        <w:tc>
          <w:tcPr>
            <w:tcW w:w="1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4.10%</w:t>
            </w: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Knolle(12)</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1,334,375</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4.01%</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Mr. Schikan(11)</w:t>
            </w:r>
          </w:p>
        </w:tc>
        <w:tc>
          <w:tcPr>
            <w:tcW w:w="1060" w:type="dxa"/>
            <w:vAlign w:val="bottom"/>
          </w:tcPr>
          <w:p>
            <w:pPr>
              <w:jc w:val="right"/>
              <w:spacing w:after="0"/>
              <w:rPr>
                <w:sz w:val="20"/>
                <w:szCs w:val="20"/>
                <w:color w:val="auto"/>
              </w:rPr>
            </w:pPr>
            <w:r>
              <w:rPr>
                <w:rFonts w:ascii="Arial" w:cs="Arial" w:eastAsia="Arial" w:hAnsi="Arial"/>
                <w:sz w:val="16"/>
                <w:szCs w:val="16"/>
                <w:color w:val="auto"/>
              </w:rPr>
              <w:t>510,938</w:t>
            </w:r>
          </w:p>
        </w:tc>
        <w:tc>
          <w:tcPr>
            <w:tcW w:w="1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1.54%</w:t>
            </w: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Lesage(14)</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375,000</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1.13%</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Dr. Lu(13)</w:t>
            </w:r>
          </w:p>
        </w:tc>
        <w:tc>
          <w:tcPr>
            <w:tcW w:w="1060" w:type="dxa"/>
            <w:vAlign w:val="bottom"/>
          </w:tcPr>
          <w:p>
            <w:pPr>
              <w:jc w:val="right"/>
              <w:spacing w:after="0"/>
              <w:rPr>
                <w:sz w:val="20"/>
                <w:szCs w:val="20"/>
                <w:color w:val="auto"/>
              </w:rPr>
            </w:pPr>
            <w:r>
              <w:rPr>
                <w:rFonts w:ascii="Arial" w:cs="Arial" w:eastAsia="Arial" w:hAnsi="Arial"/>
                <w:sz w:val="16"/>
                <w:szCs w:val="16"/>
                <w:color w:val="auto"/>
              </w:rPr>
              <w:t>291,438</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Conn(15)</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136,117</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Dr. Meeker(9)</w:t>
            </w:r>
          </w:p>
        </w:tc>
        <w:tc>
          <w:tcPr>
            <w:tcW w:w="1060" w:type="dxa"/>
            <w:vAlign w:val="bottom"/>
          </w:tcPr>
          <w:p>
            <w:pPr>
              <w:jc w:val="right"/>
              <w:spacing w:after="0"/>
              <w:rPr>
                <w:sz w:val="20"/>
                <w:szCs w:val="20"/>
                <w:color w:val="auto"/>
              </w:rPr>
            </w:pPr>
            <w:r>
              <w:rPr>
                <w:rFonts w:ascii="Arial" w:cs="Arial" w:eastAsia="Arial" w:hAnsi="Arial"/>
                <w:sz w:val="16"/>
                <w:szCs w:val="16"/>
                <w:color w:val="auto"/>
              </w:rPr>
              <w:t>76,667</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Glassman(10)</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11,500</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Ms. Nijdam(16)</w:t>
            </w:r>
          </w:p>
        </w:tc>
        <w:tc>
          <w:tcPr>
            <w:tcW w:w="1060" w:type="dxa"/>
            <w:vAlign w:val="bottom"/>
          </w:tcPr>
          <w:p>
            <w:pPr>
              <w:jc w:val="right"/>
              <w:spacing w:after="0"/>
              <w:rPr>
                <w:sz w:val="20"/>
                <w:szCs w:val="20"/>
                <w:color w:val="auto"/>
              </w:rPr>
            </w:pPr>
            <w:r>
              <w:rPr>
                <w:rFonts w:ascii="Arial" w:cs="Arial" w:eastAsia="Arial" w:hAnsi="Arial"/>
                <w:sz w:val="16"/>
                <w:szCs w:val="16"/>
                <w:color w:val="auto"/>
              </w:rPr>
              <w:t>11,353</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Dr. Björk</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r>
      <w:tr>
        <w:trPr>
          <w:trHeight w:val="202"/>
        </w:trPr>
        <w:tc>
          <w:tcPr>
            <w:tcW w:w="5380" w:type="dxa"/>
            <w:vAlign w:val="bottom"/>
            <w:gridSpan w:val="2"/>
          </w:tcPr>
          <w:p>
            <w:pPr>
              <w:spacing w:after="0"/>
              <w:rPr>
                <w:sz w:val="20"/>
                <w:szCs w:val="20"/>
                <w:color w:val="auto"/>
              </w:rPr>
            </w:pPr>
            <w:r>
              <w:rPr>
                <w:rFonts w:ascii="Arial" w:cs="Arial" w:eastAsia="Arial" w:hAnsi="Arial"/>
                <w:sz w:val="16"/>
                <w:szCs w:val="16"/>
                <w:color w:val="auto"/>
              </w:rPr>
              <w:t>Ms. de Jonge Schuermans</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Ms. Monges</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Dr. Souverijns</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53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All executive officers and board members as a group</w:t>
            </w: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5"/>
        </w:trPr>
        <w:tc>
          <w:tcPr>
            <w:tcW w:w="5380" w:type="dxa"/>
            <w:vAlign w:val="bottom"/>
            <w:gridSpan w:val="2"/>
          </w:tcPr>
          <w:p>
            <w:pPr>
              <w:spacing w:after="0"/>
              <w:rPr>
                <w:sz w:val="20"/>
                <w:szCs w:val="20"/>
                <w:color w:val="auto"/>
              </w:rPr>
            </w:pPr>
            <w:r>
              <w:rPr>
                <w:rFonts w:ascii="Arial" w:cs="Arial" w:eastAsia="Arial" w:hAnsi="Arial"/>
                <w:sz w:val="16"/>
                <w:szCs w:val="16"/>
                <w:color w:val="auto"/>
              </w:rPr>
              <w:t>(13 persons)</w:t>
            </w:r>
          </w:p>
        </w:tc>
        <w:tc>
          <w:tcPr>
            <w:tcW w:w="1060" w:type="dxa"/>
            <w:vAlign w:val="bottom"/>
          </w:tcPr>
          <w:p>
            <w:pPr>
              <w:jc w:val="right"/>
              <w:spacing w:after="0"/>
              <w:rPr>
                <w:sz w:val="20"/>
                <w:szCs w:val="20"/>
                <w:color w:val="auto"/>
              </w:rPr>
            </w:pPr>
            <w:r>
              <w:rPr>
                <w:rFonts w:ascii="Arial" w:cs="Arial" w:eastAsia="Arial" w:hAnsi="Arial"/>
                <w:sz w:val="16"/>
                <w:szCs w:val="16"/>
                <w:color w:val="auto"/>
              </w:rPr>
              <w:t>4,113,013</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11.84%</w:t>
            </w:r>
          </w:p>
        </w:tc>
      </w:tr>
    </w:tbl>
    <w:p>
      <w:pPr>
        <w:spacing w:after="0" w:line="203"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Indicates beneficial ownership of less than 1% of total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0142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9" w:lineRule="exact"/>
        <w:rPr>
          <w:sz w:val="20"/>
          <w:szCs w:val="20"/>
          <w:color w:val="auto"/>
        </w:rPr>
      </w:pPr>
    </w:p>
    <w:p>
      <w:pPr>
        <w:ind w:left="540" w:right="360" w:hanging="424"/>
        <w:spacing w:after="0" w:line="251"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managing director of LSP V Coöperatieve U.A. is LSP V Management B.V. The managing directors of LSP V Management B.V. are Martijn Kleijwegt, Rene Kuijten and Joachim Rothe, each of whom may be deemed to have voting and investment power over the shares held by LSP V Coöperatieve U.A. Each of Mr. Kleijwegt, Mr. Kuijten and Mr. Rothe disclaims beneficial ownership of such shares except to the extent of their pecuniary interest therein. The address of LSP V Coöperatieve U.A. is Johannes Vermeerplein 9, 1071 DV Amsterdam, the Netherlands.</w:t>
      </w:r>
    </w:p>
    <w:p>
      <w:pPr>
        <w:spacing w:after="0" w:line="2" w:lineRule="exact"/>
        <w:rPr>
          <w:rFonts w:ascii="Arial" w:cs="Arial" w:eastAsia="Arial" w:hAnsi="Arial"/>
          <w:sz w:val="16"/>
          <w:szCs w:val="16"/>
          <w:color w:val="auto"/>
        </w:rPr>
      </w:pPr>
    </w:p>
    <w:p>
      <w:pPr>
        <w:ind w:left="540" w:hanging="424"/>
        <w:spacing w:after="0" w:line="246"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(i) 3,261,926 ordinary shares held by Foresite Capital Fund IV, L.P. (“Foresite IV”); and (ii) 34,142 ordinary shares held by Foresite Capital Fund V, L.P. (“Foresite V” and, together with Foresite IV, “Foresite”). Foresite Capital Management IV, LLC (“FCM IV”) is the general partner of Foresite IV and may be deemed to have sole voting and dispositive power over shares held by Foresite IV. Foresite Capital Management V, LLC (“FCM V”) is the general partner of Foresite V and may be deemed to have sole voting and dispositive power over shares held by Foresite V. James Tananbaum is the sole managing member of FCM IV and FCM V and may be deemed to have sole voting and dispositive power over share held by Foresite. Each of FCM IV, FCM V and Dr. Tananbaum disclaims beneficial ownership of shares held by Foresite except to the extent of any pecuniary interest therein. The address of Foresite, FCM IV, FCM V and Dr. Tananbaum is 600 Montgomery Street, Suite 4500, San Francisco, CA 94111.</w:t>
      </w:r>
    </w:p>
    <w:p>
      <w:pPr>
        <w:spacing w:after="0" w:line="2" w:lineRule="exact"/>
        <w:rPr>
          <w:rFonts w:ascii="Arial" w:cs="Arial" w:eastAsia="Arial" w:hAnsi="Arial"/>
          <w:sz w:val="16"/>
          <w:szCs w:val="16"/>
          <w:color w:val="auto"/>
        </w:rPr>
      </w:pPr>
    </w:p>
    <w:p>
      <w:pPr>
        <w:ind w:left="540" w:right="40" w:hanging="424"/>
        <w:spacing w:after="0" w:line="246"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3,295,109 ordinary shares held by FMC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address of FMR LLC is 245 Summer Street, Boston, MA 02210.</w:t>
      </w:r>
    </w:p>
    <w:p>
      <w:pPr>
        <w:spacing w:after="0" w:line="4" w:lineRule="exact"/>
        <w:rPr>
          <w:rFonts w:ascii="Arial" w:cs="Arial" w:eastAsia="Arial" w:hAnsi="Arial"/>
          <w:sz w:val="16"/>
          <w:szCs w:val="16"/>
          <w:color w:val="auto"/>
        </w:rPr>
      </w:pPr>
    </w:p>
    <w:p>
      <w:pPr>
        <w:ind w:left="540" w:right="120" w:hanging="424"/>
        <w:spacing w:after="0" w:line="250"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(i) 2,908,480 ordinary shares held by Bain Capital Life Sciences Fund, L.P. (“BCLS”); and (ii) 272,121 ordinary shares held by BCIP Life Sciences Associates, LP (“BCIP LS” and, together with BCLS, the “Bain Capital Life Sciences Entities”). Bain Capital Life Sciences Investors, LLC (“BCLSI”), whose managers are Jeffrey Schwartz and Adam Koppel, is the general partner of Bain Capital Life Sciences, LP, which is the general partner of BCLS. BCLSI governs the investment strategy and decision-making process with respect to investments held by BCIP LS. As a result, each of BCLSI, Mr. Schwartz and Dr. Koppel may be deemed to share voting and dispositive power over the shares held by the Bain Capital Life Sciences Entities. The address of the Bain Capital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Life Sciences Entities, BCLSI, Mr. Schwartz and Dr. Koppel is c/o Bain Capital Life Sciences, LP 200 Clarendon Street, Boston, MA 02116.</w:t>
      </w:r>
    </w:p>
    <w:p>
      <w:pPr>
        <w:spacing w:after="0" w:line="46" w:lineRule="exact"/>
        <w:rPr>
          <w:sz w:val="20"/>
          <w:szCs w:val="20"/>
          <w:color w:val="auto"/>
        </w:rPr>
      </w:pPr>
    </w:p>
    <w:p>
      <w:pPr>
        <w:ind w:left="540" w:right="40" w:hanging="424"/>
        <w:spacing w:after="0" w:line="248"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Viking Global Opportunities Illiquid Investments Sub-Master LP (the “Opportunities Fund”) has the authority to dispose of and vote the shares directly owned by it, which power may be exercised by its general partner, Viking Global Opportunities Portfolio GP LLC (“Opportunities Portfolio GP”), and by Viking Global Investors LP (“VGI”), which provides managerial services to the Opportunities Fund. Viking Global Opportunities Parent GP LLC (“Opportunities Parent”) is the general partner of Viking Global Opportunities GP LLC (“Opportunities GP”) which serves as the sole member of Opportunities Portfolio GP and has the authority to dispose of and vote the ordinary shares controlled by Opportunities Portfolio GP, which consists of the ordinary shares directly held by the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the Opportunities GP. The business address of the Opportunities Fund, Opportunities Portfolio GP, Opportunities GP, VGI, O. Andreas Halvorsen, David C. Ott and Rose Shabet is c/o Viking Global Investors LP, 55 Railroad Avenue, Greenwich, Connecticut 06830.</w:t>
      </w:r>
    </w:p>
    <w:p>
      <w:pPr>
        <w:spacing w:after="0" w:line="4" w:lineRule="exact"/>
        <w:rPr>
          <w:rFonts w:ascii="Arial" w:cs="Arial" w:eastAsia="Arial" w:hAnsi="Arial"/>
          <w:sz w:val="16"/>
          <w:szCs w:val="16"/>
          <w:color w:val="auto"/>
        </w:rPr>
      </w:pPr>
    </w:p>
    <w:p>
      <w:pPr>
        <w:ind w:left="540" w:right="320" w:hanging="424"/>
        <w:spacing w:after="0" w:line="248"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General Atlantic PH B.V. (“GA PH”) is a wholly owned subsidiary of General Atlantic Coöperatief U.A. (“GA Coop UA”). The members that share beneficial ownership of the shares held by GA PH through GA Coop UA are the following General Atlantic investment funds (the “GA Funds”): General Atlantic Partners (Bermuda) IV, L.P. (“GAP Bermuda IV”), General Atlantic Partners (Bermuda) EU, L.P. (“GAP Bermuda EU”), General Atlantic Partners (Lux) SCSp (“GAP Lux”) and General Atlantic Cooperatief, L.P. (“GA Coop LP”). The general partner of GAP Lux is General Atlantic GenPar, (Lux) SCSp (“GA GenPar Lux”) and the general partner of GA GenPar Lux is General Atlantic (Lux) S.à r.l. (“GA Lux”). The general partner of GAP Bermuda IV and GAP Bermuda EU and the sole shareholder of GA Lux is General Atlantic GenPar (Bermuda), L.P. (“GenPar Bermuda”). GAP (Bermuda) Limited (“GAP (Bermuda) Limited”) is the general partner of GenPar Bermuda and GA Coop LP. There are nine members of the management committee of GAP (Bermuda) Limited (the “GA Management Committee”). GAP (Bermuda) Limited, GenPar Bermuda, GA Lux, GA GenPar Lux, and the GA Funds (collectively, the “GA Group”) are a “group” within the meaning of Rule 13d-5 of the Exchange Act. The address of GA Coop LP, GAP Bermuda IV, GAP Bermuda EU, GenPar Bermuda, and GAP (Bermuda) Limited is Clarendon House, 2 Church Street, Hamilton HM 11, Bermuda. The address of GA Coop UA is Raamplein 1, 1016 XK, Amsterdam, The Netherlands. The address of GAP Lux, GA GenPar Lux and GA Lux is Luxembourg is 412F, Route d’Esch, L-2086 Luxembourg. Each of the members of the GA Management Committee disclaims ownership of the shares except to the extent that he has a pecuniary interest therein.</w:t>
      </w:r>
    </w:p>
    <w:p>
      <w:pPr>
        <w:spacing w:after="0" w:line="36"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2,303,310 ordinary shares that are directly held by venBio Global Strategic Fund III, L.P. (“venBio”). As the sole general partner of venBio, venBio Global Strategic GP III, L.P. (the “General Partner III”) may be deemed to beneficially own the shares held by venBio and as the sole general partner of the General Partner III, venBio Global Strategic GP III, Ltd. (the “GP Ltd. III”) may be deemed to beneficially own the share held by venBio. As directors of the GP Ltd. III, each of the Aaron Royston, Robert Adelman and Corey Goodman may be deemed to beneficially own the shares held by venBio. The address of venBio, General Partner III, GP Ltd. III. Aaron Royston, Robert Adelman and Corey Goodman is c/o venBio Partners, LLC, 1700 Owens Street Suite 595 San Francisco, CA 94158.</w:t>
      </w:r>
    </w:p>
    <w:p>
      <w:pPr>
        <w:ind w:left="540" w:right="240" w:hanging="424"/>
        <w:spacing w:after="0" w:line="265"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ordinary shares held by Schoodic Management B.V., an entity controlled by Mr. Modig. Consists of 165,625 options that vest within 60 days of March 10, 2022. See “ITEM 6. DIRECTORS, SENIOR MANAGEMENT AND EMPLOYEES—B. Compensation—Equity Incentive Plan.”</w:t>
      </w:r>
    </w:p>
    <w:p>
      <w:pPr>
        <w:spacing w:after="0" w:line="50" w:lineRule="exact"/>
        <w:rPr>
          <w:rFonts w:ascii="Arial" w:cs="Arial" w:eastAsia="Arial" w:hAnsi="Arial"/>
          <w:sz w:val="16"/>
          <w:szCs w:val="16"/>
          <w:color w:val="auto"/>
        </w:rPr>
      </w:pPr>
    </w:p>
    <w:p>
      <w:pPr>
        <w:ind w:left="540" w:right="1340" w:hanging="424"/>
        <w:spacing w:after="0" w:line="290"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26,667 options that vest within 60 days of March 10, 2022. See “ITEM 6. DIRECTORS, SENIOR MANAGEMENT AND EMPLOYEES—B. Compensation—Equity Incentive Plan.”</w:t>
      </w:r>
    </w:p>
    <w:p>
      <w:pPr>
        <w:ind w:left="540" w:right="1360" w:hanging="424"/>
        <w:spacing w:after="0" w:line="281"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11,500 options that vest within 60 days of March 10, 2022. See “ITEM 6. DIRECTORS, SENIOR MANAGEMENT AND EMPLOYEES—B. Compensation—Equity Incentive Plan.”</w:t>
      </w:r>
    </w:p>
    <w:p>
      <w:pPr>
        <w:spacing w:after="0" w:line="1" w:lineRule="exact"/>
        <w:rPr>
          <w:rFonts w:ascii="Arial" w:cs="Arial" w:eastAsia="Arial" w:hAnsi="Arial"/>
          <w:sz w:val="16"/>
          <w:szCs w:val="16"/>
          <w:color w:val="auto"/>
        </w:rPr>
      </w:pPr>
    </w:p>
    <w:p>
      <w:pPr>
        <w:ind w:left="540" w:hanging="424"/>
        <w:spacing w:after="0" w:line="286"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10,938 options that vest within 60 days of March 10, 2022. See “ITEM 6. DIRECTORS, SENIOR MANAGEMENT AND EMPLOYEES—B. Compensation—Equity Incentive Plan.”</w:t>
      </w:r>
    </w:p>
    <w:p>
      <w:pPr>
        <w:spacing w:after="0" w:line="142" w:lineRule="exact"/>
        <w:rPr>
          <w:rFonts w:ascii="Arial" w:cs="Arial" w:eastAsia="Arial" w:hAnsi="Arial"/>
          <w:sz w:val="16"/>
          <w:szCs w:val="16"/>
          <w:color w:val="auto"/>
        </w:rPr>
      </w:pPr>
    </w:p>
    <w:p>
      <w:pPr>
        <w:ind w:left="540" w:hanging="424"/>
        <w:spacing w:after="0"/>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134,375 options that vest within 60 days of March 10, 2022. See “ITEM 6. DIRECTORS, SENIOR MANAGEMENT AND EMPLOYEES—</w:t>
      </w:r>
    </w:p>
    <w:p>
      <w:pPr>
        <w:spacing w:after="0" w:line="21" w:lineRule="exact"/>
        <w:rPr>
          <w:rFonts w:ascii="Arial" w:cs="Arial" w:eastAsia="Arial" w:hAnsi="Arial"/>
          <w:sz w:val="16"/>
          <w:szCs w:val="16"/>
          <w:color w:val="auto"/>
        </w:rPr>
      </w:pPr>
    </w:p>
    <w:p>
      <w:pPr>
        <w:ind w:left="740" w:hanging="206"/>
        <w:spacing w:after="0"/>
        <w:tabs>
          <w:tab w:leader="none" w:pos="7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Compensation—Equity Incentive Plan.”</w:t>
      </w:r>
    </w:p>
    <w:p>
      <w:pPr>
        <w:spacing w:after="0" w:line="191" w:lineRule="exact"/>
        <w:rPr>
          <w:rFonts w:ascii="Arial" w:cs="Arial" w:eastAsia="Arial" w:hAnsi="Arial"/>
          <w:sz w:val="16"/>
          <w:szCs w:val="16"/>
          <w:color w:val="auto"/>
        </w:rPr>
      </w:pPr>
    </w:p>
    <w:p>
      <w:pPr>
        <w:ind w:left="540" w:hanging="424"/>
        <w:spacing w:after="0"/>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257,438 options that vest within 60 days of March 10, 2022. See “ITEM 6. DIRECTORS, SENIOR MANAGEMENT AND EMPLOYEES—</w:t>
      </w:r>
    </w:p>
    <w:p>
      <w:pPr>
        <w:spacing w:after="0" w:line="21" w:lineRule="exact"/>
        <w:rPr>
          <w:rFonts w:ascii="Arial" w:cs="Arial" w:eastAsia="Arial" w:hAnsi="Arial"/>
          <w:sz w:val="16"/>
          <w:szCs w:val="16"/>
          <w:color w:val="auto"/>
        </w:rPr>
      </w:pPr>
    </w:p>
    <w:p>
      <w:pPr>
        <w:ind w:left="740" w:hanging="206"/>
        <w:spacing w:after="0"/>
        <w:tabs>
          <w:tab w:leader="none" w:pos="7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Compensation—Equity Incentive Plan.”</w:t>
      </w:r>
    </w:p>
    <w:p>
      <w:pPr>
        <w:spacing w:after="0" w:line="191" w:lineRule="exact"/>
        <w:rPr>
          <w:rFonts w:ascii="Arial" w:cs="Arial" w:eastAsia="Arial" w:hAnsi="Arial"/>
          <w:sz w:val="16"/>
          <w:szCs w:val="16"/>
          <w:color w:val="auto"/>
        </w:rPr>
      </w:pPr>
    </w:p>
    <w:p>
      <w:pPr>
        <w:jc w:val="both"/>
        <w:ind w:left="540" w:right="200" w:hanging="424"/>
        <w:spacing w:after="0" w:line="286"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Represents ordinary shares held by GrayMatters Consulting BVBA, an entity controlled by Dr. Lesage. Consists of 125,000 options that vest within 60 days of March 10, 2022. See “ITEM 6. DIRECTORS, SENIOR MANAGEMENT AND EMPLOYEES—B. Compensation—Equity Incentive Plan.”</w:t>
      </w:r>
    </w:p>
    <w:p>
      <w:pPr>
        <w:spacing w:after="0" w:line="7" w:lineRule="exact"/>
        <w:rPr>
          <w:rFonts w:ascii="Arial" w:cs="Arial" w:eastAsia="Arial" w:hAnsi="Arial"/>
          <w:sz w:val="16"/>
          <w:szCs w:val="16"/>
          <w:color w:val="auto"/>
        </w:rPr>
      </w:pPr>
    </w:p>
    <w:p>
      <w:pPr>
        <w:ind w:left="540" w:hanging="424"/>
        <w:spacing w:after="0"/>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121,875 options that vest within 60 days of March 10, 2022. See “ITEM 6. DIRECTORS, SENIOR MANAGEMENT AND EMPLOYEES—</w:t>
      </w:r>
    </w:p>
    <w:p>
      <w:pPr>
        <w:spacing w:after="0" w:line="21" w:lineRule="exact"/>
        <w:rPr>
          <w:rFonts w:ascii="Arial" w:cs="Arial" w:eastAsia="Arial" w:hAnsi="Arial"/>
          <w:sz w:val="16"/>
          <w:szCs w:val="16"/>
          <w:color w:val="auto"/>
        </w:rPr>
      </w:pPr>
    </w:p>
    <w:p>
      <w:pPr>
        <w:ind w:left="740" w:hanging="206"/>
        <w:spacing w:after="0"/>
        <w:tabs>
          <w:tab w:leader="none" w:pos="7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Compensation—Equity Incentive Plan.”</w:t>
      </w:r>
    </w:p>
    <w:p>
      <w:pPr>
        <w:spacing w:after="0" w:line="191" w:lineRule="exact"/>
        <w:rPr>
          <w:rFonts w:ascii="Arial" w:cs="Arial" w:eastAsia="Arial" w:hAnsi="Arial"/>
          <w:sz w:val="16"/>
          <w:szCs w:val="16"/>
          <w:color w:val="auto"/>
        </w:rPr>
      </w:pPr>
    </w:p>
    <w:p>
      <w:pPr>
        <w:ind w:left="540" w:right="80" w:hanging="424"/>
        <w:spacing w:after="0" w:line="286"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9,375 options that vest within 60 days of March 10, 2022. See “ITEM 6. DIRECTORS, SENIOR MANAGEMENT AND EMPLOYEES—B. Compensation—Equity Incentive Plan.”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40" w:firstLine="445"/>
        <w:spacing w:after="0" w:line="254" w:lineRule="auto"/>
        <w:rPr>
          <w:sz w:val="20"/>
          <w:szCs w:val="20"/>
          <w:color w:val="auto"/>
        </w:rPr>
      </w:pPr>
      <w:r>
        <w:rPr>
          <w:rFonts w:ascii="Arial" w:cs="Arial" w:eastAsia="Arial" w:hAnsi="Arial"/>
          <w:sz w:val="16"/>
          <w:szCs w:val="16"/>
          <w:color w:val="auto"/>
        </w:rPr>
        <w:t>As of March 10, 2022, approximately 20.5 million of our outstanding ordinary shares are held by 9 record holders in the United States, including Cede and Company which is the record holder for 10.6 million ordinary shares. Cede and Company is a specialist United States financial institution that processes transfers of stock certificates on behalf of the Depository Trust Company, or DTC. Cede and Company therefore is the technical shareholder of record for all of our shares that were issued in our initial public offering and are held by DTC participants, as such shareholders do not themselves hold direct property rights in our ordinary shares, but rather have contractual rights in such shares that are part of a chain of contractual rights involving Cede and Company. All ordinary shares carry one voting right. We are not aware of any arrangement that may, at a subsequent date, result in a change of control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Changes in Ownership by Major Shareholders</w:t>
      </w:r>
    </w:p>
    <w:p>
      <w:pPr>
        <w:spacing w:after="0" w:line="181" w:lineRule="exact"/>
        <w:rPr>
          <w:sz w:val="20"/>
          <w:szCs w:val="20"/>
          <w:color w:val="auto"/>
        </w:rPr>
      </w:pPr>
    </w:p>
    <w:p>
      <w:pPr>
        <w:ind w:firstLine="445"/>
        <w:spacing w:after="0" w:line="256" w:lineRule="auto"/>
        <w:rPr>
          <w:sz w:val="20"/>
          <w:szCs w:val="20"/>
          <w:color w:val="auto"/>
        </w:rPr>
      </w:pPr>
      <w:r>
        <w:rPr>
          <w:rFonts w:ascii="Arial" w:cs="Arial" w:eastAsia="Arial" w:hAnsi="Arial"/>
          <w:sz w:val="16"/>
          <w:szCs w:val="16"/>
          <w:color w:val="auto"/>
        </w:rPr>
        <w:t>Immediately prior to our initial public offering in February 2021, our principal shareholders were LSP V Coöperatieve U.A. (15.31% ownership), KURMA BIOFUND II (5.68% ownership), entities affiliated with Foresite Capital (15.38% ownership), entities affiliated with Bain Capital Life Sciences Investors, LLC (12.43% ownership), venBio Global Strategic Fund III, L.P (8.50% ownership), entities affiliated with Idinvest Partners S.A (6.17% ownership), Jens Schneider-Mergener (5.09% ownership), Viking Global Opportunities Illiquid Investments Sub-Master LP (6.03% ownership) and General Atlantic PH B.V. (6.03% ownership).</w:t>
      </w:r>
    </w:p>
    <w:p>
      <w:pPr>
        <w:spacing w:after="0" w:line="139" w:lineRule="exact"/>
        <w:rPr>
          <w:sz w:val="20"/>
          <w:szCs w:val="20"/>
          <w:color w:val="auto"/>
        </w:rPr>
      </w:pPr>
    </w:p>
    <w:p>
      <w:pPr>
        <w:ind w:right="260" w:firstLine="445"/>
        <w:spacing w:after="0" w:line="266" w:lineRule="auto"/>
        <w:rPr>
          <w:sz w:val="20"/>
          <w:szCs w:val="20"/>
          <w:color w:val="auto"/>
        </w:rPr>
      </w:pPr>
      <w:r>
        <w:rPr>
          <w:rFonts w:ascii="Arial" w:cs="Arial" w:eastAsia="Arial" w:hAnsi="Arial"/>
          <w:sz w:val="16"/>
          <w:szCs w:val="16"/>
          <w:color w:val="auto"/>
        </w:rPr>
        <w:t>On February 9, 2021, we completed our initial public offering and listed our ordinary shares on the Nasdaq Global Select Market. In the initial public offering, we sold 9,511,075 ordinary shares, which includes 1,240,575 ordinary shares sold pursuant to the full exercise of the over-allotment option we granted to the underwriters for the offering.</w:t>
      </w:r>
    </w:p>
    <w:p>
      <w:pPr>
        <w:spacing w:after="0" w:line="144" w:lineRule="exact"/>
        <w:rPr>
          <w:sz w:val="20"/>
          <w:szCs w:val="20"/>
          <w:color w:val="auto"/>
        </w:rPr>
      </w:pPr>
    </w:p>
    <w:p>
      <w:pPr>
        <w:ind w:left="880" w:hanging="440"/>
        <w:spacing w:after="0"/>
        <w:tabs>
          <w:tab w:leader="none" w:pos="88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22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following is a description of related-party transactions we have entered into since January 1, 2019 with any of the members of the Board, our Senior Management and the holders of more than 5% of our ordinary shares.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Our Principal Shareholders</w:t>
      </w:r>
    </w:p>
    <w:p>
      <w:pPr>
        <w:spacing w:after="0" w:line="2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In August 2019 and July 2020, pursuant to that certain Share Subscription Agreement dated July 26, 2019 as amended on July 29, 2019 (the “2019 Share Subscription Agreement”), we issued to investors in two tranches a total of 7,650,147 Series B preferred shares for an aggregate investment amount of $66,000,000. Under the 2019 Share Subscription Agreement, we issued to Foresite IV a total of 2,897,783 Series B preferred shares for an aggregate investment amount of $25,000,000, to BCLS a total of 1,997,820 Series B preferred shares for an aggregate investment amount of $17,235,757, to BCIP LS a total of 204,496 Series B preferred shares for an aggregate investment amount of $1,764,243, to venBio a total of 1,275,025 Series B preferred shares for an aggregate investment amount of $11,000,000, to Venrock Healthcare Capital Partners III, L.P. (“Venrock I”) a total of 105,374 Series B preferred shares for an aggregate investment amount of $909,090.91, to VHCP Co-Investment Holdings III, LLC (“Venrock II”) a total of 10,537 Series B preferred shares for an aggregate investment amount of $90,909.09, to LSP V Coöperatieve U.A. a total of 811,379 Series B preferred shares for an aggregate investment amount of $7,000,000, to KURMA BIOFUND II a total of 115,911 Series B preferred shares for an aggregate investment amount of $1,000,000, to Idinvest V a total of 49,328 Series B preferred shares for an aggregate investment amount of $410,602.55, to Idinvest VI a total of 41,684 Series B preferred shares for an aggregate investment amount of $346,974.47, to Idinvest VII 76,460 Series B preferred shares for an aggregate investment amount of $674,632.61 and to Idinvest VIII 64,350 Series B preferred shares for an aggregate investment amount of $567,784.72.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November 2020, pursuant to the Share Subscription Agreement dated November 3, 2020 (the “2020 Share Subscription Agreement”), we</w:t>
      </w:r>
    </w:p>
    <w:p>
      <w:pPr>
        <w:spacing w:after="0" w:line="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issued to investors a total of 5,826,279 Series C preferred shares for an aggregate investment amount of approximately $80 million. Under the 2020 Share Subscription Agreement, we issued to Foresite IV a total of 364,143 Series C preferred shares for an aggregate investment amount of $5,000,011.12, to Foresite V, a total of 364,142 Series C preferred shares for an aggregate investment amount of $4,999,997.39, to BCLS a total of 660,660 Series C preferred shares for an aggregate investment amount of $9,071,456.39, to BCIP LS a total of 67,625 Series C preferred shares for an aggregate investment amount of $928,552.11, to venBio a total of 728,285 Series C preferred shares for an aggregate investment amount of $10,000,008.51, to Venrock I a total of 197,118 Series C preferred shares for an aggregate investment amount of $ 2,706,607.55, to Venrock II a total of 19,707 Series C preferred shares for an aggregate investment amount of $270,594.85, to Venrock Healthcare Capital Partners Eg, L.P., a total of 220,146 Series C preferred shares for an aggregate investment amount of $3,022,802.71, to Opportunities Fund a total of 1,420,155 Series C preferred shares for an aggregate investment amount of $19,500,006.29, to General Atlantic PH B.V. a total of 1,420,155 Series C preferred shares for an aggregate investment amount of $19,500,006.29, to Cormorant Global Healthcare Master Fund, LP a total of 67,840 Series C preferred shares for an aggregate</w:t>
      </w:r>
    </w:p>
    <w:p>
      <w:pPr>
        <w:spacing w:after="0" w:line="4"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investment amount of $931,504.26, to Cormorant Private Healthcare Fund III, LP a total of 291,460 Series C Shares for an aggregate investment amount of $4,002,008.11, and to CRMA SPV, L.P. a total of 4,843 Series C Shares for an aggregate investment amount of $66,498.75.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our Directors</w:t>
      </w:r>
    </w:p>
    <w:p>
      <w:pPr>
        <w:spacing w:after="0" w:line="208" w:lineRule="exact"/>
        <w:rPr>
          <w:sz w:val="20"/>
          <w:szCs w:val="20"/>
          <w:color w:val="auto"/>
        </w:rPr>
      </w:pPr>
    </w:p>
    <w:p>
      <w:pPr>
        <w:ind w:right="40" w:firstLine="360"/>
        <w:spacing w:after="0" w:line="250" w:lineRule="auto"/>
        <w:rPr>
          <w:sz w:val="20"/>
          <w:szCs w:val="20"/>
          <w:color w:val="auto"/>
        </w:rPr>
      </w:pPr>
      <w:r>
        <w:rPr>
          <w:rFonts w:ascii="Arial" w:cs="Arial" w:eastAsia="Arial" w:hAnsi="Arial"/>
          <w:sz w:val="16"/>
          <w:szCs w:val="16"/>
          <w:color w:val="auto"/>
        </w:rPr>
        <w:t>We have entered into services agreements with Dr. Meeker, Dr. Glassman, Ms. Monges, Dr. Björk and Dr. de Jonge Schuermans. The services agreements will be terminated, without prior notice, when the non-executive director ceases to be a non-executive director. The Company can also terminate the services agreement with immediate effect for “urgent cause” as defined in Section 7:678 of the Dutch Civil Code. Additionally, both the non-executive director and the Company may terminate the services agreement at any time, subject to a one-month notice period. Each services agreement provides for compensation, including a base compensation, an increase in the base</w:t>
      </w:r>
    </w:p>
    <w:p>
      <w:pPr>
        <w:spacing w:after="0" w:line="3" w:lineRule="exact"/>
        <w:rPr>
          <w:sz w:val="20"/>
          <w:szCs w:val="20"/>
          <w:color w:val="auto"/>
        </w:rPr>
      </w:pPr>
    </w:p>
    <w:p>
      <w:pPr>
        <w:ind w:right="1220"/>
        <w:spacing w:after="0" w:line="252" w:lineRule="auto"/>
        <w:rPr>
          <w:sz w:val="20"/>
          <w:szCs w:val="20"/>
          <w:color w:val="auto"/>
        </w:rPr>
      </w:pPr>
      <w:r>
        <w:rPr>
          <w:rFonts w:ascii="Arial" w:cs="Arial" w:eastAsia="Arial" w:hAnsi="Arial"/>
          <w:sz w:val="16"/>
          <w:szCs w:val="16"/>
          <w:color w:val="auto"/>
        </w:rPr>
        <w:t>compensation for membership on a committee of the board of directors, and, if considered appropriate by the board of directors and subject to applicable law and the Company’s compensation policy, eligibility to participate in the Company’s equity incentive plans. The services agreements also provide for the reimbursement of reasonable and necessary expenses incurred by our non-executive in the performance of their duties. The services agreements also contain confidentiality, non-competition and non-solicitation provisions.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Senior Management</w:t>
      </w:r>
    </w:p>
    <w:p>
      <w:pPr>
        <w:spacing w:after="0" w:line="194" w:lineRule="exact"/>
        <w:rPr>
          <w:sz w:val="20"/>
          <w:szCs w:val="20"/>
          <w:color w:val="auto"/>
        </w:rPr>
      </w:pPr>
    </w:p>
    <w:p>
      <w:pPr>
        <w:ind w:right="40" w:firstLine="445"/>
        <w:spacing w:after="0" w:line="259" w:lineRule="auto"/>
        <w:rPr>
          <w:sz w:val="20"/>
          <w:szCs w:val="20"/>
          <w:color w:val="auto"/>
        </w:rPr>
      </w:pPr>
      <w:r>
        <w:rPr>
          <w:rFonts w:ascii="Arial" w:cs="Arial" w:eastAsia="Arial" w:hAnsi="Arial"/>
          <w:sz w:val="16"/>
          <w:szCs w:val="16"/>
          <w:color w:val="auto"/>
        </w:rPr>
        <w:t>Dr. Knolle, who has served as Chief Scientific Officer and Chief Operating Officer since our inception, was a member of the board of Charité Research Organisation GmbH, or Charité CRO until February 28, 2022. The Company has entered into a service contract with Charité CRO according to which Charité CRO provides services supporting research for the Company. In fiscal year 2021, payments to Charité CRO with respect to this service contract amounted to €608 (2020: €1,025,795).</w:t>
      </w:r>
    </w:p>
    <w:p>
      <w:pPr>
        <w:spacing w:after="0" w:line="137" w:lineRule="exact"/>
        <w:rPr>
          <w:sz w:val="20"/>
          <w:szCs w:val="20"/>
          <w:color w:val="auto"/>
        </w:rPr>
      </w:pPr>
    </w:p>
    <w:p>
      <w:pPr>
        <w:ind w:firstLine="445"/>
        <w:spacing w:after="0" w:line="259" w:lineRule="auto"/>
        <w:rPr>
          <w:sz w:val="20"/>
          <w:szCs w:val="20"/>
          <w:color w:val="auto"/>
        </w:rPr>
      </w:pPr>
      <w:r>
        <w:rPr>
          <w:rFonts w:ascii="Arial" w:cs="Arial" w:eastAsia="Arial" w:hAnsi="Arial"/>
          <w:sz w:val="16"/>
          <w:szCs w:val="16"/>
          <w:color w:val="auto"/>
        </w:rPr>
        <w:t>The Company engages several management entities for the purpose of providing key management services to the Company. These management entities are considered related parties, as they provide key management services and the key management personnel exercise key management functions within these entities. Certain key management personnel are also shareholders of the Company</w:t>
      </w:r>
      <w:r>
        <w:rPr>
          <w:rFonts w:ascii="Arial" w:cs="Arial" w:eastAsia="Arial" w:hAnsi="Arial"/>
          <w:sz w:val="15"/>
          <w:szCs w:val="15"/>
          <w:color w:val="auto"/>
        </w:rPr>
        <w:t>.</w:t>
      </w:r>
      <w:r>
        <w:rPr>
          <w:rFonts w:ascii="Arial" w:cs="Arial" w:eastAsia="Arial" w:hAnsi="Arial"/>
          <w:sz w:val="16"/>
          <w:szCs w:val="16"/>
          <w:color w:val="auto"/>
        </w:rPr>
        <w:t xml:space="preserve"> In fiscal year 2021 the aggregate amounts payable to these related parties was €1,586,157 and €1,350,185 respectively.</w:t>
      </w:r>
    </w:p>
    <w:p>
      <w:pPr>
        <w:spacing w:after="0" w:line="137" w:lineRule="exact"/>
        <w:rPr>
          <w:sz w:val="20"/>
          <w:szCs w:val="20"/>
          <w:color w:val="auto"/>
        </w:rPr>
      </w:pPr>
    </w:p>
    <w:p>
      <w:pPr>
        <w:ind w:right="20" w:firstLine="445"/>
        <w:spacing w:after="0" w:line="250" w:lineRule="auto"/>
        <w:rPr>
          <w:sz w:val="20"/>
          <w:szCs w:val="20"/>
          <w:color w:val="auto"/>
        </w:rPr>
      </w:pPr>
      <w:r>
        <w:rPr>
          <w:rFonts w:ascii="Arial" w:cs="Arial" w:eastAsia="Arial" w:hAnsi="Arial"/>
          <w:sz w:val="16"/>
          <w:szCs w:val="16"/>
          <w:color w:val="auto"/>
        </w:rPr>
        <w:t>We have entered into Management Service Agreements with JCK-Consult/Dr. Knolle and GrayMatters Consulting B.V. dated August 1, 2020 (the “Consulting Agreements”). The Consulting Agreements provide for daily fixed fees up to a maximum amount per annum and an additional discretionary annual fee with a target based on a percentage of the maximum annual fee amount, determined at the discretion of the Company. The Consulting Agreements are for a term of four years but may be earlier terminated by either party without notice. Upon a termination of the agreement by the Company without cause, the consultant is entitled to (i) an amount equal to the expected sum of the services fee for the remaining period until the termination date, up to a specified amount, (ii) any unpaid discretionary fee for the prior year, and (iii) pro rata discretionary fee for the then-current year, subject to approval of the Company. The Consulting Agreements also contain certain restrictive covenants, including a perpetual confidentiality provision and covenants regarding non-solicitation of employees, consultants, independent contractors, suppliers and customers during the term of the agreement and for a period of one year thereafter. In the event a consultant breaches any of these covenants and does not remedy such breach within five business days of receiving written notice, such consultant will be required to pay the Company a lump sum penalty, plus an additional penalty for each day such breach continues.</w:t>
      </w:r>
    </w:p>
    <w:p>
      <w:pPr>
        <w:spacing w:after="0" w:line="162" w:lineRule="exact"/>
        <w:rPr>
          <w:sz w:val="20"/>
          <w:szCs w:val="20"/>
          <w:color w:val="auto"/>
        </w:rPr>
      </w:pPr>
    </w:p>
    <w:p>
      <w:pPr>
        <w:ind w:right="20" w:firstLine="445"/>
        <w:spacing w:after="0" w:line="250" w:lineRule="auto"/>
        <w:rPr>
          <w:sz w:val="20"/>
          <w:szCs w:val="20"/>
          <w:color w:val="auto"/>
        </w:rPr>
      </w:pPr>
      <w:r>
        <w:rPr>
          <w:rFonts w:ascii="Arial" w:cs="Arial" w:eastAsia="Arial" w:hAnsi="Arial"/>
          <w:sz w:val="16"/>
          <w:szCs w:val="16"/>
          <w:color w:val="auto"/>
        </w:rPr>
        <w:t>We have also entered into employment agreements with Mr. Modig (Chief Executive Officer), Dr. Lu (Chief Medical Officer), Ms. Nijdam (Head of Finance and Principal Accounting Officer), Dr. Conn (Chief Business Officer), and Dr. Wim Souverijns (Chief Community Engagement and Commercial Officer) (collectively, the “Employment Agreements”). The Employment Agreements generally provide for base salary, sign-on bonuses (for Mr. Modig, Dr. Lu, Ms. Nijdam, and Dr. Conn), discretionary annual bonuses based on a percentage of base salary and eligibility to receive equity awards and to participate in the Company’s benefits plans. The Employment Agreements for Dr. Lu, Mr. Modig, Dr. Conn and Dr. Souverijns also provide that upon a termination by the Company without cause, by the executive for good reason, or as a result of the executive’s death or disability, the executive is entitled to the following (subject to execution of a general release of claims in favor of the Company): (i) 12 months of base salary with respect to Mr. Modig, Dr. Lu, and Dr. Conn and 9 months of base salary with respect to Dr. Souverijns, (ii) with respect to Dr. Lu and Dr. Conn, for one year after termination, the right to continue health care benefits under COBRA at active employee rates, (iii) any unpaid discretionary bonus for the prior year and (iv) pro rata discretionary bonus for the current year, subject to Board approval. In the case of Mr. Modig and Dr. Souverijns, the severance amount is reduced by the amount of any survivor’s or disability annuity payment received for the 12 subsequent months.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81" w:lineRule="exact"/>
        <w:rPr>
          <w:sz w:val="20"/>
          <w:szCs w:val="20"/>
          <w:color w:val="auto"/>
        </w:rPr>
      </w:pPr>
    </w:p>
    <w:p>
      <w:pPr>
        <w:ind w:right="220" w:firstLine="445"/>
        <w:spacing w:after="0" w:line="266" w:lineRule="auto"/>
        <w:rPr>
          <w:sz w:val="20"/>
          <w:szCs w:val="20"/>
          <w:color w:val="auto"/>
        </w:rPr>
      </w:pPr>
      <w:r>
        <w:rPr>
          <w:rFonts w:ascii="Arial" w:cs="Arial" w:eastAsia="Arial" w:hAnsi="Arial"/>
          <w:sz w:val="16"/>
          <w:szCs w:val="16"/>
          <w:color w:val="auto"/>
        </w:rPr>
        <w:t>We have entered into indemnification agreements with the members of our Board. The indemnification agreements and our Articles of Association require us to indemnify the members of our Board against financial losses or damages or any expense reasonable paid or incurred in connection with any threatened, pending, or completed suit, claim, action or legal proceeding, in each case to the extent permitted by law, subject to certain exceptions.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Directed Share Program</w:t>
      </w:r>
    </w:p>
    <w:p>
      <w:pPr>
        <w:spacing w:after="0" w:line="181" w:lineRule="exact"/>
        <w:rPr>
          <w:sz w:val="20"/>
          <w:szCs w:val="20"/>
          <w:color w:val="auto"/>
        </w:rPr>
      </w:pPr>
    </w:p>
    <w:p>
      <w:pPr>
        <w:ind w:right="360" w:firstLine="445"/>
        <w:spacing w:after="0" w:line="266" w:lineRule="auto"/>
        <w:rPr>
          <w:sz w:val="20"/>
          <w:szCs w:val="20"/>
          <w:color w:val="auto"/>
        </w:rPr>
      </w:pPr>
      <w:r>
        <w:rPr>
          <w:rFonts w:ascii="Arial" w:cs="Arial" w:eastAsia="Arial" w:hAnsi="Arial"/>
          <w:sz w:val="16"/>
          <w:szCs w:val="16"/>
          <w:color w:val="auto"/>
        </w:rPr>
        <w:t>At our request, the underwriters reserved up to 5% of the ordinary shares offered by our prospectus dated February 4, 2021 filed with the SEC on February 8, 2021, for sale at the initial public offering price through a directed share program to certain individuals, including our directors, officers, employees, and certain friends and family members of these persons.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80" w:hanging="440"/>
        <w:spacing w:after="0"/>
        <w:tabs>
          <w:tab w:leader="none" w:pos="88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Interests of Experts and Counsel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8. FINANCIAL INFORMATION</w:t>
      </w:r>
    </w:p>
    <w:p>
      <w:pPr>
        <w:spacing w:after="0" w:line="181" w:lineRule="exact"/>
        <w:rPr>
          <w:sz w:val="20"/>
          <w:szCs w:val="20"/>
          <w:color w:val="auto"/>
        </w:rPr>
      </w:pPr>
    </w:p>
    <w:p>
      <w:pPr>
        <w:ind w:left="880" w:hanging="440"/>
        <w:spacing w:after="0"/>
        <w:tabs>
          <w:tab w:leader="none" w:pos="88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and other financial information</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Financial statements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18. Financial statements,” which contains our audited financial statements prepared in accordance with IFRS.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92" w:lineRule="exact"/>
        <w:rPr>
          <w:sz w:val="20"/>
          <w:szCs w:val="20"/>
          <w:color w:val="auto"/>
        </w:rPr>
      </w:pPr>
    </w:p>
    <w:p>
      <w:pPr>
        <w:ind w:right="340" w:firstLine="445"/>
        <w:spacing w:after="0" w:line="254" w:lineRule="auto"/>
        <w:rPr>
          <w:sz w:val="20"/>
          <w:szCs w:val="20"/>
          <w:color w:val="auto"/>
        </w:rPr>
      </w:pPr>
      <w:r>
        <w:rPr>
          <w:rFonts w:ascii="Arial" w:cs="Arial" w:eastAsia="Arial" w:hAnsi="Arial"/>
          <w:sz w:val="16"/>
          <w:szCs w:val="16"/>
          <w:color w:val="auto"/>
        </w:rPr>
        <w:t>From time to time we are involved in legal proceedings that arise in the ordinary course of business. We believe that the outcome of these proceedings, if determined adversely, will not have a material adverse effect on our financial position. During the period covered by the audited and approved financial statements contained herein, we have not been a party to or paid any damages in connection with litigation that has had a material adverse effect on our financial position. Any future litigation may result in substantial costs and be a distraction to management and our employees. No assurance can be given that future litigation will not have a material adverse effect on our financial position. See “ITEM 3. KEY INFORMATION—D. Risk factors.”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Dividends and dividend policy</w:t>
      </w:r>
    </w:p>
    <w:p>
      <w:pPr>
        <w:spacing w:after="0" w:line="179" w:lineRule="exact"/>
        <w:rPr>
          <w:sz w:val="20"/>
          <w:szCs w:val="20"/>
          <w:color w:val="auto"/>
        </w:rPr>
      </w:pPr>
    </w:p>
    <w:p>
      <w:pPr>
        <w:ind w:firstLine="445"/>
        <w:spacing w:after="0" w:line="252" w:lineRule="auto"/>
        <w:rPr>
          <w:sz w:val="20"/>
          <w:szCs w:val="20"/>
          <w:color w:val="auto"/>
        </w:rPr>
      </w:pPr>
      <w:r>
        <w:rPr>
          <w:rFonts w:ascii="Arial" w:cs="Arial" w:eastAsia="Arial" w:hAnsi="Arial"/>
          <w:sz w:val="16"/>
          <w:szCs w:val="16"/>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 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56" w:lineRule="exact"/>
        <w:rPr>
          <w:sz w:val="20"/>
          <w:szCs w:val="20"/>
          <w:color w:val="auto"/>
        </w:rPr>
      </w:pPr>
    </w:p>
    <w:p>
      <w:pPr>
        <w:ind w:right="20" w:firstLine="445"/>
        <w:spacing w:after="0" w:line="251" w:lineRule="auto"/>
        <w:rPr>
          <w:sz w:val="20"/>
          <w:szCs w:val="20"/>
          <w:color w:val="auto"/>
        </w:rPr>
      </w:pPr>
      <w:r>
        <w:rPr>
          <w:rFonts w:ascii="Arial" w:cs="Arial" w:eastAsia="Arial" w:hAnsi="Arial"/>
          <w:sz w:val="16"/>
          <w:szCs w:val="16"/>
          <w:color w:val="auto"/>
        </w:rPr>
        <w:t>Under our Articles of Association, if any preferred shares are or have been outstanding, the preferred dividend is first paid out of our profits, if available for distribution, to the holders or former holders, as applicable, of those preferred shares to the extent they are entitled to such distribution under our Articles of Association, which we refer to as our preferred dividend. Thereafter, our Board may decide that all or part of our remaining profits shown in our adopted statutory annual accounts will be added to our reserves. After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(verjaring).</w:t>
      </w:r>
    </w:p>
    <w:p>
      <w:pPr>
        <w:spacing w:after="0" w:line="337" w:lineRule="exact"/>
        <w:rPr>
          <w:sz w:val="20"/>
          <w:szCs w:val="20"/>
          <w:color w:val="auto"/>
        </w:rPr>
      </w:pPr>
    </w:p>
    <w:p>
      <w:pPr>
        <w:ind w:left="880" w:hanging="440"/>
        <w:spacing w:after="0"/>
        <w:tabs>
          <w:tab w:leader="none" w:pos="88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changes</w:t>
      </w:r>
    </w:p>
    <w:p>
      <w:pPr>
        <w:spacing w:after="0" w:line="221" w:lineRule="exact"/>
        <w:rPr>
          <w:sz w:val="20"/>
          <w:szCs w:val="20"/>
          <w:color w:val="auto"/>
        </w:rPr>
      </w:pPr>
    </w:p>
    <w:p>
      <w:pPr>
        <w:ind w:right="900" w:firstLine="445"/>
        <w:spacing w:after="0" w:line="286" w:lineRule="auto"/>
        <w:rPr>
          <w:sz w:val="20"/>
          <w:szCs w:val="20"/>
          <w:color w:val="auto"/>
        </w:rPr>
      </w:pPr>
      <w:r>
        <w:rPr>
          <w:rFonts w:ascii="Arial" w:cs="Arial" w:eastAsia="Arial" w:hAnsi="Arial"/>
          <w:sz w:val="16"/>
          <w:szCs w:val="16"/>
          <w:color w:val="auto"/>
        </w:rPr>
        <w:t>A discussion of the significant changes in our business can be found under “ITEM 4. INFORMATION ON THE COMPANY—A. History and development of the company.”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9. THE OFFER AND LISTING</w:t>
      </w:r>
    </w:p>
    <w:p>
      <w:pPr>
        <w:spacing w:after="0" w:line="194" w:lineRule="exact"/>
        <w:rPr>
          <w:sz w:val="20"/>
          <w:szCs w:val="20"/>
          <w:color w:val="auto"/>
        </w:rPr>
      </w:pPr>
    </w:p>
    <w:p>
      <w:pPr>
        <w:ind w:left="880" w:hanging="440"/>
        <w:spacing w:after="0"/>
        <w:tabs>
          <w:tab w:leader="none" w:pos="88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Offering and listing details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880" w:hanging="440"/>
        <w:spacing w:after="0"/>
        <w:tabs>
          <w:tab w:leader="none" w:pos="88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Plan of distribution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880" w:hanging="440"/>
        <w:spacing w:after="0"/>
        <w:tabs>
          <w:tab w:leader="none" w:pos="88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ordinary shares began trading on the Nasdaq Global Select Market under the symbol “PHVS” since February 5, 2021.</w:t>
      </w:r>
    </w:p>
    <w:p>
      <w:pPr>
        <w:spacing w:after="0" w:line="194" w:lineRule="exact"/>
        <w:rPr>
          <w:sz w:val="20"/>
          <w:szCs w:val="20"/>
          <w:color w:val="auto"/>
        </w:rPr>
      </w:pPr>
    </w:p>
    <w:p>
      <w:pPr>
        <w:ind w:left="880" w:hanging="440"/>
        <w:spacing w:after="0"/>
        <w:tabs>
          <w:tab w:leader="none" w:pos="88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Selling shareholders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880" w:hanging="440"/>
        <w:spacing w:after="0"/>
        <w:tabs>
          <w:tab w:leader="none" w:pos="88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880" w:hanging="440"/>
        <w:spacing w:after="0"/>
        <w:tabs>
          <w:tab w:leader="none" w:pos="88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Expenses of the issue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10. ADDITIONAL INFORMATION</w:t>
      </w:r>
    </w:p>
    <w:p>
      <w:pPr>
        <w:spacing w:after="0" w:line="181" w:lineRule="exact"/>
        <w:rPr>
          <w:sz w:val="20"/>
          <w:szCs w:val="20"/>
          <w:color w:val="auto"/>
        </w:rPr>
      </w:pPr>
    </w:p>
    <w:p>
      <w:pPr>
        <w:ind w:left="880" w:hanging="440"/>
        <w:spacing w:after="0"/>
        <w:tabs>
          <w:tab w:leader="none" w:pos="88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9" w:lineRule="exact"/>
        <w:rPr>
          <w:sz w:val="20"/>
          <w:szCs w:val="20"/>
          <w:color w:val="auto"/>
        </w:rPr>
      </w:pPr>
    </w:p>
    <w:p>
      <w:pPr>
        <w:ind w:left="880" w:hanging="440"/>
        <w:spacing w:after="0"/>
        <w:tabs>
          <w:tab w:leader="none" w:pos="88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w:t>
      </w:r>
    </w:p>
    <w:p>
      <w:pPr>
        <w:spacing w:after="0" w:line="221" w:lineRule="exact"/>
        <w:rPr>
          <w:sz w:val="20"/>
          <w:szCs w:val="20"/>
          <w:color w:val="auto"/>
        </w:rPr>
      </w:pPr>
    </w:p>
    <w:p>
      <w:pPr>
        <w:jc w:val="both"/>
        <w:ind w:right="20" w:firstLine="445"/>
        <w:spacing w:after="0" w:line="266" w:lineRule="auto"/>
        <w:rPr>
          <w:sz w:val="20"/>
          <w:szCs w:val="20"/>
          <w:color w:val="auto"/>
        </w:rPr>
      </w:pPr>
      <w:r>
        <w:rPr>
          <w:rFonts w:ascii="Arial" w:cs="Arial" w:eastAsia="Arial" w:hAnsi="Arial"/>
          <w:sz w:val="16"/>
          <w:szCs w:val="16"/>
          <w:color w:val="auto"/>
        </w:rPr>
        <w:t>We incorporate by reference into this Annual Report the description of our Articles of Association effective upon the closing of our initial public offering contained in our F-1 registration statement (File No. 333-252157) originally filed with the SEC on January 15, 2021, as amended. Such description sets forth a summary of certain provisions of our Articles of Association as currently in effect.</w:t>
      </w:r>
    </w:p>
    <w:p>
      <w:pPr>
        <w:spacing w:after="0" w:line="144" w:lineRule="exact"/>
        <w:rPr>
          <w:sz w:val="20"/>
          <w:szCs w:val="20"/>
          <w:color w:val="auto"/>
        </w:rPr>
      </w:pPr>
    </w:p>
    <w:p>
      <w:pPr>
        <w:ind w:left="880" w:hanging="440"/>
        <w:spacing w:after="0"/>
        <w:tabs>
          <w:tab w:leader="none" w:pos="88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Material contracts</w:t>
      </w:r>
    </w:p>
    <w:p>
      <w:pPr>
        <w:spacing w:after="0" w:line="221"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Except as otherwise disclosed in this Annual Report (including the Exhibits), we are not currently, and have not been in the last two years, party to any material contract, other than contracts entered into in the ordinary course of business.</w:t>
      </w:r>
    </w:p>
    <w:p>
      <w:pPr>
        <w:spacing w:after="0" w:line="115" w:lineRule="exact"/>
        <w:rPr>
          <w:sz w:val="20"/>
          <w:szCs w:val="20"/>
          <w:color w:val="auto"/>
        </w:rPr>
      </w:pPr>
    </w:p>
    <w:p>
      <w:pPr>
        <w:ind w:left="880" w:hanging="440"/>
        <w:spacing w:after="0"/>
        <w:tabs>
          <w:tab w:leader="none" w:pos="88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Exchange controls</w:t>
      </w:r>
    </w:p>
    <w:p>
      <w:pPr>
        <w:spacing w:after="0" w:line="22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6"/>
          <w:szCs w:val="16"/>
          <w:color w:val="auto"/>
        </w:rPr>
        <w:t>Cash dividends payable on our ordinary shares may be remitted from the Netherlands to non-residents without legal restrictions imposed by the laws of the Netherlands, except that (i) such payments must be reported, if requested, to the Dutch Central Bank for statistical purposes only and (ii) the transfer of funds to jurisdictions subject to general economic sanctions adopted in connection with policies of the United Nations, European Commission or similar measures imposed directly by the Government of the Netherlands may be restricted.</w:t>
      </w:r>
    </w:p>
    <w:p>
      <w:pPr>
        <w:spacing w:after="0" w:line="137" w:lineRule="exact"/>
        <w:rPr>
          <w:sz w:val="20"/>
          <w:szCs w:val="20"/>
          <w:color w:val="auto"/>
        </w:rPr>
      </w:pPr>
    </w:p>
    <w:p>
      <w:pPr>
        <w:ind w:left="880" w:hanging="440"/>
        <w:spacing w:after="0"/>
        <w:tabs>
          <w:tab w:leader="none" w:pos="88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MATERIAL UNITED STATES FEDERAL INCOME TAX AND DUTCH TAX CONSIDERATIONS</w:t>
      </w:r>
    </w:p>
    <w:p>
      <w:pPr>
        <w:spacing w:after="0" w:line="194"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31"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color w:val="auto"/>
        </w:rPr>
        <w:t>You should consult your tax adviser regarding the applicable tax consequences to you of investing in our ordinary shares under the laws of the United States (federal, state and local), the Netherlands, and any other applicable jurisdiction.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Material U.S. Federal Income Tax Considerations to U.S. Holders</w:t>
      </w:r>
    </w:p>
    <w:p>
      <w:pPr>
        <w:spacing w:after="0" w:line="192" w:lineRule="exact"/>
        <w:rPr>
          <w:sz w:val="20"/>
          <w:szCs w:val="20"/>
          <w:color w:val="auto"/>
        </w:rPr>
      </w:pPr>
    </w:p>
    <w:p>
      <w:pPr>
        <w:ind w:right="40" w:firstLine="445"/>
        <w:spacing w:after="0" w:line="253" w:lineRule="auto"/>
        <w:rPr>
          <w:sz w:val="20"/>
          <w:szCs w:val="20"/>
          <w:color w:val="auto"/>
        </w:rPr>
      </w:pPr>
      <w:r>
        <w:rPr>
          <w:rFonts w:ascii="Arial" w:cs="Arial" w:eastAsia="Arial" w:hAnsi="Arial"/>
          <w:sz w:val="16"/>
          <w:szCs w:val="16"/>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127" w:lineRule="exact"/>
        <w:rPr>
          <w:sz w:val="20"/>
          <w:szCs w:val="20"/>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certain financial institutions;</w:t>
      </w:r>
    </w:p>
    <w:p>
      <w:pPr>
        <w:spacing w:after="0" w:line="207" w:lineRule="exact"/>
        <w:rPr>
          <w:rFonts w:ascii="Arial" w:cs="Arial" w:eastAsia="Arial" w:hAnsi="Arial"/>
          <w:sz w:val="16"/>
          <w:szCs w:val="16"/>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corporations that accumulate earnings to avoid U.S. federal income tax, or expatriated entities subject to Section 7874 of the Code;</w:t>
      </w:r>
    </w:p>
    <w:p>
      <w:pPr>
        <w:spacing w:after="0" w:line="207" w:lineRule="exact"/>
        <w:rPr>
          <w:rFonts w:ascii="Arial" w:cs="Arial" w:eastAsia="Arial" w:hAnsi="Arial"/>
          <w:sz w:val="16"/>
          <w:szCs w:val="16"/>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dealers or traders in securities who use a mark-to-market method of tax accounting;</w:t>
      </w:r>
    </w:p>
    <w:p>
      <w:pPr>
        <w:spacing w:after="0" w:line="207" w:lineRule="exact"/>
        <w:rPr>
          <w:rFonts w:ascii="Arial" w:cs="Arial" w:eastAsia="Arial" w:hAnsi="Arial"/>
          <w:sz w:val="16"/>
          <w:szCs w:val="16"/>
          <w:color w:val="auto"/>
        </w:rPr>
      </w:pPr>
    </w:p>
    <w:p>
      <w:pPr>
        <w:ind w:left="840" w:right="160" w:hanging="414"/>
        <w:spacing w:after="0" w:line="286" w:lineRule="auto"/>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101" w:lineRule="exact"/>
        <w:rPr>
          <w:rFonts w:ascii="Arial" w:cs="Arial" w:eastAsia="Arial" w:hAnsi="Arial"/>
          <w:sz w:val="16"/>
          <w:szCs w:val="16"/>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persons whose functional currency for U.S. federal income tax purposes is not the U.S. dollar;</w:t>
      </w:r>
    </w:p>
    <w:p>
      <w:pPr>
        <w:spacing w:after="0" w:line="207" w:lineRule="exact"/>
        <w:rPr>
          <w:rFonts w:ascii="Arial" w:cs="Arial" w:eastAsia="Arial" w:hAnsi="Arial"/>
          <w:sz w:val="16"/>
          <w:szCs w:val="16"/>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entities or arrangements classified as partnerships for U.S. federal income tax purposes;</w:t>
      </w:r>
    </w:p>
    <w:p>
      <w:pPr>
        <w:spacing w:after="0" w:line="207" w:lineRule="exact"/>
        <w:rPr>
          <w:rFonts w:ascii="Arial" w:cs="Arial" w:eastAsia="Arial" w:hAnsi="Arial"/>
          <w:sz w:val="16"/>
          <w:szCs w:val="16"/>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tax-exempt entities;</w:t>
      </w:r>
    </w:p>
    <w:p>
      <w:pPr>
        <w:spacing w:after="0" w:line="207" w:lineRule="exact"/>
        <w:rPr>
          <w:rFonts w:ascii="Arial" w:cs="Arial" w:eastAsia="Arial" w:hAnsi="Arial"/>
          <w:sz w:val="16"/>
          <w:szCs w:val="16"/>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“individual retirement accounts” or “Roth IRAs” or other tax-deferred accounts;</w:t>
      </w:r>
    </w:p>
    <w:p>
      <w:pPr>
        <w:spacing w:after="0" w:line="207" w:lineRule="exact"/>
        <w:rPr>
          <w:rFonts w:ascii="Arial" w:cs="Arial" w:eastAsia="Arial" w:hAnsi="Arial"/>
          <w:sz w:val="16"/>
          <w:szCs w:val="16"/>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persons that acquire ordinary shares directly or indirectly in connection with the performance of services;</w:t>
      </w:r>
    </w:p>
    <w:p>
      <w:pPr>
        <w:spacing w:after="0" w:line="207" w:lineRule="exact"/>
        <w:rPr>
          <w:rFonts w:ascii="Arial" w:cs="Arial" w:eastAsia="Arial" w:hAnsi="Arial"/>
          <w:sz w:val="16"/>
          <w:szCs w:val="16"/>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persons who are subject to Section 451(b) of the Code;</w:t>
      </w:r>
    </w:p>
    <w:p>
      <w:pPr>
        <w:spacing w:after="0" w:line="207" w:lineRule="exact"/>
        <w:rPr>
          <w:rFonts w:ascii="Arial" w:cs="Arial" w:eastAsia="Arial" w:hAnsi="Arial"/>
          <w:sz w:val="16"/>
          <w:szCs w:val="16"/>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persons that own or are deemed to own ten percent or more of our shares (by vote or value);</w:t>
      </w:r>
    </w:p>
    <w:p>
      <w:pPr>
        <w:spacing w:after="0" w:line="207" w:lineRule="exact"/>
        <w:rPr>
          <w:rFonts w:ascii="Arial" w:cs="Arial" w:eastAsia="Arial" w:hAnsi="Arial"/>
          <w:sz w:val="16"/>
          <w:szCs w:val="16"/>
          <w:color w:val="auto"/>
        </w:rPr>
      </w:pPr>
    </w:p>
    <w:p>
      <w:pPr>
        <w:ind w:left="840" w:right="520" w:hanging="414"/>
        <w:spacing w:after="0" w:line="286" w:lineRule="auto"/>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 corporations and any investors therein, regulated investment companies, real estate investment trusts, real estate mortgage investment conduits; or</w:t>
      </w:r>
    </w:p>
    <w:p>
      <w:pPr>
        <w:spacing w:after="0" w:line="101" w:lineRule="exact"/>
        <w:rPr>
          <w:rFonts w:ascii="Arial" w:cs="Arial" w:eastAsia="Arial" w:hAnsi="Arial"/>
          <w:sz w:val="16"/>
          <w:szCs w:val="16"/>
          <w:color w:val="auto"/>
        </w:rPr>
      </w:pPr>
    </w:p>
    <w:p>
      <w:pPr>
        <w:ind w:left="840" w:hanging="414"/>
        <w:spacing w:after="0"/>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persons holding ordinary shares in connection with a trade or business conducted outside of the United States.</w:t>
      </w:r>
    </w:p>
    <w:p>
      <w:pPr>
        <w:sectPr>
          <w:pgSz w:w="11900" w:h="16838" w:orient="portrait"/>
          <w:cols w:equalWidth="0" w:num="1">
            <w:col w:w="11200"/>
          </w:cols>
          <w:pgMar w:left="320" w:top="125" w:right="379" w:bottom="1440" w:gutter="0" w:footer="0" w:header="0"/>
        </w:sect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9" w:name="page100"/>
    <w:bookmarkEnd w:id="9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firstLine="445"/>
        <w:spacing w:after="0" w:line="259" w:lineRule="auto"/>
        <w:rPr>
          <w:sz w:val="20"/>
          <w:szCs w:val="20"/>
          <w:color w:val="auto"/>
        </w:rPr>
      </w:pPr>
      <w:r>
        <w:rPr>
          <w:rFonts w:ascii="Arial" w:cs="Arial" w:eastAsia="Arial" w:hAnsi="Arial"/>
          <w:sz w:val="16"/>
          <w:szCs w:val="16"/>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holding ordinary shares and partners in such partnerships should consult their tax advisers as to the particular U.S. federal income tax consequences of owning and disposing of ordinary shares.</w:t>
      </w:r>
    </w:p>
    <w:p>
      <w:pPr>
        <w:spacing w:after="0" w:line="151" w:lineRule="exact"/>
        <w:rPr>
          <w:sz w:val="20"/>
          <w:szCs w:val="20"/>
          <w:color w:val="auto"/>
        </w:rPr>
      </w:pPr>
    </w:p>
    <w:p>
      <w:pPr>
        <w:ind w:right="60" w:firstLine="445"/>
        <w:spacing w:after="0" w:line="254" w:lineRule="auto"/>
        <w:rPr>
          <w:sz w:val="20"/>
          <w:szCs w:val="20"/>
          <w:color w:val="auto"/>
        </w:rPr>
      </w:pPr>
      <w:r>
        <w:rPr>
          <w:rFonts w:ascii="Arial" w:cs="Arial" w:eastAsia="Arial" w:hAnsi="Arial"/>
          <w:sz w:val="16"/>
          <w:szCs w:val="16"/>
          <w:color w:val="auto"/>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ordinary shares, who is eligible for the benefits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Treaty and who is:</w:t>
      </w:r>
    </w:p>
    <w:p>
      <w:pPr>
        <w:spacing w:after="0" w:line="151" w:lineRule="exact"/>
        <w:rPr>
          <w:sz w:val="20"/>
          <w:szCs w:val="20"/>
          <w:color w:val="auto"/>
        </w:rPr>
      </w:pPr>
    </w:p>
    <w:p>
      <w:pPr>
        <w:ind w:left="840" w:hanging="414"/>
        <w:spacing w:after="0"/>
        <w:tabs>
          <w:tab w:leader="none" w:pos="8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 individual who is a citizen or resident in the US;</w:t>
      </w:r>
    </w:p>
    <w:p>
      <w:pPr>
        <w:spacing w:after="0" w:line="207" w:lineRule="exact"/>
        <w:rPr>
          <w:rFonts w:ascii="Arial" w:cs="Arial" w:eastAsia="Arial" w:hAnsi="Arial"/>
          <w:sz w:val="16"/>
          <w:szCs w:val="16"/>
          <w:color w:val="auto"/>
        </w:rPr>
      </w:pPr>
    </w:p>
    <w:p>
      <w:pPr>
        <w:ind w:left="840" w:right="480" w:hanging="414"/>
        <w:spacing w:after="0" w:line="286" w:lineRule="auto"/>
        <w:tabs>
          <w:tab w:leader="none" w:pos="8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for U.S federal income tax purposes, created or organized in or under the laws of the United States, any state therein or the District of Columbia;</w:t>
      </w:r>
    </w:p>
    <w:p>
      <w:pPr>
        <w:spacing w:after="0" w:line="101" w:lineRule="exact"/>
        <w:rPr>
          <w:rFonts w:ascii="Arial" w:cs="Arial" w:eastAsia="Arial" w:hAnsi="Arial"/>
          <w:sz w:val="16"/>
          <w:szCs w:val="16"/>
          <w:color w:val="auto"/>
        </w:rPr>
      </w:pPr>
    </w:p>
    <w:p>
      <w:pPr>
        <w:ind w:left="840" w:hanging="414"/>
        <w:spacing w:after="0"/>
        <w:tabs>
          <w:tab w:leader="none" w:pos="8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207" w:lineRule="exact"/>
        <w:rPr>
          <w:rFonts w:ascii="Arial" w:cs="Arial" w:eastAsia="Arial" w:hAnsi="Arial"/>
          <w:sz w:val="16"/>
          <w:szCs w:val="16"/>
          <w:color w:val="auto"/>
        </w:rPr>
      </w:pPr>
    </w:p>
    <w:p>
      <w:pPr>
        <w:ind w:left="840" w:right="40" w:hanging="414"/>
        <w:spacing w:after="0" w:line="266" w:lineRule="auto"/>
        <w:tabs>
          <w:tab w:leader="none" w:pos="8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31" w:lineRule="exact"/>
        <w:rPr>
          <w:sz w:val="20"/>
          <w:szCs w:val="20"/>
          <w:color w:val="auto"/>
        </w:rPr>
      </w:pPr>
    </w:p>
    <w:p>
      <w:pPr>
        <w:ind w:right="20" w:firstLine="445"/>
        <w:spacing w:after="0" w:line="259" w:lineRule="auto"/>
        <w:rPr>
          <w:sz w:val="20"/>
          <w:szCs w:val="20"/>
          <w:color w:val="auto"/>
        </w:rPr>
      </w:pPr>
      <w:r>
        <w:rPr>
          <w:rFonts w:ascii="Arial" w:cs="Arial" w:eastAsia="Arial" w:hAnsi="Arial"/>
          <w:sz w:val="16"/>
          <w:szCs w:val="16"/>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179" w:lineRule="exact"/>
        <w:rPr>
          <w:sz w:val="20"/>
          <w:szCs w:val="20"/>
          <w:color w:val="auto"/>
        </w:rPr>
      </w:pPr>
    </w:p>
    <w:p>
      <w:pPr>
        <w:ind w:firstLine="445"/>
        <w:spacing w:after="0" w:line="249" w:lineRule="auto"/>
        <w:rPr>
          <w:sz w:val="20"/>
          <w:szCs w:val="20"/>
          <w:color w:val="auto"/>
        </w:rPr>
      </w:pPr>
      <w:r>
        <w:rPr>
          <w:rFonts w:ascii="Arial" w:cs="Arial" w:eastAsia="Arial" w:hAnsi="Arial"/>
          <w:sz w:val="16"/>
          <w:szCs w:val="16"/>
          <w:color w:val="auto"/>
        </w:rPr>
        <w:t>As discussed above under “Dividends and dividend policy”, 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 received deduction generally available to U.S. corporations under the United States Internal Revenue Code.</w:t>
      </w:r>
    </w:p>
    <w:p>
      <w:pPr>
        <w:spacing w:after="0" w:line="151" w:lineRule="exact"/>
        <w:rPr>
          <w:sz w:val="20"/>
          <w:szCs w:val="20"/>
          <w:color w:val="auto"/>
        </w:rPr>
      </w:pPr>
    </w:p>
    <w:p>
      <w:pPr>
        <w:ind w:firstLine="445"/>
        <w:spacing w:after="0" w:line="256" w:lineRule="auto"/>
        <w:rPr>
          <w:sz w:val="20"/>
          <w:szCs w:val="20"/>
          <w:color w:val="auto"/>
        </w:rPr>
      </w:pPr>
      <w:r>
        <w:rPr>
          <w:rFonts w:ascii="Arial" w:cs="Arial" w:eastAsia="Arial" w:hAnsi="Arial"/>
          <w:sz w:val="16"/>
          <w:szCs w:val="16"/>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53" w:lineRule="exact"/>
        <w:rPr>
          <w:sz w:val="20"/>
          <w:szCs w:val="20"/>
          <w:color w:val="auto"/>
        </w:rPr>
      </w:pPr>
    </w:p>
    <w:p>
      <w:pPr>
        <w:ind w:right="140" w:firstLine="445"/>
        <w:spacing w:after="0" w:line="253" w:lineRule="auto"/>
        <w:rPr>
          <w:sz w:val="20"/>
          <w:szCs w:val="20"/>
          <w:color w:val="auto"/>
        </w:rPr>
      </w:pPr>
      <w:r>
        <w:rPr>
          <w:rFonts w:ascii="Arial" w:cs="Arial" w:eastAsia="Arial" w:hAnsi="Arial"/>
          <w:sz w:val="16"/>
          <w:szCs w:val="16"/>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Sale or Other Disposition of Ordinary Shares</w:t>
      </w:r>
    </w:p>
    <w:p>
      <w:pPr>
        <w:spacing w:after="0" w:line="179" w:lineRule="exact"/>
        <w:rPr>
          <w:sz w:val="20"/>
          <w:szCs w:val="20"/>
          <w:color w:val="auto"/>
        </w:rPr>
      </w:pPr>
    </w:p>
    <w:p>
      <w:pPr>
        <w:ind w:right="140" w:firstLine="445"/>
        <w:spacing w:after="0" w:line="286" w:lineRule="auto"/>
        <w:rPr>
          <w:sz w:val="20"/>
          <w:szCs w:val="20"/>
          <w:color w:val="auto"/>
        </w:rPr>
      </w:pPr>
      <w:r>
        <w:rPr>
          <w:rFonts w:ascii="Arial" w:cs="Arial" w:eastAsia="Arial" w:hAnsi="Arial"/>
          <w:sz w:val="16"/>
          <w:szCs w:val="16"/>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Passive Foreign Investment Company Rules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Code, we will be a PFIC for any taxable year in which, after the application of certain “look- through” rules with respect to subsidiaries, either</w:t>
      </w:r>
    </w:p>
    <w:p>
      <w:pPr>
        <w:spacing w:after="0" w:line="21" w:lineRule="exact"/>
        <w:rPr>
          <w:sz w:val="20"/>
          <w:szCs w:val="20"/>
          <w:color w:val="auto"/>
        </w:rPr>
      </w:pPr>
    </w:p>
    <w:p>
      <w:pPr>
        <w:ind w:right="40" w:firstLine="8"/>
        <w:spacing w:after="0" w:line="247" w:lineRule="auto"/>
        <w:tabs>
          <w:tab w:leader="none" w:pos="18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2021 and we do not expect to be a PFIC for our current taxable year or in the foreseeable future. In addition, we may, directly or indirectly, hold equity interests in other PFICs, or Lower-tier PFICs. Whether we or any of our subsidiaries will be a PFIC in 2022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2022 or any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54" w:lineRule="exact"/>
        <w:rPr>
          <w:sz w:val="20"/>
          <w:szCs w:val="20"/>
          <w:color w:val="auto"/>
        </w:rPr>
      </w:pPr>
    </w:p>
    <w:p>
      <w:pPr>
        <w:ind w:right="60" w:firstLine="445"/>
        <w:spacing w:after="0" w:line="259" w:lineRule="auto"/>
        <w:rPr>
          <w:sz w:val="20"/>
          <w:szCs w:val="20"/>
          <w:color w:val="auto"/>
        </w:rPr>
      </w:pPr>
      <w:r>
        <w:rPr>
          <w:rFonts w:ascii="Arial" w:cs="Arial" w:eastAsia="Arial" w:hAnsi="Arial"/>
          <w:sz w:val="16"/>
          <w:szCs w:val="16"/>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51" w:lineRule="exact"/>
        <w:rPr>
          <w:sz w:val="20"/>
          <w:szCs w:val="20"/>
          <w:color w:val="auto"/>
        </w:rPr>
      </w:pPr>
    </w:p>
    <w:p>
      <w:pPr>
        <w:ind w:right="40" w:firstLine="445"/>
        <w:spacing w:after="0" w:line="251" w:lineRule="auto"/>
        <w:rPr>
          <w:sz w:val="20"/>
          <w:szCs w:val="20"/>
          <w:color w:val="auto"/>
        </w:rPr>
      </w:pPr>
      <w:r>
        <w:rPr>
          <w:rFonts w:ascii="Arial" w:cs="Arial" w:eastAsia="Arial" w:hAnsi="Arial"/>
          <w:sz w:val="16"/>
          <w:szCs w:val="16"/>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45" w:lineRule="exact"/>
        <w:rPr>
          <w:sz w:val="20"/>
          <w:szCs w:val="20"/>
          <w:color w:val="auto"/>
        </w:rPr>
      </w:pPr>
    </w:p>
    <w:p>
      <w:pPr>
        <w:ind w:firstLine="445"/>
        <w:spacing w:after="0" w:line="249" w:lineRule="auto"/>
        <w:rPr>
          <w:sz w:val="20"/>
          <w:szCs w:val="20"/>
          <w:color w:val="auto"/>
        </w:rPr>
      </w:pPr>
      <w:r>
        <w:rPr>
          <w:rFonts w:ascii="Arial" w:cs="Arial" w:eastAsia="Arial" w:hAnsi="Arial"/>
          <w:sz w:val="16"/>
          <w:szCs w:val="16"/>
          <w:color w:val="auto"/>
        </w:rPr>
        <w:t xml:space="preserve">A U.S. Holder can avoid certain of the adverse rules described above by making a mark-to-market election with respect to its ordinary shares,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ordinary shares are “marketable.” Ordinary shares will be marketable if they are “regularly traded” on a “qualified exchange” or other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51" w:lineRule="exact"/>
        <w:rPr>
          <w:sz w:val="20"/>
          <w:szCs w:val="20"/>
          <w:color w:val="auto"/>
        </w:rPr>
      </w:pPr>
    </w:p>
    <w:p>
      <w:pPr>
        <w:ind w:right="40" w:firstLine="445"/>
        <w:spacing w:after="0" w:line="250"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56"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15" w:lineRule="exact"/>
        <w:rPr>
          <w:sz w:val="20"/>
          <w:szCs w:val="20"/>
          <w:color w:val="auto"/>
        </w:rPr>
      </w:pPr>
    </w:p>
    <w:p>
      <w:pPr>
        <w:ind w:right="120" w:firstLine="445"/>
        <w:spacing w:after="0" w:line="266" w:lineRule="auto"/>
        <w:rPr>
          <w:sz w:val="20"/>
          <w:szCs w:val="20"/>
          <w:color w:val="auto"/>
        </w:rPr>
      </w:pPr>
      <w:r>
        <w:rPr>
          <w:rFonts w:ascii="Arial" w:cs="Arial" w:eastAsia="Arial" w:hAnsi="Arial"/>
          <w:sz w:val="16"/>
          <w:szCs w:val="16"/>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31" w:lineRule="exact"/>
        <w:rPr>
          <w:sz w:val="20"/>
          <w:szCs w:val="20"/>
          <w:color w:val="auto"/>
        </w:rPr>
      </w:pPr>
    </w:p>
    <w:p>
      <w:pPr>
        <w:ind w:right="20" w:firstLine="445"/>
        <w:spacing w:after="0" w:line="256" w:lineRule="auto"/>
        <w:rPr>
          <w:sz w:val="20"/>
          <w:szCs w:val="20"/>
          <w:color w:val="auto"/>
        </w:rPr>
      </w:pPr>
      <w:r>
        <w:rPr>
          <w:rFonts w:ascii="Arial" w:cs="Arial" w:eastAsia="Arial" w:hAnsi="Arial"/>
          <w:sz w:val="16"/>
          <w:szCs w:val="16"/>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Reporting With respect to Foreign Financial Assets</w:t>
      </w:r>
    </w:p>
    <w:p>
      <w:pPr>
        <w:spacing w:after="0" w:line="179" w:lineRule="exact"/>
        <w:rPr>
          <w:sz w:val="20"/>
          <w:szCs w:val="20"/>
          <w:color w:val="auto"/>
        </w:rPr>
      </w:pPr>
    </w:p>
    <w:p>
      <w:pPr>
        <w:jc w:val="both"/>
        <w:ind w:right="160" w:firstLine="445"/>
        <w:spacing w:after="0" w:line="266"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31" w:lineRule="exact"/>
        <w:rPr>
          <w:sz w:val="20"/>
          <w:szCs w:val="20"/>
          <w:color w:val="auto"/>
        </w:rPr>
      </w:pPr>
    </w:p>
    <w:p>
      <w:pPr>
        <w:ind w:right="200" w:firstLine="445"/>
        <w:spacing w:after="0" w:line="286" w:lineRule="auto"/>
        <w:rPr>
          <w:sz w:val="20"/>
          <w:szCs w:val="20"/>
          <w:color w:val="auto"/>
        </w:rPr>
      </w:pPr>
      <w:r>
        <w:rPr>
          <w:rFonts w:ascii="Arial" w:cs="Arial" w:eastAsia="Arial" w:hAnsi="Arial"/>
          <w:sz w:val="16"/>
          <w:szCs w:val="16"/>
          <w:color w:val="auto"/>
        </w:rPr>
        <w:t xml:space="preserve">The amount of any backup withholding from a payment to a U.S. Holder will be allowed as a credit against the U.S. Holder’s U.S. federal income tax liability and may entitle it to a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required information is timely furnished to the IRS.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179" w:lineRule="exact"/>
        <w:rPr>
          <w:sz w:val="20"/>
          <w:szCs w:val="20"/>
          <w:color w:val="auto"/>
        </w:rPr>
      </w:pPr>
    </w:p>
    <w:p>
      <w:pPr>
        <w:ind w:right="420" w:firstLine="445"/>
        <w:spacing w:after="0" w:line="259" w:lineRule="auto"/>
        <w:rPr>
          <w:sz w:val="20"/>
          <w:szCs w:val="20"/>
          <w:color w:val="auto"/>
        </w:rPr>
      </w:pPr>
      <w:r>
        <w:rPr>
          <w:rFonts w:ascii="Arial" w:cs="Arial" w:eastAsia="Arial" w:hAnsi="Arial"/>
          <w:sz w:val="16"/>
          <w:szCs w:val="16"/>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Material Dutch Tax Considerations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Scope of Discussion</w:t>
      </w:r>
    </w:p>
    <w:p>
      <w:pPr>
        <w:spacing w:after="0" w:line="179" w:lineRule="exact"/>
        <w:rPr>
          <w:sz w:val="20"/>
          <w:szCs w:val="20"/>
          <w:color w:val="auto"/>
        </w:rPr>
      </w:pPr>
    </w:p>
    <w:p>
      <w:pPr>
        <w:ind w:right="40" w:firstLine="445"/>
        <w:spacing w:after="0" w:line="259" w:lineRule="auto"/>
        <w:rPr>
          <w:sz w:val="20"/>
          <w:szCs w:val="20"/>
          <w:color w:val="auto"/>
        </w:rPr>
      </w:pPr>
      <w:r>
        <w:rPr>
          <w:rFonts w:ascii="Arial" w:cs="Arial" w:eastAsia="Arial" w:hAnsi="Arial"/>
          <w:sz w:val="16"/>
          <w:szCs w:val="16"/>
          <w:color w:val="auto"/>
        </w:rPr>
        <w:t>The following is a general description of certain material Dutch tax consequences of the acquisition, holding and disposal of our ordinary shares. It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37" w:lineRule="exact"/>
        <w:rPr>
          <w:sz w:val="20"/>
          <w:szCs w:val="20"/>
          <w:color w:val="auto"/>
        </w:rPr>
      </w:pPr>
    </w:p>
    <w:p>
      <w:pPr>
        <w:jc w:val="both"/>
        <w:ind w:right="100" w:firstLine="445"/>
        <w:spacing w:after="0" w:line="266" w:lineRule="auto"/>
        <w:rPr>
          <w:sz w:val="20"/>
          <w:szCs w:val="20"/>
          <w:color w:val="auto"/>
        </w:rPr>
      </w:pPr>
      <w:r>
        <w:rPr>
          <w:rFonts w:ascii="Arial" w:cs="Arial" w:eastAsia="Arial" w:hAnsi="Arial"/>
          <w:sz w:val="16"/>
          <w:szCs w:val="16"/>
          <w:color w:val="auto"/>
        </w:rPr>
        <w:t>This section is based on the tax laws of the Netherlands, published regulations thereunder and published authoritative case law, all as in effect on the date hereof, and all of which are subject to change, possibly with retroactive effect. Where this section refers to “the Netherlands” or “Dutch” it refers only to the part of the Kingdom of the Netherlands located in Europe.</w:t>
      </w:r>
    </w:p>
    <w:p>
      <w:pPr>
        <w:spacing w:after="0" w:line="144" w:lineRule="exact"/>
        <w:rPr>
          <w:sz w:val="20"/>
          <w:szCs w:val="20"/>
          <w:color w:val="auto"/>
        </w:rPr>
      </w:pPr>
    </w:p>
    <w:p>
      <w:pPr>
        <w:ind w:right="200" w:firstLine="445"/>
        <w:spacing w:after="0" w:line="256" w:lineRule="auto"/>
        <w:rPr>
          <w:sz w:val="20"/>
          <w:szCs w:val="20"/>
          <w:color w:val="auto"/>
        </w:rPr>
      </w:pPr>
      <w:r>
        <w:rPr>
          <w:rFonts w:ascii="Arial" w:cs="Arial" w:eastAsia="Arial" w:hAnsi="Arial"/>
          <w:sz w:val="16"/>
          <w:szCs w:val="16"/>
          <w:color w:val="auto"/>
        </w:rPr>
        <w:t>THIS DISCUSSION IS FOR GENERAL INFORMATION PURPOSES ONLY AND IS NOT DUTCH TAX ADVICE OR A COMPLETE DESCRIPTION OF ALL DUTCH TAX CONSEQUENCES RELATING TO THE ACQUISITION, HOLDING AND DISPOSAL OF OUR ORIDNARY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note that this section does not describe the Dutch tax consequences for:</w:t>
      </w:r>
    </w:p>
    <w:p>
      <w:pPr>
        <w:spacing w:after="0" w:line="167" w:lineRule="exact"/>
        <w:rPr>
          <w:sz w:val="20"/>
          <w:szCs w:val="20"/>
          <w:color w:val="auto"/>
        </w:rPr>
      </w:pPr>
    </w:p>
    <w:p>
      <w:pPr>
        <w:ind w:left="980" w:right="260" w:hanging="486"/>
        <w:spacing w:after="0" w:line="254" w:lineRule="auto"/>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holder of our ordinary shares if such holder has a substantial interest (</w:t>
      </w:r>
      <w:r>
        <w:rPr>
          <w:rFonts w:ascii="Arial" w:cs="Arial" w:eastAsia="Arial" w:hAnsi="Arial"/>
          <w:sz w:val="16"/>
          <w:szCs w:val="16"/>
          <w:i w:val="1"/>
          <w:iCs w:val="1"/>
          <w:color w:val="auto"/>
        </w:rPr>
        <w:t>aanmerkelijk belang</w:t>
      </w:r>
      <w:r>
        <w:rPr>
          <w:rFonts w:ascii="Arial" w:cs="Arial" w:eastAsia="Arial" w:hAnsi="Arial"/>
          <w:sz w:val="16"/>
          <w:szCs w:val="16"/>
          <w:color w:val="auto"/>
        </w:rPr>
        <w:t>) or deemed substantial interest (</w:t>
      </w:r>
      <w:r>
        <w:rPr>
          <w:rFonts w:ascii="Arial" w:cs="Arial" w:eastAsia="Arial" w:hAnsi="Arial"/>
          <w:sz w:val="16"/>
          <w:szCs w:val="16"/>
          <w:i w:val="1"/>
          <w:iCs w:val="1"/>
          <w:color w:val="auto"/>
        </w:rPr>
        <w:t>fictief</w:t>
      </w:r>
      <w:r>
        <w:rPr>
          <w:rFonts w:ascii="Arial" w:cs="Arial" w:eastAsia="Arial" w:hAnsi="Arial"/>
          <w:sz w:val="16"/>
          <w:szCs w:val="16"/>
          <w:color w:val="auto"/>
        </w:rPr>
        <w:t xml:space="preserve"> </w:t>
      </w:r>
      <w:r>
        <w:rPr>
          <w:rFonts w:ascii="Arial" w:cs="Arial" w:eastAsia="Arial" w:hAnsi="Arial"/>
          <w:sz w:val="16"/>
          <w:szCs w:val="16"/>
          <w:i w:val="1"/>
          <w:iCs w:val="1"/>
          <w:color w:val="auto"/>
        </w:rPr>
        <w:t>aanmerkelijk belang</w:t>
      </w:r>
      <w:r>
        <w:rPr>
          <w:rFonts w:ascii="Arial" w:cs="Arial" w:eastAsia="Arial" w:hAnsi="Arial"/>
          <w:sz w:val="16"/>
          <w:szCs w:val="16"/>
          <w:color w:val="auto"/>
        </w:rPr>
        <w:t>) in us under the Dutch Income Tax Act 2001 (</w:t>
      </w:r>
      <w:r>
        <w:rPr>
          <w:rFonts w:ascii="Arial" w:cs="Arial" w:eastAsia="Arial" w:hAnsi="Arial"/>
          <w:sz w:val="16"/>
          <w:szCs w:val="16"/>
          <w:i w:val="1"/>
          <w:iCs w:val="1"/>
          <w:color w:val="auto"/>
        </w:rPr>
        <w:t>Wet inkomstenbelasting 2001</w:t>
      </w:r>
      <w:r>
        <w:rPr>
          <w:rFonts w:ascii="Arial" w:cs="Arial" w:eastAsia="Arial" w:hAnsi="Arial"/>
          <w:sz w:val="16"/>
          <w:szCs w:val="16"/>
          <w:color w:val="auto"/>
        </w:rPr>
        <w:t>). Generally, a holder of securities in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is considered 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75" w:lineRule="exact"/>
        <w:rPr>
          <w:sz w:val="20"/>
          <w:szCs w:val="20"/>
          <w:color w:val="auto"/>
        </w:rPr>
      </w:pPr>
    </w:p>
    <w:p>
      <w:pPr>
        <w:ind w:left="980" w:right="420"/>
        <w:spacing w:after="0" w:line="266" w:lineRule="auto"/>
        <w:rPr>
          <w:sz w:val="20"/>
          <w:szCs w:val="20"/>
          <w:color w:val="auto"/>
        </w:rPr>
      </w:pPr>
      <w:r>
        <w:rPr>
          <w:rFonts w:ascii="Arial" w:cs="Arial" w:eastAsia="Arial" w:hAnsi="Arial"/>
          <w:sz w:val="16"/>
          <w:szCs w:val="16"/>
          <w:color w:val="auto"/>
        </w:rPr>
        <w:t>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117" w:lineRule="exact"/>
        <w:rPr>
          <w:sz w:val="20"/>
          <w:szCs w:val="20"/>
          <w:color w:val="auto"/>
        </w:rPr>
      </w:pPr>
    </w:p>
    <w:p>
      <w:pPr>
        <w:ind w:left="980" w:right="100" w:hanging="486"/>
        <w:spacing w:after="0" w:line="256" w:lineRule="auto"/>
        <w:tabs>
          <w:tab w:leader="none" w:pos="9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holder of our ordinary shares, if the ordinary shares held by such holder qualify or qualified as a participation (</w:t>
      </w:r>
      <w:r>
        <w:rPr>
          <w:rFonts w:ascii="Arial" w:cs="Arial" w:eastAsia="Arial" w:hAnsi="Arial"/>
          <w:sz w:val="16"/>
          <w:szCs w:val="16"/>
          <w:i w:val="1"/>
          <w:iCs w:val="1"/>
          <w:color w:val="auto"/>
        </w:rPr>
        <w:t>deelneming</w:t>
      </w:r>
      <w:r>
        <w:rPr>
          <w:rFonts w:ascii="Arial" w:cs="Arial" w:eastAsia="Arial" w:hAnsi="Arial"/>
          <w:sz w:val="16"/>
          <w:szCs w:val="16"/>
          <w:color w:val="auto"/>
        </w:rPr>
        <w:t>) for purposes of the Dutch Corporate Income Tax Act 1969 (</w:t>
      </w:r>
      <w:r>
        <w:rPr>
          <w:rFonts w:ascii="Arial" w:cs="Arial" w:eastAsia="Arial" w:hAnsi="Arial"/>
          <w:sz w:val="16"/>
          <w:szCs w:val="16"/>
          <w:i w:val="1"/>
          <w:iCs w:val="1"/>
          <w:color w:val="auto"/>
        </w:rPr>
        <w:t>Wet op de vennootschapsbelasting 1969</w:t>
      </w:r>
      <w:r>
        <w:rPr>
          <w:rFonts w:ascii="Arial" w:cs="Arial" w:eastAsia="Arial" w:hAnsi="Arial"/>
          <w:sz w:val="16"/>
          <w:szCs w:val="16"/>
          <w:color w:val="auto"/>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125" w:lineRule="exact"/>
        <w:rPr>
          <w:rFonts w:ascii="Arial" w:cs="Arial" w:eastAsia="Arial" w:hAnsi="Arial"/>
          <w:sz w:val="16"/>
          <w:szCs w:val="16"/>
          <w:color w:val="auto"/>
        </w:rPr>
      </w:pPr>
    </w:p>
    <w:p>
      <w:pPr>
        <w:ind w:left="980" w:right="40" w:hanging="486"/>
        <w:spacing w:after="0" w:line="256" w:lineRule="auto"/>
        <w:tabs>
          <w:tab w:leader="none" w:pos="9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pension funds, investment institutions (</w:t>
      </w:r>
      <w:r>
        <w:rPr>
          <w:rFonts w:ascii="Arial" w:cs="Arial" w:eastAsia="Arial" w:hAnsi="Arial"/>
          <w:sz w:val="16"/>
          <w:szCs w:val="16"/>
          <w:i w:val="1"/>
          <w:iCs w:val="1"/>
          <w:color w:val="auto"/>
        </w:rPr>
        <w:t>fiscale beleggingsinstellingen</w:t>
      </w:r>
      <w:r>
        <w:rPr>
          <w:rFonts w:ascii="Arial" w:cs="Arial" w:eastAsia="Arial" w:hAnsi="Arial"/>
          <w:sz w:val="16"/>
          <w:szCs w:val="16"/>
          <w:color w:val="auto"/>
        </w:rPr>
        <w:t>), exempt investment institutions (</w:t>
      </w:r>
      <w:r>
        <w:rPr>
          <w:rFonts w:ascii="Arial" w:cs="Arial" w:eastAsia="Arial" w:hAnsi="Arial"/>
          <w:sz w:val="16"/>
          <w:szCs w:val="16"/>
          <w:i w:val="1"/>
          <w:iCs w:val="1"/>
          <w:color w:val="auto"/>
        </w:rPr>
        <w:t>vrijgestelde beleggingsinstellingen</w:t>
      </w:r>
      <w:r>
        <w:rPr>
          <w:rFonts w:ascii="Arial" w:cs="Arial" w:eastAsia="Arial" w:hAnsi="Arial"/>
          <w:sz w:val="16"/>
          <w:szCs w:val="16"/>
          <w:color w:val="auto"/>
        </w:rPr>
        <w:t>) (each as defined in the Dutch Corporate Income Tax Act 1969) and other entities that are, in whole or in part, not subject to or exempt from Dutch corporate income tax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125" w:lineRule="exact"/>
        <w:rPr>
          <w:rFonts w:ascii="Arial" w:cs="Arial" w:eastAsia="Arial" w:hAnsi="Arial"/>
          <w:sz w:val="16"/>
          <w:szCs w:val="16"/>
          <w:color w:val="auto"/>
        </w:rPr>
      </w:pPr>
    </w:p>
    <w:p>
      <w:pPr>
        <w:ind w:left="980" w:right="120" w:hanging="486"/>
        <w:spacing w:after="0" w:line="266" w:lineRule="auto"/>
        <w:tabs>
          <w:tab w:leader="none" w:pos="9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holders (as defined in the Dutch Income Tax Act 2001).</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Dividend Withholding Tax</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General</w:t>
      </w:r>
    </w:p>
    <w:p>
      <w:pPr>
        <w:spacing w:after="0" w:line="179" w:lineRule="exact"/>
        <w:rPr>
          <w:sz w:val="20"/>
          <w:szCs w:val="20"/>
          <w:color w:val="auto"/>
        </w:rPr>
      </w:pPr>
    </w:p>
    <w:p>
      <w:pPr>
        <w:ind w:right="120" w:firstLine="445"/>
        <w:spacing w:after="0" w:line="286"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expression “dividends distributed” includes, among other things:</w:t>
      </w:r>
    </w:p>
    <w:p>
      <w:pPr>
        <w:spacing w:after="0" w:line="167" w:lineRule="exact"/>
        <w:rPr>
          <w:sz w:val="20"/>
          <w:szCs w:val="20"/>
          <w:color w:val="auto"/>
        </w:rPr>
      </w:pPr>
    </w:p>
    <w:p>
      <w:pPr>
        <w:ind w:left="840" w:right="580" w:hanging="414"/>
        <w:spacing w:after="0" w:line="286" w:lineRule="auto"/>
        <w:tabs>
          <w:tab w:leader="none" w:pos="8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distributions in cash or in kind, deemed and constructive distributions and repayments of paid-in capital not recognized for Dutch dividend withholding tax purposes;</w:t>
      </w:r>
    </w:p>
    <w:p>
      <w:pPr>
        <w:spacing w:after="0" w:line="101" w:lineRule="exact"/>
        <w:rPr>
          <w:rFonts w:ascii="Arial" w:cs="Arial" w:eastAsia="Arial" w:hAnsi="Arial"/>
          <w:sz w:val="16"/>
          <w:szCs w:val="16"/>
          <w:color w:val="auto"/>
        </w:rPr>
      </w:pPr>
    </w:p>
    <w:p>
      <w:pPr>
        <w:ind w:left="840" w:right="140" w:hanging="414"/>
        <w:spacing w:after="0" w:line="266" w:lineRule="auto"/>
        <w:tabs>
          <w:tab w:leader="none" w:pos="8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liquidation proceeds, proceeds of redemption of our ordinary shares, or proceeds of the repurchase of ordinary shares (other than as temporary portfolio investment; </w:t>
      </w:r>
      <w:r>
        <w:rPr>
          <w:rFonts w:ascii="Arial" w:cs="Arial" w:eastAsia="Arial" w:hAnsi="Arial"/>
          <w:sz w:val="16"/>
          <w:szCs w:val="16"/>
          <w:i w:val="1"/>
          <w:iCs w:val="1"/>
          <w:color w:val="auto"/>
        </w:rPr>
        <w:t>tijdelijke</w:t>
      </w:r>
      <w:r>
        <w:rPr>
          <w:rFonts w:ascii="Arial" w:cs="Arial" w:eastAsia="Arial" w:hAnsi="Arial"/>
          <w:sz w:val="16"/>
          <w:szCs w:val="16"/>
          <w:color w:val="auto"/>
        </w:rPr>
        <w:t xml:space="preserve"> belegging) by us or one of our subsidiaries or other affiliated entities, in each case to the extent such proceeds exceed the average paid-in capital of those ordinary shares as recognized for purposes of Dutch dividend withholding tax;</w:t>
      </w:r>
    </w:p>
    <w:p>
      <w:pPr>
        <w:spacing w:after="0" w:line="117" w:lineRule="exact"/>
        <w:rPr>
          <w:rFonts w:ascii="Arial" w:cs="Arial" w:eastAsia="Arial" w:hAnsi="Arial"/>
          <w:sz w:val="16"/>
          <w:szCs w:val="16"/>
          <w:color w:val="auto"/>
        </w:rPr>
      </w:pPr>
    </w:p>
    <w:p>
      <w:pPr>
        <w:ind w:left="840" w:right="220" w:hanging="414"/>
        <w:spacing w:after="0" w:line="286" w:lineRule="auto"/>
        <w:tabs>
          <w:tab w:leader="none" w:pos="8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 amount equal to the par value of our ordinary shares issued or an increase of the par value of ordinary shares, to the extent that it does not appear that a contribution, recognized for purposes of Dutch dividend withholding tax, has been made or will be made; and</w:t>
      </w:r>
    </w:p>
    <w:p>
      <w:pPr>
        <w:spacing w:after="0" w:line="101" w:lineRule="exact"/>
        <w:rPr>
          <w:rFonts w:ascii="Arial" w:cs="Arial" w:eastAsia="Arial" w:hAnsi="Arial"/>
          <w:sz w:val="16"/>
          <w:szCs w:val="16"/>
          <w:color w:val="auto"/>
        </w:rPr>
      </w:pPr>
    </w:p>
    <w:p>
      <w:pPr>
        <w:ind w:left="840" w:right="260" w:hanging="414"/>
        <w:spacing w:after="0" w:line="259" w:lineRule="auto"/>
        <w:tabs>
          <w:tab w:leader="none" w:pos="8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partial repayment of the paid-in capital, recognized for purposes of Dutch dividend withholding tax, if and to the extent that we have net profits (</w:t>
      </w:r>
      <w:r>
        <w:rPr>
          <w:rFonts w:ascii="Arial" w:cs="Arial" w:eastAsia="Arial" w:hAnsi="Arial"/>
          <w:sz w:val="16"/>
          <w:szCs w:val="16"/>
          <w:i w:val="1"/>
          <w:iCs w:val="1"/>
          <w:color w:val="auto"/>
        </w:rPr>
        <w:t>zuivere winst</w:t>
      </w:r>
      <w:r>
        <w:rPr>
          <w:rFonts w:ascii="Arial" w:cs="Arial" w:eastAsia="Arial" w:hAnsi="Arial"/>
          <w:sz w:val="16"/>
          <w:szCs w:val="16"/>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51" w:lineRule="exact"/>
        <w:rPr>
          <w:sz w:val="20"/>
          <w:szCs w:val="20"/>
          <w:color w:val="auto"/>
        </w:rPr>
      </w:pPr>
    </w:p>
    <w:p>
      <w:pPr>
        <w:ind w:right="120" w:firstLine="445"/>
        <w:spacing w:after="0" w:line="259" w:lineRule="auto"/>
        <w:rPr>
          <w:sz w:val="20"/>
          <w:szCs w:val="20"/>
          <w:color w:val="auto"/>
        </w:rPr>
      </w:pPr>
      <w:r>
        <w:rPr>
          <w:rFonts w:ascii="Arial" w:cs="Arial" w:eastAsia="Arial" w:hAnsi="Arial"/>
          <w:sz w:val="16"/>
          <w:szCs w:val="16"/>
          <w:color w:val="auto"/>
        </w:rPr>
        <w:t>Individuals and corporate legal entities who are resident or deemed to be resident of the Netherlands for Dutch tax purposes, generally are entitled to an exemption of or a credit for any Dutch dividend withholding tax against their Dutch (corporate) income tax. The same generally applies to holders of ordinary shares that are neither resident nor deemed to be resident of the Netherlands if the ordinary shares are attributable to a Dutch permanent establishment of such non-resident holder.</w:t>
      </w:r>
    </w:p>
    <w:p>
      <w:pPr>
        <w:spacing w:after="0" w:line="137" w:lineRule="exact"/>
        <w:rPr>
          <w:sz w:val="20"/>
          <w:szCs w:val="20"/>
          <w:color w:val="auto"/>
        </w:rPr>
      </w:pPr>
    </w:p>
    <w:p>
      <w:pPr>
        <w:jc w:val="both"/>
        <w:ind w:right="160" w:firstLine="445"/>
        <w:spacing w:after="0" w:line="266" w:lineRule="auto"/>
        <w:rPr>
          <w:sz w:val="20"/>
          <w:szCs w:val="20"/>
          <w:color w:val="auto"/>
        </w:rPr>
      </w:pPr>
      <w:r>
        <w:rPr>
          <w:rFonts w:ascii="Arial" w:cs="Arial" w:eastAsia="Arial" w:hAnsi="Arial"/>
          <w:sz w:val="16"/>
          <w:szCs w:val="16"/>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Remittance to the Dutch tax authorities</w:t>
      </w:r>
    </w:p>
    <w:p>
      <w:pPr>
        <w:spacing w:after="0" w:line="192" w:lineRule="exact"/>
        <w:rPr>
          <w:sz w:val="20"/>
          <w:szCs w:val="20"/>
          <w:color w:val="auto"/>
        </w:rPr>
      </w:pPr>
    </w:p>
    <w:p>
      <w:pPr>
        <w:ind w:firstLine="445"/>
        <w:spacing w:after="0" w:line="259" w:lineRule="auto"/>
        <w:rPr>
          <w:sz w:val="20"/>
          <w:szCs w:val="20"/>
          <w:color w:val="auto"/>
        </w:rPr>
      </w:pPr>
      <w:r>
        <w:rPr>
          <w:rFonts w:ascii="Arial" w:cs="Arial" w:eastAsia="Arial" w:hAnsi="Arial"/>
          <w:sz w:val="16"/>
          <w:szCs w:val="16"/>
          <w:color w:val="auto"/>
        </w:rPr>
        <w:t xml:space="preserve">Under certain circumstances, we may not be required to remit all amounts withheld as Dutch dividend withholding tax to the Dutch tax authorities, if we have received a profit distribution from a qualifying foreign subsidiary (as described in the Dutch Dividend Withholding Tax Act 1965; </w:t>
      </w:r>
      <w:r>
        <w:rPr>
          <w:rFonts w:ascii="Arial" w:cs="Arial" w:eastAsia="Arial" w:hAnsi="Arial"/>
          <w:sz w:val="16"/>
          <w:szCs w:val="16"/>
          <w:i w:val="1"/>
          <w:iCs w:val="1"/>
          <w:color w:val="auto"/>
        </w:rPr>
        <w:t>Wet op de</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dividendbelasting 1965</w:t>
      </w:r>
      <w:r>
        <w:rPr>
          <w:rFonts w:ascii="Arial" w:cs="Arial" w:eastAsia="Arial" w:hAnsi="Arial"/>
          <w:sz w:val="16"/>
          <w:szCs w:val="16"/>
          <w:color w:val="auto"/>
        </w:rPr>
        <w:t>) which distribution (i) is exempt from Dutch corporate income tax and (ii) has been subject to a foreign withholding tax of at least 5%.</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 that does not have to be remitted to the Dutch tax authorities can generally not exceed the lesser of:</w:t>
      </w:r>
    </w:p>
    <w:p>
      <w:pPr>
        <w:spacing w:after="0" w:line="124" w:lineRule="exact"/>
        <w:rPr>
          <w:sz w:val="20"/>
          <w:szCs w:val="20"/>
          <w:color w:val="auto"/>
        </w:rPr>
      </w:pPr>
    </w:p>
    <w:p>
      <w:pPr>
        <w:ind w:left="840" w:hanging="414"/>
        <w:spacing w:after="0"/>
        <w:tabs>
          <w:tab w:leader="none" w:pos="8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3% of the dividends distributed by us subject to Dutch dividend withholding tax; and</w:t>
      </w:r>
    </w:p>
    <w:p>
      <w:pPr>
        <w:spacing w:after="0" w:line="207" w:lineRule="exact"/>
        <w:rPr>
          <w:rFonts w:ascii="Arial" w:cs="Arial" w:eastAsia="Arial" w:hAnsi="Arial"/>
          <w:sz w:val="16"/>
          <w:szCs w:val="16"/>
          <w:color w:val="auto"/>
        </w:rPr>
      </w:pPr>
    </w:p>
    <w:p>
      <w:pPr>
        <w:ind w:left="840" w:right="200" w:hanging="414"/>
        <w:spacing w:after="0" w:line="286" w:lineRule="auto"/>
        <w:tabs>
          <w:tab w:leader="none" w:pos="8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3% of the dividends and profit distributions, before deduction of foreign withholding taxes, received by us from qualifying foreign subsidiaries in the calendar year in which we distribute the dividends (up to the date of the distribution by us) and the two</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75" w:lineRule="exact"/>
        <w:rPr>
          <w:sz w:val="20"/>
          <w:szCs w:val="20"/>
          <w:color w:val="auto"/>
        </w:rPr>
      </w:pPr>
    </w:p>
    <w:p>
      <w:pPr>
        <w:ind w:left="840" w:right="100"/>
        <w:spacing w:after="0" w:line="286" w:lineRule="auto"/>
        <w:rPr>
          <w:sz w:val="20"/>
          <w:szCs w:val="20"/>
          <w:color w:val="auto"/>
        </w:rPr>
      </w:pPr>
      <w:r>
        <w:rPr>
          <w:rFonts w:ascii="Arial" w:cs="Arial" w:eastAsia="Arial" w:hAnsi="Arial"/>
          <w:sz w:val="16"/>
          <w:szCs w:val="16"/>
          <w:color w:val="auto"/>
        </w:rPr>
        <w:t>preceding calendar years, as far as such dividends and profit distributions have not yet been taken into account for purposes of establishing the above-mentioned reduction.</w:t>
      </w:r>
    </w:p>
    <w:p>
      <w:pPr>
        <w:spacing w:after="0" w:line="115" w:lineRule="exact"/>
        <w:rPr>
          <w:sz w:val="20"/>
          <w:szCs w:val="20"/>
          <w:color w:val="auto"/>
        </w:rPr>
      </w:pPr>
    </w:p>
    <w:p>
      <w:pPr>
        <w:ind w:right="340" w:firstLine="445"/>
        <w:spacing w:after="0" w:line="286" w:lineRule="auto"/>
        <w:rPr>
          <w:sz w:val="20"/>
          <w:szCs w:val="20"/>
          <w:color w:val="auto"/>
        </w:rPr>
      </w:pPr>
      <w:r>
        <w:rPr>
          <w:rFonts w:ascii="Arial" w:cs="Arial" w:eastAsia="Arial" w:hAnsi="Arial"/>
          <w:sz w:val="16"/>
          <w:szCs w:val="16"/>
          <w:color w:val="auto"/>
        </w:rPr>
        <w:t>Although this reduction reduces the amount of Dutch dividend withholding tax that we are required to remit to the Dutch tax authorities, it does not reduce the amount of Dutch dividend withholding tax that we are required to withhold on dividends distributed by us.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Dividend stripping</w:t>
      </w:r>
    </w:p>
    <w:p>
      <w:pPr>
        <w:spacing w:after="0" w:line="179" w:lineRule="exact"/>
        <w:rPr>
          <w:sz w:val="20"/>
          <w:szCs w:val="20"/>
          <w:color w:val="auto"/>
        </w:rPr>
      </w:pPr>
    </w:p>
    <w:p>
      <w:pPr>
        <w:ind w:right="100" w:firstLine="445"/>
        <w:spacing w:after="0" w:line="254" w:lineRule="auto"/>
        <w:rPr>
          <w:sz w:val="20"/>
          <w:szCs w:val="20"/>
          <w:color w:val="auto"/>
        </w:rPr>
      </w:pPr>
      <w:r>
        <w:rPr>
          <w:rFonts w:ascii="Arial" w:cs="Arial" w:eastAsia="Arial" w:hAnsi="Arial"/>
          <w:sz w:val="16"/>
          <w:szCs w:val="16"/>
          <w:color w:val="auto"/>
        </w:rPr>
        <w:t>Pursuant to legislation to counteract “dividend stripping”, a reduction, exemption, credit or refund of Dutch dividend withholding tax is denied if the recipient of the dividend is not the beneficial owner as described in the Dutch Dividend Withholding Tax Act 1965 (</w:t>
      </w:r>
      <w:r>
        <w:rPr>
          <w:rFonts w:ascii="Arial" w:cs="Arial" w:eastAsia="Arial" w:hAnsi="Arial"/>
          <w:sz w:val="16"/>
          <w:szCs w:val="16"/>
          <w:i w:val="1"/>
          <w:iCs w:val="1"/>
          <w:color w:val="auto"/>
        </w:rPr>
        <w:t>Wet op de dividendbelasting 1965</w:t>
      </w:r>
      <w:r>
        <w:rPr>
          <w:rFonts w:ascii="Arial" w:cs="Arial" w:eastAsia="Arial" w:hAnsi="Arial"/>
          <w:sz w:val="16"/>
          <w:szCs w:val="16"/>
          <w:color w:val="auto"/>
        </w:rPr>
        <w:t>).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Conditional withholding tax on dividends (as of January 1, 2024)</w:t>
      </w:r>
    </w:p>
    <w:p>
      <w:pPr>
        <w:spacing w:after="0" w:line="111" w:lineRule="exact"/>
        <w:rPr>
          <w:sz w:val="20"/>
          <w:szCs w:val="20"/>
          <w:color w:val="auto"/>
        </w:rPr>
      </w:pPr>
    </w:p>
    <w:p>
      <w:pPr>
        <w:ind w:right="40" w:firstLine="495"/>
        <w:spacing w:after="0" w:line="286" w:lineRule="auto"/>
        <w:rPr>
          <w:sz w:val="20"/>
          <w:szCs w:val="20"/>
          <w:color w:val="auto"/>
        </w:rPr>
      </w:pPr>
      <w:r>
        <w:rPr>
          <w:rFonts w:ascii="Arial" w:cs="Arial" w:eastAsia="Arial" w:hAnsi="Arial"/>
          <w:sz w:val="16"/>
          <w:szCs w:val="16"/>
          <w:color w:val="auto"/>
        </w:rPr>
        <w:t>As of January 1, 2024, a Dutch conditional withholding tax will be imposed on dividends distributed by us to entities related (</w:t>
      </w:r>
      <w:r>
        <w:rPr>
          <w:rFonts w:ascii="Arial" w:cs="Arial" w:eastAsia="Arial" w:hAnsi="Arial"/>
          <w:sz w:val="16"/>
          <w:szCs w:val="16"/>
          <w:i w:val="1"/>
          <w:iCs w:val="1"/>
          <w:color w:val="auto"/>
        </w:rPr>
        <w:t>gelieerd</w:t>
      </w:r>
      <w:r>
        <w:rPr>
          <w:rFonts w:ascii="Arial" w:cs="Arial" w:eastAsia="Arial" w:hAnsi="Arial"/>
          <w:sz w:val="16"/>
          <w:szCs w:val="16"/>
          <w:color w:val="auto"/>
        </w:rPr>
        <w:t xml:space="preserve">) to us (within the meaning of the Dutch Withholding Tax Act 2021; </w:t>
      </w:r>
      <w:r>
        <w:rPr>
          <w:rFonts w:ascii="Arial" w:cs="Arial" w:eastAsia="Arial" w:hAnsi="Arial"/>
          <w:sz w:val="16"/>
          <w:szCs w:val="16"/>
          <w:i w:val="1"/>
          <w:iCs w:val="1"/>
          <w:color w:val="auto"/>
        </w:rPr>
        <w:t>Wet bronbelasting 2021</w:t>
      </w:r>
      <w:r>
        <w:rPr>
          <w:rFonts w:ascii="Arial" w:cs="Arial" w:eastAsia="Arial" w:hAnsi="Arial"/>
          <w:sz w:val="16"/>
          <w:szCs w:val="16"/>
          <w:color w:val="auto"/>
        </w:rPr>
        <w:t>), if such related entity:</w:t>
      </w:r>
    </w:p>
    <w:p>
      <w:pPr>
        <w:spacing w:after="0" w:line="142" w:lineRule="exact"/>
        <w:rPr>
          <w:sz w:val="20"/>
          <w:szCs w:val="20"/>
          <w:color w:val="auto"/>
        </w:rPr>
      </w:pPr>
    </w:p>
    <w:p>
      <w:pPr>
        <w:jc w:val="both"/>
        <w:ind w:left="460" w:right="40" w:hanging="452"/>
        <w:spacing w:after="0" w:line="253"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is considered to be resident (</w:t>
      </w:r>
      <w:r>
        <w:rPr>
          <w:rFonts w:ascii="Arial" w:cs="Arial" w:eastAsia="Arial" w:hAnsi="Arial"/>
          <w:sz w:val="16"/>
          <w:szCs w:val="16"/>
          <w:i w:val="1"/>
          <w:iCs w:val="1"/>
          <w:color w:val="auto"/>
        </w:rPr>
        <w:t>gevestigd)</w:t>
      </w:r>
      <w:r>
        <w:rPr>
          <w:rFonts w:ascii="Arial" w:cs="Arial" w:eastAsia="Arial" w:hAnsi="Arial"/>
          <w:sz w:val="16"/>
          <w:szCs w:val="16"/>
          <w:color w:val="auto"/>
        </w:rPr>
        <w:t xml:space="preserve"> in a jurisdiction that is listed in the yearly updated Dutch Regulation on low-taxing states and non-cooperative jurisdictions for tax purposes (</w:t>
      </w:r>
      <w:r>
        <w:rPr>
          <w:rFonts w:ascii="Arial" w:cs="Arial" w:eastAsia="Arial" w:hAnsi="Arial"/>
          <w:sz w:val="16"/>
          <w:szCs w:val="16"/>
          <w:i w:val="1"/>
          <w:iCs w:val="1"/>
          <w:color w:val="auto"/>
        </w:rPr>
        <w:t>Regeling laagbelastende staten en niet-coöperatieve rechtsgebieden voor belastingdoeleinden</w:t>
      </w:r>
      <w:r>
        <w:rPr>
          <w:rFonts w:ascii="Arial" w:cs="Arial" w:eastAsia="Arial" w:hAnsi="Arial"/>
          <w:sz w:val="16"/>
          <w:szCs w:val="16"/>
          <w:color w:val="auto"/>
        </w:rPr>
        <w:t>) (a "Listed Jurisdiction"); or</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has a permanent establishment located in a Listed Jurisdiction to which the ordinary shares are attributable; or</w:t>
      </w:r>
    </w:p>
    <w:p>
      <w:pPr>
        <w:spacing w:after="0" w:line="5" w:lineRule="exact"/>
        <w:rPr>
          <w:rFonts w:ascii="Arial" w:cs="Arial" w:eastAsia="Arial" w:hAnsi="Arial"/>
          <w:sz w:val="16"/>
          <w:szCs w:val="16"/>
          <w:color w:val="auto"/>
        </w:rPr>
      </w:pPr>
    </w:p>
    <w:p>
      <w:pPr>
        <w:ind w:left="460" w:right="420" w:hanging="452"/>
        <w:spacing w:after="0" w:line="246"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holds the ordinary shares for the main purpose or one of the main purposes to avoid taxation for another person or entity and there is an artificial arrangement or transaction or a series of artificial arrangements or transactions; or</w:t>
      </w:r>
    </w:p>
    <w:p>
      <w:pPr>
        <w:ind w:left="460" w:right="100" w:hanging="452"/>
        <w:spacing w:after="0" w:line="246"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is not considered to be the beneficial owner of the ordinary shares in its jurisdiction of residence because such jurisdiction treats another entity as the beneficial owner of the ordinary shares (a hybrid mismatch); or</w:t>
      </w:r>
    </w:p>
    <w:p>
      <w:pPr>
        <w:ind w:left="460" w:hanging="452"/>
        <w:spacing w:after="0"/>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is not resident in any jurisdiction (also a hybrid mismatch); or</w:t>
      </w:r>
    </w:p>
    <w:p>
      <w:pPr>
        <w:spacing w:after="0" w:line="5" w:lineRule="exact"/>
        <w:rPr>
          <w:rFonts w:ascii="Arial" w:cs="Arial" w:eastAsia="Arial" w:hAnsi="Arial"/>
          <w:sz w:val="16"/>
          <w:szCs w:val="16"/>
          <w:color w:val="auto"/>
        </w:rPr>
      </w:pPr>
    </w:p>
    <w:p>
      <w:pPr>
        <w:ind w:left="460" w:hanging="452"/>
        <w:spacing w:after="0" w:line="252"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is a reverse hybrid (within the meaning of Article 2(12) of the Dutch Corporate Income Tax Act 1969), if and to the extent (x) there is a participant in the reverse hybrid which is related (</w:t>
      </w:r>
      <w:r>
        <w:rPr>
          <w:rFonts w:ascii="Arial" w:cs="Arial" w:eastAsia="Arial" w:hAnsi="Arial"/>
          <w:sz w:val="16"/>
          <w:szCs w:val="16"/>
          <w:i w:val="1"/>
          <w:iCs w:val="1"/>
          <w:color w:val="auto"/>
        </w:rPr>
        <w:t>gelieerd</w:t>
      </w:r>
      <w:r>
        <w:rPr>
          <w:rFonts w:ascii="Arial" w:cs="Arial" w:eastAsia="Arial" w:hAnsi="Arial"/>
          <w:sz w:val="16"/>
          <w:szCs w:val="16"/>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all within the meaning of the Dutch Withholding Tax Act 2021.</w:t>
      </w:r>
    </w:p>
    <w:p>
      <w:pPr>
        <w:spacing w:after="0" w:line="113" w:lineRule="exact"/>
        <w:rPr>
          <w:sz w:val="20"/>
          <w:szCs w:val="20"/>
          <w:color w:val="auto"/>
        </w:rPr>
      </w:pPr>
    </w:p>
    <w:p>
      <w:pPr>
        <w:ind w:right="460" w:firstLine="495"/>
        <w:spacing w:after="0" w:line="256" w:lineRule="auto"/>
        <w:rPr>
          <w:sz w:val="20"/>
          <w:szCs w:val="20"/>
          <w:color w:val="auto"/>
        </w:rPr>
      </w:pPr>
      <w:r>
        <w:rPr>
          <w:rFonts w:ascii="Arial" w:cs="Arial" w:eastAsia="Arial" w:hAnsi="Arial"/>
          <w:sz w:val="16"/>
          <w:szCs w:val="16"/>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Taxes on Income and Capital Gains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Dutch Resident Entities</w:t>
      </w:r>
    </w:p>
    <w:p>
      <w:pPr>
        <w:spacing w:after="0" w:line="179" w:lineRule="exact"/>
        <w:rPr>
          <w:sz w:val="20"/>
          <w:szCs w:val="20"/>
          <w:color w:val="auto"/>
        </w:rPr>
      </w:pPr>
    </w:p>
    <w:p>
      <w:pPr>
        <w:ind w:left="460" w:right="280"/>
        <w:spacing w:after="0" w:line="259" w:lineRule="auto"/>
        <w:rPr>
          <w:sz w:val="20"/>
          <w:szCs w:val="20"/>
          <w:color w:val="auto"/>
        </w:rPr>
      </w:pPr>
      <w:r>
        <w:rPr>
          <w:rFonts w:ascii="Arial" w:cs="Arial" w:eastAsia="Arial" w:hAnsi="Arial"/>
          <w:sz w:val="16"/>
          <w:szCs w:val="16"/>
          <w:color w:val="auto"/>
        </w:rPr>
        <w:t>Generally, if the holder of ordinary shares is an entity that is a resident or deemed to be resident of the Netherlands for Dutch corporate income tax purposes (a “Dutch Resident Entity”), any income derived or deemed to be derived from the ordinary shares or any capital gains realized on the disposal or deemed disposal of the ordinary shares is subject to Dutch corporate income tax at a rate of 15% with respect to taxable profits up to €395,000 and 25.8% with respect to taxable profits in excess of that amount (rates and brackets for 2022).</w:t>
      </w:r>
    </w:p>
    <w:p>
      <w:pPr>
        <w:spacing w:after="0" w:line="151"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If the holder of our ordinary shares is an individual resident or deemed to be resident of the Netherlands for Dutch income tax purposes (a “Dutch Resident Individual”), any income derived or deemed to be derived from the ordinary shares or any capital gains realized on the disposal or deemed disposal of the ordinary shares is subject to Dutch income tax at the progressive rates (with a maximum of 49.50% in 2022), if:</w:t>
      </w:r>
    </w:p>
    <w:p>
      <w:pPr>
        <w:spacing w:after="0" w:line="117" w:lineRule="exact"/>
        <w:rPr>
          <w:sz w:val="20"/>
          <w:szCs w:val="20"/>
          <w:color w:val="auto"/>
        </w:rPr>
      </w:pPr>
    </w:p>
    <w:p>
      <w:pPr>
        <w:ind w:left="980" w:right="280" w:hanging="486"/>
        <w:spacing w:after="0" w:line="266" w:lineRule="auto"/>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ordinary shares are attributable to an enterprise from which the holder of ordinary shares derives a share of the profit, whether as an entrepreneur (</w:t>
      </w:r>
      <w:r>
        <w:rPr>
          <w:rFonts w:ascii="Arial" w:cs="Arial" w:eastAsia="Arial" w:hAnsi="Arial"/>
          <w:sz w:val="16"/>
          <w:szCs w:val="16"/>
          <w:i w:val="1"/>
          <w:iCs w:val="1"/>
          <w:color w:val="auto"/>
        </w:rPr>
        <w:t>ondernemer</w:t>
      </w:r>
      <w:r>
        <w:rPr>
          <w:rFonts w:ascii="Arial" w:cs="Arial" w:eastAsia="Arial" w:hAnsi="Arial"/>
          <w:sz w:val="16"/>
          <w:szCs w:val="16"/>
          <w:color w:val="auto"/>
        </w:rPr>
        <w:t>) or as a person who has a co-entitlement to the net worth (</w:t>
      </w:r>
      <w:r>
        <w:rPr>
          <w:rFonts w:ascii="Arial" w:cs="Arial" w:eastAsia="Arial" w:hAnsi="Arial"/>
          <w:sz w:val="16"/>
          <w:szCs w:val="16"/>
          <w:i w:val="1"/>
          <w:iCs w:val="1"/>
          <w:color w:val="auto"/>
        </w:rPr>
        <w:t>medegerechtigd tot het vermogen</w:t>
      </w:r>
      <w:r>
        <w:rPr>
          <w:rFonts w:ascii="Arial" w:cs="Arial" w:eastAsia="Arial" w:hAnsi="Arial"/>
          <w:sz w:val="16"/>
          <w:szCs w:val="16"/>
          <w:color w:val="auto"/>
        </w:rPr>
        <w:t>) of such enterprise without being a shareholder (as defined in the Dutch Income Tax Act 2001); or</w:t>
      </w:r>
    </w:p>
    <w:p>
      <w:pPr>
        <w:spacing w:after="0" w:line="117" w:lineRule="exact"/>
        <w:rPr>
          <w:rFonts w:ascii="Arial" w:cs="Arial" w:eastAsia="Arial" w:hAnsi="Arial"/>
          <w:sz w:val="16"/>
          <w:szCs w:val="16"/>
          <w:color w:val="auto"/>
        </w:rPr>
      </w:pPr>
    </w:p>
    <w:p>
      <w:pPr>
        <w:ind w:left="980" w:right="40" w:hanging="486"/>
        <w:spacing w:after="0" w:line="266" w:lineRule="auto"/>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holder of ordinary shares is considered to perform activities with respect to the ordinary shares that go beyond ordinary asset management (</w:t>
      </w:r>
      <w:r>
        <w:rPr>
          <w:rFonts w:ascii="Arial" w:cs="Arial" w:eastAsia="Arial" w:hAnsi="Arial"/>
          <w:sz w:val="16"/>
          <w:szCs w:val="16"/>
          <w:i w:val="1"/>
          <w:iCs w:val="1"/>
          <w:color w:val="auto"/>
        </w:rPr>
        <w:t>normaal, actief vermogensbeheer</w:t>
      </w:r>
      <w:r>
        <w:rPr>
          <w:rFonts w:ascii="Arial" w:cs="Arial" w:eastAsia="Arial" w:hAnsi="Arial"/>
          <w:sz w:val="16"/>
          <w:szCs w:val="16"/>
          <w:color w:val="auto"/>
        </w:rPr>
        <w:t>) or otherwise derives benefits from the ordinary shares that are taxable as benefits from miscellaneous activities (</w:t>
      </w:r>
      <w:r>
        <w:rPr>
          <w:rFonts w:ascii="Arial" w:cs="Arial" w:eastAsia="Arial" w:hAnsi="Arial"/>
          <w:sz w:val="16"/>
          <w:szCs w:val="16"/>
          <w:i w:val="1"/>
          <w:iCs w:val="1"/>
          <w:color w:val="auto"/>
        </w:rPr>
        <w:t>resultaat uit overige werkzaamheden</w:t>
      </w:r>
      <w:r>
        <w:rPr>
          <w:rFonts w:ascii="Arial" w:cs="Arial" w:eastAsia="Arial" w:hAnsi="Arial"/>
          <w:sz w:val="16"/>
          <w:szCs w:val="16"/>
          <w:color w:val="auto"/>
        </w:rPr>
        <w: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above-mentioned conditions (i) and (ii) do not apply to the Dutch Resident Individual, the Dutch Resident Individual’s net investment assets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rendementsgrondslag</w:t>
      </w:r>
      <w:r>
        <w:rPr>
          <w:rFonts w:ascii="Arial" w:cs="Arial" w:eastAsia="Arial" w:hAnsi="Arial"/>
          <w:sz w:val="16"/>
          <w:szCs w:val="16"/>
          <w:color w:val="auto"/>
        </w:rPr>
        <w:t>) for the year will be subject to an annual Dutch income tax on a deemed return (with a maximum of 5.53% in 2022) under the regime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 savings and investments (</w:t>
      </w:r>
      <w:r>
        <w:rPr>
          <w:rFonts w:ascii="Arial" w:cs="Arial" w:eastAsia="Arial" w:hAnsi="Arial"/>
          <w:sz w:val="16"/>
          <w:szCs w:val="16"/>
          <w:i w:val="1"/>
          <w:iCs w:val="1"/>
          <w:color w:val="auto"/>
        </w:rPr>
        <w:t>inkomen uit sparen en beleggen</w:t>
      </w:r>
      <w:r>
        <w:rPr>
          <w:rFonts w:ascii="Arial" w:cs="Arial" w:eastAsia="Arial" w:hAnsi="Arial"/>
          <w:sz w:val="16"/>
          <w:szCs w:val="16"/>
          <w:color w:val="auto"/>
        </w:rPr>
        <w:t>), insofar the Dutch Resident Individual’s net investment assets for the year exceed a statutory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threshold (</w:t>
      </w:r>
      <w:r>
        <w:rPr>
          <w:rFonts w:ascii="Arial" w:cs="Arial" w:eastAsia="Arial" w:hAnsi="Arial"/>
          <w:sz w:val="16"/>
          <w:szCs w:val="16"/>
          <w:i w:val="1"/>
          <w:iCs w:val="1"/>
          <w:color w:val="auto"/>
        </w:rPr>
        <w:t>heffingvrij vermogen</w:t>
      </w:r>
      <w:r>
        <w:rPr>
          <w:rFonts w:ascii="Arial" w:cs="Arial" w:eastAsia="Arial" w:hAnsi="Arial"/>
          <w:sz w:val="16"/>
          <w:szCs w:val="16"/>
          <w:color w:val="auto"/>
        </w:rPr>
        <w:t>). The net investment assets for the year are the fair market value of the investment assets less the allowable liabilities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1 of the relevant calendar year. Our ordinary shares are included as investment assets. For the net investment assets on January 1, 2022,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deemed return ranges from 1.82% up to 5.53%</w:t>
      </w:r>
    </w:p>
    <w:p>
      <w:pPr>
        <w:sectPr>
          <w:pgSz w:w="11900" w:h="16838" w:orient="portrait"/>
          <w:cols w:equalWidth="0" w:num="1">
            <w:col w:w="11220"/>
          </w:cols>
          <w:pgMar w:left="320" w:top="125" w:right="35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4" w:name="page105"/>
    <w:bookmarkEnd w:id="10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(depending on the aggregate amount of the net investment assets of the Dutch Resident Individual on January 1, 2022). The deemed return will be adjusted annually on the basis of historic market yields.</w:t>
      </w:r>
    </w:p>
    <w:p>
      <w:pPr>
        <w:spacing w:after="0" w:line="129"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The deemed return on the Dutch Resident Individual’s net investment assets for the year is taxed at a flat rate of 31% (rate for 2022). Actual income or capital, gains realized in respect of the ordinary shares are as such not subject to Dutch income tax.</w:t>
      </w:r>
    </w:p>
    <w:p>
      <w:pPr>
        <w:spacing w:after="0" w:line="115" w:lineRule="exact"/>
        <w:rPr>
          <w:sz w:val="20"/>
          <w:szCs w:val="20"/>
          <w:color w:val="auto"/>
        </w:rPr>
      </w:pPr>
    </w:p>
    <w:p>
      <w:pPr>
        <w:ind w:right="40" w:firstLine="445"/>
        <w:spacing w:after="0" w:line="254" w:lineRule="auto"/>
        <w:rPr>
          <w:sz w:val="20"/>
          <w:szCs w:val="20"/>
          <w:color w:val="auto"/>
        </w:rPr>
      </w:pPr>
      <w:r>
        <w:rPr>
          <w:rFonts w:ascii="Arial" w:cs="Arial" w:eastAsia="Arial" w:hAnsi="Arial"/>
          <w:sz w:val="16"/>
          <w:szCs w:val="16"/>
          <w:color w:val="auto"/>
        </w:rPr>
        <w:t>On 24 December 2021, the Dutch Supreme Court ruled that the Dutch income tax levy on savings and investments, in 2017 and 2018, violated the European Convention on Human Rights. The Dutch tax consequences of that ruling for the taxation on savings and investments for the years 2017 and further, including 2022, are not immediately clear. The new Dutch Government intends to start calculating the taxation on savings and investments on actual returns realized from savings and investments (instead of on a deemed return) starting in 2025. The Dutch Supreme Court ruling could make the Dutch Government move faster on the issue. Prospective investors should carefully consider the tax consequences of this Dutch Supreme Court ruling and consult their own tax adviser about their own tax situation.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Non-residents of the Netherlands</w:t>
      </w:r>
    </w:p>
    <w:p>
      <w:pPr>
        <w:spacing w:after="0" w:line="192" w:lineRule="exact"/>
        <w:rPr>
          <w:sz w:val="20"/>
          <w:szCs w:val="20"/>
          <w:color w:val="auto"/>
        </w:rPr>
      </w:pPr>
    </w:p>
    <w:p>
      <w:pPr>
        <w:jc w:val="both"/>
        <w:ind w:right="60" w:firstLine="445"/>
        <w:spacing w:after="0" w:line="266" w:lineRule="auto"/>
        <w:rPr>
          <w:sz w:val="20"/>
          <w:szCs w:val="20"/>
          <w:color w:val="auto"/>
        </w:rPr>
      </w:pPr>
      <w:r>
        <w:rPr>
          <w:rFonts w:ascii="Arial" w:cs="Arial" w:eastAsia="Arial" w:hAnsi="Arial"/>
          <w:sz w:val="16"/>
          <w:szCs w:val="16"/>
          <w:color w:val="auto"/>
        </w:rPr>
        <w:t>A holder of our ordinary shares that is neither a Dutch Resident Entity nor a Dutch Resident Individual will not be subject to Dutch (corporate) income tax in respect of income derived or deemed to be derived from our ordinary shares or in respect of capital gains realized on the disposal or deemed disposal of the ordinary shares, provided that:</w:t>
      </w:r>
    </w:p>
    <w:p>
      <w:pPr>
        <w:spacing w:after="0" w:line="117" w:lineRule="exact"/>
        <w:rPr>
          <w:sz w:val="20"/>
          <w:szCs w:val="20"/>
          <w:color w:val="auto"/>
        </w:rPr>
      </w:pPr>
    </w:p>
    <w:p>
      <w:pPr>
        <w:ind w:left="980" w:right="100" w:hanging="486"/>
        <w:spacing w:after="0" w:line="259" w:lineRule="auto"/>
        <w:tabs>
          <w:tab w:leader="none" w:pos="9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23" w:lineRule="exact"/>
        <w:rPr>
          <w:rFonts w:ascii="Arial" w:cs="Arial" w:eastAsia="Arial" w:hAnsi="Arial"/>
          <w:sz w:val="16"/>
          <w:szCs w:val="16"/>
          <w:color w:val="auto"/>
        </w:rPr>
      </w:pPr>
    </w:p>
    <w:p>
      <w:pPr>
        <w:jc w:val="both"/>
        <w:ind w:left="980" w:right="120" w:hanging="486"/>
        <w:spacing w:after="0" w:line="266" w:lineRule="auto"/>
        <w:tabs>
          <w:tab w:leader="none" w:pos="9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the event the holder is an individual, such holder does not carry out any activities in the Netherlands with respect to the ordinary shares that go beyond ordinary asset management and does not derive benefits from the ordinary shares that are taxable as benefits from miscellaneous activities in the Netherlands.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Gift and Inheritance Taxes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Residents of the Netherlands</w:t>
      </w:r>
    </w:p>
    <w:p>
      <w:pPr>
        <w:spacing w:after="0" w:line="192" w:lineRule="exact"/>
        <w:rPr>
          <w:sz w:val="20"/>
          <w:szCs w:val="20"/>
          <w:color w:val="auto"/>
        </w:rPr>
      </w:pPr>
    </w:p>
    <w:p>
      <w:pPr>
        <w:ind w:right="340" w:firstLine="445"/>
        <w:spacing w:after="0" w:line="286" w:lineRule="auto"/>
        <w:rPr>
          <w:sz w:val="20"/>
          <w:szCs w:val="20"/>
          <w:color w:val="auto"/>
        </w:rPr>
      </w:pPr>
      <w:r>
        <w:rPr>
          <w:rFonts w:ascii="Arial" w:cs="Arial" w:eastAsia="Arial" w:hAnsi="Arial"/>
          <w:sz w:val="16"/>
          <w:szCs w:val="16"/>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6"/>
          <w:szCs w:val="16"/>
          <w:i w:val="1"/>
          <w:iCs w:val="1"/>
          <w:color w:val="auto"/>
        </w:rPr>
        <w:t>’</w:t>
      </w:r>
      <w:r>
        <w:rPr>
          <w:rFonts w:ascii="Arial" w:cs="Arial" w:eastAsia="Arial" w:hAnsi="Arial"/>
          <w:sz w:val="16"/>
          <w:szCs w:val="16"/>
          <w:color w:val="auto"/>
        </w:rPr>
        <w:t>s death.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Non-residents of the Netherlands</w:t>
      </w:r>
    </w:p>
    <w:p>
      <w:pPr>
        <w:spacing w:after="0" w:line="17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No gift or inheritance taxes will arise in the Netherlands with respect to a transfer of our ordinary shares by way of gift by, or on the death of, a holder of ordinary shares who is neither resident nor deemed to be resident of the Netherlands, unless:</w:t>
      </w:r>
    </w:p>
    <w:p>
      <w:pPr>
        <w:spacing w:after="0" w:line="102" w:lineRule="exact"/>
        <w:rPr>
          <w:sz w:val="20"/>
          <w:szCs w:val="20"/>
          <w:color w:val="auto"/>
        </w:rPr>
      </w:pPr>
    </w:p>
    <w:p>
      <w:pPr>
        <w:ind w:left="980" w:right="240" w:hanging="486"/>
        <w:spacing w:after="0" w:line="286" w:lineRule="auto"/>
        <w:tabs>
          <w:tab w:leader="none" w:pos="9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01" w:lineRule="exact"/>
        <w:rPr>
          <w:rFonts w:ascii="Arial" w:cs="Arial" w:eastAsia="Arial" w:hAnsi="Arial"/>
          <w:sz w:val="16"/>
          <w:szCs w:val="16"/>
          <w:color w:val="auto"/>
        </w:rPr>
      </w:pPr>
    </w:p>
    <w:p>
      <w:pPr>
        <w:ind w:left="980" w:right="620" w:hanging="486"/>
        <w:spacing w:after="0" w:line="286" w:lineRule="auto"/>
        <w:tabs>
          <w:tab w:leader="none" w:pos="9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case of a gift of our ordinary shares made under a condition precedent, the holder of ordinary shares is resident or deemed to be resident of the Netherlands at the time the condition is fulfilled; or</w:t>
      </w:r>
    </w:p>
    <w:p>
      <w:pPr>
        <w:spacing w:after="0" w:line="101" w:lineRule="exact"/>
        <w:rPr>
          <w:rFonts w:ascii="Arial" w:cs="Arial" w:eastAsia="Arial" w:hAnsi="Arial"/>
          <w:sz w:val="16"/>
          <w:szCs w:val="16"/>
          <w:color w:val="auto"/>
        </w:rPr>
      </w:pPr>
    </w:p>
    <w:p>
      <w:pPr>
        <w:ind w:left="980" w:right="540" w:hanging="486"/>
        <w:spacing w:after="0" w:line="286" w:lineRule="auto"/>
        <w:tabs>
          <w:tab w:leader="none" w:pos="9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transfer is otherwise construed as a gift or inheritance made by, or on behalf of, a person who, at the time of the gift or death, is or is deemed to be resident of the Netherlands.</w:t>
      </w:r>
    </w:p>
    <w:p>
      <w:pPr>
        <w:spacing w:after="0" w:line="129" w:lineRule="exact"/>
        <w:rPr>
          <w:sz w:val="20"/>
          <w:szCs w:val="20"/>
          <w:color w:val="auto"/>
        </w:rPr>
      </w:pPr>
    </w:p>
    <w:p>
      <w:pPr>
        <w:ind w:right="220" w:firstLine="445"/>
        <w:spacing w:after="0" w:line="256" w:lineRule="auto"/>
        <w:rPr>
          <w:sz w:val="20"/>
          <w:szCs w:val="20"/>
          <w:color w:val="auto"/>
        </w:rPr>
      </w:pPr>
      <w:r>
        <w:rPr>
          <w:rFonts w:ascii="Arial" w:cs="Arial" w:eastAsia="Arial" w:hAnsi="Arial"/>
          <w:sz w:val="16"/>
          <w:szCs w:val="16"/>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Value Added Tax (VAT)</w:t>
      </w:r>
    </w:p>
    <w:p>
      <w:pPr>
        <w:spacing w:after="0" w:line="179" w:lineRule="exact"/>
        <w:rPr>
          <w:sz w:val="20"/>
          <w:szCs w:val="20"/>
          <w:color w:val="auto"/>
        </w:rPr>
      </w:pPr>
    </w:p>
    <w:p>
      <w:pPr>
        <w:ind w:right="180" w:firstLine="445"/>
        <w:spacing w:after="0" w:line="286" w:lineRule="auto"/>
        <w:rPr>
          <w:sz w:val="20"/>
          <w:szCs w:val="20"/>
          <w:color w:val="auto"/>
        </w:rPr>
      </w:pPr>
      <w:r>
        <w:rPr>
          <w:rFonts w:ascii="Arial" w:cs="Arial" w:eastAsia="Arial" w:hAnsi="Arial"/>
          <w:sz w:val="16"/>
          <w:szCs w:val="16"/>
          <w:color w:val="auto"/>
        </w:rPr>
        <w:t>No Dutch value added tax will be payable by a holder of our ordinary shares in respect of any payment in consideration for the holding or disposal of our ordinary shares.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Taxes and Duties</w:t>
      </w:r>
    </w:p>
    <w:p>
      <w:pPr>
        <w:spacing w:after="0" w:line="179"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No Dutch registration tax, transfer tax, stamp duty or any other similar documentary tax or duty will be payable by a holder of our ordinary shares in the Netherlands in respect of any payment in consideration for the holding or disposal of our ordinary shares.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F. Dividends and paying agents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G. Statement by experts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H. Documents on display</w:t>
      </w:r>
    </w:p>
    <w:p>
      <w:pPr>
        <w:spacing w:after="0" w:line="113"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6"/>
          <w:szCs w:val="16"/>
          <w:color w:val="auto"/>
        </w:rPr>
        <w:t xml:space="preserve">We are subject to the informational requirements of the Exchange Act. Accordingly, we are required to file reports and other information with the SEC, including Annual Reports and reports on Form 6-K. The SEC maintains an Internet website that contains reports and other information about issuers, like us, that file electronically with the SEC. The address of that website is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 Subsidiary information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11. QUANTITATIVE AND QUALITATIVE DISCLOSURES ABOUT MARKET RISK</w:t>
      </w:r>
    </w:p>
    <w:p>
      <w:pPr>
        <w:spacing w:after="0" w:line="181" w:lineRule="exact"/>
        <w:rPr>
          <w:sz w:val="20"/>
          <w:szCs w:val="20"/>
          <w:color w:val="auto"/>
        </w:rPr>
      </w:pPr>
    </w:p>
    <w:p>
      <w:pPr>
        <w:ind w:right="100" w:firstLine="445"/>
        <w:spacing w:after="0" w:line="286" w:lineRule="auto"/>
        <w:rPr>
          <w:sz w:val="20"/>
          <w:szCs w:val="20"/>
          <w:color w:val="auto"/>
        </w:rPr>
      </w:pPr>
      <w:r>
        <w:rPr>
          <w:rFonts w:ascii="Arial" w:cs="Arial" w:eastAsia="Arial" w:hAnsi="Arial"/>
          <w:sz w:val="16"/>
          <w:szCs w:val="16"/>
          <w:color w:val="auto"/>
        </w:rPr>
        <w:t>We are exposed to market risk (including currency risk, interest rate risk and price risk), credit risk and liquidity risk. Our management manages each risk as discussed below.</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 risk</w:t>
      </w:r>
    </w:p>
    <w:p>
      <w:pPr>
        <w:spacing w:after="0" w:line="113" w:lineRule="exact"/>
        <w:rPr>
          <w:sz w:val="20"/>
          <w:szCs w:val="20"/>
          <w:color w:val="auto"/>
        </w:rPr>
      </w:pPr>
    </w:p>
    <w:p>
      <w:pPr>
        <w:ind w:firstLine="445"/>
        <w:spacing w:after="0" w:line="253" w:lineRule="auto"/>
        <w:rPr>
          <w:sz w:val="20"/>
          <w:szCs w:val="20"/>
          <w:color w:val="auto"/>
        </w:rPr>
      </w:pPr>
      <w:r>
        <w:rPr>
          <w:rFonts w:ascii="Arial" w:cs="Arial" w:eastAsia="Arial" w:hAnsi="Arial"/>
          <w:sz w:val="16"/>
          <w:szCs w:val="16"/>
          <w:color w:val="auto"/>
        </w:rPr>
        <w:t>We operate internationally and are exposed to currency risk arising from various currency exposure, primarily with respect to the British pound and the US Dollar as the Group has agreements with Contract Research Organizations (“CRO’s”) which are based in Great Britain, and consulting agreements with parties that are based in the United States of America and Switzerland. From these transactions, currency risk arises. We seek to minimize our exchange rate risk in our cash positions by taking into considerations market conditions and keeping currencies in which we expect to incur the majority of our near future expenses and make related payments from those positions. As of December 31, 2021, the amount of trade payables in foreign currency was limited. Foreign currency trade payables are short term in nature (generally 30 days). The Group keeps an amount of €173.6 million in USD on its bank accounts for the purpose of paying its suppliers that invoices to the Group in USD, resulting in the increase of Group’s exposure to currency risk.</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Price risk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 prices for the provision of preclinical and clinical materials and services, as well as external contracted research may vary over time.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commercial prices of any of our products or product candidates are currently uncertain and we are not exposed to commodity price risk.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risk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w:t>
      </w:r>
    </w:p>
    <w:p>
      <w:pPr>
        <w:spacing w:after="0" w:line="194" w:lineRule="exact"/>
        <w:rPr>
          <w:sz w:val="20"/>
          <w:szCs w:val="20"/>
          <w:color w:val="auto"/>
        </w:rPr>
      </w:pPr>
    </w:p>
    <w:p>
      <w:pPr>
        <w:ind w:right="320" w:firstLine="445"/>
        <w:spacing w:after="0" w:line="286" w:lineRule="auto"/>
        <w:rPr>
          <w:sz w:val="20"/>
          <w:szCs w:val="20"/>
          <w:color w:val="auto"/>
        </w:rPr>
      </w:pPr>
      <w:r>
        <w:rPr>
          <w:rFonts w:ascii="Arial" w:cs="Arial" w:eastAsia="Arial" w:hAnsi="Arial"/>
          <w:sz w:val="16"/>
          <w:szCs w:val="16"/>
          <w:color w:val="auto"/>
        </w:rPr>
        <w:t>The Group has €209.4 million of cash on the balance sheet at December 31, 2021. The Group is implementing its treasury strategy to monitor the impact of changes in interest rates.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13" w:lineRule="exact"/>
        <w:rPr>
          <w:sz w:val="20"/>
          <w:szCs w:val="20"/>
          <w:color w:val="auto"/>
        </w:rPr>
      </w:pPr>
    </w:p>
    <w:p>
      <w:pPr>
        <w:ind w:right="20" w:firstLine="445"/>
        <w:spacing w:after="0" w:line="266"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is the carrying amounts of bank balances.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w:t>
      </w:r>
    </w:p>
    <w:p>
      <w:pPr>
        <w:spacing w:after="0" w:line="194" w:lineRule="exact"/>
        <w:rPr>
          <w:sz w:val="20"/>
          <w:szCs w:val="20"/>
          <w:color w:val="auto"/>
        </w:rPr>
      </w:pPr>
    </w:p>
    <w:p>
      <w:pPr>
        <w:ind w:right="240" w:firstLine="445"/>
        <w:spacing w:after="0" w:line="259" w:lineRule="auto"/>
        <w:rPr>
          <w:sz w:val="20"/>
          <w:szCs w:val="20"/>
          <w:color w:val="auto"/>
        </w:rPr>
      </w:pPr>
      <w:r>
        <w:rPr>
          <w:rFonts w:ascii="Arial" w:cs="Arial" w:eastAsia="Arial" w:hAnsi="Arial"/>
          <w:sz w:val="16"/>
          <w:szCs w:val="16"/>
          <w:color w:val="auto"/>
        </w:rPr>
        <w:t>We have no revenues to date and have relied on the financing from shareholders in order to ensure sufficient liquidity. We ensure the availability of cash for operational activities through appropriate budget and liquidity planning. Additionally, we maintain a level of cash, which is managed centrally, to finance our operational activities. As of December 31, 2021, we had cash and cash equivalents of €209.4 million. We believe we have sufficient capital to continue operations into the first quarter of 2024.</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Debt securities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Warrants and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Other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American Depositary Shares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Defaults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to report.</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Arrears and delinquencies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to report.</w:t>
      </w:r>
    </w:p>
    <w:p>
      <w:pPr>
        <w:spacing w:after="0" w:line="329" w:lineRule="exact"/>
        <w:rPr>
          <w:sz w:val="20"/>
          <w:szCs w:val="20"/>
          <w:color w:val="auto"/>
        </w:rPr>
      </w:pPr>
    </w:p>
    <w:p>
      <w:pPr>
        <w:ind w:left="460" w:right="1540" w:firstLine="1112"/>
        <w:spacing w:after="0" w:line="457" w:lineRule="auto"/>
        <w:rPr>
          <w:sz w:val="20"/>
          <w:szCs w:val="20"/>
          <w:color w:val="auto"/>
        </w:rPr>
      </w:pPr>
      <w:r>
        <w:rPr>
          <w:rFonts w:ascii="Arial" w:cs="Arial" w:eastAsia="Arial" w:hAnsi="Arial"/>
          <w:sz w:val="16"/>
          <w:szCs w:val="16"/>
          <w:b w:val="1"/>
          <w:bCs w:val="1"/>
          <w:color w:val="auto"/>
        </w:rPr>
        <w:t>ITEM 14. MATERIAL MODIFICATIONS TO THE RIGHTS OF SECURITY HOLDERS AND USE OF PROCEEDS A Material modifications to instruments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Material modifications to rights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Withdrawal or substitution of assets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Change in trustees or paying agents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Use of Proceeds</w:t>
      </w:r>
    </w:p>
    <w:p>
      <w:pPr>
        <w:spacing w:after="0" w:line="113" w:lineRule="exact"/>
        <w:rPr>
          <w:sz w:val="20"/>
          <w:szCs w:val="20"/>
          <w:color w:val="auto"/>
        </w:rPr>
      </w:pPr>
    </w:p>
    <w:p>
      <w:pPr>
        <w:ind w:right="320" w:firstLine="445"/>
        <w:spacing w:after="0" w:line="259" w:lineRule="auto"/>
        <w:rPr>
          <w:sz w:val="20"/>
          <w:szCs w:val="20"/>
          <w:color w:val="auto"/>
        </w:rPr>
      </w:pPr>
      <w:r>
        <w:rPr>
          <w:rFonts w:ascii="Arial" w:cs="Arial" w:eastAsia="Arial" w:hAnsi="Arial"/>
          <w:sz w:val="16"/>
          <w:szCs w:val="16"/>
          <w:color w:val="auto"/>
        </w:rPr>
        <w:t>On February 4, 2021, our registration statement on Form F-1 (File No. 333-252157), as amended, was declared effective by the SEC for our initial public offering of our ordinary shares, pursuant to which we offered and sold a total of 9,511,075 of our ordinary shares, par value €0.12 per share, at a public offering price of $20.00 per share. Morgan Stanley, BofA Securities and SVB Leerink acted as joint book-running managers for the offering. The offering began on February 4, 2021 and was completed on February 9, 2021.</w:t>
      </w:r>
    </w:p>
    <w:p>
      <w:pPr>
        <w:spacing w:after="0" w:line="178" w:lineRule="exact"/>
        <w:rPr>
          <w:sz w:val="20"/>
          <w:szCs w:val="20"/>
          <w:color w:val="auto"/>
        </w:rPr>
      </w:pPr>
    </w:p>
    <w:p>
      <w:pPr>
        <w:ind w:right="120" w:firstLine="445"/>
        <w:spacing w:after="0" w:line="286" w:lineRule="auto"/>
        <w:rPr>
          <w:sz w:val="20"/>
          <w:szCs w:val="20"/>
          <w:color w:val="auto"/>
        </w:rPr>
      </w:pPr>
      <w:r>
        <w:rPr>
          <w:rFonts w:ascii="Arial" w:cs="Arial" w:eastAsia="Arial" w:hAnsi="Arial"/>
          <w:sz w:val="16"/>
          <w:szCs w:val="16"/>
          <w:color w:val="auto"/>
        </w:rPr>
        <w:t>There has been no significant change in the planned use of proceeds from our initial public offering as described in our prospectus dated February 4, 2021 and filed with the SEC on February 8, 2021.</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15. CONTROLS AND PROCEDURES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Disclosure Controls and Procedures</w:t>
      </w:r>
    </w:p>
    <w:p>
      <w:pPr>
        <w:spacing w:after="0" w:line="113" w:lineRule="exact"/>
        <w:rPr>
          <w:sz w:val="20"/>
          <w:szCs w:val="20"/>
          <w:color w:val="auto"/>
        </w:rPr>
      </w:pPr>
    </w:p>
    <w:p>
      <w:pPr>
        <w:ind w:firstLine="445"/>
        <w:spacing w:after="0" w:line="256" w:lineRule="auto"/>
        <w:rPr>
          <w:sz w:val="20"/>
          <w:szCs w:val="20"/>
          <w:color w:val="auto"/>
        </w:rPr>
      </w:pPr>
      <w:r>
        <w:rPr>
          <w:rFonts w:ascii="Arial" w:cs="Arial" w:eastAsia="Arial" w:hAnsi="Arial"/>
          <w:sz w:val="16"/>
          <w:szCs w:val="16"/>
          <w:color w:val="auto"/>
        </w:rPr>
        <w:t>As of December 31, 2021, under the supervision and with the participation of our management, including our Chief Executive Officer and Principal Accounting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80" w:lineRule="exact"/>
        <w:rPr>
          <w:sz w:val="20"/>
          <w:szCs w:val="20"/>
          <w:color w:val="auto"/>
        </w:rPr>
      </w:pPr>
    </w:p>
    <w:p>
      <w:pPr>
        <w:ind w:right="220" w:firstLine="445"/>
        <w:spacing w:after="0" w:line="286" w:lineRule="auto"/>
        <w:rPr>
          <w:sz w:val="20"/>
          <w:szCs w:val="20"/>
          <w:color w:val="auto"/>
        </w:rPr>
      </w:pPr>
      <w:r>
        <w:rPr>
          <w:rFonts w:ascii="Arial" w:cs="Arial" w:eastAsia="Arial" w:hAnsi="Arial"/>
          <w:sz w:val="16"/>
          <w:szCs w:val="16"/>
          <w:color w:val="auto"/>
        </w:rPr>
        <w:t>Based on such evaluation, our Chief Executive Officer and Principal Accounting Officer concluded that our disclosure controls and procedures were not effective due to material weaknesses in the design of our internal control over financial reporting.</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113" w:lineRule="exact"/>
        <w:rPr>
          <w:sz w:val="20"/>
          <w:szCs w:val="20"/>
          <w:color w:val="auto"/>
        </w:rPr>
      </w:pPr>
    </w:p>
    <w:p>
      <w:pPr>
        <w:ind w:right="60" w:firstLine="445"/>
        <w:spacing w:after="0" w:line="259" w:lineRule="auto"/>
        <w:rPr>
          <w:sz w:val="20"/>
          <w:szCs w:val="20"/>
          <w:color w:val="auto"/>
        </w:rPr>
      </w:pPr>
      <w:r>
        <w:rPr>
          <w:rFonts w:ascii="Arial" w:cs="Arial" w:eastAsia="Arial" w:hAnsi="Arial"/>
          <w:sz w:val="16"/>
          <w:szCs w:val="16"/>
          <w:color w:val="auto"/>
        </w:rPr>
        <w:t>We are relying on certain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We have taken advantage of these reduced reporting requirements in this Annual Report.</w:t>
      </w:r>
    </w:p>
    <w:p>
      <w:pPr>
        <w:spacing w:after="0" w:line="178" w:lineRule="exact"/>
        <w:rPr>
          <w:sz w:val="20"/>
          <w:szCs w:val="20"/>
          <w:color w:val="auto"/>
        </w:rPr>
      </w:pPr>
    </w:p>
    <w:p>
      <w:pPr>
        <w:ind w:right="300" w:firstLine="445"/>
        <w:spacing w:after="0" w:line="286" w:lineRule="auto"/>
        <w:rPr>
          <w:sz w:val="20"/>
          <w:szCs w:val="20"/>
          <w:color w:val="auto"/>
        </w:rPr>
      </w:pPr>
      <w:r>
        <w:rPr>
          <w:rFonts w:ascii="Arial" w:cs="Arial" w:eastAsia="Arial" w:hAnsi="Arial"/>
          <w:sz w:val="16"/>
          <w:szCs w:val="16"/>
          <w:color w:val="auto"/>
        </w:rPr>
        <w:t>In connection with the preparation of our consolidated financial statements as of and for the year ended December 31, 2021, we identified material weaknesses in the design of our internal control over financial reporting across the principles for each component of the</w:t>
      </w:r>
    </w:p>
    <w:p>
      <w:pPr>
        <w:sectPr>
          <w:pgSz w:w="11900" w:h="16838" w:orient="portrait"/>
          <w:cols w:equalWidth="0" w:num="1">
            <w:col w:w="11220"/>
          </w:cols>
          <w:pgMar w:left="320" w:top="125" w:right="35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7" w:name="page108"/>
    <w:bookmarkEnd w:id="10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48" w:lineRule="exact"/>
        <w:rPr>
          <w:sz w:val="20"/>
          <w:szCs w:val="20"/>
          <w:color w:val="auto"/>
        </w:rPr>
      </w:pPr>
    </w:p>
    <w:p>
      <w:pPr>
        <w:ind w:left="860" w:right="100" w:hanging="420"/>
        <w:spacing w:after="0" w:line="266" w:lineRule="auto"/>
        <w:tabs>
          <w:tab w:leader="none" w:pos="8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63" w:lineRule="exact"/>
        <w:rPr>
          <w:rFonts w:ascii="Arial" w:cs="Arial" w:eastAsia="Arial" w:hAnsi="Arial"/>
          <w:sz w:val="16"/>
          <w:szCs w:val="16"/>
          <w:color w:val="auto"/>
        </w:rPr>
      </w:pPr>
    </w:p>
    <w:p>
      <w:pPr>
        <w:ind w:left="860" w:right="120" w:hanging="420"/>
        <w:spacing w:after="0" w:line="256" w:lineRule="auto"/>
        <w:tabs>
          <w:tab w:leader="none" w:pos="8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80" w:lineRule="exact"/>
        <w:rPr>
          <w:sz w:val="20"/>
          <w:szCs w:val="20"/>
          <w:color w:val="auto"/>
        </w:rPr>
      </w:pPr>
    </w:p>
    <w:p>
      <w:pPr>
        <w:ind w:right="120" w:firstLine="445"/>
        <w:spacing w:after="0" w:line="266" w:lineRule="auto"/>
        <w:rPr>
          <w:sz w:val="20"/>
          <w:szCs w:val="20"/>
          <w:color w:val="auto"/>
        </w:rPr>
      </w:pPr>
      <w:r>
        <w:rPr>
          <w:rFonts w:ascii="Arial" w:cs="Arial" w:eastAsia="Arial" w:hAnsi="Arial"/>
          <w:sz w:val="16"/>
          <w:szCs w:val="16"/>
          <w:color w:val="auto"/>
        </w:rPr>
        <w:t>Although several oversight and control activities are performed, not all activities are formalized and documented properly throughout the year. In addition, where control activities are dependent on information used in a control, we have not always performed or documented controls to determine the completeness and accuracy of such information. We also did not always have controls in place to monitor control activities and identify control deficiencies.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remediate the identified material weaknesses we have taken, and continue to take, various actions including, among other things:</w:t>
      </w:r>
    </w:p>
    <w:p>
      <w:pPr>
        <w:spacing w:after="0" w:line="221" w:lineRule="exact"/>
        <w:rPr>
          <w:sz w:val="20"/>
          <w:szCs w:val="20"/>
          <w:color w:val="auto"/>
        </w:rPr>
      </w:pPr>
    </w:p>
    <w:p>
      <w:pPr>
        <w:ind w:left="800" w:hanging="360"/>
        <w:spacing w:after="0"/>
        <w:tabs>
          <w:tab w:leader="none" w:pos="8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hiring additional qualified accounting and financial reporting personnel;</w:t>
      </w:r>
    </w:p>
    <w:p>
      <w:pPr>
        <w:spacing w:after="0" w:line="45" w:lineRule="exact"/>
        <w:rPr>
          <w:rFonts w:ascii="Arial" w:cs="Arial" w:eastAsia="Arial" w:hAnsi="Arial"/>
          <w:sz w:val="16"/>
          <w:szCs w:val="16"/>
          <w:color w:val="auto"/>
        </w:rPr>
      </w:pPr>
    </w:p>
    <w:p>
      <w:pPr>
        <w:ind w:left="800" w:hanging="360"/>
        <w:spacing w:after="0"/>
        <w:tabs>
          <w:tab w:leader="none" w:pos="8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further developing and documenting our risk assessment matrix and scoping, to identify key processes and controls;</w:t>
      </w:r>
    </w:p>
    <w:p>
      <w:pPr>
        <w:spacing w:after="0" w:line="45" w:lineRule="exact"/>
        <w:rPr>
          <w:rFonts w:ascii="Arial" w:cs="Arial" w:eastAsia="Arial" w:hAnsi="Arial"/>
          <w:sz w:val="16"/>
          <w:szCs w:val="16"/>
          <w:color w:val="auto"/>
        </w:rPr>
      </w:pPr>
    </w:p>
    <w:p>
      <w:pPr>
        <w:ind w:left="800" w:right="520" w:hanging="360"/>
        <w:spacing w:after="0" w:line="256" w:lineRule="auto"/>
        <w:tabs>
          <w:tab w:leader="none" w:pos="8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further developing and implementing our formal policies, processes, and internal controls, relating to our key processes, including financial reporting; and</w:t>
      </w:r>
    </w:p>
    <w:p>
      <w:pPr>
        <w:spacing w:after="0" w:line="1" w:lineRule="exact"/>
        <w:rPr>
          <w:rFonts w:ascii="Arial" w:cs="Arial" w:eastAsia="Arial" w:hAnsi="Arial"/>
          <w:sz w:val="16"/>
          <w:szCs w:val="16"/>
          <w:color w:val="auto"/>
        </w:rPr>
      </w:pPr>
    </w:p>
    <w:p>
      <w:pPr>
        <w:ind w:left="800" w:hanging="360"/>
        <w:spacing w:after="0"/>
        <w:tabs>
          <w:tab w:leader="none" w:pos="8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conducting an assessment of accounting systems, and potential selection of a new accounting system in the future</w:t>
      </w:r>
    </w:p>
    <w:p>
      <w:pPr>
        <w:spacing w:after="0" w:line="138" w:lineRule="exact"/>
        <w:rPr>
          <w:sz w:val="20"/>
          <w:szCs w:val="20"/>
          <w:color w:val="auto"/>
        </w:rPr>
      </w:pPr>
    </w:p>
    <w:p>
      <w:pPr>
        <w:ind w:right="60" w:firstLine="364"/>
        <w:spacing w:after="0" w:line="259" w:lineRule="auto"/>
        <w:rPr>
          <w:sz w:val="20"/>
          <w:szCs w:val="20"/>
          <w:color w:val="auto"/>
        </w:rPr>
      </w:pPr>
      <w:r>
        <w:rPr>
          <w:rFonts w:ascii="Arial" w:cs="Arial" w:eastAsia="Arial" w:hAnsi="Arial"/>
          <w:sz w:val="16"/>
          <w:szCs w:val="16"/>
          <w:color w:val="auto"/>
        </w:rPr>
        <w:t>As we continue with the remediation of our material weaknesses, we may determine that additional or other measures may be necessary to address and remediate the material weaknesses, depending on the circumstances and the Company needs.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weaknesses will not be discovered in the future.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Management’s Annual Report on Internal Control over Financial Reporting</w:t>
      </w:r>
    </w:p>
    <w:p>
      <w:pPr>
        <w:spacing w:after="0" w:line="113" w:lineRule="exact"/>
        <w:rPr>
          <w:sz w:val="20"/>
          <w:szCs w:val="20"/>
          <w:color w:val="auto"/>
        </w:rPr>
      </w:pPr>
    </w:p>
    <w:p>
      <w:pPr>
        <w:ind w:right="20" w:firstLine="364"/>
        <w:spacing w:after="0" w:line="25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Head of Finance and Principal Accounting Officer, we conducted an evaluation of the effectiveness of our internal control over financial reporting based upon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by the Committee of Sponsoring Organizations of the Treadway Commission. Based on that evaluation, due to the material weaknesses described above, our management concluded that our internal control over financial reporting was ineffective as of December 31, 2021.</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Attestation Report of the Registered Public Accounting Firm</w:t>
      </w:r>
    </w:p>
    <w:p>
      <w:pPr>
        <w:spacing w:after="0" w:line="113"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color w:val="auto"/>
        </w:rPr>
        <w:t>This Annual Report does not include an attestation report of our registered public accounting firm due to a transition period established by rules of the SEC for emerging growth companies.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Changes in Internal Control over Financial Reporting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changes in the Company’s internal controls over financial reporting during the year of 2021 as described above.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 RESERVED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has determined that Ms. Monges, and Mr. Schikan qualify as “audit committee financial experts,” as such term is defined in the rules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16B. CODE OF ETHICS</w:t>
      </w:r>
    </w:p>
    <w:p>
      <w:pPr>
        <w:spacing w:after="0" w:line="221"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We have adopted a code of ethics applicable to the board of directors and all employees. We have posted a copy of our code of business conduct and ethics on our website at: https://ir.pharvaris.com/corporate-governance/governance-documents. The information on our website is not incorporated by reference into this Annual Report, and you should not consider information contained on our website to be a part of this Annual Report.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Audit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Audit fees in 2021 and 2020 amounted to €458,500 and €614,000, respectively, and relate to audit services provided by our principal accountants in</w:t>
      </w:r>
    </w:p>
    <w:p>
      <w:pPr>
        <w:spacing w:after="0" w:line="21"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auto"/>
        </w:rPr>
        <w:t>2021 and 2020, respectively, PricewaterhouseCoopers Accountants N.V. in connection with our annual audit, quarterly review, review of registration statements and comfort letters for the Company.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Audit-Related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Tax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All Other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Audit Committee’s Pre-Approval Policies and Procedures</w:t>
      </w:r>
    </w:p>
    <w:p>
      <w:pPr>
        <w:spacing w:after="0" w:line="113"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The Audit Committee is responsible for the appointment, replacement, compensation, evaluation and oversight of the work of the independent auditors. As part of this responsibility, the Audit Committee pre-approves all audit and non-audit services performed by the independent auditors in order to assure that they do not impair the auditor’s independence from the Company in accordance with the Audit Committee’s pre-approval policy.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F. Audit Work Performed by Other Than Principal Accountant if Greater than 50%</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ITEM 16G. CORPORATE GOVERNANCE</w:t>
      </w:r>
    </w:p>
    <w:p>
      <w:pPr>
        <w:spacing w:after="0" w:line="221"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For a description of the significant ways in which our corporate governance practices differ from those required for U.S. companies listed on Nasdaq, see “ITEM 6. DIRECTORS, SENIOR MANAGEMENT AND EMPLOYEES—C. Board Practices—Corporate Governance Practices.”</w:t>
      </w: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ITEM 16H. MINE SAFETY DISCLOSURE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ITEM 16I. DISCLOSURE REGARDING FOREIGN JURISDICTIONS THAT PREVENT INSPECTIONS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17.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responded to Item 18 in lieu of this item.</w:t>
      </w:r>
    </w:p>
    <w:p>
      <w:pPr>
        <w:spacing w:after="0" w:line="329"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ITEM 18.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Statements are filed as part of this Annual Report, see pages F-1 to F-26 to this Annual Report.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19. EXHIBITS</w:t>
      </w:r>
    </w:p>
    <w:p>
      <w:pPr>
        <w:spacing w:after="0" w:line="221" w:lineRule="exact"/>
        <w:rPr>
          <w:sz w:val="20"/>
          <w:szCs w:val="20"/>
          <w:color w:val="auto"/>
        </w:rPr>
      </w:pPr>
    </w:p>
    <w:p>
      <w:pPr>
        <w:ind w:left="60"/>
        <w:spacing w:after="0"/>
        <w:tabs>
          <w:tab w:leader="none" w:pos="568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20955</wp:posOffset>
            </wp:positionV>
            <wp:extent cx="64719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134" w:lineRule="exact"/>
        <w:rPr>
          <w:sz w:val="20"/>
          <w:szCs w:val="20"/>
          <w:color w:val="auto"/>
        </w:rPr>
      </w:pPr>
    </w:p>
    <w:p>
      <w:pPr>
        <w:ind w:left="360"/>
        <w:spacing w:after="0"/>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1.1</w:t>
      </w:r>
      <w:r>
        <w:rPr>
          <w:sz w:val="20"/>
          <w:szCs w:val="20"/>
          <w:color w:val="auto"/>
        </w:rPr>
        <w:tab/>
      </w:r>
      <w:hyperlink r:id="rId146">
        <w:r>
          <w:rPr>
            <w:rFonts w:ascii="Arial" w:cs="Arial" w:eastAsia="Arial" w:hAnsi="Arial"/>
            <w:sz w:val="16"/>
            <w:szCs w:val="16"/>
            <w:u w:val="single" w:color="auto"/>
            <w:color w:val="0000EE"/>
          </w:rPr>
          <w:t>Articles of Association of Pharvaris N.V. (incorporated herein by reference to Exhibit 3.1 to the Company’s Registration Statement on Form S-</w:t>
        </w:r>
      </w:hyperlink>
    </w:p>
    <w:p>
      <w:pPr>
        <w:spacing w:after="0" w:line="21" w:lineRule="exact"/>
        <w:rPr>
          <w:sz w:val="20"/>
          <w:szCs w:val="20"/>
          <w:color w:val="auto"/>
        </w:rPr>
      </w:pPr>
    </w:p>
    <w:p>
      <w:pPr>
        <w:ind w:left="1040"/>
        <w:spacing w:after="0"/>
        <w:rPr>
          <w:rFonts w:ascii="Arial" w:cs="Arial" w:eastAsia="Arial" w:hAnsi="Arial"/>
          <w:sz w:val="16"/>
          <w:szCs w:val="16"/>
          <w:u w:val="single" w:color="auto"/>
          <w:color w:val="0000EE"/>
        </w:rPr>
      </w:pPr>
      <w:hyperlink r:id="rId146">
        <w:r>
          <w:rPr>
            <w:rFonts w:ascii="Arial" w:cs="Arial" w:eastAsia="Arial" w:hAnsi="Arial"/>
            <w:sz w:val="16"/>
            <w:szCs w:val="16"/>
            <w:u w:val="single" w:color="auto"/>
            <w:color w:val="0000EE"/>
          </w:rPr>
          <w:t>8 (File No. 333- 252897) filed with the SEC on February 09, 2021).</w:t>
        </w:r>
      </w:hyperlink>
    </w:p>
    <w:p>
      <w:pPr>
        <w:spacing w:after="0" w:line="111" w:lineRule="exact"/>
        <w:rPr>
          <w:sz w:val="20"/>
          <w:szCs w:val="20"/>
          <w:color w:val="auto"/>
        </w:rPr>
      </w:pPr>
    </w:p>
    <w:p>
      <w:pPr>
        <w:ind w:left="320"/>
        <w:spacing w:after="0"/>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2.1*</w:t>
      </w:r>
      <w:r>
        <w:rPr>
          <w:sz w:val="20"/>
          <w:szCs w:val="20"/>
          <w:color w:val="auto"/>
        </w:rPr>
        <w:tab/>
      </w:r>
      <w:hyperlink w:anchor="page138">
        <w:r>
          <w:rPr>
            <w:rFonts w:ascii="Arial" w:cs="Arial" w:eastAsia="Arial" w:hAnsi="Arial"/>
            <w:sz w:val="16"/>
            <w:szCs w:val="16"/>
            <w:u w:val="single" w:color="auto"/>
            <w:color w:val="0000EE"/>
          </w:rPr>
          <w:t>Description of Ordinary Shares of the Registrant</w:t>
        </w:r>
      </w:hyperlink>
    </w:p>
    <w:p>
      <w:pPr>
        <w:spacing w:after="0" w:line="140" w:lineRule="exact"/>
        <w:rPr>
          <w:sz w:val="20"/>
          <w:szCs w:val="20"/>
          <w:color w:val="auto"/>
        </w:rPr>
      </w:pPr>
    </w:p>
    <w:p>
      <w:pPr>
        <w:ind w:left="1040" w:right="220" w:hanging="685"/>
        <w:spacing w:after="0" w:line="28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4.1</w:t>
      </w:r>
      <w:r>
        <w:rPr>
          <w:sz w:val="20"/>
          <w:szCs w:val="20"/>
          <w:color w:val="auto"/>
        </w:rPr>
        <w:tab/>
      </w:r>
      <w:hyperlink r:id="rId147">
        <w:r>
          <w:rPr>
            <w:rFonts w:ascii="Arial" w:cs="Arial" w:eastAsia="Arial" w:hAnsi="Arial"/>
            <w:sz w:val="16"/>
            <w:szCs w:val="16"/>
            <w:u w:val="single" w:color="auto"/>
            <w:color w:val="0000EE"/>
          </w:rPr>
          <w:t>Form of Indemnification Agreement (incorporated herein by reference to Exhibit 10.1 to the Company’s Registration Statement on Form F-1</w:t>
        </w:r>
      </w:hyperlink>
      <w:r>
        <w:rPr>
          <w:rFonts w:ascii="Arial" w:cs="Arial" w:eastAsia="Arial" w:hAnsi="Arial"/>
          <w:sz w:val="16"/>
          <w:szCs w:val="16"/>
          <w:u w:val="single" w:color="auto"/>
          <w:color w:val="0000EE"/>
        </w:rPr>
        <w:t xml:space="preserve"> </w:t>
      </w:r>
      <w:hyperlink r:id="rId147">
        <w:r>
          <w:rPr>
            <w:rFonts w:ascii="Arial" w:cs="Arial" w:eastAsia="Arial" w:hAnsi="Arial"/>
            <w:sz w:val="16"/>
            <w:szCs w:val="16"/>
            <w:u w:val="single" w:color="auto"/>
            <w:color w:val="0000EE"/>
          </w:rPr>
          <w:t>(File No. 333-252157) filed with the SEC on January 15, 2021).</w:t>
        </w:r>
      </w:hyperlink>
    </w:p>
    <w:p>
      <w:pPr>
        <w:spacing w:after="0" w:line="61" w:lineRule="exact"/>
        <w:rPr>
          <w:sz w:val="20"/>
          <w:szCs w:val="20"/>
          <w:color w:val="auto"/>
        </w:rPr>
      </w:pPr>
    </w:p>
    <w:p>
      <w:pPr>
        <w:ind w:left="1040" w:right="60" w:hanging="685"/>
        <w:spacing w:after="0" w:line="26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4.2</w:t>
      </w:r>
      <w:r>
        <w:rPr>
          <w:sz w:val="20"/>
          <w:szCs w:val="20"/>
          <w:color w:val="auto"/>
        </w:rPr>
        <w:tab/>
      </w:r>
      <w:hyperlink r:id="rId148">
        <w:r>
          <w:rPr>
            <w:rFonts w:ascii="Arial" w:cs="Arial" w:eastAsia="Arial" w:hAnsi="Arial"/>
            <w:sz w:val="16"/>
            <w:szCs w:val="16"/>
            <w:u w:val="single" w:color="auto"/>
            <w:color w:val="0000EE"/>
          </w:rPr>
          <w:t>Share Subscription Agreement, dated July 26, 2019, between Pharvaris B.V. and certain of its shareholders (incorporated herein by reference</w:t>
        </w:r>
      </w:hyperlink>
      <w:r>
        <w:rPr>
          <w:rFonts w:ascii="Arial" w:cs="Arial" w:eastAsia="Arial" w:hAnsi="Arial"/>
          <w:sz w:val="16"/>
          <w:szCs w:val="16"/>
          <w:u w:val="single" w:color="auto"/>
          <w:color w:val="0000EE"/>
        </w:rPr>
        <w:t xml:space="preserve"> </w:t>
      </w:r>
      <w:hyperlink r:id="rId148">
        <w:r>
          <w:rPr>
            <w:rFonts w:ascii="Arial" w:cs="Arial" w:eastAsia="Arial" w:hAnsi="Arial"/>
            <w:sz w:val="16"/>
            <w:szCs w:val="16"/>
            <w:u w:val="single" w:color="auto"/>
            <w:color w:val="0000EE"/>
          </w:rPr>
          <w:t>to Exhibit 10.2 to the Company’s Registration Statement on Form F-1 (File No. 333-252157), as amended, initially filed with the SEC on</w:t>
        </w:r>
      </w:hyperlink>
      <w:r>
        <w:rPr>
          <w:rFonts w:ascii="Arial" w:cs="Arial" w:eastAsia="Arial" w:hAnsi="Arial"/>
          <w:sz w:val="16"/>
          <w:szCs w:val="16"/>
          <w:u w:val="single" w:color="auto"/>
          <w:color w:val="0000EE"/>
        </w:rPr>
        <w:t xml:space="preserve"> </w:t>
      </w:r>
      <w:hyperlink r:id="rId148">
        <w:r>
          <w:rPr>
            <w:rFonts w:ascii="Arial" w:cs="Arial" w:eastAsia="Arial" w:hAnsi="Arial"/>
            <w:sz w:val="16"/>
            <w:szCs w:val="16"/>
            <w:u w:val="single" w:color="auto"/>
            <w:color w:val="0000EE"/>
          </w:rPr>
          <w:t>January 15, 2021).</w:t>
        </w:r>
      </w:hyperlink>
    </w:p>
    <w:p>
      <w:pPr>
        <w:spacing w:after="0" w:line="77" w:lineRule="exact"/>
        <w:rPr>
          <w:rFonts w:ascii="Arial" w:cs="Arial" w:eastAsia="Arial" w:hAnsi="Arial"/>
          <w:sz w:val="16"/>
          <w:szCs w:val="16"/>
          <w:u w:val="single" w:color="auto"/>
          <w:color w:val="0000EE"/>
        </w:rPr>
      </w:pPr>
    </w:p>
    <w:p>
      <w:pPr>
        <w:ind w:left="1040" w:right="60" w:hanging="685"/>
        <w:spacing w:after="0" w:line="26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4.3</w:t>
      </w:r>
      <w:r>
        <w:rPr>
          <w:sz w:val="20"/>
          <w:szCs w:val="20"/>
          <w:color w:val="auto"/>
        </w:rPr>
        <w:tab/>
      </w:r>
      <w:hyperlink r:id="rId149">
        <w:r>
          <w:rPr>
            <w:rFonts w:ascii="Arial" w:cs="Arial" w:eastAsia="Arial" w:hAnsi="Arial"/>
            <w:sz w:val="16"/>
            <w:szCs w:val="16"/>
            <w:u w:val="single" w:color="auto"/>
            <w:color w:val="0000EE"/>
          </w:rPr>
          <w:t>Amendment Agreement, dated July 29, 2020, between Pharvaris B.V. and certain of its shareholders (incorporated herein by reference to</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Exhibit 10.3 to the Company’s Registration Statement on Form F-1 (File No. 333-252157), as amended, initially filed with the SEC on January</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15, 2021).</w:t>
        </w:r>
      </w:hyperlink>
    </w:p>
    <w:p>
      <w:pPr>
        <w:spacing w:after="0" w:line="77" w:lineRule="exact"/>
        <w:rPr>
          <w:rFonts w:ascii="Arial" w:cs="Arial" w:eastAsia="Arial" w:hAnsi="Arial"/>
          <w:sz w:val="16"/>
          <w:szCs w:val="16"/>
          <w:u w:val="single" w:color="auto"/>
          <w:color w:val="0000EE"/>
        </w:rPr>
      </w:pPr>
    </w:p>
    <w:p>
      <w:pPr>
        <w:ind w:left="1040" w:hanging="685"/>
        <w:spacing w:after="0" w:line="26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4.4</w:t>
      </w:r>
      <w:r>
        <w:rPr>
          <w:sz w:val="20"/>
          <w:szCs w:val="20"/>
          <w:color w:val="auto"/>
        </w:rPr>
        <w:tab/>
      </w:r>
      <w:hyperlink r:id="rId150">
        <w:r>
          <w:rPr>
            <w:rFonts w:ascii="Arial" w:cs="Arial" w:eastAsia="Arial" w:hAnsi="Arial"/>
            <w:sz w:val="16"/>
            <w:szCs w:val="16"/>
            <w:u w:val="single" w:color="auto"/>
            <w:color w:val="0000EE"/>
          </w:rPr>
          <w:t>Share Subscription Agreement, dated November 3, 2020, between Pharvaris B.V. and certain of its shareholders (incorporated herein by</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reference to Exhibit 10.4 to the Company’s Registration Statement on Form F-1 (File No. 333-252157), as amended, initially filed with the SEC</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on January 15, 2021)</w:t>
        </w:r>
      </w:hyperlink>
    </w:p>
    <w:p>
      <w:pPr>
        <w:spacing w:after="0" w:line="77" w:lineRule="exact"/>
        <w:rPr>
          <w:rFonts w:ascii="Arial" w:cs="Arial" w:eastAsia="Arial" w:hAnsi="Arial"/>
          <w:sz w:val="16"/>
          <w:szCs w:val="16"/>
          <w:u w:val="single" w:color="auto"/>
          <w:color w:val="0000EE"/>
        </w:rPr>
      </w:pPr>
    </w:p>
    <w:p>
      <w:pPr>
        <w:ind w:left="1040" w:right="140" w:hanging="685"/>
        <w:spacing w:after="0" w:line="26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4.5</w:t>
      </w:r>
      <w:r>
        <w:rPr>
          <w:sz w:val="20"/>
          <w:szCs w:val="20"/>
          <w:color w:val="auto"/>
        </w:rPr>
        <w:tab/>
      </w:r>
      <w:hyperlink r:id="rId151">
        <w:r>
          <w:rPr>
            <w:rFonts w:ascii="Arial" w:cs="Arial" w:eastAsia="Arial" w:hAnsi="Arial"/>
            <w:sz w:val="16"/>
            <w:szCs w:val="16"/>
            <w:u w:val="single" w:color="auto"/>
            <w:color w:val="0000EE"/>
          </w:rPr>
          <w:t>Second Amended and Restated Shareholders Agreement, dated November 5, 2020, between Pharvaris B.V. and its shareholders</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(incorporated herein by reference to Exhibit 10.5 to the Company’s Registration Statement on Form F-1 (File No. 333-252157), as amended,</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initially filed with the SEC on January 15, 2021).</w:t>
        </w:r>
      </w:hyperlink>
    </w:p>
    <w:p>
      <w:pPr>
        <w:spacing w:after="0" w:line="77" w:lineRule="exact"/>
        <w:rPr>
          <w:rFonts w:ascii="Arial" w:cs="Arial" w:eastAsia="Arial" w:hAnsi="Arial"/>
          <w:sz w:val="16"/>
          <w:szCs w:val="16"/>
          <w:u w:val="single" w:color="auto"/>
          <w:color w:val="0000EE"/>
        </w:rPr>
      </w:pPr>
    </w:p>
    <w:p>
      <w:pPr>
        <w:jc w:val="both"/>
        <w:ind w:left="1040" w:right="20" w:hanging="685"/>
        <w:spacing w:after="0" w:line="26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4.6</w:t>
      </w:r>
      <w:r>
        <w:rPr>
          <w:sz w:val="20"/>
          <w:szCs w:val="20"/>
          <w:color w:val="auto"/>
        </w:rPr>
        <w:tab/>
      </w:r>
      <w:hyperlink r:id="rId152">
        <w:r>
          <w:rPr>
            <w:rFonts w:ascii="Arial" w:cs="Arial" w:eastAsia="Arial" w:hAnsi="Arial"/>
            <w:sz w:val="16"/>
            <w:szCs w:val="16"/>
            <w:u w:val="single" w:color="auto"/>
            <w:color w:val="0000EE"/>
          </w:rPr>
          <w:t>License Agreement between Pharvaris B.V. and AnalytiCon Discovery GmbH dated as of March 31, 2016 (incorporated herein by reference to</w:t>
        </w:r>
      </w:hyperlink>
      <w:r>
        <w:rPr>
          <w:rFonts w:ascii="Arial" w:cs="Arial" w:eastAsia="Arial" w:hAnsi="Arial"/>
          <w:sz w:val="16"/>
          <w:szCs w:val="16"/>
          <w:u w:val="single" w:color="auto"/>
          <w:color w:val="0000EE"/>
        </w:rPr>
        <w:t xml:space="preserve"> </w:t>
      </w:r>
      <w:hyperlink r:id="rId152">
        <w:r>
          <w:rPr>
            <w:rFonts w:ascii="Arial" w:cs="Arial" w:eastAsia="Arial" w:hAnsi="Arial"/>
            <w:sz w:val="16"/>
            <w:szCs w:val="16"/>
            <w:u w:val="single" w:color="auto"/>
            <w:color w:val="0000EE"/>
          </w:rPr>
          <w:t>Exhibit 10.6 to the Company’s Registration Statement on Form F-1 (File No. 333-252157), as amended, initially filed with the SEC on January</w:t>
        </w:r>
      </w:hyperlink>
      <w:r>
        <w:rPr>
          <w:rFonts w:ascii="Arial" w:cs="Arial" w:eastAsia="Arial" w:hAnsi="Arial"/>
          <w:sz w:val="16"/>
          <w:szCs w:val="16"/>
          <w:u w:val="single" w:color="auto"/>
          <w:color w:val="0000EE"/>
        </w:rPr>
        <w:t xml:space="preserve"> </w:t>
      </w:r>
      <w:hyperlink r:id="rId152">
        <w:r>
          <w:rPr>
            <w:rFonts w:ascii="Arial" w:cs="Arial" w:eastAsia="Arial" w:hAnsi="Arial"/>
            <w:sz w:val="16"/>
            <w:szCs w:val="16"/>
            <w:u w:val="single" w:color="auto"/>
            <w:color w:val="0000EE"/>
          </w:rPr>
          <w:t>15, 2021) †</w:t>
        </w:r>
      </w:hyperlink>
    </w:p>
    <w:p>
      <w:pPr>
        <w:spacing w:after="0" w:line="77" w:lineRule="exact"/>
        <w:rPr>
          <w:rFonts w:ascii="Arial" w:cs="Arial" w:eastAsia="Arial" w:hAnsi="Arial"/>
          <w:sz w:val="16"/>
          <w:szCs w:val="16"/>
          <w:u w:val="single" w:color="auto"/>
          <w:color w:val="0000EE"/>
        </w:rPr>
      </w:pPr>
    </w:p>
    <w:p>
      <w:pPr>
        <w:jc w:val="both"/>
        <w:ind w:left="1040" w:hanging="685"/>
        <w:spacing w:after="0" w:line="26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4.7</w:t>
      </w:r>
      <w:r>
        <w:rPr>
          <w:sz w:val="20"/>
          <w:szCs w:val="20"/>
          <w:color w:val="auto"/>
        </w:rPr>
        <w:tab/>
      </w:r>
      <w:hyperlink r:id="rId153">
        <w:r>
          <w:rPr>
            <w:rFonts w:ascii="Arial" w:cs="Arial" w:eastAsia="Arial" w:hAnsi="Arial"/>
            <w:sz w:val="16"/>
            <w:szCs w:val="16"/>
            <w:u w:val="single" w:color="auto"/>
            <w:color w:val="0000EE"/>
          </w:rPr>
          <w:t>Amendment 1, between Pharvaris Netherlands B.V. and AnalytiCon Discovery GmbH dated as of January 8, 2021, to the License Agreement</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between Pharvaris B.V. and AnalytiCon Discovery GmbH dated as of March 31, 2016 (incorporated herein by reference to Exhibit 10.7 to the</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Company’s Draft Registration Statement on Form F-1 (File No. 333-252157), as amended, initially filed with the SEC on January 15, 2021).†</w:t>
        </w:r>
      </w:hyperlink>
    </w:p>
    <w:p>
      <w:pPr>
        <w:spacing w:after="0" w:line="77" w:lineRule="exact"/>
        <w:rPr>
          <w:rFonts w:ascii="Arial" w:cs="Arial" w:eastAsia="Arial" w:hAnsi="Arial"/>
          <w:sz w:val="16"/>
          <w:szCs w:val="16"/>
          <w:u w:val="single" w:color="auto"/>
          <w:color w:val="0000EE"/>
        </w:rPr>
      </w:pPr>
    </w:p>
    <w:p>
      <w:pPr>
        <w:ind w:left="1040" w:right="40" w:hanging="685"/>
        <w:spacing w:after="0" w:line="28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4.8</w:t>
      </w:r>
      <w:r>
        <w:rPr>
          <w:sz w:val="20"/>
          <w:szCs w:val="20"/>
          <w:color w:val="auto"/>
        </w:rPr>
        <w:tab/>
      </w:r>
      <w:hyperlink r:id="rId154">
        <w:r>
          <w:rPr>
            <w:rFonts w:ascii="Arial" w:cs="Arial" w:eastAsia="Arial" w:hAnsi="Arial"/>
            <w:sz w:val="16"/>
            <w:szCs w:val="16"/>
            <w:u w:val="single" w:color="auto"/>
            <w:color w:val="0000EE"/>
          </w:rPr>
          <w:t>Pharvaris N.V. 2021 Equity Incentive Plan (incorporated herein by reference to Exhibit 10.1 to the Company’s Registration Statement on Form</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S-8 (File No. 333-252897) filed with the SEC on February 9, 2021).</w:t>
        </w:r>
      </w:hyperlink>
    </w:p>
    <w:p>
      <w:pPr>
        <w:spacing w:after="0" w:line="61" w:lineRule="exact"/>
        <w:rPr>
          <w:sz w:val="20"/>
          <w:szCs w:val="20"/>
          <w:color w:val="auto"/>
        </w:rPr>
      </w:pPr>
    </w:p>
    <w:p>
      <w:pPr>
        <w:ind w:left="1040" w:right="460" w:hanging="685"/>
        <w:spacing w:after="0" w:line="28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4.9</w:t>
      </w:r>
      <w:r>
        <w:rPr>
          <w:sz w:val="20"/>
          <w:szCs w:val="20"/>
          <w:color w:val="auto"/>
        </w:rPr>
        <w:tab/>
      </w:r>
      <w:hyperlink r:id="rId155">
        <w:r>
          <w:rPr>
            <w:rFonts w:ascii="Arial" w:cs="Arial" w:eastAsia="Arial" w:hAnsi="Arial"/>
            <w:sz w:val="16"/>
            <w:szCs w:val="16"/>
            <w:u w:val="single" w:color="auto"/>
            <w:color w:val="0000EE"/>
          </w:rPr>
          <w:t>Amended and Restated 2016 Equity Incentive Plan of Pharvaris B.V. (incorporated herein by reference to Exhibit 10.8 to the Company’s</w:t>
        </w:r>
      </w:hyperlink>
      <w:r>
        <w:rPr>
          <w:rFonts w:ascii="Arial" w:cs="Arial" w:eastAsia="Arial" w:hAnsi="Arial"/>
          <w:sz w:val="16"/>
          <w:szCs w:val="16"/>
          <w:u w:val="single" w:color="auto"/>
          <w:color w:val="0000EE"/>
        </w:rPr>
        <w:t xml:space="preserve"> </w:t>
      </w:r>
      <w:hyperlink r:id="rId155">
        <w:r>
          <w:rPr>
            <w:rFonts w:ascii="Arial" w:cs="Arial" w:eastAsia="Arial" w:hAnsi="Arial"/>
            <w:sz w:val="16"/>
            <w:szCs w:val="16"/>
            <w:u w:val="single" w:color="auto"/>
            <w:color w:val="0000EE"/>
          </w:rPr>
          <w:t>Registration Statement on Form F-1 (Registration No. 333-252157), as amended, initially filed with the SEC on January 15, 2021).</w:t>
        </w:r>
      </w:hyperlink>
    </w:p>
    <w:p>
      <w:pPr>
        <w:spacing w:after="0" w:line="61" w:lineRule="exact"/>
        <w:rPr>
          <w:sz w:val="20"/>
          <w:szCs w:val="20"/>
          <w:color w:val="auto"/>
        </w:rPr>
      </w:pPr>
    </w:p>
    <w:p>
      <w:pPr>
        <w:ind w:left="1040" w:right="180" w:hanging="730"/>
        <w:spacing w:after="0" w:line="28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4.10</w:t>
      </w:r>
      <w:r>
        <w:rPr>
          <w:sz w:val="20"/>
          <w:szCs w:val="20"/>
          <w:color w:val="auto"/>
        </w:rPr>
        <w:tab/>
      </w:r>
      <w:hyperlink r:id="rId156">
        <w:r>
          <w:rPr>
            <w:rFonts w:ascii="Arial" w:cs="Arial" w:eastAsia="Arial" w:hAnsi="Arial"/>
            <w:sz w:val="16"/>
            <w:szCs w:val="16"/>
            <w:u w:val="single" w:color="auto"/>
            <w:color w:val="0000EE"/>
          </w:rPr>
          <w:t>Form of Participation Side Letter (incorporated herein by reference to Exhibit 10.10 to the Company’s Registration Statement on Form F-1/A</w:t>
        </w:r>
      </w:hyperlink>
      <w:r>
        <w:rPr>
          <w:rFonts w:ascii="Arial" w:cs="Arial" w:eastAsia="Arial" w:hAnsi="Arial"/>
          <w:sz w:val="16"/>
          <w:szCs w:val="16"/>
          <w:u w:val="single" w:color="auto"/>
          <w:color w:val="0000EE"/>
        </w:rPr>
        <w:t xml:space="preserve"> </w:t>
      </w:r>
      <w:hyperlink r:id="rId156">
        <w:r>
          <w:rPr>
            <w:rFonts w:ascii="Arial" w:cs="Arial" w:eastAsia="Arial" w:hAnsi="Arial"/>
            <w:sz w:val="16"/>
            <w:szCs w:val="16"/>
            <w:u w:val="single" w:color="auto"/>
            <w:color w:val="0000EE"/>
          </w:rPr>
          <w:t>(File No. 333-252157), as amended, initially filed with the SEC on January 15, 2021).</w:t>
        </w:r>
      </w:hyperlink>
    </w:p>
    <w:p>
      <w:pPr>
        <w:spacing w:after="0" w:line="61" w:lineRule="exact"/>
        <w:rPr>
          <w:sz w:val="20"/>
          <w:szCs w:val="20"/>
          <w:color w:val="auto"/>
        </w:rPr>
      </w:pPr>
    </w:p>
    <w:p>
      <w:pPr>
        <w:ind w:left="1040" w:right="340" w:hanging="724"/>
        <w:spacing w:after="0" w:line="286"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4.11</w:t>
      </w:r>
      <w:r>
        <w:rPr>
          <w:sz w:val="20"/>
          <w:szCs w:val="20"/>
          <w:color w:val="auto"/>
        </w:rPr>
        <w:tab/>
      </w:r>
      <w:hyperlink r:id="rId157">
        <w:r>
          <w:rPr>
            <w:rFonts w:ascii="Arial" w:cs="Arial" w:eastAsia="Arial" w:hAnsi="Arial"/>
            <w:sz w:val="16"/>
            <w:szCs w:val="16"/>
            <w:u w:val="single" w:color="auto"/>
            <w:color w:val="0000EE"/>
          </w:rPr>
          <w:t>Form of Waiver to Participation Side Letter (incorporated herein by reference to Exhibit 10.11 to the Company’s Registration Statement on</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Form F-1/A (File No. 333-252157), as amended, initially filed with the SEC on January 15, 2021).</w:t>
        </w:r>
      </w:hyperlink>
    </w:p>
    <w:p>
      <w:pPr>
        <w:spacing w:after="0" w:line="61" w:lineRule="exact"/>
        <w:rPr>
          <w:sz w:val="20"/>
          <w:szCs w:val="20"/>
          <w:color w:val="auto"/>
        </w:rPr>
      </w:pPr>
    </w:p>
    <w:p>
      <w:pPr>
        <w:ind w:left="320"/>
        <w:spacing w:after="0"/>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8.1*</w:t>
      </w:r>
      <w:r>
        <w:rPr>
          <w:sz w:val="20"/>
          <w:szCs w:val="20"/>
          <w:color w:val="auto"/>
        </w:rPr>
        <w:tab/>
      </w:r>
      <w:hyperlink w:anchor="page151">
        <w:r>
          <w:rPr>
            <w:rFonts w:ascii="Arial" w:cs="Arial" w:eastAsia="Arial" w:hAnsi="Arial"/>
            <w:sz w:val="16"/>
            <w:szCs w:val="16"/>
            <w:u w:val="single" w:color="auto"/>
            <w:color w:val="0000EE"/>
          </w:rPr>
          <w:t>List of Subsidiaries.</w:t>
        </w:r>
      </w:hyperlink>
    </w:p>
    <w:p>
      <w:pPr>
        <w:spacing w:after="0" w:line="140" w:lineRule="exact"/>
        <w:rPr>
          <w:sz w:val="20"/>
          <w:szCs w:val="20"/>
          <w:color w:val="auto"/>
        </w:rPr>
      </w:pPr>
    </w:p>
    <w:p>
      <w:pPr>
        <w:ind w:left="280"/>
        <w:spacing w:after="0"/>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12.1*</w:t>
      </w:r>
      <w:r>
        <w:rPr>
          <w:sz w:val="20"/>
          <w:szCs w:val="20"/>
          <w:color w:val="auto"/>
        </w:rPr>
        <w:tab/>
      </w:r>
      <w:hyperlink w:anchor="page152">
        <w:r>
          <w:rPr>
            <w:rFonts w:ascii="Arial" w:cs="Arial" w:eastAsia="Arial" w:hAnsi="Arial"/>
            <w:sz w:val="16"/>
            <w:szCs w:val="16"/>
            <w:u w:val="single" w:color="auto"/>
            <w:color w:val="0000EE"/>
          </w:rPr>
          <w:t>Certification pursuant to section 302 of the Sarbanes-Oxley Act of 2002</w:t>
        </w:r>
      </w:hyperlink>
      <w:r>
        <w:rPr>
          <w:rFonts w:ascii="Arial" w:cs="Arial" w:eastAsia="Arial" w:hAnsi="Arial"/>
          <w:sz w:val="16"/>
          <w:szCs w:val="16"/>
          <w:color w:val="000000"/>
        </w:rPr>
        <w:t>.</w:t>
      </w:r>
    </w:p>
    <w:p>
      <w:pPr>
        <w:spacing w:after="0" w:line="140" w:lineRule="exact"/>
        <w:rPr>
          <w:sz w:val="20"/>
          <w:szCs w:val="20"/>
          <w:color w:val="auto"/>
        </w:rPr>
      </w:pPr>
    </w:p>
    <w:p>
      <w:pPr>
        <w:ind w:left="280"/>
        <w:spacing w:after="0"/>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12.2*</w:t>
      </w:r>
      <w:r>
        <w:rPr>
          <w:sz w:val="20"/>
          <w:szCs w:val="20"/>
          <w:color w:val="auto"/>
        </w:rPr>
        <w:tab/>
      </w:r>
      <w:hyperlink w:anchor="page153">
        <w:r>
          <w:rPr>
            <w:rFonts w:ascii="Arial" w:cs="Arial" w:eastAsia="Arial" w:hAnsi="Arial"/>
            <w:sz w:val="16"/>
            <w:szCs w:val="16"/>
            <w:u w:val="single" w:color="auto"/>
            <w:color w:val="0000EE"/>
          </w:rPr>
          <w:t>Certification pursuant to section 302 of the Sarbanes-Oxley Act of 2002.</w:t>
        </w:r>
      </w:hyperlink>
    </w:p>
    <w:p>
      <w:pPr>
        <w:spacing w:after="0" w:line="140" w:lineRule="exact"/>
        <w:rPr>
          <w:sz w:val="20"/>
          <w:szCs w:val="20"/>
          <w:color w:val="auto"/>
        </w:rPr>
      </w:pPr>
    </w:p>
    <w:p>
      <w:pPr>
        <w:ind w:left="280"/>
        <w:spacing w:after="0"/>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13.1*</w:t>
      </w:r>
      <w:r>
        <w:rPr>
          <w:sz w:val="20"/>
          <w:szCs w:val="20"/>
          <w:color w:val="auto"/>
        </w:rPr>
        <w:tab/>
      </w:r>
      <w:hyperlink w:anchor="page154">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140" w:lineRule="exact"/>
        <w:rPr>
          <w:sz w:val="20"/>
          <w:szCs w:val="20"/>
          <w:color w:val="auto"/>
        </w:rPr>
      </w:pPr>
    </w:p>
    <w:p>
      <w:pPr>
        <w:ind w:left="280"/>
        <w:spacing w:after="0"/>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13.2*</w:t>
      </w:r>
      <w:r>
        <w:rPr>
          <w:sz w:val="20"/>
          <w:szCs w:val="20"/>
          <w:color w:val="auto"/>
        </w:rPr>
        <w:tab/>
      </w:r>
      <w:hyperlink w:anchor="page155">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140" w:lineRule="exact"/>
        <w:rPr>
          <w:sz w:val="20"/>
          <w:szCs w:val="20"/>
          <w:color w:val="auto"/>
        </w:rPr>
      </w:pPr>
    </w:p>
    <w:p>
      <w:pPr>
        <w:ind w:left="280"/>
        <w:spacing w:after="0"/>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15.1*</w:t>
      </w:r>
      <w:r>
        <w:rPr>
          <w:sz w:val="20"/>
          <w:szCs w:val="20"/>
          <w:color w:val="auto"/>
        </w:rPr>
        <w:tab/>
      </w:r>
      <w:hyperlink w:anchor="page156">
        <w:r>
          <w:rPr>
            <w:rFonts w:ascii="Arial" w:cs="Arial" w:eastAsia="Arial" w:hAnsi="Arial"/>
            <w:sz w:val="16"/>
            <w:szCs w:val="16"/>
            <w:u w:val="single" w:color="auto"/>
            <w:color w:val="0000EE"/>
          </w:rPr>
          <w:t>Consent of PricewaterhouseCoopers Accountants N.V.</w:t>
        </w:r>
      </w:hyperlink>
    </w:p>
    <w:p>
      <w:pPr>
        <w:spacing w:after="0" w:line="140" w:lineRule="exact"/>
        <w:rPr>
          <w:sz w:val="20"/>
          <w:szCs w:val="20"/>
          <w:color w:val="auto"/>
        </w:rPr>
      </w:pPr>
    </w:p>
    <w:p>
      <w:pPr>
        <w:ind w:left="1040" w:right="300" w:hanging="701"/>
        <w:spacing w:after="0" w:line="286" w:lineRule="auto"/>
        <w:tabs>
          <w:tab w:leader="none" w:pos="10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Inline XBRL Instance Document-the instance document does not appear in the Interactive Data File because its XBRL tags are embedded within the Inline XBRL document.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left="1040" w:hanging="701"/>
        <w:spacing w:after="0"/>
        <w:tabs>
          <w:tab w:leader="none" w:pos="10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Inline XBRL Calculation Linkbase Document.</w:t>
      </w:r>
    </w:p>
    <w:p>
      <w:pPr>
        <w:spacing w:after="0" w:line="140" w:lineRule="exact"/>
        <w:rPr>
          <w:rFonts w:ascii="Arial" w:cs="Arial" w:eastAsia="Arial" w:hAnsi="Arial"/>
          <w:sz w:val="16"/>
          <w:szCs w:val="16"/>
          <w:color w:val="auto"/>
        </w:rPr>
      </w:pPr>
    </w:p>
    <w:p>
      <w:pPr>
        <w:ind w:left="1040" w:hanging="701"/>
        <w:spacing w:after="0"/>
        <w:tabs>
          <w:tab w:leader="none" w:pos="10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Inline XBRL Definition Linkbase Document.</w:t>
      </w:r>
    </w:p>
    <w:p>
      <w:pPr>
        <w:spacing w:after="0" w:line="140" w:lineRule="exact"/>
        <w:rPr>
          <w:rFonts w:ascii="Arial" w:cs="Arial" w:eastAsia="Arial" w:hAnsi="Arial"/>
          <w:sz w:val="16"/>
          <w:szCs w:val="16"/>
          <w:color w:val="auto"/>
        </w:rPr>
      </w:pPr>
    </w:p>
    <w:p>
      <w:pPr>
        <w:ind w:left="1040" w:hanging="701"/>
        <w:spacing w:after="0"/>
        <w:tabs>
          <w:tab w:leader="none" w:pos="10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Inline XBRL Labels Linkbase Document.</w:t>
      </w:r>
    </w:p>
    <w:p>
      <w:pPr>
        <w:spacing w:after="0" w:line="140" w:lineRule="exact"/>
        <w:rPr>
          <w:rFonts w:ascii="Arial" w:cs="Arial" w:eastAsia="Arial" w:hAnsi="Arial"/>
          <w:sz w:val="16"/>
          <w:szCs w:val="16"/>
          <w:color w:val="auto"/>
        </w:rPr>
      </w:pPr>
    </w:p>
    <w:p>
      <w:pPr>
        <w:ind w:left="1040" w:hanging="701"/>
        <w:spacing w:after="0"/>
        <w:tabs>
          <w:tab w:leader="none" w:pos="10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Inline XBRL Presentation Linkbase Document.</w:t>
      </w:r>
    </w:p>
    <w:p>
      <w:pPr>
        <w:spacing w:after="0" w:line="140" w:lineRule="exact"/>
        <w:rPr>
          <w:rFonts w:ascii="Arial" w:cs="Arial" w:eastAsia="Arial" w:hAnsi="Arial"/>
          <w:sz w:val="16"/>
          <w:szCs w:val="16"/>
          <w:color w:val="auto"/>
        </w:rPr>
      </w:pPr>
    </w:p>
    <w:p>
      <w:pPr>
        <w:ind w:left="1040" w:hanging="701"/>
        <w:spacing w:after="0"/>
        <w:tabs>
          <w:tab w:leader="none" w:pos="104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Inline XBRL Schema Document.</w:t>
      </w:r>
    </w:p>
    <w:p>
      <w:pPr>
        <w:spacing w:after="0" w:line="140" w:lineRule="exact"/>
        <w:rPr>
          <w:rFonts w:ascii="Arial" w:cs="Arial" w:eastAsia="Arial" w:hAnsi="Arial"/>
          <w:sz w:val="16"/>
          <w:szCs w:val="16"/>
          <w:color w:val="auto"/>
        </w:rPr>
      </w:pPr>
    </w:p>
    <w:p>
      <w:pPr>
        <w:ind w:left="1040" w:hanging="701"/>
        <w:spacing w:after="0"/>
        <w:tabs>
          <w:tab w:leader="none" w:pos="10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cover page for the Company’s Annual Report on Form 20-F for the year ended December 31, 2021, has been formatted in Inline XBRL</w:t>
      </w:r>
    </w:p>
    <w:p>
      <w:pPr>
        <w:spacing w:after="0" w:line="20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731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 w:lineRule="exact"/>
        <w:rPr>
          <w:sz w:val="20"/>
          <w:szCs w:val="20"/>
          <w:color w:val="auto"/>
        </w:rPr>
      </w:pPr>
    </w:p>
    <w:p>
      <w:pPr>
        <w:ind w:left="440" w:hanging="432"/>
        <w:spacing w:after="0" w:line="265" w:lineRule="auto"/>
        <w:tabs>
          <w:tab w:leader="none" w:pos="4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Certain information has been excluded from the exhibit because it both (i) is not material and (ii) would likely cause competitive harm to the Company if publicly disclosed.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Form 20-F on its behalf.</w:t>
      </w:r>
    </w:p>
    <w:p>
      <w:pPr>
        <w:spacing w:after="0" w:line="102"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Pharvaris N.V.</w:t>
      </w:r>
    </w:p>
    <w:p>
      <w:pPr>
        <w:spacing w:after="0" w:line="194"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By: /s/ Berndt Modig</w:t>
      </w:r>
    </w:p>
    <w:p>
      <w:pPr>
        <w:spacing w:after="0" w:line="32" w:lineRule="exact"/>
        <w:rPr>
          <w:sz w:val="20"/>
          <w:szCs w:val="20"/>
          <w:color w:val="auto"/>
        </w:rPr>
      </w:pPr>
    </w:p>
    <w:p>
      <w:pPr>
        <w:ind w:left="7200"/>
        <w:spacing w:after="0"/>
        <w:tabs>
          <w:tab w:leader="none" w:pos="7820" w:val="left"/>
        </w:tabs>
        <w:rPr>
          <w:sz w:val="20"/>
          <w:szCs w:val="20"/>
          <w:color w:val="auto"/>
        </w:rPr>
      </w:pPr>
      <w:r>
        <w:rPr>
          <w:rFonts w:ascii="Arial" w:cs="Arial" w:eastAsia="Arial" w:hAnsi="Arial"/>
          <w:sz w:val="16"/>
          <w:szCs w:val="16"/>
          <w:color w:val="auto"/>
        </w:rPr>
        <w:t>Name:</w:t>
        <w:tab/>
        <w:t>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-115570</wp:posOffset>
            </wp:positionV>
            <wp:extent cx="23056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8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Executive Officer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March 29, 2022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4"/>
        </w:trPr>
        <w:tc>
          <w:tcPr>
            <w:tcW w:w="10160" w:type="dxa"/>
            <w:vAlign w:val="bottom"/>
            <w:gridSpan w:val="11"/>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080" w:type="dxa"/>
            <w:vAlign w:val="bottom"/>
          </w:tcPr>
          <w:p>
            <w:pPr>
              <w:spacing w:after="0"/>
              <w:rPr>
                <w:sz w:val="16"/>
                <w:szCs w:val="16"/>
                <w:color w:val="auto"/>
              </w:rPr>
            </w:pPr>
          </w:p>
        </w:tc>
      </w:tr>
      <w:tr>
        <w:trPr>
          <w:trHeight w:val="553"/>
        </w:trPr>
        <w:tc>
          <w:tcPr>
            <w:tcW w:w="13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6740" w:type="dxa"/>
            <w:vAlign w:val="bottom"/>
            <w:gridSpan w:val="9"/>
          </w:tcPr>
          <w:p>
            <w:pPr>
              <w:jc w:val="center"/>
              <w:ind w:right="2340"/>
              <w:spacing w:after="0"/>
              <w:rPr>
                <w:sz w:val="20"/>
                <w:szCs w:val="20"/>
                <w:color w:val="auto"/>
              </w:rPr>
            </w:pPr>
            <w:r>
              <w:rPr>
                <w:rFonts w:ascii="Arial" w:cs="Arial" w:eastAsia="Arial" w:hAnsi="Arial"/>
                <w:sz w:val="16"/>
                <w:szCs w:val="16"/>
                <w:b w:val="1"/>
                <w:bCs w:val="1"/>
                <w:color w:val="auto"/>
              </w:rPr>
              <w:t>INDEX TO CONSOLIDATED FINANCIAL STATEMENTS</w:t>
            </w:r>
          </w:p>
        </w:tc>
        <w:tc>
          <w:tcPr>
            <w:tcW w:w="1080" w:type="dxa"/>
            <w:vAlign w:val="bottom"/>
          </w:tcPr>
          <w:p>
            <w:pPr>
              <w:spacing w:after="0"/>
              <w:rPr>
                <w:sz w:val="24"/>
                <w:szCs w:val="24"/>
                <w:color w:val="auto"/>
              </w:rPr>
            </w:pPr>
          </w:p>
        </w:tc>
      </w:tr>
      <w:tr>
        <w:trPr>
          <w:trHeight w:val="399"/>
        </w:trPr>
        <w:tc>
          <w:tcPr>
            <w:tcW w:w="10160" w:type="dxa"/>
            <w:vAlign w:val="bottom"/>
            <w:gridSpan w:val="11"/>
          </w:tcPr>
          <w:p>
            <w:pPr>
              <w:spacing w:after="0"/>
              <w:rPr>
                <w:sz w:val="20"/>
                <w:szCs w:val="20"/>
                <w:color w:val="auto"/>
              </w:rPr>
            </w:pPr>
            <w:r>
              <w:rPr>
                <w:rFonts w:ascii="Arial" w:cs="Arial" w:eastAsia="Arial" w:hAnsi="Arial"/>
                <w:sz w:val="16"/>
                <w:szCs w:val="16"/>
                <w:b w:val="1"/>
                <w:bCs w:val="1"/>
                <w:color w:val="auto"/>
              </w:rPr>
              <w:t>Audited Annual Consolidated Financial Statements</w:t>
            </w:r>
          </w:p>
        </w:tc>
        <w:tc>
          <w:tcPr>
            <w:tcW w:w="1080" w:type="dxa"/>
            <w:vAlign w:val="bottom"/>
          </w:tcPr>
          <w:p>
            <w:pPr>
              <w:ind w:left="340"/>
              <w:spacing w:after="0"/>
              <w:rPr>
                <w:sz w:val="20"/>
                <w:szCs w:val="20"/>
                <w:color w:val="auto"/>
              </w:rPr>
            </w:pPr>
            <w:r>
              <w:rPr>
                <w:rFonts w:ascii="Arial" w:cs="Arial" w:eastAsia="Arial" w:hAnsi="Arial"/>
                <w:sz w:val="16"/>
                <w:szCs w:val="16"/>
                <w:b w:val="1"/>
                <w:bCs w:val="1"/>
                <w:color w:val="auto"/>
              </w:rPr>
              <w:t>Page</w:t>
            </w:r>
          </w:p>
        </w:tc>
      </w:tr>
      <w:tr>
        <w:trPr>
          <w:trHeight w:val="169"/>
        </w:trPr>
        <w:tc>
          <w:tcPr>
            <w:tcW w:w="9960" w:type="dxa"/>
            <w:vAlign w:val="bottom"/>
            <w:tcBorders>
              <w:top w:val="single" w:sz="8" w:color="auto"/>
            </w:tcBorders>
            <w:gridSpan w:val="10"/>
          </w:tcPr>
          <w:p>
            <w:pPr>
              <w:spacing w:after="0" w:line="169" w:lineRule="exact"/>
              <w:rPr>
                <w:rFonts w:ascii="Arial" w:cs="Arial" w:eastAsia="Arial" w:hAnsi="Arial"/>
                <w:sz w:val="16"/>
                <w:szCs w:val="16"/>
                <w:color w:val="0000EE"/>
              </w:rPr>
            </w:pPr>
            <w:hyperlink w:anchor="page114">
              <w:r>
                <w:rPr>
                  <w:rFonts w:ascii="Arial" w:cs="Arial" w:eastAsia="Arial" w:hAnsi="Arial"/>
                  <w:sz w:val="16"/>
                  <w:szCs w:val="16"/>
                  <w:color w:val="0000EE"/>
                </w:rPr>
                <w:t xml:space="preserve">Report of Independent Registered Public Accounting Firm </w:t>
              </w:r>
            </w:hyperlink>
            <w:r>
              <w:rPr>
                <w:rFonts w:ascii="Arial" w:cs="Arial" w:eastAsia="Arial" w:hAnsi="Arial"/>
                <w:sz w:val="16"/>
                <w:szCs w:val="16"/>
                <w:color w:val="000000"/>
              </w:rPr>
              <w:t>(PCAOB</w:t>
            </w:r>
            <w:r>
              <w:rPr>
                <w:rFonts w:ascii="Arial" w:cs="Arial" w:eastAsia="Arial" w:hAnsi="Arial"/>
                <w:sz w:val="16"/>
                <w:szCs w:val="16"/>
                <w:color w:val="0000EE"/>
              </w:rPr>
              <w:t xml:space="preserve"> </w:t>
            </w:r>
            <w:r>
              <w:rPr>
                <w:rFonts w:ascii="Arial" w:cs="Arial" w:eastAsia="Arial" w:hAnsi="Arial"/>
                <w:sz w:val="16"/>
                <w:szCs w:val="16"/>
                <w:color w:val="000000"/>
              </w:rPr>
              <w:t>ID: 1395)</w:t>
            </w:r>
          </w:p>
        </w:tc>
        <w:tc>
          <w:tcPr>
            <w:tcW w:w="200" w:type="dxa"/>
            <w:vAlign w:val="bottom"/>
          </w:tcPr>
          <w:p>
            <w:pPr>
              <w:spacing w:after="0"/>
              <w:rPr>
                <w:sz w:val="14"/>
                <w:szCs w:val="14"/>
                <w:color w:val="auto"/>
              </w:rPr>
            </w:pPr>
          </w:p>
        </w:tc>
        <w:tc>
          <w:tcPr>
            <w:tcW w:w="1080" w:type="dxa"/>
            <w:vAlign w:val="bottom"/>
            <w:tcBorders>
              <w:top w:val="single" w:sz="8" w:color="auto"/>
            </w:tcBorders>
          </w:tcPr>
          <w:p>
            <w:pPr>
              <w:ind w:left="780"/>
              <w:spacing w:after="0" w:line="169" w:lineRule="exact"/>
              <w:rPr>
                <w:sz w:val="20"/>
                <w:szCs w:val="20"/>
                <w:color w:val="auto"/>
              </w:rPr>
            </w:pPr>
            <w:r>
              <w:rPr>
                <w:rFonts w:ascii="Arial" w:cs="Arial" w:eastAsia="Arial" w:hAnsi="Arial"/>
                <w:sz w:val="16"/>
                <w:szCs w:val="16"/>
                <w:color w:val="auto"/>
                <w:w w:val="98"/>
              </w:rPr>
              <w:t>F- 2</w:t>
            </w:r>
          </w:p>
        </w:tc>
      </w:tr>
      <w:tr>
        <w:trPr>
          <w:trHeight w:val="20"/>
        </w:trPr>
        <w:tc>
          <w:tcPr>
            <w:tcW w:w="13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160" w:type="dxa"/>
            <w:vAlign w:val="bottom"/>
            <w:gridSpan w:val="11"/>
          </w:tcPr>
          <w:p>
            <w:pPr>
              <w:spacing w:after="0" w:line="183" w:lineRule="exact"/>
              <w:rPr>
                <w:rFonts w:ascii="Arial" w:cs="Arial" w:eastAsia="Arial" w:hAnsi="Arial"/>
                <w:sz w:val="16"/>
                <w:szCs w:val="16"/>
                <w:color w:val="0000EE"/>
              </w:rPr>
            </w:pPr>
            <w:hyperlink w:anchor="page115">
              <w:r>
                <w:rPr>
                  <w:rFonts w:ascii="Arial" w:cs="Arial" w:eastAsia="Arial" w:hAnsi="Arial"/>
                  <w:sz w:val="16"/>
                  <w:szCs w:val="16"/>
                  <w:color w:val="0000EE"/>
                </w:rPr>
                <w:t>Consolidated Statements of Profit or Loss and Other Comprehensive Income for the Years Ended December 31, 2021, 2020 and 2019</w:t>
              </w:r>
            </w:hyperlink>
          </w:p>
        </w:tc>
        <w:tc>
          <w:tcPr>
            <w:tcW w:w="1080" w:type="dxa"/>
            <w:vAlign w:val="bottom"/>
          </w:tcPr>
          <w:p>
            <w:pPr>
              <w:ind w:left="780"/>
              <w:spacing w:after="0" w:line="183" w:lineRule="exact"/>
              <w:rPr>
                <w:sz w:val="20"/>
                <w:szCs w:val="20"/>
                <w:color w:val="auto"/>
              </w:rPr>
            </w:pPr>
            <w:r>
              <w:rPr>
                <w:rFonts w:ascii="Arial" w:cs="Arial" w:eastAsia="Arial" w:hAnsi="Arial"/>
                <w:sz w:val="16"/>
                <w:szCs w:val="16"/>
                <w:color w:val="auto"/>
                <w:w w:val="98"/>
              </w:rPr>
              <w:t>F- 3</w:t>
            </w:r>
          </w:p>
        </w:tc>
      </w:tr>
      <w:tr>
        <w:trPr>
          <w:trHeight w:val="183"/>
        </w:trPr>
        <w:tc>
          <w:tcPr>
            <w:tcW w:w="590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rPr>
            </w:pPr>
            <w:hyperlink w:anchor="page116">
              <w:r>
                <w:rPr>
                  <w:rFonts w:ascii="Arial" w:cs="Arial" w:eastAsia="Arial" w:hAnsi="Arial"/>
                  <w:sz w:val="16"/>
                  <w:szCs w:val="16"/>
                  <w:color w:val="0000EE"/>
                </w:rPr>
                <w:t>Consolidated Statements of Financial Position as of December 31, 2021 and 2020</w:t>
              </w:r>
            </w:hyperlink>
          </w:p>
        </w:tc>
        <w:tc>
          <w:tcPr>
            <w:tcW w:w="3720" w:type="dxa"/>
            <w:vAlign w:val="bottom"/>
            <w:tcBorders>
              <w:top w:val="single" w:sz="8" w:color="0000EE"/>
            </w:tcBorders>
            <w:gridSpan w:val="3"/>
          </w:tcPr>
          <w:p>
            <w:pPr>
              <w:spacing w:after="0"/>
              <w:rPr>
                <w:sz w:val="15"/>
                <w:szCs w:val="15"/>
                <w:color w:val="auto"/>
              </w:rPr>
            </w:pPr>
          </w:p>
        </w:tc>
        <w:tc>
          <w:tcPr>
            <w:tcW w:w="540" w:type="dxa"/>
            <w:vAlign w:val="bottom"/>
            <w:gridSpan w:val="2"/>
          </w:tcPr>
          <w:p>
            <w:pPr>
              <w:spacing w:after="0"/>
              <w:rPr>
                <w:sz w:val="15"/>
                <w:szCs w:val="15"/>
                <w:color w:val="auto"/>
              </w:rPr>
            </w:pPr>
          </w:p>
        </w:tc>
        <w:tc>
          <w:tcPr>
            <w:tcW w:w="1080" w:type="dxa"/>
            <w:vAlign w:val="bottom"/>
          </w:tcPr>
          <w:p>
            <w:pPr>
              <w:ind w:left="780"/>
              <w:spacing w:after="0" w:line="183" w:lineRule="exact"/>
              <w:rPr>
                <w:sz w:val="20"/>
                <w:szCs w:val="20"/>
                <w:color w:val="auto"/>
              </w:rPr>
            </w:pPr>
            <w:r>
              <w:rPr>
                <w:rFonts w:ascii="Arial" w:cs="Arial" w:eastAsia="Arial" w:hAnsi="Arial"/>
                <w:sz w:val="16"/>
                <w:szCs w:val="16"/>
                <w:color w:val="auto"/>
                <w:w w:val="98"/>
              </w:rPr>
              <w:t>F- 4</w:t>
            </w:r>
          </w:p>
        </w:tc>
      </w:tr>
      <w:tr>
        <w:trPr>
          <w:trHeight w:val="183"/>
        </w:trPr>
        <w:tc>
          <w:tcPr>
            <w:tcW w:w="8520" w:type="dxa"/>
            <w:vAlign w:val="bottom"/>
            <w:tcBorders>
              <w:bottom w:val="single" w:sz="8" w:color="0000EE"/>
            </w:tcBorders>
            <w:gridSpan w:val="8"/>
          </w:tcPr>
          <w:p>
            <w:pPr>
              <w:spacing w:after="0" w:line="183" w:lineRule="exact"/>
              <w:rPr>
                <w:rFonts w:ascii="Arial" w:cs="Arial" w:eastAsia="Arial" w:hAnsi="Arial"/>
                <w:sz w:val="16"/>
                <w:szCs w:val="16"/>
                <w:color w:val="0000EE"/>
              </w:rPr>
            </w:pPr>
            <w:hyperlink w:anchor="page117">
              <w:r>
                <w:rPr>
                  <w:rFonts w:ascii="Arial" w:cs="Arial" w:eastAsia="Arial" w:hAnsi="Arial"/>
                  <w:sz w:val="16"/>
                  <w:szCs w:val="16"/>
                  <w:color w:val="0000EE"/>
                </w:rPr>
                <w:t>Consolidated Statements of Changes in Shareholders’ Equity for the Years Ended December 31, 2021, 2020 and 2019</w:t>
              </w:r>
            </w:hyperlink>
          </w:p>
        </w:tc>
        <w:tc>
          <w:tcPr>
            <w:tcW w:w="1640" w:type="dxa"/>
            <w:vAlign w:val="bottom"/>
            <w:gridSpan w:val="3"/>
          </w:tcPr>
          <w:p>
            <w:pPr>
              <w:spacing w:after="0"/>
              <w:rPr>
                <w:sz w:val="15"/>
                <w:szCs w:val="15"/>
                <w:color w:val="auto"/>
              </w:rPr>
            </w:pPr>
          </w:p>
        </w:tc>
        <w:tc>
          <w:tcPr>
            <w:tcW w:w="1080" w:type="dxa"/>
            <w:vAlign w:val="bottom"/>
          </w:tcPr>
          <w:p>
            <w:pPr>
              <w:ind w:left="780"/>
              <w:spacing w:after="0" w:line="183" w:lineRule="exact"/>
              <w:rPr>
                <w:sz w:val="20"/>
                <w:szCs w:val="20"/>
                <w:color w:val="auto"/>
              </w:rPr>
            </w:pPr>
            <w:r>
              <w:rPr>
                <w:rFonts w:ascii="Arial" w:cs="Arial" w:eastAsia="Arial" w:hAnsi="Arial"/>
                <w:sz w:val="16"/>
                <w:szCs w:val="16"/>
                <w:color w:val="auto"/>
                <w:w w:val="98"/>
              </w:rPr>
              <w:t>F- 5</w:t>
            </w:r>
          </w:p>
        </w:tc>
      </w:tr>
      <w:tr>
        <w:trPr>
          <w:trHeight w:val="183"/>
        </w:trPr>
        <w:tc>
          <w:tcPr>
            <w:tcW w:w="10160" w:type="dxa"/>
            <w:vAlign w:val="bottom"/>
            <w:gridSpan w:val="11"/>
          </w:tcPr>
          <w:p>
            <w:pPr>
              <w:spacing w:after="0" w:line="183" w:lineRule="exact"/>
              <w:rPr>
                <w:rFonts w:ascii="Arial" w:cs="Arial" w:eastAsia="Arial" w:hAnsi="Arial"/>
                <w:sz w:val="16"/>
                <w:szCs w:val="16"/>
                <w:color w:val="0000EE"/>
              </w:rPr>
            </w:pPr>
            <w:hyperlink w:anchor="page118">
              <w:r>
                <w:rPr>
                  <w:rFonts w:ascii="Arial" w:cs="Arial" w:eastAsia="Arial" w:hAnsi="Arial"/>
                  <w:sz w:val="16"/>
                  <w:szCs w:val="16"/>
                  <w:color w:val="0000EE"/>
                </w:rPr>
                <w:t>Consolidated Statements of Cash Flows for the Years ended December 31, 2021, 2020 and 2019</w:t>
              </w:r>
            </w:hyperlink>
          </w:p>
        </w:tc>
        <w:tc>
          <w:tcPr>
            <w:tcW w:w="1080" w:type="dxa"/>
            <w:vAlign w:val="bottom"/>
          </w:tcPr>
          <w:p>
            <w:pPr>
              <w:ind w:left="780"/>
              <w:spacing w:after="0" w:line="183" w:lineRule="exact"/>
              <w:rPr>
                <w:sz w:val="20"/>
                <w:szCs w:val="20"/>
                <w:color w:val="auto"/>
              </w:rPr>
            </w:pPr>
            <w:r>
              <w:rPr>
                <w:rFonts w:ascii="Arial" w:cs="Arial" w:eastAsia="Arial" w:hAnsi="Arial"/>
                <w:sz w:val="16"/>
                <w:szCs w:val="16"/>
                <w:color w:val="auto"/>
                <w:w w:val="98"/>
              </w:rPr>
              <w:t>F- 6</w:t>
            </w:r>
          </w:p>
        </w:tc>
      </w:tr>
      <w:tr>
        <w:trPr>
          <w:trHeight w:val="183"/>
        </w:trPr>
        <w:tc>
          <w:tcPr>
            <w:tcW w:w="698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w:anchor="page119">
              <w:r>
                <w:rPr>
                  <w:rFonts w:ascii="Arial" w:cs="Arial" w:eastAsia="Arial" w:hAnsi="Arial"/>
                  <w:sz w:val="16"/>
                  <w:szCs w:val="16"/>
                  <w:color w:val="0000EE"/>
                </w:rPr>
                <w:t>Notes to the Consolidated Financial Statements</w:t>
              </w:r>
            </w:hyperlink>
          </w:p>
        </w:tc>
        <w:tc>
          <w:tcPr>
            <w:tcW w:w="3180" w:type="dxa"/>
            <w:vAlign w:val="bottom"/>
            <w:gridSpan w:val="4"/>
          </w:tcPr>
          <w:p>
            <w:pPr>
              <w:spacing w:after="0"/>
              <w:rPr>
                <w:sz w:val="15"/>
                <w:szCs w:val="15"/>
                <w:color w:val="auto"/>
              </w:rPr>
            </w:pPr>
          </w:p>
        </w:tc>
        <w:tc>
          <w:tcPr>
            <w:tcW w:w="1080" w:type="dxa"/>
            <w:vAlign w:val="bottom"/>
          </w:tcPr>
          <w:p>
            <w:pPr>
              <w:ind w:left="780"/>
              <w:spacing w:after="0" w:line="183" w:lineRule="exact"/>
              <w:rPr>
                <w:sz w:val="20"/>
                <w:szCs w:val="20"/>
                <w:color w:val="auto"/>
              </w:rPr>
            </w:pPr>
            <w:r>
              <w:rPr>
                <w:rFonts w:ascii="Arial" w:cs="Arial" w:eastAsia="Arial" w:hAnsi="Arial"/>
                <w:sz w:val="16"/>
                <w:szCs w:val="16"/>
                <w:color w:val="auto"/>
                <w:w w:val="98"/>
              </w:rPr>
              <w:t>F- 7</w:t>
            </w:r>
          </w:p>
        </w:tc>
      </w:tr>
      <w:tr>
        <w:trPr>
          <w:trHeight w:val="869"/>
        </w:trPr>
        <w:tc>
          <w:tcPr>
            <w:tcW w:w="136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6"/>
          </w:tcPr>
          <w:p>
            <w:pPr>
              <w:jc w:val="center"/>
              <w:ind w:right="4400"/>
              <w:spacing w:after="0"/>
              <w:rPr>
                <w:sz w:val="20"/>
                <w:szCs w:val="20"/>
                <w:color w:val="auto"/>
              </w:rPr>
            </w:pPr>
            <w:r>
              <w:rPr>
                <w:rFonts w:ascii="Arial" w:cs="Arial" w:eastAsia="Arial" w:hAnsi="Arial"/>
                <w:sz w:val="16"/>
                <w:szCs w:val="16"/>
                <w:color w:val="auto"/>
                <w:w w:val="99"/>
              </w:rPr>
              <w:t>F-1</w:t>
            </w:r>
          </w:p>
        </w:tc>
        <w:tc>
          <w:tcPr>
            <w:tcW w:w="1080" w:type="dxa"/>
            <w:vAlign w:val="bottom"/>
          </w:tcPr>
          <w:p>
            <w:pPr>
              <w:spacing w:after="0"/>
              <w:rPr>
                <w:sz w:val="24"/>
                <w:szCs w:val="24"/>
                <w:color w:val="auto"/>
              </w:rPr>
            </w:pPr>
          </w:p>
        </w:tc>
      </w:tr>
      <w:tr>
        <w:trPr>
          <w:trHeight w:val="104"/>
        </w:trPr>
        <w:tc>
          <w:tcPr>
            <w:tcW w:w="136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-1285240</wp:posOffset>
            </wp:positionV>
            <wp:extent cx="28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3"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Pharvaris N.V.</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audited the accompanying consolidated statements of financial position of Pharvaris N.V. and its subsidiaries (the “Company”) as of December 31, 2021 and 2020, and the related consolidated statements of profit or loss and other comprehensive income, of changes in equity,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International Financial Reporting Standards as issued by the International Accounting Standards Board.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111"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420"/>
        <w:spacing w:after="0" w:line="25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0"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/s/ R.M.N. Admiraal RA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Accountants N.V.</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Eindhoven, The Netherlands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29, 2022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Profit or Loss and Other Comprehensive Income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Years ended December 31,</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20" w:type="dxa"/>
            <w:vAlign w:val="bottom"/>
          </w:tcPr>
          <w:p>
            <w:pPr>
              <w:spacing w:after="0"/>
              <w:rPr>
                <w:sz w:val="13"/>
                <w:szCs w:val="13"/>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Note</w:t>
            </w:r>
          </w:p>
        </w:tc>
        <w:tc>
          <w:tcPr>
            <w:tcW w:w="122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3"/>
                <w:szCs w:val="13"/>
                <w:color w:val="auto"/>
              </w:rPr>
            </w:pPr>
          </w:p>
        </w:tc>
        <w:tc>
          <w:tcPr>
            <w:tcW w:w="98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780" w:type="dxa"/>
            <w:vAlign w:val="bottom"/>
            <w:tcBorders>
              <w:top w:val="single" w:sz="8" w:color="auto"/>
            </w:tcBorders>
            <w:shd w:val="clear" w:color="auto" w:fill="CFF0FC"/>
          </w:tcPr>
          <w:p>
            <w:pPr>
              <w:jc w:val="center"/>
              <w:ind w:left="22"/>
              <w:spacing w:after="0"/>
              <w:rPr>
                <w:sz w:val="20"/>
                <w:szCs w:val="20"/>
                <w:color w:val="auto"/>
              </w:rPr>
            </w:pPr>
            <w:r>
              <w:rPr>
                <w:rFonts w:ascii="Arial" w:cs="Arial" w:eastAsia="Arial" w:hAnsi="Arial"/>
                <w:sz w:val="16"/>
                <w:szCs w:val="16"/>
                <w:color w:val="auto"/>
                <w:w w:val="89"/>
              </w:rPr>
              <w:t>3</w:t>
            </w:r>
          </w:p>
        </w:tc>
        <w:tc>
          <w:tcPr>
            <w:tcW w:w="24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(35,789,166)</w:t>
            </w:r>
          </w:p>
        </w:tc>
        <w:tc>
          <w:tcPr>
            <w:tcW w:w="22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(19,508,101)</w:t>
            </w:r>
          </w:p>
        </w:tc>
        <w:tc>
          <w:tcPr>
            <w:tcW w:w="2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(5,684,562)</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780" w:type="dxa"/>
            <w:vAlign w:val="bottom"/>
          </w:tcPr>
          <w:p>
            <w:pPr>
              <w:jc w:val="center"/>
              <w:ind w:left="22"/>
              <w:spacing w:after="0"/>
              <w:rPr>
                <w:sz w:val="20"/>
                <w:szCs w:val="20"/>
                <w:color w:val="auto"/>
              </w:rPr>
            </w:pPr>
            <w:r>
              <w:rPr>
                <w:rFonts w:ascii="Arial" w:cs="Arial" w:eastAsia="Arial" w:hAnsi="Arial"/>
                <w:sz w:val="16"/>
                <w:szCs w:val="16"/>
                <w:color w:val="auto"/>
                <w:w w:val="89"/>
              </w:rPr>
              <w:t>4</w:t>
            </w:r>
          </w:p>
        </w:tc>
        <w:tc>
          <w:tcPr>
            <w:tcW w:w="24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(18,349,460)</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(5,498,491)</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(2,325,719)</w:t>
            </w:r>
          </w:p>
        </w:tc>
        <w:tc>
          <w:tcPr>
            <w:tcW w:w="0" w:type="dxa"/>
            <w:vAlign w:val="bottom"/>
          </w:tcPr>
          <w:p>
            <w:pPr>
              <w:spacing w:after="0"/>
              <w:rPr>
                <w:sz w:val="1"/>
                <w:szCs w:val="1"/>
                <w:color w:val="auto"/>
              </w:rPr>
            </w:pPr>
          </w:p>
        </w:tc>
      </w:tr>
      <w:tr>
        <w:trPr>
          <w:trHeight w:val="196"/>
        </w:trPr>
        <w:tc>
          <w:tcPr>
            <w:tcW w:w="6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7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(54,138,626)</w:t>
            </w:r>
          </w:p>
        </w:tc>
        <w:tc>
          <w:tcPr>
            <w:tcW w:w="22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(25,006,592)</w:t>
            </w:r>
          </w:p>
        </w:tc>
        <w:tc>
          <w:tcPr>
            <w:tcW w:w="2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(8,010,281)</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Finance income / (expenses)</w:t>
            </w:r>
          </w:p>
        </w:tc>
        <w:tc>
          <w:tcPr>
            <w:tcW w:w="780" w:type="dxa"/>
            <w:vAlign w:val="bottom"/>
            <w:tcBorders>
              <w:bottom w:val="single" w:sz="8" w:color="CFF0FC"/>
            </w:tcBorders>
          </w:tcPr>
          <w:p>
            <w:pPr>
              <w:jc w:val="center"/>
              <w:ind w:left="22"/>
              <w:spacing w:after="0"/>
              <w:rPr>
                <w:sz w:val="20"/>
                <w:szCs w:val="20"/>
                <w:color w:val="auto"/>
              </w:rPr>
            </w:pPr>
            <w:r>
              <w:rPr>
                <w:rFonts w:ascii="Arial" w:cs="Arial" w:eastAsia="Arial" w:hAnsi="Arial"/>
                <w:sz w:val="16"/>
                <w:szCs w:val="16"/>
                <w:color w:val="auto"/>
                <w:w w:val="89"/>
              </w:rPr>
              <w:t>6</w:t>
            </w:r>
          </w:p>
        </w:tc>
        <w:tc>
          <w:tcPr>
            <w:tcW w:w="24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11,477,964</w:t>
            </w:r>
          </w:p>
        </w:tc>
        <w:tc>
          <w:tcPr>
            <w:tcW w:w="22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(1,062,363)</w:t>
            </w:r>
          </w:p>
        </w:tc>
        <w:tc>
          <w:tcPr>
            <w:tcW w:w="22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before income tax</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(42,660,662)</w:t>
            </w:r>
          </w:p>
        </w:tc>
        <w:tc>
          <w:tcPr>
            <w:tcW w:w="220" w:type="dxa"/>
            <w:vAlign w:val="bottom"/>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(26,068,955)</w:t>
            </w:r>
          </w:p>
        </w:tc>
        <w:tc>
          <w:tcPr>
            <w:tcW w:w="22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(8,027,162)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benefit / (expenses)</w:t>
            </w:r>
          </w:p>
        </w:tc>
        <w:tc>
          <w:tcPr>
            <w:tcW w:w="780" w:type="dxa"/>
            <w:vAlign w:val="bottom"/>
            <w:tcBorders>
              <w:bottom w:val="single" w:sz="8" w:color="CFF0FC"/>
            </w:tcBorders>
          </w:tcPr>
          <w:p>
            <w:pPr>
              <w:jc w:val="center"/>
              <w:ind w:left="22"/>
              <w:spacing w:after="0"/>
              <w:rPr>
                <w:sz w:val="20"/>
                <w:szCs w:val="20"/>
                <w:color w:val="auto"/>
              </w:rPr>
            </w:pPr>
            <w:r>
              <w:rPr>
                <w:rFonts w:ascii="Arial" w:cs="Arial" w:eastAsia="Arial" w:hAnsi="Arial"/>
                <w:sz w:val="16"/>
                <w:szCs w:val="16"/>
                <w:color w:val="auto"/>
                <w:w w:val="89"/>
              </w:rPr>
              <w:t>7</w:t>
            </w:r>
          </w:p>
        </w:tc>
        <w:tc>
          <w:tcPr>
            <w:tcW w:w="24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(70,117)</w:t>
            </w:r>
          </w:p>
        </w:tc>
        <w:tc>
          <w:tcPr>
            <w:tcW w:w="22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83,251</w:t>
            </w:r>
          </w:p>
        </w:tc>
        <w:tc>
          <w:tcPr>
            <w:tcW w:w="22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Loss for the year</w:t>
            </w:r>
          </w:p>
        </w:tc>
        <w:tc>
          <w:tcPr>
            <w:tcW w:w="7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(42,730,779)</w:t>
            </w:r>
          </w:p>
        </w:tc>
        <w:tc>
          <w:tcPr>
            <w:tcW w:w="2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(25,985,704)</w:t>
            </w:r>
          </w:p>
        </w:tc>
        <w:tc>
          <w:tcPr>
            <w:tcW w:w="2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(8,027,162)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6"/>
                <w:szCs w:val="16"/>
                <w:b w:val="1"/>
                <w:bCs w:val="1"/>
                <w:color w:val="auto"/>
              </w:rPr>
              <w:t>Other comprehensive income/(loss)</w:t>
            </w: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Exchange gain / (loss) arising on translation of foreign operations</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30,293</w:t>
            </w:r>
          </w:p>
        </w:tc>
        <w:tc>
          <w:tcPr>
            <w:tcW w:w="2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(4,365)</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20"/>
                <w:szCs w:val="20"/>
                <w:color w:val="auto"/>
              </w:rPr>
            </w:pPr>
            <w:r>
              <w:rPr>
                <w:rFonts w:ascii="Arial" w:cs="Arial" w:eastAsia="Arial" w:hAnsi="Arial"/>
                <w:sz w:val="16"/>
                <w:szCs w:val="16"/>
                <w:b w:val="1"/>
                <w:bCs w:val="1"/>
                <w:color w:val="auto"/>
              </w:rPr>
              <w:t>Total comprehensive loss attributable to:</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Equity holders of the Company</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(42,700,486)</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(25,990,069)</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(8,027,162)</w:t>
            </w: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Basic and diluted loss per share</w:t>
            </w:r>
          </w:p>
        </w:tc>
        <w:tc>
          <w:tcPr>
            <w:tcW w:w="780" w:type="dxa"/>
            <w:vAlign w:val="bottom"/>
            <w:tcBorders>
              <w:top w:val="single" w:sz="8" w:color="CFF0FC"/>
              <w:bottom w:val="single" w:sz="8" w:color="CFF0FC"/>
            </w:tcBorders>
            <w:vMerge w:val="restart"/>
          </w:tcPr>
          <w:p>
            <w:pPr>
              <w:jc w:val="center"/>
              <w:ind w:left="2"/>
              <w:spacing w:after="0"/>
              <w:rPr>
                <w:sz w:val="20"/>
                <w:szCs w:val="20"/>
                <w:color w:val="auto"/>
              </w:rPr>
            </w:pPr>
            <w:r>
              <w:rPr>
                <w:rFonts w:ascii="Arial" w:cs="Arial" w:eastAsia="Arial" w:hAnsi="Arial"/>
                <w:sz w:val="16"/>
                <w:szCs w:val="16"/>
                <w:color w:val="auto"/>
              </w:rPr>
              <w:t>19</w:t>
            </w:r>
          </w:p>
        </w:tc>
        <w:tc>
          <w:tcPr>
            <w:tcW w:w="2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(5.36)</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Financial Position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As at</w:t>
            </w:r>
          </w:p>
        </w:tc>
        <w:tc>
          <w:tcPr>
            <w:tcW w:w="150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As at</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698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4"/>
              </w:rPr>
              <w:t>Notes</w:t>
            </w: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880" w:type="dxa"/>
            <w:vAlign w:val="bottom"/>
            <w:shd w:val="clear" w:color="auto" w:fill="CFF0FC"/>
          </w:tcPr>
          <w:p>
            <w:pPr>
              <w:jc w:val="center"/>
              <w:ind w:left="21"/>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108,099</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Right of use assets</w:t>
            </w:r>
          </w:p>
        </w:tc>
        <w:tc>
          <w:tcPr>
            <w:tcW w:w="880" w:type="dxa"/>
            <w:vAlign w:val="bottom"/>
          </w:tcPr>
          <w:p>
            <w:pPr>
              <w:jc w:val="center"/>
              <w:ind w:left="21"/>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243,251</w:t>
            </w: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assets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Deferred tax assets</w:t>
            </w:r>
          </w:p>
        </w:tc>
        <w:tc>
          <w:tcPr>
            <w:tcW w:w="880" w:type="dxa"/>
            <w:vAlign w:val="bottom"/>
          </w:tcPr>
          <w:p>
            <w:pPr>
              <w:jc w:val="center"/>
              <w:ind w:left="21"/>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172,052</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Receivables</w:t>
            </w:r>
          </w:p>
        </w:tc>
        <w:tc>
          <w:tcPr>
            <w:tcW w:w="880" w:type="dxa"/>
            <w:vAlign w:val="bottom"/>
            <w:shd w:val="clear" w:color="auto" w:fill="CFF0FC"/>
          </w:tcPr>
          <w:p>
            <w:pPr>
              <w:jc w:val="center"/>
              <w:ind w:left="21"/>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700,079</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569,578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Other current assets</w:t>
            </w:r>
          </w:p>
        </w:tc>
        <w:tc>
          <w:tcPr>
            <w:tcW w:w="880" w:type="dxa"/>
            <w:vAlign w:val="bottom"/>
          </w:tcPr>
          <w:p>
            <w:pPr>
              <w:jc w:val="center"/>
              <w:ind w:left="21"/>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1,513,452</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1,753,327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880" w:type="dxa"/>
            <w:vAlign w:val="bottom"/>
            <w:shd w:val="clear" w:color="auto" w:fill="CFF0FC"/>
          </w:tcPr>
          <w:p>
            <w:pPr>
              <w:jc w:val="center"/>
              <w:ind w:left="21"/>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209,353,132</w:t>
            </w:r>
          </w:p>
        </w:tc>
        <w:tc>
          <w:tcPr>
            <w:tcW w:w="240" w:type="dxa"/>
            <w:vAlign w:val="bottom"/>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98,628,871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assets</w:t>
            </w:r>
          </w:p>
        </w:tc>
        <w:tc>
          <w:tcPr>
            <w:tcW w:w="88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212,090,064</w:t>
            </w:r>
          </w:p>
        </w:tc>
        <w:tc>
          <w:tcPr>
            <w:tcW w:w="24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101,099,618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liabilities</w:t>
            </w: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880" w:type="dxa"/>
            <w:vAlign w:val="bottom"/>
          </w:tcPr>
          <w:p>
            <w:pPr>
              <w:jc w:val="center"/>
              <w:ind w:left="21"/>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Share capital</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3,978,226</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235,693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Share premium</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278,742,900</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138,034,580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Other reserves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9,774,416</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1,979,875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Currency translation reserve</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25,928</w:t>
            </w:r>
          </w:p>
        </w:tc>
        <w:tc>
          <w:tcPr>
            <w:tcW w:w="24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(4,365)</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Accumulated loss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(87,568,401)</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(44,459,954)</w:t>
            </w:r>
          </w:p>
        </w:tc>
        <w:tc>
          <w:tcPr>
            <w:tcW w:w="0" w:type="dxa"/>
            <w:vAlign w:val="bottom"/>
          </w:tcPr>
          <w:p>
            <w:pPr>
              <w:spacing w:after="0"/>
              <w:rPr>
                <w:sz w:val="1"/>
                <w:szCs w:val="1"/>
                <w:color w:val="auto"/>
              </w:rPr>
            </w:pPr>
          </w:p>
        </w:tc>
      </w:tr>
      <w:tr>
        <w:trPr>
          <w:trHeight w:val="236"/>
        </w:trPr>
        <w:tc>
          <w:tcPr>
            <w:tcW w:w="69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equity</w:t>
            </w:r>
          </w:p>
        </w:tc>
        <w:tc>
          <w:tcPr>
            <w:tcW w:w="88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204,953,069</w:t>
            </w:r>
          </w:p>
        </w:tc>
        <w:tc>
          <w:tcPr>
            <w:tcW w:w="240" w:type="dxa"/>
            <w:vAlign w:val="bottom"/>
            <w:tcBorders>
              <w:bottom w:val="single" w:sz="8" w:color="CFF0FC"/>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95,785,829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Long term liabilities</w:t>
            </w: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Non-current lease liability</w:t>
            </w:r>
          </w:p>
        </w:tc>
        <w:tc>
          <w:tcPr>
            <w:tcW w:w="880" w:type="dxa"/>
            <w:vAlign w:val="bottom"/>
          </w:tcPr>
          <w:p>
            <w:pPr>
              <w:jc w:val="right"/>
              <w:ind w:right="321"/>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150,752</w:t>
            </w: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880" w:type="dxa"/>
            <w:vAlign w:val="bottom"/>
          </w:tcPr>
          <w:p>
            <w:pPr>
              <w:jc w:val="center"/>
              <w:ind w:left="21"/>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2,490,572</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830,864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Accrued liabilities</w:t>
            </w:r>
          </w:p>
        </w:tc>
        <w:tc>
          <w:tcPr>
            <w:tcW w:w="880" w:type="dxa"/>
            <w:vAlign w:val="bottom"/>
            <w:shd w:val="clear" w:color="auto" w:fill="CFF0FC"/>
          </w:tcPr>
          <w:p>
            <w:pPr>
              <w:jc w:val="center"/>
              <w:ind w:left="21"/>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4,270,082</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4,466,837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Arial" w:cs="Arial" w:eastAsia="Arial" w:hAnsi="Arial"/>
                <w:sz w:val="16"/>
                <w:szCs w:val="16"/>
                <w:color w:val="auto"/>
              </w:rPr>
              <w:t>Current lease liability</w:t>
            </w:r>
          </w:p>
        </w:tc>
        <w:tc>
          <w:tcPr>
            <w:tcW w:w="880" w:type="dxa"/>
            <w:vAlign w:val="bottom"/>
          </w:tcPr>
          <w:p>
            <w:pPr>
              <w:jc w:val="center"/>
              <w:ind w:left="21"/>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99,432</w:t>
            </w: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rPr>
                <w:sz w:val="20"/>
                <w:szCs w:val="20"/>
                <w:color w:val="auto"/>
              </w:rPr>
            </w:pPr>
            <w:r>
              <w:rPr>
                <w:rFonts w:ascii="Arial" w:cs="Arial" w:eastAsia="Arial" w:hAnsi="Arial"/>
                <w:sz w:val="16"/>
                <w:szCs w:val="16"/>
                <w:color w:val="auto"/>
              </w:rPr>
              <w:t>Current tax payable</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126,157</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liabilities</w:t>
            </w:r>
          </w:p>
        </w:tc>
        <w:tc>
          <w:tcPr>
            <w:tcW w:w="8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7,136,995</w:t>
            </w:r>
          </w:p>
        </w:tc>
        <w:tc>
          <w:tcPr>
            <w:tcW w:w="240" w:type="dxa"/>
            <w:vAlign w:val="bottom"/>
            <w:tcBorders>
              <w:bottom w:val="single" w:sz="8" w:color="CFF0FC"/>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5,313,789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equity and liabilities</w:t>
            </w:r>
          </w:p>
        </w:tc>
        <w:tc>
          <w:tcPr>
            <w:tcW w:w="8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212,090,064</w:t>
            </w:r>
          </w:p>
        </w:tc>
        <w:tc>
          <w:tcPr>
            <w:tcW w:w="2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101,099,618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Currency</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3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Share</w:t>
            </w:r>
          </w:p>
        </w:tc>
        <w:tc>
          <w:tcPr>
            <w:tcW w:w="18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Share</w:t>
            </w: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translation</w:t>
            </w:r>
          </w:p>
        </w:tc>
        <w:tc>
          <w:tcPr>
            <w:tcW w:w="1180" w:type="dxa"/>
            <w:vAlign w:val="bottom"/>
            <w:gridSpan w:val="2"/>
          </w:tcPr>
          <w:p>
            <w:pPr>
              <w:jc w:val="center"/>
              <w:ind w:right="119"/>
              <w:spacing w:after="0"/>
              <w:rPr>
                <w:sz w:val="20"/>
                <w:szCs w:val="20"/>
                <w:color w:val="auto"/>
              </w:rPr>
            </w:pPr>
            <w:r>
              <w:rPr>
                <w:rFonts w:ascii="Arial" w:cs="Arial" w:eastAsia="Arial" w:hAnsi="Arial"/>
                <w:sz w:val="13"/>
                <w:szCs w:val="13"/>
                <w:b w:val="1"/>
                <w:bCs w:val="1"/>
                <w:color w:val="auto"/>
                <w:w w:val="95"/>
              </w:rPr>
              <w:t>Accumulated</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Total</w:t>
            </w:r>
          </w:p>
        </w:tc>
      </w:tr>
      <w:tr>
        <w:trPr>
          <w:trHeight w:val="153"/>
        </w:trPr>
        <w:tc>
          <w:tcPr>
            <w:tcW w:w="39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Notes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8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premium</w:t>
            </w: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reserves</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reserve</w:t>
            </w:r>
          </w:p>
        </w:tc>
        <w:tc>
          <w:tcPr>
            <w:tcW w:w="1180" w:type="dxa"/>
            <w:vAlign w:val="bottom"/>
            <w:gridSpan w:val="2"/>
          </w:tcPr>
          <w:p>
            <w:pPr>
              <w:jc w:val="center"/>
              <w:ind w:right="119"/>
              <w:spacing w:after="0"/>
              <w:rPr>
                <w:sz w:val="20"/>
                <w:szCs w:val="20"/>
                <w:color w:val="auto"/>
              </w:rPr>
            </w:pPr>
            <w:r>
              <w:rPr>
                <w:rFonts w:ascii="Arial" w:cs="Arial" w:eastAsia="Arial" w:hAnsi="Arial"/>
                <w:sz w:val="13"/>
                <w:szCs w:val="13"/>
                <w:b w:val="1"/>
                <w:bCs w:val="1"/>
                <w:color w:val="auto"/>
                <w:w w:val="93"/>
              </w:rPr>
              <w:t>losses</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r>
      <w:tr>
        <w:trPr>
          <w:trHeight w:val="142"/>
        </w:trPr>
        <w:tc>
          <w:tcPr>
            <w:tcW w:w="3940" w:type="dxa"/>
            <w:vAlign w:val="bottom"/>
            <w:tcBorders>
              <w:bottom w:val="single" w:sz="8" w:color="CFF0FC"/>
            </w:tcBorders>
          </w:tcPr>
          <w:p>
            <w:pPr>
              <w:spacing w:after="0"/>
              <w:rPr>
                <w:sz w:val="12"/>
                <w:szCs w:val="12"/>
                <w:color w:val="auto"/>
              </w:rPr>
            </w:pPr>
          </w:p>
        </w:tc>
        <w:tc>
          <w:tcPr>
            <w:tcW w:w="500" w:type="dxa"/>
            <w:vAlign w:val="bottom"/>
            <w:tcBorders>
              <w:top w:val="single" w:sz="8" w:color="auto"/>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80" w:type="dxa"/>
            <w:vAlign w:val="bottom"/>
            <w:tcBorders>
              <w:bottom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FF0FC"/>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80" w:type="dxa"/>
            <w:vAlign w:val="bottom"/>
            <w:tcBorders>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00" w:type="dxa"/>
            <w:vAlign w:val="bottom"/>
            <w:tcBorders>
              <w:bottom w:val="single" w:sz="8" w:color="CFF0FC"/>
            </w:tcBorders>
          </w:tcPr>
          <w:p>
            <w:pPr>
              <w:spacing w:after="0"/>
              <w:rPr>
                <w:sz w:val="12"/>
                <w:szCs w:val="12"/>
                <w:color w:val="auto"/>
              </w:rPr>
            </w:pPr>
          </w:p>
        </w:tc>
      </w:tr>
      <w:tr>
        <w:trPr>
          <w:trHeight w:val="196"/>
        </w:trPr>
        <w:tc>
          <w:tcPr>
            <w:tcW w:w="3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January 1, 2019</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100,928</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15,023,205</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275,992</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(10,447,088)</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4,953,037</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Total comprehensive loss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(8,027,162)</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(8,027,162)</w:t>
            </w: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Issue of share capital</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30,034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22,437,673</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22,467,707</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Transaction costs on issue of shares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(836,181)</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(836,181)</w:t>
            </w: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Share-based payments</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116,147</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116,147</w:t>
            </w:r>
          </w:p>
        </w:tc>
        <w:tc>
          <w:tcPr>
            <w:tcW w:w="100" w:type="dxa"/>
            <w:vAlign w:val="bottom"/>
            <w:shd w:val="clear" w:color="auto" w:fill="CFF0FC"/>
          </w:tcPr>
          <w:p>
            <w:pPr>
              <w:spacing w:after="0"/>
              <w:rPr>
                <w:sz w:val="17"/>
                <w:szCs w:val="17"/>
                <w:color w:val="auto"/>
              </w:rPr>
            </w:pPr>
          </w:p>
        </w:tc>
      </w:tr>
      <w:tr>
        <w:trPr>
          <w:trHeight w:val="196"/>
        </w:trPr>
        <w:tc>
          <w:tcPr>
            <w:tcW w:w="39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December 31, 2019</w:t>
            </w:r>
          </w:p>
        </w:tc>
        <w:tc>
          <w:tcPr>
            <w:tcW w:w="5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130,962</w:t>
            </w:r>
          </w:p>
        </w:tc>
        <w:tc>
          <w:tcPr>
            <w:tcW w:w="18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36,624,697</w:t>
            </w:r>
          </w:p>
        </w:tc>
        <w:tc>
          <w:tcPr>
            <w:tcW w:w="180" w:type="dxa"/>
            <w:vAlign w:val="bottom"/>
            <w:tcBorders>
              <w:bottom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392,139</w:t>
            </w:r>
          </w:p>
        </w:tc>
        <w:tc>
          <w:tcPr>
            <w:tcW w:w="200" w:type="dxa"/>
            <w:vAlign w:val="bottom"/>
            <w:tcBorders>
              <w:bottom w:val="single" w:sz="8" w:color="CFF0FC"/>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(18,474,250</w:t>
            </w:r>
          </w:p>
        </w:tc>
        <w:tc>
          <w:tcPr>
            <w:tcW w:w="180" w:type="dxa"/>
            <w:vAlign w:val="bottom"/>
            <w:tcBorders>
              <w:bottom w:val="single" w:sz="8" w:color="CFF0FC"/>
            </w:tcBorders>
          </w:tcPr>
          <w:p>
            <w:pPr>
              <w:jc w:val="right"/>
              <w:ind w:right="39"/>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18,673,548</w:t>
            </w:r>
          </w:p>
        </w:tc>
        <w:tc>
          <w:tcPr>
            <w:tcW w:w="100" w:type="dxa"/>
            <w:vAlign w:val="bottom"/>
            <w:tcBorders>
              <w:bottom w:val="single" w:sz="8" w:color="CFF0FC"/>
            </w:tcBorders>
          </w:tcPr>
          <w:p>
            <w:pPr>
              <w:spacing w:after="0"/>
              <w:rPr>
                <w:sz w:val="17"/>
                <w:szCs w:val="17"/>
                <w:color w:val="auto"/>
              </w:rPr>
            </w:pPr>
          </w:p>
        </w:tc>
      </w:tr>
      <w:tr>
        <w:trPr>
          <w:trHeight w:val="196"/>
        </w:trPr>
        <w:tc>
          <w:tcPr>
            <w:tcW w:w="3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January 1, 2020</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130,962</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36,624,697</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392,139</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(18,474,250)</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18,673,548</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Total comprehensive loss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(25,985,704)</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(25,985,704)</w:t>
            </w: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Increase in par value</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Issue of share capital</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104,731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102,410,148</w:t>
            </w:r>
          </w:p>
        </w:tc>
        <w:tc>
          <w:tcPr>
            <w:tcW w:w="1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102,514,879</w:t>
            </w:r>
          </w:p>
        </w:tc>
        <w:tc>
          <w:tcPr>
            <w:tcW w:w="100" w:type="dxa"/>
            <w:vAlign w:val="bottom"/>
          </w:tcPr>
          <w:p>
            <w:pPr>
              <w:spacing w:after="0"/>
              <w:rPr>
                <w:sz w:val="17"/>
                <w:szCs w:val="17"/>
                <w:color w:val="auto"/>
              </w:rPr>
            </w:pP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Transaction costs on issue of shares</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(1,000,265)</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(1,000,265)</w:t>
            </w: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Currency translation reserve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(4,365)</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(4,365)</w:t>
            </w: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Settlement of share-based payments</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Share-based payments</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1,587,736</w:t>
            </w: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1,587,736</w:t>
            </w:r>
          </w:p>
        </w:tc>
        <w:tc>
          <w:tcPr>
            <w:tcW w:w="100" w:type="dxa"/>
            <w:vAlign w:val="bottom"/>
          </w:tcPr>
          <w:p>
            <w:pPr>
              <w:spacing w:after="0"/>
              <w:rPr>
                <w:sz w:val="17"/>
                <w:szCs w:val="17"/>
                <w:color w:val="auto"/>
              </w:rPr>
            </w:pP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2020</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235,693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138,034,580</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1,979,875</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(4,365)</w:t>
            </w: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(44,459,954)</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95,785,829</w:t>
            </w:r>
          </w:p>
        </w:tc>
        <w:tc>
          <w:tcPr>
            <w:tcW w:w="100" w:type="dxa"/>
            <w:vAlign w:val="bottom"/>
            <w:shd w:val="clear" w:color="auto" w:fill="CFF0FC"/>
          </w:tcPr>
          <w:p>
            <w:pPr>
              <w:spacing w:after="0"/>
              <w:rPr>
                <w:sz w:val="17"/>
                <w:szCs w:val="17"/>
                <w:color w:val="auto"/>
              </w:rPr>
            </w:pPr>
          </w:p>
        </w:tc>
      </w:tr>
      <w:tr>
        <w:trPr>
          <w:trHeight w:val="196"/>
        </w:trPr>
        <w:tc>
          <w:tcPr>
            <w:tcW w:w="3940" w:type="dxa"/>
            <w:vAlign w:val="bottom"/>
          </w:tcPr>
          <w:p>
            <w:pPr>
              <w:spacing w:after="0"/>
              <w:rPr>
                <w:sz w:val="20"/>
                <w:szCs w:val="20"/>
                <w:color w:val="auto"/>
              </w:rPr>
            </w:pPr>
            <w:r>
              <w:rPr>
                <w:rFonts w:ascii="Arial" w:cs="Arial" w:eastAsia="Arial" w:hAnsi="Arial"/>
                <w:sz w:val="16"/>
                <w:szCs w:val="16"/>
                <w:b w:val="1"/>
                <w:bCs w:val="1"/>
                <w:color w:val="auto"/>
              </w:rPr>
              <w:t>Balance at January 1, 2021</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235,693</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138,034,580</w:t>
            </w:r>
          </w:p>
        </w:tc>
        <w:tc>
          <w:tcPr>
            <w:tcW w:w="1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1,979,875</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(4,365)</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(44,459,954)</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95,785,829</w:t>
            </w:r>
          </w:p>
        </w:tc>
        <w:tc>
          <w:tcPr>
            <w:tcW w:w="100" w:type="dxa"/>
            <w:vAlign w:val="bottom"/>
          </w:tcPr>
          <w:p>
            <w:pPr>
              <w:spacing w:after="0"/>
              <w:rPr>
                <w:sz w:val="17"/>
                <w:szCs w:val="17"/>
                <w:color w:val="auto"/>
              </w:rPr>
            </w:pP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Total comprehensive loss</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(42,730,779)</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(42,730,779)</w:t>
            </w: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Increase in par value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2,592,621</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(2,592,621)</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Issue of share capital</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1,141,329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156,014,570</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157,155,899</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Transaction costs on issue of shares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(13,154,360)</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(13,154,360)</w:t>
            </w: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reserve</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30,293</w:t>
            </w: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30,293</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Settlement of share-based payments</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8,584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440,731</w:t>
            </w: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(401,846)</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(377,668)</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(330,199)</w:t>
            </w: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Share-based payments</w:t>
            </w:r>
          </w:p>
        </w:tc>
        <w:tc>
          <w:tcPr>
            <w:tcW w:w="5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8,196,387</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8,196,387</w:t>
            </w:r>
          </w:p>
        </w:tc>
        <w:tc>
          <w:tcPr>
            <w:tcW w:w="100" w:type="dxa"/>
            <w:vAlign w:val="bottom"/>
            <w:shd w:val="clear" w:color="auto" w:fill="CFF0FC"/>
          </w:tcPr>
          <w:p>
            <w:pPr>
              <w:spacing w:after="0"/>
              <w:rPr>
                <w:sz w:val="17"/>
                <w:szCs w:val="17"/>
                <w:color w:val="auto"/>
              </w:rPr>
            </w:pPr>
          </w:p>
        </w:tc>
      </w:tr>
      <w:tr>
        <w:trPr>
          <w:trHeight w:val="196"/>
        </w:trPr>
        <w:tc>
          <w:tcPr>
            <w:tcW w:w="3940" w:type="dxa"/>
            <w:vAlign w:val="bottom"/>
          </w:tcPr>
          <w:p>
            <w:pPr>
              <w:spacing w:after="0"/>
              <w:rPr>
                <w:sz w:val="20"/>
                <w:szCs w:val="20"/>
                <w:color w:val="auto"/>
              </w:rPr>
            </w:pPr>
            <w:r>
              <w:rPr>
                <w:rFonts w:ascii="Arial" w:cs="Arial" w:eastAsia="Arial" w:hAnsi="Arial"/>
                <w:sz w:val="16"/>
                <w:szCs w:val="16"/>
                <w:b w:val="1"/>
                <w:bCs w:val="1"/>
                <w:color w:val="auto"/>
              </w:rPr>
              <w:t>Balance at December 31, 2021</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3,978,226</w:t>
            </w:r>
          </w:p>
        </w:tc>
        <w:tc>
          <w:tcPr>
            <w:tcW w:w="1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278,742,900</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9,774,416</w:t>
            </w:r>
          </w:p>
        </w:tc>
        <w:tc>
          <w:tcPr>
            <w:tcW w:w="2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25,928</w:t>
            </w:r>
          </w:p>
        </w:tc>
        <w:tc>
          <w:tcPr>
            <w:tcW w:w="2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(87,568,401</w:t>
            </w:r>
          </w:p>
        </w:tc>
        <w:tc>
          <w:tcPr>
            <w:tcW w:w="180" w:type="dxa"/>
            <w:vAlign w:val="bottom"/>
          </w:tcPr>
          <w:p>
            <w:pPr>
              <w:jc w:val="right"/>
              <w:ind w:right="39"/>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204,953,069</w:t>
            </w:r>
          </w:p>
        </w:tc>
        <w:tc>
          <w:tcPr>
            <w:tcW w:w="100" w:type="dxa"/>
            <w:vAlign w:val="bottom"/>
          </w:tcPr>
          <w:p>
            <w:pPr>
              <w:spacing w:after="0"/>
              <w:rPr>
                <w:sz w:val="17"/>
                <w:szCs w:val="17"/>
                <w:color w:val="auto"/>
              </w:rPr>
            </w:pPr>
          </w:p>
        </w:tc>
      </w:tr>
      <w:tr>
        <w:trPr>
          <w:trHeight w:val="20"/>
        </w:trPr>
        <w:tc>
          <w:tcPr>
            <w:tcW w:w="4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7920" w:type="dxa"/>
            <w:vAlign w:val="bottom"/>
            <w:gridSpan w:val="9"/>
          </w:tcPr>
          <w:p>
            <w:pPr>
              <w:ind w:left="2500"/>
              <w:spacing w:after="0"/>
              <w:rPr>
                <w:sz w:val="20"/>
                <w:szCs w:val="20"/>
                <w:color w:val="auto"/>
              </w:rPr>
            </w:pPr>
            <w:r>
              <w:rPr>
                <w:rFonts w:ascii="Arial" w:cs="Arial" w:eastAsia="Arial" w:hAnsi="Arial"/>
                <w:sz w:val="16"/>
                <w:szCs w:val="16"/>
                <w:color w:val="auto"/>
              </w:rPr>
              <w:t>The accompanying notes are an integral part of these consolidated financial</w:t>
            </w:r>
          </w:p>
        </w:tc>
        <w:tc>
          <w:tcPr>
            <w:tcW w:w="800" w:type="dxa"/>
            <w:vAlign w:val="bottom"/>
          </w:tcPr>
          <w:p>
            <w:pPr>
              <w:jc w:val="right"/>
              <w:spacing w:after="0"/>
              <w:rPr>
                <w:sz w:val="20"/>
                <w:szCs w:val="20"/>
                <w:color w:val="auto"/>
              </w:rPr>
            </w:pPr>
            <w:r>
              <w:rPr>
                <w:rFonts w:ascii="Arial" w:cs="Arial" w:eastAsia="Arial" w:hAnsi="Arial"/>
                <w:sz w:val="16"/>
                <w:szCs w:val="16"/>
                <w:color w:val="auto"/>
                <w:w w:val="99"/>
              </w:rPr>
              <w:t>statements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836"/>
        </w:trPr>
        <w:tc>
          <w:tcPr>
            <w:tcW w:w="3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gridSpan w:val="3"/>
          </w:tcPr>
          <w:p>
            <w:pPr>
              <w:jc w:val="right"/>
              <w:ind w:right="1140"/>
              <w:spacing w:after="0"/>
              <w:rPr>
                <w:sz w:val="20"/>
                <w:szCs w:val="20"/>
                <w:color w:val="auto"/>
              </w:rPr>
            </w:pPr>
            <w:r>
              <w:rPr>
                <w:rFonts w:ascii="Arial" w:cs="Arial" w:eastAsia="Arial" w:hAnsi="Arial"/>
                <w:sz w:val="16"/>
                <w:szCs w:val="16"/>
                <w:color w:val="auto"/>
                <w:w w:val="99"/>
              </w:rPr>
              <w:t>F-5</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39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Years ended December 31,</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Notes</w:t>
            </w:r>
          </w:p>
        </w:tc>
        <w:tc>
          <w:tcPr>
            <w:tcW w:w="1260" w:type="dxa"/>
            <w:vAlign w:val="bottom"/>
            <w:tcBorders>
              <w:bottom w:val="single" w:sz="8" w:color="auto"/>
            </w:tcBorders>
          </w:tcPr>
          <w:p>
            <w:pPr>
              <w:jc w:val="right"/>
              <w:ind w:right="421"/>
              <w:spacing w:after="0" w:line="142" w:lineRule="exact"/>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2"/>
                <w:szCs w:val="12"/>
                <w:color w:val="auto"/>
              </w:rPr>
            </w:pPr>
          </w:p>
        </w:tc>
        <w:tc>
          <w:tcPr>
            <w:tcW w:w="1020" w:type="dxa"/>
            <w:vAlign w:val="bottom"/>
            <w:tcBorders>
              <w:bottom w:val="single" w:sz="8" w:color="auto"/>
            </w:tcBorders>
          </w:tcPr>
          <w:p>
            <w:pPr>
              <w:jc w:val="right"/>
              <w:ind w:right="301"/>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2"/>
                <w:szCs w:val="12"/>
                <w:color w:val="auto"/>
              </w:rPr>
            </w:pPr>
          </w:p>
        </w:tc>
        <w:tc>
          <w:tcPr>
            <w:tcW w:w="96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6"/>
                <w:szCs w:val="16"/>
                <w:color w:val="auto"/>
              </w:rPr>
              <w:t>Loss before tax</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(42,660,662)</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(26,068,955)</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(8,027,162)</w:t>
            </w:r>
          </w:p>
        </w:tc>
        <w:tc>
          <w:tcPr>
            <w:tcW w:w="0" w:type="dxa"/>
            <w:vAlign w:val="bottom"/>
          </w:tcPr>
          <w:p>
            <w:pPr>
              <w:spacing w:after="0"/>
              <w:rPr>
                <w:sz w:val="1"/>
                <w:szCs w:val="1"/>
                <w:color w:val="auto"/>
              </w:rPr>
            </w:pPr>
          </w:p>
        </w:tc>
      </w:tr>
      <w:tr>
        <w:trPr>
          <w:trHeight w:val="190"/>
        </w:trPr>
        <w:tc>
          <w:tcPr>
            <w:tcW w:w="63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Non-cash adjustments to reconcile loss before tax to net cash flows/used</w:t>
            </w: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60" w:type="dxa"/>
            <w:vAlign w:val="bottom"/>
            <w:shd w:val="clear" w:color="auto" w:fill="CFF0FC"/>
          </w:tcPr>
          <w:p>
            <w:pPr>
              <w:ind w:left="140"/>
              <w:spacing w:after="0"/>
              <w:rPr>
                <w:sz w:val="20"/>
                <w:szCs w:val="20"/>
                <w:color w:val="auto"/>
              </w:rPr>
            </w:pPr>
            <w:r>
              <w:rPr>
                <w:rFonts w:ascii="Arial" w:cs="Arial" w:eastAsia="Arial" w:hAnsi="Arial"/>
                <w:sz w:val="16"/>
                <w:szCs w:val="16"/>
                <w:i w:val="1"/>
                <w:iCs w:val="1"/>
                <w:color w:val="auto"/>
              </w:rPr>
              <w:t>in operations :</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6"/>
                <w:szCs w:val="16"/>
                <w:color w:val="auto"/>
              </w:rPr>
              <w:t>Share-based payment expense</w:t>
            </w:r>
          </w:p>
        </w:tc>
        <w:tc>
          <w:tcPr>
            <w:tcW w:w="820" w:type="dxa"/>
            <w:vAlign w:val="bottom"/>
          </w:tcPr>
          <w:p>
            <w:pPr>
              <w:jc w:val="center"/>
              <w:ind w:left="22"/>
              <w:spacing w:after="0"/>
              <w:rPr>
                <w:sz w:val="20"/>
                <w:szCs w:val="20"/>
                <w:color w:val="auto"/>
              </w:rPr>
            </w:pPr>
            <w:r>
              <w:rPr>
                <w:rFonts w:ascii="Arial" w:cs="Arial" w:eastAsia="Arial" w:hAnsi="Arial"/>
                <w:sz w:val="16"/>
                <w:szCs w:val="16"/>
                <w:color w:val="auto"/>
                <w:w w:val="89"/>
              </w:rPr>
              <w:t>5</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8,196,387</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1,587,736</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Depreciation expense</w:t>
            </w:r>
          </w:p>
        </w:tc>
        <w:tc>
          <w:tcPr>
            <w:tcW w:w="82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8 &amp; 9</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77,370</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7,401</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6"/>
                <w:szCs w:val="16"/>
                <w:color w:val="auto"/>
              </w:rPr>
              <w:t>Net foreign exchange (gain) / loss</w:t>
            </w: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(11,760,469)</w:t>
            </w:r>
          </w:p>
        </w:tc>
        <w:tc>
          <w:tcPr>
            <w:tcW w:w="1020" w:type="dxa"/>
            <w:vAlign w:val="bottom"/>
          </w:tcPr>
          <w:p>
            <w:pPr>
              <w:jc w:val="right"/>
              <w:spacing w:after="0"/>
              <w:rPr>
                <w:sz w:val="20"/>
                <w:szCs w:val="20"/>
                <w:color w:val="auto"/>
              </w:rPr>
            </w:pPr>
            <w:r>
              <w:rPr>
                <w:rFonts w:ascii="Arial" w:cs="Arial" w:eastAsia="Arial" w:hAnsi="Arial"/>
                <w:sz w:val="16"/>
                <w:szCs w:val="16"/>
                <w:color w:val="auto"/>
              </w:rPr>
              <w:t>1,350,592</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(3,693)</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Finance costs</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267,700</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98,678</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6"/>
                <w:szCs w:val="16"/>
                <w:i w:val="1"/>
                <w:iCs w:val="1"/>
                <w:color w:val="auto"/>
              </w:rPr>
              <w:t>Changes in working capital:</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Increase in receivables</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(130,501)</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(358,735)</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(184,420)</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6"/>
                <w:szCs w:val="16"/>
                <w:color w:val="auto"/>
              </w:rPr>
              <w:t>Increase in other current assets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239,875</w:t>
            </w: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(493,165)</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(24,915)</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Increase in trade and other payables</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1,662,686</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329,181</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274,481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6"/>
                <w:szCs w:val="16"/>
                <w:color w:val="auto"/>
              </w:rPr>
              <w:t>Decrease in accrued liabilities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(196,755)</w:t>
            </w:r>
          </w:p>
        </w:tc>
        <w:tc>
          <w:tcPr>
            <w:tcW w:w="1020" w:type="dxa"/>
            <w:vAlign w:val="bottom"/>
          </w:tcPr>
          <w:p>
            <w:pPr>
              <w:jc w:val="right"/>
              <w:spacing w:after="0"/>
              <w:rPr>
                <w:sz w:val="20"/>
                <w:szCs w:val="20"/>
                <w:color w:val="auto"/>
              </w:rPr>
            </w:pPr>
            <w:r>
              <w:rPr>
                <w:rFonts w:ascii="Arial" w:cs="Arial" w:eastAsia="Arial" w:hAnsi="Arial"/>
                <w:sz w:val="16"/>
                <w:szCs w:val="16"/>
                <w:color w:val="auto"/>
              </w:rPr>
              <w:t>2,094,322</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1,172,002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Income taxes paid</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(27,615)</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6"/>
                <w:szCs w:val="16"/>
                <w:color w:val="auto"/>
              </w:rPr>
              <w:t>Paid interest</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(267,700)</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(46,648)</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cash flows used in operating activities</w:t>
            </w:r>
          </w:p>
        </w:tc>
        <w:tc>
          <w:tcPr>
            <w:tcW w:w="8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(44,599,683)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(21,499,593)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(6,677,011)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6"/>
                <w:szCs w:val="16"/>
                <w:b w:val="1"/>
                <w:bCs w:val="1"/>
                <w:color w:val="auto"/>
              </w:rPr>
              <w:t>Investing activities</w:t>
            </w: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plant and equipment</w:t>
            </w:r>
          </w:p>
        </w:tc>
        <w:tc>
          <w:tcPr>
            <w:tcW w:w="820" w:type="dxa"/>
            <w:vAlign w:val="bottom"/>
            <w:shd w:val="clear" w:color="auto" w:fill="CFF0FC"/>
          </w:tcPr>
          <w:p>
            <w:pPr>
              <w:jc w:val="center"/>
              <w:ind w:left="22"/>
              <w:spacing w:after="0"/>
              <w:rPr>
                <w:sz w:val="20"/>
                <w:szCs w:val="20"/>
                <w:color w:val="auto"/>
              </w:rPr>
            </w:pPr>
            <w:r>
              <w:rPr>
                <w:rFonts w:ascii="Arial" w:cs="Arial" w:eastAsia="Arial" w:hAnsi="Arial"/>
                <w:sz w:val="16"/>
                <w:szCs w:val="16"/>
                <w:color w:val="auto"/>
                <w:w w:val="89"/>
              </w:rPr>
              <w:t>8</w:t>
            </w:r>
          </w:p>
        </w:tc>
        <w:tc>
          <w:tcPr>
            <w:tcW w:w="2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(130,032)</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(42,977)</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(13,476)</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20"/>
                <w:szCs w:val="20"/>
                <w:color w:val="auto"/>
              </w:rPr>
            </w:pPr>
            <w:r>
              <w:rPr>
                <w:rFonts w:ascii="Arial" w:cs="Arial" w:eastAsia="Arial" w:hAnsi="Arial"/>
                <w:sz w:val="16"/>
                <w:szCs w:val="16"/>
                <w:b w:val="1"/>
                <w:bCs w:val="1"/>
                <w:color w:val="auto"/>
              </w:rPr>
              <w:t>Net cash flows used in investing activities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(130,032)</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(42,977)</w:t>
            </w:r>
          </w:p>
        </w:tc>
        <w:tc>
          <w:tcPr>
            <w:tcW w:w="24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6"/>
                <w:szCs w:val="16"/>
                <w:color w:val="auto"/>
              </w:rPr>
              <w:t>Proceeds from issue of shares</w:t>
            </w:r>
          </w:p>
        </w:tc>
        <w:tc>
          <w:tcPr>
            <w:tcW w:w="820" w:type="dxa"/>
            <w:vAlign w:val="bottom"/>
          </w:tcPr>
          <w:p>
            <w:pPr>
              <w:jc w:val="center"/>
              <w:ind w:left="2"/>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156,825,699</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102,514,879</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22,467,707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Transaction costs</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(13,154,360)</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(1,314,078)</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(836,181)</w:t>
            </w:r>
          </w:p>
        </w:tc>
        <w:tc>
          <w:tcPr>
            <w:tcW w:w="0" w:type="dxa"/>
            <w:vAlign w:val="bottom"/>
          </w:tcPr>
          <w:p>
            <w:pPr>
              <w:spacing w:after="0"/>
              <w:rPr>
                <w:sz w:val="1"/>
                <w:szCs w:val="1"/>
                <w:color w:val="auto"/>
              </w:rPr>
            </w:pPr>
          </w:p>
        </w:tc>
      </w:tr>
      <w:tr>
        <w:trPr>
          <w:trHeight w:val="236"/>
        </w:trPr>
        <w:tc>
          <w:tcPr>
            <w:tcW w:w="63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Net cash flows provided by financing activities</w:t>
            </w:r>
          </w:p>
        </w:tc>
        <w:tc>
          <w:tcPr>
            <w:tcW w:w="8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143,671,339</w:t>
            </w:r>
          </w:p>
        </w:tc>
        <w:tc>
          <w:tcPr>
            <w:tcW w:w="240" w:type="dxa"/>
            <w:vAlign w:val="bottom"/>
            <w:tcBorders>
              <w:bottom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101,200,801</w:t>
            </w:r>
          </w:p>
        </w:tc>
        <w:tc>
          <w:tcPr>
            <w:tcW w:w="240" w:type="dxa"/>
            <w:vAlign w:val="bottom"/>
            <w:tcBorders>
              <w:bottom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21,631,526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98,941,624</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79,658,231</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14,941,039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6"/>
                <w:szCs w:val="16"/>
                <w:color w:val="auto"/>
              </w:rPr>
              <w:t>Cash and cash equivalents at the beginning of the year</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98,628,871</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20,326,372</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5,385,333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11,782,637</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(1,355,732)</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820" w:type="dxa"/>
            <w:vAlign w:val="bottom"/>
          </w:tcPr>
          <w:p>
            <w:pPr>
              <w:jc w:val="center"/>
              <w:ind w:left="2"/>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209,353,132</w:t>
            </w:r>
          </w:p>
        </w:tc>
        <w:tc>
          <w:tcPr>
            <w:tcW w:w="2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98,628,871</w:t>
            </w:r>
          </w:p>
        </w:tc>
        <w:tc>
          <w:tcPr>
            <w:tcW w:w="2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20,326,372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Corporate and Group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Corporate information</w:t>
      </w:r>
    </w:p>
    <w:p>
      <w:pPr>
        <w:spacing w:after="0" w:line="11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consolidated financial statements of Pharvaris N.V. (the “Company” or “Pharvaris”) and its subsidiaries (collectively, “The Group”) for the year ended December 31, 2021 were authorized for issue in accordance with a resolution of the directors on March 29, 2022.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Pharvaris N.V. was incorporated on September 30, 2015 and is based in Leiden, the Netherlands. The Company’s registered office is located at J.H.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Oortweg 21, Leiden. The Company has been registered at the Chamber of Commerce under file number 64239411.</w:t>
      </w:r>
    </w:p>
    <w:p>
      <w:pPr>
        <w:spacing w:after="0" w:line="20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Group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Subsidiaries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Group include: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120" w:type="dxa"/>
            <w:vAlign w:val="bottom"/>
          </w:tcPr>
          <w:p>
            <w:pPr>
              <w:spacing w:after="0"/>
              <w:rPr>
                <w:sz w:val="13"/>
                <w:szCs w:val="13"/>
                <w:color w:val="auto"/>
              </w:rPr>
            </w:pPr>
          </w:p>
        </w:tc>
        <w:tc>
          <w:tcPr>
            <w:tcW w:w="154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Legal seat</w:t>
            </w:r>
          </w:p>
        </w:tc>
        <w:tc>
          <w:tcPr>
            <w:tcW w:w="160" w:type="dxa"/>
            <w:vAlign w:val="bottom"/>
          </w:tcPr>
          <w:p>
            <w:pPr>
              <w:spacing w:after="0"/>
              <w:rPr>
                <w:sz w:val="13"/>
                <w:szCs w:val="13"/>
                <w:color w:val="auto"/>
              </w:rPr>
            </w:pPr>
          </w:p>
        </w:tc>
        <w:tc>
          <w:tcPr>
            <w:tcW w:w="252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Country of incorporation</w:t>
            </w:r>
          </w:p>
        </w:tc>
        <w:tc>
          <w:tcPr>
            <w:tcW w:w="140" w:type="dxa"/>
            <w:vAlign w:val="bottom"/>
            <w:vMerge w:val="restart"/>
          </w:tcPr>
          <w:p>
            <w:pPr>
              <w:spacing w:after="0"/>
              <w:rPr>
                <w:sz w:val="13"/>
                <w:szCs w:val="13"/>
                <w:color w:val="auto"/>
              </w:rPr>
            </w:pPr>
          </w:p>
        </w:tc>
        <w:tc>
          <w:tcPr>
            <w:tcW w:w="2720" w:type="dxa"/>
            <w:vAlign w:val="bottom"/>
            <w:gridSpan w:val="4"/>
          </w:tcPr>
          <w:p>
            <w:pPr>
              <w:jc w:val="right"/>
              <w:ind w:right="860"/>
              <w:spacing w:after="0"/>
              <w:rPr>
                <w:sz w:val="20"/>
                <w:szCs w:val="20"/>
                <w:color w:val="auto"/>
              </w:rPr>
            </w:pPr>
            <w:r>
              <w:rPr>
                <w:rFonts w:ascii="Arial" w:cs="Arial" w:eastAsia="Arial" w:hAnsi="Arial"/>
                <w:sz w:val="13"/>
                <w:szCs w:val="13"/>
                <w:b w:val="1"/>
                <w:bCs w:val="1"/>
                <w:color w:val="auto"/>
              </w:rPr>
              <w:t>% of equity interest</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CFF0FC"/>
            </w:tcBorders>
            <w:vMerge w:val="continue"/>
          </w:tcPr>
          <w:p>
            <w:pPr>
              <w:spacing w:after="0"/>
              <w:rPr>
                <w:sz w:val="12"/>
                <w:szCs w:val="12"/>
                <w:color w:val="auto"/>
              </w:rPr>
            </w:pPr>
          </w:p>
        </w:tc>
        <w:tc>
          <w:tcPr>
            <w:tcW w:w="1120" w:type="dxa"/>
            <w:vAlign w:val="bottom"/>
            <w:tcBorders>
              <w:bottom w:val="single" w:sz="8" w:color="CFF0FC"/>
            </w:tcBorders>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5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1120" w:type="dxa"/>
            <w:vAlign w:val="bottom"/>
            <w:tcBorders>
              <w:top w:val="single" w:sz="8" w:color="auto"/>
              <w:bottom w:val="single" w:sz="8" w:color="auto"/>
            </w:tcBorders>
          </w:tcPr>
          <w:p>
            <w:pPr>
              <w:jc w:val="right"/>
              <w:ind w:right="345"/>
              <w:spacing w:after="0" w:line="142" w:lineRule="exact"/>
              <w:rPr>
                <w:sz w:val="20"/>
                <w:szCs w:val="20"/>
                <w:color w:val="auto"/>
              </w:rPr>
            </w:pPr>
            <w:r>
              <w:rPr>
                <w:rFonts w:ascii="Arial" w:cs="Arial" w:eastAsia="Arial" w:hAnsi="Arial"/>
                <w:sz w:val="13"/>
                <w:szCs w:val="13"/>
                <w:b w:val="1"/>
                <w:bCs w:val="1"/>
                <w:color w:val="auto"/>
              </w:rPr>
              <w:t>2021</w:t>
            </w:r>
          </w:p>
        </w:tc>
        <w:tc>
          <w:tcPr>
            <w:tcW w:w="320" w:type="dxa"/>
            <w:vAlign w:val="bottom"/>
            <w:tcBorders>
              <w:top w:val="single" w:sz="8" w:color="auto"/>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43"/>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Pharvaris Holdings B.V.</w:t>
            </w:r>
          </w:p>
        </w:tc>
        <w:tc>
          <w:tcPr>
            <w:tcW w:w="1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Leiden</w:t>
            </w:r>
          </w:p>
        </w:tc>
        <w:tc>
          <w:tcPr>
            <w:tcW w:w="16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The Netherlands</w:t>
            </w: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Pharvaris Netherlands B.V.</w:t>
            </w:r>
          </w:p>
        </w:tc>
        <w:tc>
          <w:tcPr>
            <w:tcW w:w="2660" w:type="dxa"/>
            <w:vAlign w:val="bottom"/>
            <w:gridSpan w:val="2"/>
          </w:tcPr>
          <w:p>
            <w:pPr>
              <w:ind w:left="1120"/>
              <w:spacing w:after="0"/>
              <w:rPr>
                <w:sz w:val="20"/>
                <w:szCs w:val="20"/>
                <w:color w:val="auto"/>
              </w:rPr>
            </w:pPr>
            <w:r>
              <w:rPr>
                <w:rFonts w:ascii="Arial" w:cs="Arial" w:eastAsia="Arial" w:hAnsi="Arial"/>
                <w:sz w:val="16"/>
                <w:szCs w:val="16"/>
                <w:color w:val="auto"/>
              </w:rPr>
              <w:t>Leiden</w:t>
            </w:r>
          </w:p>
        </w:tc>
        <w:tc>
          <w:tcPr>
            <w:tcW w:w="2820" w:type="dxa"/>
            <w:vAlign w:val="bottom"/>
            <w:gridSpan w:val="3"/>
          </w:tcPr>
          <w:p>
            <w:pPr>
              <w:ind w:left="160"/>
              <w:spacing w:after="0"/>
              <w:rPr>
                <w:sz w:val="20"/>
                <w:szCs w:val="20"/>
                <w:color w:val="auto"/>
              </w:rPr>
            </w:pPr>
            <w:r>
              <w:rPr>
                <w:rFonts w:ascii="Arial" w:cs="Arial" w:eastAsia="Arial" w:hAnsi="Arial"/>
                <w:sz w:val="16"/>
                <w:szCs w:val="16"/>
                <w:color w:val="auto"/>
              </w:rPr>
              <w:t>The Netherlands</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100%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Pharvaris, Inc.</w:t>
            </w:r>
          </w:p>
        </w:tc>
        <w:tc>
          <w:tcPr>
            <w:tcW w:w="2660" w:type="dxa"/>
            <w:vAlign w:val="bottom"/>
            <w:gridSpan w:val="2"/>
            <w:shd w:val="clear" w:color="auto" w:fill="CFF0FC"/>
          </w:tcPr>
          <w:p>
            <w:pPr>
              <w:ind w:left="1120"/>
              <w:spacing w:after="0"/>
              <w:rPr>
                <w:sz w:val="20"/>
                <w:szCs w:val="20"/>
                <w:color w:val="auto"/>
              </w:rPr>
            </w:pPr>
            <w:r>
              <w:rPr>
                <w:rFonts w:ascii="Arial" w:cs="Arial" w:eastAsia="Arial" w:hAnsi="Arial"/>
                <w:sz w:val="16"/>
                <w:szCs w:val="16"/>
                <w:color w:val="auto"/>
              </w:rPr>
              <w:t>Delaware</w:t>
            </w:r>
          </w:p>
        </w:tc>
        <w:tc>
          <w:tcPr>
            <w:tcW w:w="282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United States of America</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20"/>
                <w:szCs w:val="20"/>
                <w:color w:val="auto"/>
              </w:rPr>
            </w:pPr>
            <w:r>
              <w:rPr>
                <w:rFonts w:ascii="Arial" w:cs="Arial" w:eastAsia="Arial" w:hAnsi="Arial"/>
                <w:sz w:val="16"/>
                <w:szCs w:val="16"/>
                <w:color w:val="auto"/>
              </w:rPr>
              <w:t>Pharvaris GmbH</w:t>
            </w:r>
          </w:p>
        </w:tc>
        <w:tc>
          <w:tcPr>
            <w:tcW w:w="2660" w:type="dxa"/>
            <w:vAlign w:val="bottom"/>
            <w:gridSpan w:val="2"/>
          </w:tcPr>
          <w:p>
            <w:pPr>
              <w:ind w:left="1120"/>
              <w:spacing w:after="0"/>
              <w:rPr>
                <w:sz w:val="20"/>
                <w:szCs w:val="20"/>
                <w:color w:val="auto"/>
              </w:rPr>
            </w:pPr>
            <w:r>
              <w:rPr>
                <w:rFonts w:ascii="Arial" w:cs="Arial" w:eastAsia="Arial" w:hAnsi="Arial"/>
                <w:sz w:val="16"/>
                <w:szCs w:val="16"/>
                <w:color w:val="auto"/>
              </w:rPr>
              <w:t>Zug</w:t>
            </w:r>
          </w:p>
        </w:tc>
        <w:tc>
          <w:tcPr>
            <w:tcW w:w="2820" w:type="dxa"/>
            <w:vAlign w:val="bottom"/>
            <w:gridSpan w:val="3"/>
          </w:tcPr>
          <w:p>
            <w:pPr>
              <w:ind w:left="160"/>
              <w:spacing w:after="0"/>
              <w:rPr>
                <w:sz w:val="20"/>
                <w:szCs w:val="20"/>
                <w:color w:val="auto"/>
              </w:rPr>
            </w:pPr>
            <w:r>
              <w:rPr>
                <w:rFonts w:ascii="Arial" w:cs="Arial" w:eastAsia="Arial" w:hAnsi="Arial"/>
                <w:sz w:val="16"/>
                <w:szCs w:val="16"/>
                <w:color w:val="auto"/>
              </w:rPr>
              <w:t>Switzerland</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100%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Pharvaris, Inc. and Pharvaris GmbH were incorporated on January 31, 2020 and March 27, 2020 respectively. Pharvaris, Inc. acts as a service provider to the principal Company of the Group. Pharvaris GmbH is the principal Company of the Group starting April 1, 2020. The principal Company faces the market/external parties and makes all operational group decisions.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ultimate parent company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181" w:lineRule="exact"/>
        <w:rPr>
          <w:sz w:val="20"/>
          <w:szCs w:val="20"/>
          <w:color w:val="auto"/>
        </w:rPr>
      </w:pPr>
    </w:p>
    <w:p>
      <w:pPr>
        <w:ind w:left="180" w:hanging="172"/>
        <w:spacing w:after="0"/>
        <w:tabs>
          <w:tab w:leader="none" w:pos="18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 Basis of preparation</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consolidated financial statements of the Group have been prepared in accordance with International Financial Reporting Standards (IFRS) as issued by the International Accounting Standards Board (IASB).</w:t>
      </w:r>
    </w:p>
    <w:p>
      <w:pPr>
        <w:spacing w:after="0" w:line="11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consolidated financial statements have been prepared on a historical cost basis. Unless otherwise stated, the consolidated financial statements are presented in Euro and all values are rounded to the nearest EUR (€), except per share amounts.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Going concern</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This makes the Group dependent on external capital sources, debt capital and equity capital. The Group is currently fully financed by equity capital.</w:t>
      </w:r>
    </w:p>
    <w:p>
      <w:pPr>
        <w:spacing w:after="0" w:line="141"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As of December 31, 2021 and 2020, the Group had cash and cash equivalents of €209.4 million and €98.6 million respectively. The Group incurred net losses of €42.7 million in 2021, €26.0 million in 2020 and €8.0 million in 2019 and negative operating cash flows of €44.6 million, €21.5 million and €6.7 million in 2021, 2020 and 2019 respectively.</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Group does not expect positive operating cash flows in the foreseeable future and remains dependent on additional financing to fund its research and development expenses, general and administrative expenses and financing costs. However, the Group believes that the available cash balances are sufficient to execute the Group’s operating plan and strategies and to meet the anticipated working capital requirements and settle all expected liabilities into the first quarter of 2024. Accordingly, the consolidated financial statements have been prepared on a going concern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COVID-19</w:t>
      </w:r>
    </w:p>
    <w:p>
      <w:pPr>
        <w:spacing w:after="0" w:line="192" w:lineRule="exact"/>
        <w:rPr>
          <w:sz w:val="20"/>
          <w:szCs w:val="20"/>
          <w:color w:val="auto"/>
        </w:rPr>
      </w:pPr>
    </w:p>
    <w:p>
      <w:pPr>
        <w:ind w:right="240" w:firstLine="725"/>
        <w:spacing w:after="0" w:line="266" w:lineRule="auto"/>
        <w:rPr>
          <w:sz w:val="20"/>
          <w:szCs w:val="20"/>
          <w:color w:val="auto"/>
        </w:rPr>
      </w:pPr>
      <w:r>
        <w:rPr>
          <w:rFonts w:ascii="Arial" w:cs="Arial" w:eastAsia="Arial" w:hAnsi="Arial"/>
          <w:sz w:val="16"/>
          <w:szCs w:val="16"/>
          <w:color w:val="auto"/>
        </w:rPr>
        <w:t>The COVID-19 outbreak spread globally and severely restricted the level of economic activity around the world. In response to 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w:t>
      </w:r>
    </w:p>
    <w:p>
      <w:pPr>
        <w:spacing w:after="0" w:line="131" w:lineRule="exact"/>
        <w:rPr>
          <w:sz w:val="20"/>
          <w:szCs w:val="20"/>
          <w:color w:val="auto"/>
        </w:rPr>
      </w:pPr>
    </w:p>
    <w:p>
      <w:pPr>
        <w:ind w:right="420" w:firstLine="725"/>
        <w:spacing w:after="0" w:line="253" w:lineRule="auto"/>
        <w:rPr>
          <w:sz w:val="20"/>
          <w:szCs w:val="20"/>
          <w:color w:val="auto"/>
        </w:rPr>
      </w:pPr>
      <w:r>
        <w:rPr>
          <w:rFonts w:ascii="Arial" w:cs="Arial" w:eastAsia="Arial" w:hAnsi="Arial"/>
          <w:sz w:val="16"/>
          <w:szCs w:val="16"/>
          <w:color w:val="auto"/>
        </w:rPr>
        <w:t>The Group has taken steps to identify and mitigate the adverse effects and risks to it as a result of the pandemic. The Group has modified its business practices, including implementing work from home arrangements for employees able to perform their duties remotely, restricting non-essential travel, and practicing safe social distancing in our operations. The Group expects to continue to take actions as may be required or recommended by government authorities or in the best interests of its employees and business partners. While the impact of COVID-19 on the Group’s operations and financial performance has so far been limited, the extent to which COVID-19 may impact its financial condition or results of operations in the future is uncertain. For instance, the ongoing spread of variants of the COVID-19 virus may continue to interrupt, or delay, the Group’s clinical trial activities, regulatory reviews, manufacturing activities and supply chain.</w:t>
      </w:r>
    </w:p>
    <w:p>
      <w:pPr>
        <w:spacing w:after="0" w:line="141" w:lineRule="exact"/>
        <w:rPr>
          <w:sz w:val="20"/>
          <w:szCs w:val="20"/>
          <w:color w:val="auto"/>
        </w:rPr>
      </w:pPr>
    </w:p>
    <w:p>
      <w:pPr>
        <w:ind w:right="20" w:firstLine="725"/>
        <w:spacing w:after="0" w:line="253" w:lineRule="auto"/>
        <w:rPr>
          <w:sz w:val="20"/>
          <w:szCs w:val="20"/>
          <w:color w:val="auto"/>
        </w:rPr>
      </w:pPr>
      <w:r>
        <w:rPr>
          <w:rFonts w:ascii="Arial" w:cs="Arial" w:eastAsia="Arial" w:hAnsi="Arial"/>
          <w:sz w:val="16"/>
          <w:szCs w:val="16"/>
          <w:color w:val="auto"/>
        </w:rPr>
        <w:t>The COVID-19 outbreak delayed, and may continue to delay, enrollment in the Group’s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in 2020, the Company experienced an approximate two-month delay in starting the enrollment of its now completed Phase 1 multiple ascending dose study of PHA121 in healthy volunteers as a result of COVID-19. In addition, even with the Group’s distributed operations, employee vaccinations and its observation of social distancing measures, there remains the possibility that key personnel may become ill or are otherwise unable to work, which could affect the Group’s operations.</w:t>
      </w:r>
    </w:p>
    <w:p>
      <w:pPr>
        <w:spacing w:after="0" w:line="154" w:lineRule="exact"/>
        <w:rPr>
          <w:sz w:val="20"/>
          <w:szCs w:val="20"/>
          <w:color w:val="auto"/>
        </w:rPr>
      </w:pPr>
    </w:p>
    <w:p>
      <w:pPr>
        <w:ind w:right="40" w:firstLine="725"/>
        <w:spacing w:after="0" w:line="252" w:lineRule="auto"/>
        <w:rPr>
          <w:sz w:val="20"/>
          <w:szCs w:val="20"/>
          <w:color w:val="auto"/>
        </w:rPr>
      </w:pPr>
      <w:r>
        <w:rPr>
          <w:rFonts w:ascii="Arial" w:cs="Arial" w:eastAsia="Arial" w:hAnsi="Arial"/>
          <w:sz w:val="16"/>
          <w:szCs w:val="16"/>
          <w:color w:val="auto"/>
        </w:rPr>
        <w:t>Furthermore, the spread of the virus may affect the operations of key governmental agencies, such as the FDA, which may delay the development of the Company’s product candidates. The spread of an infectious disease, including COVID-19 may also result in the inability of the Group’s suppliers to deliver components or raw materials, and the inability of the Group’s CDMOs to provide supplies of our product candidates for the Group’s planned clinical trials, on a timely basis or at all. Further, an infectious disease. including COVID-19 may also impact the ability of the Group’s CROs, including nonclinical CROs, to provide services to support the Group’s clinical program.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the Group’s clinical trials, any of which could materially affect the Group’s business, financial condition and results of operations.</w:t>
      </w:r>
    </w:p>
    <w:p>
      <w:pPr>
        <w:spacing w:after="0" w:line="142" w:lineRule="exact"/>
        <w:rPr>
          <w:sz w:val="20"/>
          <w:szCs w:val="20"/>
          <w:color w:val="auto"/>
        </w:rPr>
      </w:pPr>
    </w:p>
    <w:p>
      <w:pPr>
        <w:ind w:right="140" w:firstLine="725"/>
        <w:spacing w:after="0" w:line="259" w:lineRule="auto"/>
        <w:rPr>
          <w:sz w:val="20"/>
          <w:szCs w:val="20"/>
          <w:color w:val="auto"/>
        </w:rPr>
      </w:pPr>
      <w:r>
        <w:rPr>
          <w:rFonts w:ascii="Arial" w:cs="Arial" w:eastAsia="Arial" w:hAnsi="Arial"/>
          <w:sz w:val="16"/>
          <w:szCs w:val="16"/>
          <w:color w:val="auto"/>
        </w:rPr>
        <w:t>The extent to which the COVID-19 pandemic impacts the Group’s business will depend on future developments, which are uncertain and cannot be predicted, including amongst other things, new information which may emerge concerning the severity of the COVID-19 pandemic and the actions to contain COVID-19 or treat its impact, including among other things the effectiveness and outreach of COVID-19 vaccines. If the Group is unable to meet its milestones it might jeopardize our funding opportunities.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Basis of consolidation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Segment reporting</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Group’s Chief Operating Decision Maker (“CODM”). By these criteria, the activities of Pharvaris are considered to be one segment which comprises the discovery, development and commercialization of oral bradykinin B2 receptor antagonists and the segmental analysis is the same as the analysis for Pharvaris as a whole. The Board of directors is identified as the CODM and reviews the consolidated operating results regularly to make decisions about the resources and to assess overall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Foreign currencies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Items included in the financial statements of each of the group’s entities are measured using the currency of the primary economic environment in which the entity operates. The Group’s consolidated financial statements are presented in Euro, which is also the Company’s functional currency.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and balances</w:t>
      </w:r>
    </w:p>
    <w:p>
      <w:pPr>
        <w:spacing w:after="0" w:line="19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w:t>
      </w:r>
    </w:p>
    <w:p>
      <w:pPr>
        <w:spacing w:after="0" w:line="115"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Differences arising on settlement or translation of monetary items are recognized in profit or loss.</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Non-monetary items that are measured in terms of historical cost in a foreign currency are translated using the exchange rates at the dates of the initial transactions.</w:t>
      </w:r>
    </w:p>
    <w:p>
      <w:pPr>
        <w:spacing w:after="0" w:line="115"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directly in other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Notes to the cash flow statement</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cash flow statement has been prepared using the indirect method. The cash and cash equivalents disclosed in the cash flow statement comprises of cash at bank.</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Property, Plant and Equipment</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Depreciation on property, plant and equipment is calculated using the straight-line method to allocate their cost over their estimated useful lives, as follows:</w:t>
      </w:r>
    </w:p>
    <w:p>
      <w:pPr>
        <w:spacing w:after="0" w:line="181" w:lineRule="exact"/>
        <w:rPr>
          <w:sz w:val="20"/>
          <w:szCs w:val="20"/>
          <w:color w:val="auto"/>
        </w:rPr>
      </w:pPr>
    </w:p>
    <w:p>
      <w:pPr>
        <w:ind w:left="1080" w:hanging="411"/>
        <w:spacing w:after="0"/>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Office equipment 3-5 years</w:t>
      </w:r>
    </w:p>
    <w:p>
      <w:pPr>
        <w:spacing w:after="0" w:line="22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1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Gains and losses on disposals are determined by comparing proceeds with the carrying amount and are recognized in the consolidated statements of profit or loss and other comprehensive income.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Financial instruments Recognition and measurement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92"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Financial assets are initially measured at fair value. After the initial measurement, the financial assets are subsequently classified as either measured at amortized cost, fair value through the consolidated statements of profit or loss and comprehensive income.</w:t>
      </w:r>
    </w:p>
    <w:p>
      <w:pPr>
        <w:spacing w:after="0" w:line="11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The Group initially measures a financial asset at its fair value. Financial assets are included in Group’s consolidated statements of financial position when Pharvaris becomes a party to the contractual provisions of the instrument.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Subsequent measurement</w:t>
      </w:r>
    </w:p>
    <w:p>
      <w:pPr>
        <w:spacing w:after="0" w:line="192"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Financial assets are subsequently measured at amortized cost. Financial assets at amortized cost are subsequently measured using the effective interest method and are subject to impairment. Gains and losses are recognized in the consolidated statements of profit or loss and other comprehensive income when the asset is derecognized, modified or impaired.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2021, the Group had the following financial assets to be measured at amortized cost:</w:t>
      </w:r>
    </w:p>
    <w:p>
      <w:pPr>
        <w:spacing w:after="0" w:line="181" w:lineRule="exact"/>
        <w:rPr>
          <w:sz w:val="20"/>
          <w:szCs w:val="20"/>
          <w:color w:val="auto"/>
        </w:rPr>
      </w:pPr>
    </w:p>
    <w:p>
      <w:pPr>
        <w:ind w:left="1080" w:hanging="411"/>
        <w:spacing w:after="0"/>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Cash and cash equivalents</w:t>
      </w:r>
    </w:p>
    <w:p>
      <w:pPr>
        <w:spacing w:after="0" w:line="221" w:lineRule="exact"/>
        <w:rPr>
          <w:rFonts w:ascii="Arial" w:cs="Arial" w:eastAsia="Arial" w:hAnsi="Arial"/>
          <w:sz w:val="16"/>
          <w:szCs w:val="16"/>
          <w:color w:val="auto"/>
        </w:rPr>
      </w:pPr>
    </w:p>
    <w:p>
      <w:pPr>
        <w:ind w:left="1080" w:hanging="411"/>
        <w:spacing w:after="0"/>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Receivables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w:t>
      </w:r>
    </w:p>
    <w:p>
      <w:pPr>
        <w:spacing w:after="0" w:line="19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Financial assets are derecognized when the rights to receive cash flows from the investments have expired or have been transferred and where the Group has transferred substantially all risks and rewards of ownership.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9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Financial liabilities are classified, at initial recognition, as financial liabilities at fair value through other comprehensive income, or fair value through the consolidated statements of profit or loss and other comprehensive income, as payables.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All financial liabilities are recognized initially at fair value and, in the case of loans and borrowings and payables, net of directly attributable transaction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Group’s financial liabilities include trade payables and accrued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measurement</w:t>
      </w:r>
    </w:p>
    <w:p>
      <w:pPr>
        <w:spacing w:after="0" w:line="181"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After initial recognition, trade payables and accrued liabilities are subsequently measured at amortized cost. Gains and losses are recognized in the consolidated statements of profit or loss and other comprehensive income.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Derecognition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financial liability is derecognized when the obligation under the liability is discharged or cancelled or is expired.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Receivables</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Receivables are recognized initially at fair value and subsequently measured at amortized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2.10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bank balances.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2.11 Equity</w:t>
      </w:r>
    </w:p>
    <w:p>
      <w:pPr>
        <w:spacing w:after="0" w:line="194"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1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are classified as equity.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shares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Preferred shares are equity classified as result of:</w:t>
      </w:r>
    </w:p>
    <w:p>
      <w:pPr>
        <w:spacing w:after="0" w:line="194" w:lineRule="exact"/>
        <w:rPr>
          <w:sz w:val="20"/>
          <w:szCs w:val="20"/>
          <w:color w:val="auto"/>
        </w:rPr>
      </w:pPr>
    </w:p>
    <w:p>
      <w:pPr>
        <w:ind w:left="1080" w:right="480" w:hanging="411"/>
        <w:spacing w:after="0" w:line="286"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lack of contractual obligation to deliver cash or another financial asset to another entity, or to exchange financial assets or financial liabilities with another entity under conditions that are potentially unfavorable to the Group.</w:t>
      </w:r>
    </w:p>
    <w:p>
      <w:pPr>
        <w:spacing w:after="0" w:line="115" w:lineRule="exact"/>
        <w:rPr>
          <w:rFonts w:ascii="Arial" w:cs="Arial" w:eastAsia="Arial" w:hAnsi="Arial"/>
          <w:sz w:val="16"/>
          <w:szCs w:val="16"/>
          <w:color w:val="auto"/>
        </w:rPr>
      </w:pPr>
    </w:p>
    <w:p>
      <w:pPr>
        <w:ind w:left="1080" w:hanging="411"/>
        <w:spacing w:after="0"/>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 contractual obligation to transfer an amount (dividend) independent of the entity’s available economic resources.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the shareholders’ agreement, all of the outstanding preferred shares were automatically converted into ordinary shares upon the consummation of the IPO. The conversion rate for the preferred shares is calculated by reference to the original issue price of relevant preferred shares, adjusted for certain anti-dilution protections.</w:t>
      </w:r>
    </w:p>
    <w:p>
      <w:pPr>
        <w:spacing w:after="0" w:line="131"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The holders of the outstanding preferred shares are entitled to convert the preferred shares, at any time, without payment of additional consideration into ordinary shares at a conversion rate of 1:1 which conversion rate shall be adjusted so as to reflect this ratio after any amendment of the nominal value by means of any stock splits, reclassification of shares and similar events.</w:t>
      </w:r>
    </w:p>
    <w:p>
      <w:pPr>
        <w:spacing w:after="0" w:line="13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Group issued three classes of preferred shares, convertible preferred shares A, the convertible preferred shares B and the convertible preferred shares C. The dividend preference is noncumulative and is only applicable when the general meeting of shareholder’s decides to make a profit distribution (Note 12).</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Preferred shares A, convertible preferred shares B and convertible preferred shares C</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Preferred shares A, preferred shares B and preferred shares C have a dividend preference over ordinary shares. In addition, preferred shares A, preferred shares B and preferred shares C have an anti-dilution protection that is not applicable for ordinary shares. The anti-dilution protection is under the full control of the Group and does not affect the equity classification of the preferred shares A, preferred shares B and preferred shares C. Per 31 December 2021 there were no outstanding preferred shares.</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Preferred shares A, preferred shares B and preferred shares C qualify as equity. Dividends paid on the preference shares are treated as profit appropriation.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2.12 Trade and other payables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are obligations to pay for goods or services that have been acquired in the ordinary course of business from suppliers.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are classified as current liabilities if payment is due within one year or less (or in the normal operating cycle of the business if longer).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If not, they are presented as non-current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 IFRS 16 Leases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Lease policies and disclosure are related to leases entered into in the second quarter of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All leases are accounted for by recognizing a right-of-use asset and a lease liability except for:</w:t>
      </w:r>
    </w:p>
    <w:p>
      <w:pPr>
        <w:spacing w:after="0" w:line="21" w:lineRule="exact"/>
        <w:rPr>
          <w:sz w:val="20"/>
          <w:szCs w:val="20"/>
          <w:color w:val="auto"/>
        </w:rPr>
      </w:pPr>
    </w:p>
    <w:p>
      <w:pPr>
        <w:ind w:left="100" w:hanging="92"/>
        <w:spacing w:after="0"/>
        <w:tabs>
          <w:tab w:leader="none" w:pos="1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leases of low value assets; and</w:t>
      </w:r>
    </w:p>
    <w:p>
      <w:pPr>
        <w:spacing w:after="0" w:line="164" w:lineRule="exact"/>
        <w:rPr>
          <w:rFonts w:ascii="Arial" w:cs="Arial" w:eastAsia="Arial" w:hAnsi="Arial"/>
          <w:sz w:val="16"/>
          <w:szCs w:val="16"/>
          <w:color w:val="auto"/>
        </w:rPr>
      </w:pPr>
    </w:p>
    <w:p>
      <w:pPr>
        <w:ind w:left="100" w:hanging="92"/>
        <w:spacing w:after="0"/>
        <w:tabs>
          <w:tab w:leader="none" w:pos="1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leases with a duration of 12 months or less.</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Lease liabilities are measured at the present value of the contractual payments due to the lessor over the lease term, with the Group’s incremental borrowing rate on commencement of the lease used.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On initial recognition, the carrying value of the lease liability also includes:</w:t>
      </w:r>
    </w:p>
    <w:p>
      <w:pPr>
        <w:spacing w:after="0" w:line="208" w:lineRule="exact"/>
        <w:rPr>
          <w:sz w:val="20"/>
          <w:szCs w:val="20"/>
          <w:color w:val="auto"/>
        </w:rPr>
      </w:pPr>
    </w:p>
    <w:p>
      <w:pPr>
        <w:ind w:right="1740" w:firstLine="8"/>
        <w:spacing w:after="0" w:line="286" w:lineRule="auto"/>
        <w:tabs>
          <w:tab w:leader="none" w:pos="10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penalties payable for terminating the lease, if the term of the lease has been estimated on the basis of termination option being exercised.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Right of use assets are initially measured at the amount of the lease liability, reduced for any lease incentives received, and increased for:</w:t>
      </w:r>
    </w:p>
    <w:p>
      <w:pPr>
        <w:spacing w:after="0" w:line="208" w:lineRule="exact"/>
        <w:rPr>
          <w:sz w:val="20"/>
          <w:szCs w:val="20"/>
          <w:color w:val="auto"/>
        </w:rPr>
      </w:pPr>
    </w:p>
    <w:p>
      <w:pPr>
        <w:ind w:left="100" w:hanging="92"/>
        <w:spacing w:after="0"/>
        <w:tabs>
          <w:tab w:leader="none" w:pos="1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lease payments made at or before commencement of the lease;</w:t>
      </w:r>
    </w:p>
    <w:p>
      <w:pPr>
        <w:spacing w:after="0" w:line="21" w:lineRule="exact"/>
        <w:rPr>
          <w:rFonts w:ascii="Arial" w:cs="Arial" w:eastAsia="Arial" w:hAnsi="Arial"/>
          <w:sz w:val="16"/>
          <w:szCs w:val="16"/>
          <w:color w:val="auto"/>
        </w:rPr>
      </w:pPr>
    </w:p>
    <w:p>
      <w:pPr>
        <w:ind w:left="100" w:hanging="92"/>
        <w:spacing w:after="0"/>
        <w:tabs>
          <w:tab w:leader="none" w:pos="1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initial direct costs incurred; and</w:t>
      </w:r>
    </w:p>
    <w:p>
      <w:pPr>
        <w:spacing w:after="0" w:line="5" w:lineRule="exact"/>
        <w:rPr>
          <w:rFonts w:ascii="Arial" w:cs="Arial" w:eastAsia="Arial" w:hAnsi="Arial"/>
          <w:sz w:val="16"/>
          <w:szCs w:val="16"/>
          <w:color w:val="auto"/>
        </w:rPr>
      </w:pPr>
    </w:p>
    <w:p>
      <w:pPr>
        <w:ind w:left="100" w:hanging="92"/>
        <w:spacing w:after="0"/>
        <w:tabs>
          <w:tab w:leader="none" w:pos="1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amount of any provision recognized where the Group is contractually required to dismantle, remove or restore the leased asset.</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Subsequent to initial measurement lease liabilities increase as a result of interest charged at a constant rate on the balance outstanding and are reduced for lease payments made. Right-of-use assets are amortised on a straight-line basis over the remaining term of the lease.</w:t>
      </w:r>
    </w:p>
    <w:p>
      <w:pPr>
        <w:spacing w:after="0" w:line="115"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When the Group revises its estimate of the term of any lease, it adjusts the carrying amount of the lease liability to reflect the payments to make over the revised term, which are discounted using a revised discount 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2.14 Current and deferred income tax</w:t>
      </w:r>
    </w:p>
    <w:p>
      <w:pPr>
        <w:spacing w:after="0" w:line="181"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The tax expense for the period comprises current and deferred tax. Tax effects are recognized in the consolidated statements of income or loss and comprehensive income, except to the extent that it relates to items recognized in other comprehensive income or directly in equity.</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37"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Deferred income tax assets are recognized only to the extent that it is probable that future taxable profit will be available against which the temporary differences and/or tax losses carried forward can be utilized.</w:t>
      </w:r>
    </w:p>
    <w:p>
      <w:pPr>
        <w:spacing w:after="0" w:line="115"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 Deferred tax balances are not discounted.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2.15 Share-based payment</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services received from the participants is recognized as an expense. The total amount to be expensed is determined by reference to the grant date fair value of the equity instruments granted, including the impact of any market performance vesting conditions.</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Service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If the length of the vesting period varies depending on when a non-market performance condition is satisfied, the total expense is recognized over the expected vesting period. The Group recognizes the impact of the revision to previous estimates, if any, in the consolidated statements of profit or loss and other comprehensive income, with a corresponding adjustment to equity.</w:t>
      </w:r>
    </w:p>
    <w:p>
      <w:pPr>
        <w:spacing w:after="0" w:line="13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When options are exercised, the Company issues new shares. The proceeds received net of any directly attributable transaction costs are credited to share capital (nominal value) and share premium when the options are exercised.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2.16 Expenses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2021 or 2020. See Note 3 for information relating to research and development expenses incurred in the reporting period.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At each balance sheet date, the Group estimates the level of services performed by the vendors and the associated cost incurred for the services performed.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Expenses are recognized in Group’s consolidated statements of profit or loss and other comprehensive income as expenses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Personnel expenses</w:t>
      </w:r>
    </w:p>
    <w:p>
      <w:pPr>
        <w:spacing w:after="0" w:line="19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Wages and salaries, social security contributions, paid leave and bonuses, and other employee benefits are recognized in the financial year in which the employee provide the associated services.</w:t>
      </w:r>
    </w:p>
    <w:p>
      <w:pPr>
        <w:spacing w:after="0" w:line="11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group’s pension plans are classified as defined contribution plans, and, accordingly, no pension obligations are recognized in the balance sheet. Costs relating to defined contribution plans are included in the income statement in the period in which they are incurred, and outstanding contributions are included in other payables.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2.17 New and amended standards and interpretations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16 Leases: Covid-19-Related Rent Concessions</w:t>
      </w:r>
    </w:p>
    <w:p>
      <w:pPr>
        <w:spacing w:after="0" w:line="17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May 2020, the International Accounting Standards Board (Board) issued Covid-19-Related Rent Concessions, which amended IFRS 16 Leases. The amendment permits lessees, as a practical expedient, not to assess whether particular rent concessions occurring as a direct consequence of the covid-19 pandemic are lease modifications and instead to account for those rent concessions as if they are not lease modifications.</w:t>
      </w:r>
    </w:p>
    <w:p>
      <w:pPr>
        <w:spacing w:after="0" w:line="1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amendment is effective on June 30, 2020 and has been adopted by the Group. The Group has assessed the amendment of IFRS 16 Leases’ full impact and concludes that the amendment has no effect on the Group’s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2.18 Standards issued but not yet effective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standards and interpretations that are issued, but not yet effective, up to the date of issuance of the Group’s financial statements are disclosed below.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Group intends to adopt these standards, if applicable, when they become effective.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Amendments to IAS 1: Classification of Liabilities as Current or Non-current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January 2020, the IASB issued amendments to paragraphs 69 to 76 of IAS 1 to specify the requirements for classifying liabilities as current or non-current.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clarify:</w:t>
      </w:r>
    </w:p>
    <w:p>
      <w:pPr>
        <w:spacing w:after="0" w:line="165" w:lineRule="exact"/>
        <w:rPr>
          <w:sz w:val="20"/>
          <w:szCs w:val="20"/>
          <w:color w:val="auto"/>
        </w:rPr>
      </w:pPr>
    </w:p>
    <w:p>
      <w:pPr>
        <w:ind w:left="1080" w:hanging="411"/>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What is meant by a right to defer settlement</w:t>
      </w:r>
    </w:p>
    <w:p>
      <w:pPr>
        <w:spacing w:after="0" w:line="221" w:lineRule="exact"/>
        <w:rPr>
          <w:rFonts w:ascii="Arial" w:cs="Arial" w:eastAsia="Arial" w:hAnsi="Arial"/>
          <w:sz w:val="16"/>
          <w:szCs w:val="16"/>
          <w:color w:val="auto"/>
        </w:rPr>
      </w:pPr>
    </w:p>
    <w:p>
      <w:pPr>
        <w:ind w:left="1080" w:hanging="411"/>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That a right to defer must exist at the end of the reporting period</w:t>
      </w:r>
    </w:p>
    <w:p>
      <w:pPr>
        <w:spacing w:after="0" w:line="221" w:lineRule="exact"/>
        <w:rPr>
          <w:rFonts w:ascii="Arial" w:cs="Arial" w:eastAsia="Arial" w:hAnsi="Arial"/>
          <w:sz w:val="16"/>
          <w:szCs w:val="16"/>
          <w:color w:val="auto"/>
        </w:rPr>
      </w:pPr>
    </w:p>
    <w:p>
      <w:pPr>
        <w:ind w:left="1080" w:hanging="411"/>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That classification is unaffected by the likelihood that an entity will exercise its deferral right</w:t>
      </w:r>
    </w:p>
    <w:p>
      <w:pPr>
        <w:spacing w:after="0" w:line="221" w:lineRule="exact"/>
        <w:rPr>
          <w:rFonts w:ascii="Arial" w:cs="Arial" w:eastAsia="Arial" w:hAnsi="Arial"/>
          <w:sz w:val="16"/>
          <w:szCs w:val="16"/>
          <w:color w:val="auto"/>
        </w:rPr>
      </w:pPr>
    </w:p>
    <w:p>
      <w:pPr>
        <w:ind w:left="1080" w:right="840" w:hanging="411"/>
        <w:spacing w:after="0" w:line="286"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That only if an embedded derivative in a convertible liability is itself an equity instrument would the terms of a liability not impact its classification</w:t>
      </w:r>
    </w:p>
    <w:p>
      <w:pPr>
        <w:spacing w:after="0" w:line="11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amendments are effective for annual reporting periods beginning on or after 1 January 2023 and must be applied retrospectively. The amendments are not expected to have a material impact on the Group.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Reference to the Conceptual Framework – Amendments to IFRS 3</w:t>
      </w:r>
    </w:p>
    <w:p>
      <w:pPr>
        <w:spacing w:after="0" w:line="19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May 2020, the IASB issued Amendments to IFRS 3 Business Combinations—Reference to the Conceptual Framework. The amendments are intended to replace a reference to the Framework for the Preparation and Presentation of Financial Statements, issued in 1989, with a reference to the Conceptual Framework for Financial Reporting issued in March 2018 without significantly changing its requirements.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IASB also added an exception to the recognition principle of IFRS 3 to avoid the issue of potential ‘day 2’ gains or losses arising for liabilities and contingent liabilities that would be within the scope of IAS 37 or IFRIC 21 Levies, if incurred separately. At the same time, the IASB decided to clarify existing guidance in IFRS 3 for contingent assets that would not be affected by replacing the reference to the Framework for the Preparation and Presentation of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are effective for annual reporting periods beginning on or after 1 January 2022 and apply prospectively.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Plant and Equipment: Proceeds before Intended Use – Amendments to IAS 16</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May 2020, the IASB issued Property, Plant and Equipment — Proceeds before Intended Use, which prohibits entities deducting from the cost of an item of property, plant and equipment, any proceeds from selling items produced while bringing that asset to the location and condition necessary for it to be capable of operating in the manner intended by management. Instead, an entity recognizes the proceeds from selling such items, and the costs of producing those items, in profit or loss.</w:t>
      </w:r>
    </w:p>
    <w:p>
      <w:pPr>
        <w:spacing w:after="0" w:line="13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amendment is effective for annual reporting periods beginning on or after 1 January 2022 and must be applied retrospectively to items of property, plant and equipment made available for use on or after the beginning of the earliest period presented when the entity first applies the amendment. The amendments are not expected to have a material impact on the Group.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Onerous Contracts – Costs of Fulfilling a Contract – Amendments to IAS 37</w:t>
      </w:r>
    </w:p>
    <w:p>
      <w:pPr>
        <w:spacing w:after="0" w:line="179"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In May 2020, the IASB issued amendments to IAS 37 to specify which costs an entity needs to include when assessing whether a contract is onerous or loss-making.</w:t>
      </w:r>
    </w:p>
    <w:p>
      <w:pPr>
        <w:spacing w:after="0" w:line="115"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amendments apply a “directly related cost approach”. The costs that relate directly to a contract to provide goods or services include both incremental costs and an allocation of costs directly related to contract activities. General and administrative costs do not relate directly to a contract and are excluded unless they are explicitly chargeable to the counterparty under the contract.</w:t>
      </w:r>
    </w:p>
    <w:p>
      <w:pPr>
        <w:spacing w:after="0" w:line="144"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The amendments are effective for annual reporting periods beginning on or after 1 January 2022. The Group will apply these amendments to contracts for which it has not yet fulfilled all its obligations at the beginning of the annual reporting period in which it first applies the amendments.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9 Financial Instruments – Fees in the ‘10 per cent’ test for derecognition of financial liabilities</w:t>
      </w:r>
    </w:p>
    <w:p>
      <w:pPr>
        <w:spacing w:after="0" w:line="17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As part of its 2018-2020 annual improvements to IFRS standards process the IASB issued amendment to IFRS 9. The amendment clarifies the fees that an entity includes when assessing whether the terms of a new or modified financial liability are substantially different from the terms of the original financial liability. These fees include only those paid or received between the borrower and the lender, including fees paid or received by either the borrower or lender on the other’s behalf. An entity applies the amendment to financial liabilities that are modified or exchanged on or after the beginning of the annual reporting period in which the entity first applies the amendment.</w:t>
      </w:r>
    </w:p>
    <w:p>
      <w:pPr>
        <w:spacing w:after="0" w:line="15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amendment is effective for annual reporting periods beginning on or after 1 January 2022 with earlier adoption permitted. The Group will apply the amendments to financial liabilities that are modified or exchanged on or after the beginning of the annual reporting period in which the entity first applies the amendment. The amendments are not expected to have a material impact on the Group.</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Benchmark Reform – Phase 2: Amendments to IFRS 9, IAS 39, IFRS 7, IFRS 4 and IFRS 16</w:t>
      </w:r>
    </w:p>
    <w:p>
      <w:pPr>
        <w:spacing w:after="0" w:line="19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amendments provide temporary reliefs which address the financial reporting effects when an interbank offered rate (IBOR) is replaced with an alternative nearly risk-free interest rate (RFR). The amendments provide the following reliefs: (i) requires contractual changes, or changes to cash flows that are directly required by the reform, to be treated as changes to a floating interest rate, equivalent to a movement in a market rate of interest (ii) permits changes required by IBOR reform to be made to hedge designations and hedge documentation without the hedging relationship being discontinued and (iii) provides temporary relief to entities from having to meet the separately identifiable requirement when an RFR instrument is designated as a hedge of a risk component These amendments had no impact on the consolidated financial statements of the Group. The Group intends to use the practical expedients in future periods if they become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Covid-19-Related Rent Concessions beyond 30 June 2021 Amendments to IFRS 16</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28 May 2020, the IASB issued Covid-19-Related Rent Concessions - amendment to IFRS 16 Leases The amendments provide relief to lessees from applying IFRS 16 guidance on lease modification accounting for rent concessions arising as a direct consequence of the Covid-19 pandemic. As a practical expedient, a lessee may elect not to assess whether a Covid-19 related rent concession from a lessor is a lease modification. A lessee that makes this election accounts for any change in lease payments resulting from the Covid-19 related rent concession the same way it would account for the change under IFRS 16 if the change were not a lease modification. The amendment was intended to apply until 30 June 2021, but as the impact of the Covid-19 pandemic is continuing, on 31 March 2021, the IASB extended the period of application of the practical expedient to 30 June 2022.The amendment applies to annual reporting periods beginning on or after 1 April 2021. However, the Company has not received Covid-19-related rent concessions.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tax related to Assets and Liabilities arising from a single transaction</w:t>
      </w:r>
    </w:p>
    <w:p>
      <w:pPr>
        <w:spacing w:after="0" w:line="17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On May 7, 2021 the IASB issued Deferred Tax related to Assets and Liabilities arising from a Single Transaction (Amendments to IAS 12), which specifies how companies should account for deferred tax on transactions such as leases and decommissioning obligations. The amendments clarify that no exemption applies on such transactions and that companies are required to recognize deferred tax when they recognize the related assets or liabilities for the first time. The amendments are effective for annual reporting periods beginning on or after January 1, 2023, with early application permitted.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2.19 Significant accounting judgements, estimates and assumptions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3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15"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payments</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2.15. The total amount to be expensed is determined by reference to the fair value of the options or restricted stock units granted. The fair value is measured at the date of grant using an Option Pricing model as further explained in Note 18.</w:t>
      </w:r>
    </w:p>
    <w:p>
      <w:pPr>
        <w:spacing w:after="0" w:line="137" w:lineRule="exact"/>
        <w:rPr>
          <w:sz w:val="20"/>
          <w:szCs w:val="20"/>
          <w:color w:val="auto"/>
        </w:rPr>
      </w:pPr>
    </w:p>
    <w:p>
      <w:pPr>
        <w:jc w:val="both"/>
        <w:ind w:right="300"/>
        <w:spacing w:after="0" w:line="286" w:lineRule="auto"/>
        <w:rPr>
          <w:sz w:val="20"/>
          <w:szCs w:val="20"/>
          <w:color w:val="auto"/>
        </w:rPr>
      </w:pPr>
      <w:r>
        <w:rPr>
          <w:rFonts w:ascii="Arial" w:cs="Arial" w:eastAsia="Arial" w:hAnsi="Arial"/>
          <w:sz w:val="16"/>
          <w:szCs w:val="16"/>
          <w:color w:val="auto"/>
        </w:rPr>
        <w:t>Due to the lack of quoted market prices, the Group has determined the fair value for the measurement of the equity-settled transactions at the grant date considering certain assumptions relating to the volatility of stock price, the determination of an appropriate risk-free interest rate and expected dividends.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(Note 2.16 and Note 3).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Research and development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5440" w:type="dxa"/>
            <w:vAlign w:val="bottom"/>
          </w:tcPr>
          <w:p>
            <w:pPr>
              <w:spacing w:after="0"/>
              <w:rPr>
                <w:sz w:val="13"/>
                <w:szCs w:val="13"/>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88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r>
      <w:tr>
        <w:trPr>
          <w:trHeight w:val="142"/>
        </w:trPr>
        <w:tc>
          <w:tcPr>
            <w:tcW w:w="544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8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80" w:type="dxa"/>
            <w:vAlign w:val="bottom"/>
            <w:tcBorders>
              <w:bottom w:val="single" w:sz="8" w:color="CFF0FC"/>
            </w:tcBorders>
          </w:tcPr>
          <w:p>
            <w:pPr>
              <w:spacing w:after="0"/>
              <w:rPr>
                <w:sz w:val="12"/>
                <w:szCs w:val="12"/>
                <w:color w:val="auto"/>
              </w:rPr>
            </w:pPr>
          </w:p>
        </w:tc>
      </w:tr>
      <w:tr>
        <w:trPr>
          <w:trHeight w:val="196"/>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 (Note 5)</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(7,988,097)</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(2,951,323)</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(131,544)</w:t>
            </w:r>
          </w:p>
        </w:tc>
        <w:tc>
          <w:tcPr>
            <w:tcW w:w="8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Clinical expenses</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(16,944,557)</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(8,748,748)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(2,009,892)</w:t>
            </w:r>
          </w:p>
        </w:tc>
      </w:tr>
      <w:tr>
        <w:trPr>
          <w:trHeight w:val="203"/>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Nonclinical expenses</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(3,891,479)</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(3,322,590)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(1,850,444)</w:t>
            </w: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Manufacturing costs</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(6,325,068)</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(4,311,958)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(1,379,590)</w:t>
            </w:r>
          </w:p>
        </w:tc>
      </w:tr>
      <w:tr>
        <w:trPr>
          <w:trHeight w:val="203"/>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License costs</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(500,000)</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(300,000)</w:t>
            </w: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(139,966)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(173,482)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(13,092)</w:t>
            </w:r>
          </w:p>
        </w:tc>
      </w:tr>
      <w:tr>
        <w:trPr>
          <w:trHeight w:val="196"/>
        </w:trPr>
        <w:tc>
          <w:tcPr>
            <w:tcW w:w="5440" w:type="dxa"/>
            <w:vAlign w:val="bottom"/>
            <w:tcBorders>
              <w:top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(35,789,166)</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(19,508,101)</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(5,684,562</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Development expenses are currently not capitalized but are recorded in consolidated statements of profit or loss and other comprehensive income because the recognition criteria for capitalization are not met.</w:t>
      </w:r>
    </w:p>
    <w:p>
      <w:pPr>
        <w:spacing w:after="0" w:line="1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the clinical development programs.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2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License costs consist of a milestone payment of €500,000 which was paid to AnalytiCon upon commencement of Phase 2 development.</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General and administrative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5340" w:type="dxa"/>
            <w:vAlign w:val="bottom"/>
          </w:tcPr>
          <w:p>
            <w:pPr>
              <w:spacing w:after="0"/>
              <w:rPr>
                <w:sz w:val="13"/>
                <w:szCs w:val="13"/>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108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r>
      <w:tr>
        <w:trPr>
          <w:trHeight w:val="142"/>
        </w:trPr>
        <w:tc>
          <w:tcPr>
            <w:tcW w:w="534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80" w:type="dxa"/>
            <w:vAlign w:val="bottom"/>
            <w:tcBorders>
              <w:bottom w:val="single" w:sz="8" w:color="CFF0FC"/>
            </w:tcBorders>
          </w:tcPr>
          <w:p>
            <w:pPr>
              <w:spacing w:after="0"/>
              <w:rPr>
                <w:sz w:val="12"/>
                <w:szCs w:val="12"/>
                <w:color w:val="auto"/>
              </w:rPr>
            </w:pPr>
          </w:p>
        </w:tc>
      </w:tr>
      <w:tr>
        <w:trPr>
          <w:trHeight w:val="196"/>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 (Note 5)</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(7,033,913)</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(1,490,674)</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(49,601)</w:t>
            </w:r>
          </w:p>
        </w:tc>
        <w:tc>
          <w:tcPr>
            <w:tcW w:w="8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rPr>
              <w:t>Consulting fees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(757,233)</w:t>
            </w:r>
          </w:p>
        </w:tc>
        <w:tc>
          <w:tcPr>
            <w:tcW w:w="1240" w:type="dxa"/>
            <w:vAlign w:val="bottom"/>
            <w:gridSpan w:val="2"/>
          </w:tcPr>
          <w:p>
            <w:pPr>
              <w:jc w:val="right"/>
              <w:ind w:right="59"/>
              <w:spacing w:after="0"/>
              <w:rPr>
                <w:sz w:val="20"/>
                <w:szCs w:val="20"/>
                <w:color w:val="auto"/>
              </w:rPr>
            </w:pPr>
            <w:r>
              <w:rPr>
                <w:rFonts w:ascii="Arial" w:cs="Arial" w:eastAsia="Arial" w:hAnsi="Arial"/>
                <w:sz w:val="16"/>
                <w:szCs w:val="16"/>
                <w:color w:val="auto"/>
              </w:rPr>
              <w:t>(1,042,195)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(990,730)</w:t>
            </w:r>
          </w:p>
        </w:tc>
      </w:tr>
      <w:tr>
        <w:trPr>
          <w:trHeight w:val="203"/>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(2,868,684)</w:t>
            </w:r>
          </w:p>
        </w:tc>
        <w:tc>
          <w:tcPr>
            <w:tcW w:w="12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(943,322)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(495,326)</w:t>
            </w: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(1,306,714)</w:t>
            </w:r>
          </w:p>
        </w:tc>
        <w:tc>
          <w:tcPr>
            <w:tcW w:w="1240" w:type="dxa"/>
            <w:vAlign w:val="bottom"/>
            <w:gridSpan w:val="2"/>
          </w:tcPr>
          <w:p>
            <w:pPr>
              <w:jc w:val="right"/>
              <w:ind w:right="59"/>
              <w:spacing w:after="0"/>
              <w:rPr>
                <w:sz w:val="20"/>
                <w:szCs w:val="20"/>
                <w:color w:val="auto"/>
              </w:rPr>
            </w:pPr>
            <w:r>
              <w:rPr>
                <w:rFonts w:ascii="Arial" w:cs="Arial" w:eastAsia="Arial" w:hAnsi="Arial"/>
                <w:sz w:val="16"/>
                <w:szCs w:val="16"/>
                <w:color w:val="auto"/>
              </w:rPr>
              <w:t>(1,275,842)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(300,841)</w:t>
            </w:r>
          </w:p>
        </w:tc>
      </w:tr>
      <w:tr>
        <w:trPr>
          <w:trHeight w:val="203"/>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Facilities, communication and office expenses</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(5,648,763)</w:t>
            </w:r>
          </w:p>
        </w:tc>
        <w:tc>
          <w:tcPr>
            <w:tcW w:w="12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(551,223)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(236,904)</w:t>
            </w: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rPr>
              <w:t>Travel expenses</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(143,582)</w:t>
            </w:r>
          </w:p>
        </w:tc>
        <w:tc>
          <w:tcPr>
            <w:tcW w:w="1240" w:type="dxa"/>
            <w:vAlign w:val="bottom"/>
            <w:gridSpan w:val="2"/>
          </w:tcPr>
          <w:p>
            <w:pPr>
              <w:jc w:val="right"/>
              <w:ind w:right="59"/>
              <w:spacing w:after="0"/>
              <w:rPr>
                <w:sz w:val="20"/>
                <w:szCs w:val="20"/>
                <w:color w:val="auto"/>
              </w:rPr>
            </w:pPr>
            <w:r>
              <w:rPr>
                <w:rFonts w:ascii="Arial" w:cs="Arial" w:eastAsia="Arial" w:hAnsi="Arial"/>
                <w:sz w:val="16"/>
                <w:szCs w:val="16"/>
                <w:color w:val="auto"/>
              </w:rPr>
              <w:t>(26,773)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(167,062)</w:t>
            </w:r>
          </w:p>
        </w:tc>
      </w:tr>
      <w:tr>
        <w:trPr>
          <w:trHeight w:val="203"/>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(590,571)</w:t>
            </w:r>
          </w:p>
        </w:tc>
        <w:tc>
          <w:tcPr>
            <w:tcW w:w="12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(168,462)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(85,255)</w:t>
            </w:r>
          </w:p>
        </w:tc>
      </w:tr>
      <w:tr>
        <w:trPr>
          <w:trHeight w:val="196"/>
        </w:trPr>
        <w:tc>
          <w:tcPr>
            <w:tcW w:w="53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(18,349,460</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(5,498,491</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(2,325,719</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2020 the Group entered into a number of lease arrangements, which were assessed to be short-term leases (with a lease term of 12 months equaling its non-cancellable period). The total outflow for the leases in 2021 was €199,111 (2020: €119,627 / 2019: € 78,897) and is included in the Facilities, communication &amp; office expenses.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Depreciation expenses of €77,370 (2020 &amp; 2019: €7,401 and €549 respectively) related to property, plant and equipment and leases is included in the other expenses.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Personnel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5380" w:type="dxa"/>
            <w:vAlign w:val="bottom"/>
          </w:tcPr>
          <w:p>
            <w:pPr>
              <w:spacing w:after="0"/>
              <w:rPr>
                <w:sz w:val="13"/>
                <w:szCs w:val="13"/>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3"/>
                <w:szCs w:val="13"/>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102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r>
      <w:tr>
        <w:trPr>
          <w:trHeight w:val="142"/>
        </w:trPr>
        <w:tc>
          <w:tcPr>
            <w:tcW w:w="538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FF0FC"/>
            </w:tcBorders>
          </w:tcPr>
          <w:p>
            <w:pPr>
              <w:spacing w:after="0"/>
              <w:rPr>
                <w:sz w:val="12"/>
                <w:szCs w:val="12"/>
                <w:color w:val="auto"/>
              </w:rPr>
            </w:pPr>
          </w:p>
        </w:tc>
      </w:tr>
      <w:tr>
        <w:trPr>
          <w:trHeight w:val="196"/>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Wages and salaries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(6,080,098)</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(2,597,270)</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(50,573)</w:t>
            </w:r>
          </w:p>
        </w:tc>
        <w:tc>
          <w:tcPr>
            <w:tcW w:w="80" w:type="dxa"/>
            <w:vAlign w:val="bottom"/>
            <w:shd w:val="clear" w:color="auto" w:fill="CFF0FC"/>
          </w:tcPr>
          <w:p>
            <w:pPr>
              <w:spacing w:after="0"/>
              <w:rPr>
                <w:sz w:val="17"/>
                <w:szCs w:val="17"/>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Pension charges</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(251,667)</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(72,153)</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(1,750)</w:t>
            </w:r>
          </w:p>
        </w:tc>
      </w:tr>
      <w:tr>
        <w:trPr>
          <w:trHeight w:val="20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Other social security charges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(493,857)</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(184,838)</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(12,675)</w:t>
            </w: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Share-based payments</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(8,196,387)</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(1,587,736)</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(116,147)</w:t>
            </w:r>
          </w:p>
        </w:tc>
      </w:tr>
      <w:tr>
        <w:trPr>
          <w:trHeight w:val="196"/>
        </w:trPr>
        <w:tc>
          <w:tcPr>
            <w:tcW w:w="538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(15,022,010)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(4,441,997)</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(181,145)</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staff (in FTEs) employed by the Group at Dec 31, 2021 was 34 (Dec 31, 2020 &amp; 2019: 14 and 9 respectively).</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6. Finance income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34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differences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11,760,469</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(963,685)</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(10,707)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Interest income / (expenses) over bank balances</w:t>
            </w:r>
          </w:p>
        </w:tc>
        <w:tc>
          <w:tcPr>
            <w:tcW w:w="1260" w:type="dxa"/>
            <w:vAlign w:val="bottom"/>
            <w:gridSpan w:val="4"/>
          </w:tcPr>
          <w:p>
            <w:pPr>
              <w:jc w:val="right"/>
              <w:ind w:right="160"/>
              <w:spacing w:after="0"/>
              <w:rPr>
                <w:sz w:val="20"/>
                <w:szCs w:val="20"/>
                <w:color w:val="auto"/>
              </w:rPr>
            </w:pPr>
            <w:r>
              <w:rPr>
                <w:rFonts w:ascii="Arial" w:cs="Arial" w:eastAsia="Arial" w:hAnsi="Arial"/>
                <w:sz w:val="16"/>
                <w:szCs w:val="16"/>
                <w:color w:val="auto"/>
              </w:rPr>
              <w:t>(267,510)</w:t>
            </w:r>
          </w:p>
        </w:tc>
        <w:tc>
          <w:tcPr>
            <w:tcW w:w="1260" w:type="dxa"/>
            <w:vAlign w:val="bottom"/>
            <w:gridSpan w:val="4"/>
          </w:tcPr>
          <w:p>
            <w:pPr>
              <w:jc w:val="right"/>
              <w:ind w:right="140"/>
              <w:spacing w:after="0"/>
              <w:rPr>
                <w:sz w:val="20"/>
                <w:szCs w:val="20"/>
                <w:color w:val="auto"/>
              </w:rPr>
            </w:pPr>
            <w:r>
              <w:rPr>
                <w:rFonts w:ascii="Arial" w:cs="Arial" w:eastAsia="Arial" w:hAnsi="Arial"/>
                <w:sz w:val="16"/>
                <w:szCs w:val="16"/>
                <w:color w:val="auto"/>
              </w:rPr>
              <w:t>(92,470)</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(4,377)</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Other finance income / (expenses)</w:t>
            </w:r>
          </w:p>
        </w:tc>
        <w:tc>
          <w:tcPr>
            <w:tcW w:w="126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(14,995)</w:t>
            </w:r>
          </w:p>
        </w:tc>
        <w:tc>
          <w:tcPr>
            <w:tcW w:w="1260" w:type="dxa"/>
            <w:vAlign w:val="bottom"/>
            <w:gridSpan w:val="4"/>
            <w:shd w:val="clear" w:color="auto" w:fill="CFF0FC"/>
          </w:tcPr>
          <w:p>
            <w:pPr>
              <w:jc w:val="right"/>
              <w:ind w:right="140"/>
              <w:spacing w:after="0"/>
              <w:rPr>
                <w:sz w:val="20"/>
                <w:szCs w:val="20"/>
                <w:color w:val="auto"/>
              </w:rPr>
            </w:pPr>
            <w:r>
              <w:rPr>
                <w:rFonts w:ascii="Arial" w:cs="Arial" w:eastAsia="Arial" w:hAnsi="Arial"/>
                <w:sz w:val="16"/>
                <w:szCs w:val="16"/>
                <w:color w:val="auto"/>
              </w:rPr>
              <w:t>(6,208)</w:t>
            </w: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11,477,964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(1,062,363)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(16,881)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6"/>
                <w:szCs w:val="16"/>
                <w:color w:val="auto"/>
              </w:rPr>
              <w:t>Other finance expenses mainly relate to financial liabilities.</w:t>
            </w: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480" w:type="dxa"/>
            <w:vAlign w:val="bottom"/>
            <w:gridSpan w:val="2"/>
          </w:tcPr>
          <w:p>
            <w:pPr>
              <w:spacing w:after="0"/>
              <w:rPr>
                <w:sz w:val="20"/>
                <w:szCs w:val="20"/>
                <w:color w:val="auto"/>
              </w:rPr>
            </w:pPr>
            <w:r>
              <w:rPr>
                <w:rFonts w:ascii="Arial" w:cs="Arial" w:eastAsia="Arial" w:hAnsi="Arial"/>
                <w:sz w:val="16"/>
                <w:szCs w:val="16"/>
                <w:b w:val="1"/>
                <w:bCs w:val="1"/>
                <w:color w:val="auto"/>
              </w:rPr>
              <w:t>7. Income taxes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60" w:type="dxa"/>
            <w:vAlign w:val="bottom"/>
            <w:gridSpan w:val="2"/>
          </w:tcPr>
          <w:p>
            <w:pPr>
              <w:jc w:val="right"/>
              <w:ind w:right="308"/>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308"/>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3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right="40"/>
              <w:spacing w:after="0" w:line="142" w:lineRule="exact"/>
              <w:rPr>
                <w:sz w:val="20"/>
                <w:szCs w:val="20"/>
                <w:color w:val="auto"/>
              </w:rPr>
            </w:pPr>
            <w:r>
              <w:rPr>
                <w:rFonts w:ascii="Arial" w:cs="Arial" w:eastAsia="Arial" w:hAnsi="Arial"/>
                <w:sz w:val="13"/>
                <w:szCs w:val="13"/>
                <w:b w:val="1"/>
                <w:bCs w:val="1"/>
                <w:color w:val="auto"/>
                <w:w w:val="82"/>
              </w:rPr>
              <w:t>€</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Current income tax expense</w:t>
            </w:r>
          </w:p>
        </w:tc>
        <w:tc>
          <w:tcPr>
            <w:tcW w:w="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(131,921)</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(16,088)</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Deferred tax benefit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61,804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99,339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benefit / (expense)</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(70,117)</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83,251</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tax benefit over the year ended December 31, 2020 relates to a temporary difference in the Company’s US subsidiary for which a deferred tax asset is recognized, partly offset by the current tax charges relating to the Company’s US subsidiary as the result of a cost-plus agreement between the US entity and the Group’s principal entity resulting in a taxable profit in the United States of America.</w:t>
      </w:r>
    </w:p>
    <w:p>
      <w:pPr>
        <w:spacing w:after="0" w:line="17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Reconciliation of income tax benefit / (expense) at statutory tax rate and the income tax benefit / (expenses) as reported in the consolidated statement of profit or loss and other comprehensive income is as follows: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5360" w:type="dxa"/>
            <w:vAlign w:val="bottom"/>
          </w:tcPr>
          <w:p>
            <w:pPr>
              <w:spacing w:after="0"/>
              <w:rPr>
                <w:sz w:val="13"/>
                <w:szCs w:val="13"/>
                <w:color w:val="auto"/>
              </w:rPr>
            </w:pPr>
          </w:p>
        </w:tc>
        <w:tc>
          <w:tcPr>
            <w:tcW w:w="106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106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r>
      <w:tr>
        <w:trPr>
          <w:trHeight w:val="142"/>
        </w:trPr>
        <w:tc>
          <w:tcPr>
            <w:tcW w:w="536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00" w:type="dxa"/>
            <w:vAlign w:val="bottom"/>
            <w:tcBorders>
              <w:bottom w:val="single" w:sz="8" w:color="CFF0FC"/>
            </w:tcBorders>
          </w:tcPr>
          <w:p>
            <w:pPr>
              <w:spacing w:after="0"/>
              <w:rPr>
                <w:sz w:val="12"/>
                <w:szCs w:val="12"/>
                <w:color w:val="auto"/>
              </w:rPr>
            </w:pP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(42,660,662)</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(26,068,955)</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(8,027,162)</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Income tax benefit at statutory income tax rate of 25%</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(10,665,166)</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(6,517,239)</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(2,006,791)</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Recognition of previously unrecognized deferred tax assets</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(1,629,392)</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Impact of rate differences on opening deferred tax balance</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1,421,141</w:t>
            </w:r>
          </w:p>
        </w:tc>
        <w:tc>
          <w:tcPr>
            <w:tcW w:w="100" w:type="dxa"/>
            <w:vAlign w:val="bottom"/>
          </w:tcPr>
          <w:p>
            <w:pPr>
              <w:spacing w:after="0"/>
              <w:rPr>
                <w:sz w:val="17"/>
                <w:szCs w:val="17"/>
                <w:color w:val="auto"/>
              </w:rPr>
            </w:pPr>
          </w:p>
        </w:tc>
      </w:tr>
      <w:tr>
        <w:trPr>
          <w:trHeight w:val="188"/>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Non-deductible expenses for tax purposes (inc. share based</w:t>
            </w: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5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payments)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353,543</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74,579</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4,050</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Transactions costs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(209,045)</w:t>
            </w:r>
          </w:p>
        </w:tc>
      </w:tr>
      <w:tr>
        <w:trPr>
          <w:trHeight w:val="188"/>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Current year losses for which no deferred tax asset has been</w:t>
            </w: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5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recognised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2,910,890</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3,132,076</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789,520</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Differences in overseas tax rates</w:t>
            </w:r>
          </w:p>
        </w:tc>
        <w:tc>
          <w:tcPr>
            <w:tcW w:w="1060" w:type="dxa"/>
            <w:vAlign w:val="bottom"/>
          </w:tcPr>
          <w:p>
            <w:pPr>
              <w:jc w:val="right"/>
              <w:spacing w:after="0"/>
              <w:rPr>
                <w:sz w:val="20"/>
                <w:szCs w:val="20"/>
                <w:color w:val="auto"/>
              </w:rPr>
            </w:pPr>
            <w:r>
              <w:rPr>
                <w:rFonts w:ascii="Arial" w:cs="Arial" w:eastAsia="Arial" w:hAnsi="Arial"/>
                <w:sz w:val="16"/>
                <w:szCs w:val="16"/>
                <w:color w:val="auto"/>
              </w:rPr>
              <w:t>7,482,832</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4,855,980</w:t>
            </w:r>
          </w:p>
        </w:tc>
        <w:tc>
          <w:tcPr>
            <w:tcW w:w="2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(11,982)</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FF0FC"/>
          </w:tcPr>
          <w:p>
            <w:pPr>
              <w:spacing w:after="0"/>
              <w:rPr>
                <w:sz w:val="17"/>
                <w:szCs w:val="17"/>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70,117</w:t>
            </w:r>
          </w:p>
        </w:tc>
        <w:tc>
          <w:tcPr>
            <w:tcW w:w="2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(83,251)</w:t>
            </w:r>
          </w:p>
        </w:tc>
        <w:tc>
          <w:tcPr>
            <w:tcW w:w="2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is (0.2%) (2020: 0.3% / 2019: 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22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Group has tax loss carry-forwards of approximately €95.7 million (2020: €43.3 million), that are available for offsetting against future taxable profits of the companies in which the losses arose. A new Dutch tax law entered into force on 1 January 2022. Under the new tax law, profits in a given year can be offset against tax loss carry forwards for an unlimited period of time. However, the amount of the offset will be limited to 50% of taxable income (in excess of €1 million). Under Swiss law, losses can be offset against future income or capital gains for seven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0" w:type="dxa"/>
            <w:vAlign w:val="bottom"/>
            <w:vMerge w:val="restart"/>
          </w:tcPr>
          <w:p>
            <w:pPr>
              <w:spacing w:after="0"/>
              <w:rPr>
                <w:sz w:val="20"/>
                <w:szCs w:val="20"/>
                <w:color w:val="auto"/>
              </w:rPr>
            </w:pPr>
            <w:r>
              <w:rPr>
                <w:rFonts w:ascii="Arial" w:cs="Arial" w:eastAsia="Arial" w:hAnsi="Arial"/>
                <w:sz w:val="13"/>
                <w:szCs w:val="13"/>
                <w:b w:val="1"/>
                <w:bCs w:val="1"/>
                <w:color w:val="auto"/>
                <w:w w:val="92"/>
              </w:rPr>
              <w:t>Year</w:t>
            </w:r>
          </w:p>
        </w:tc>
        <w:tc>
          <w:tcPr>
            <w:tcW w:w="6400" w:type="dxa"/>
            <w:vAlign w:val="bottom"/>
            <w:vMerge w:val="restart"/>
          </w:tcPr>
          <w:p>
            <w:pPr>
              <w:spacing w:after="0"/>
              <w:rPr>
                <w:sz w:val="13"/>
                <w:szCs w:val="13"/>
                <w:color w:val="auto"/>
              </w:rPr>
            </w:pPr>
          </w:p>
        </w:tc>
        <w:tc>
          <w:tcPr>
            <w:tcW w:w="1540" w:type="dxa"/>
            <w:vAlign w:val="bottom"/>
            <w:gridSpan w:val="2"/>
          </w:tcPr>
          <w:p>
            <w:pPr>
              <w:ind w:left="300"/>
              <w:spacing w:after="0"/>
              <w:rPr>
                <w:sz w:val="20"/>
                <w:szCs w:val="20"/>
                <w:color w:val="auto"/>
              </w:rPr>
            </w:pPr>
            <w:r>
              <w:rPr>
                <w:rFonts w:ascii="Arial" w:cs="Arial" w:eastAsia="Arial" w:hAnsi="Arial"/>
                <w:sz w:val="13"/>
                <w:szCs w:val="13"/>
                <w:b w:val="1"/>
                <w:bCs w:val="1"/>
                <w:color w:val="auto"/>
              </w:rPr>
              <w:t>Switzerland</w:t>
            </w:r>
          </w:p>
        </w:tc>
        <w:tc>
          <w:tcPr>
            <w:tcW w:w="1060" w:type="dxa"/>
            <w:vAlign w:val="bottom"/>
          </w:tcPr>
          <w:p>
            <w:pPr>
              <w:jc w:val="center"/>
              <w:ind w:left="197"/>
              <w:spacing w:after="0"/>
              <w:rPr>
                <w:sz w:val="20"/>
                <w:szCs w:val="20"/>
                <w:color w:val="auto"/>
              </w:rPr>
            </w:pPr>
            <w:r>
              <w:rPr>
                <w:rFonts w:ascii="Arial" w:cs="Arial" w:eastAsia="Arial" w:hAnsi="Arial"/>
                <w:sz w:val="13"/>
                <w:szCs w:val="13"/>
                <w:b w:val="1"/>
                <w:bCs w:val="1"/>
                <w:color w:val="auto"/>
                <w:w w:val="95"/>
              </w:rPr>
              <w:t>Netherlands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340"/>
              <w:spacing w:after="0"/>
              <w:rPr>
                <w:sz w:val="20"/>
                <w:szCs w:val="20"/>
                <w:color w:val="auto"/>
              </w:rPr>
            </w:pPr>
            <w:r>
              <w:rPr>
                <w:rFonts w:ascii="Arial" w:cs="Arial" w:eastAsia="Arial" w:hAnsi="Arial"/>
                <w:sz w:val="13"/>
                <w:szCs w:val="13"/>
                <w:b w:val="1"/>
                <w:bCs w:val="1"/>
                <w:color w:val="auto"/>
              </w:rPr>
              <w:t>Tax losses</w:t>
            </w:r>
          </w:p>
        </w:tc>
        <w:tc>
          <w:tcPr>
            <w:tcW w:w="0" w:type="dxa"/>
            <w:vAlign w:val="bottom"/>
          </w:tcPr>
          <w:p>
            <w:pPr>
              <w:spacing w:after="0"/>
              <w:rPr>
                <w:sz w:val="1"/>
                <w:szCs w:val="1"/>
                <w:color w:val="auto"/>
              </w:rPr>
            </w:pPr>
          </w:p>
        </w:tc>
      </w:tr>
      <w:tr>
        <w:trPr>
          <w:trHeight w:val="149"/>
        </w:trPr>
        <w:tc>
          <w:tcPr>
            <w:tcW w:w="280" w:type="dxa"/>
            <w:vAlign w:val="bottom"/>
            <w:tcBorders>
              <w:bottom w:val="single" w:sz="8" w:color="auto"/>
            </w:tcBorders>
            <w:vMerge w:val="continue"/>
          </w:tcPr>
          <w:p>
            <w:pPr>
              <w:spacing w:after="0"/>
              <w:rPr>
                <w:sz w:val="12"/>
                <w:szCs w:val="12"/>
                <w:color w:val="auto"/>
              </w:rPr>
            </w:pPr>
          </w:p>
        </w:tc>
        <w:tc>
          <w:tcPr>
            <w:tcW w:w="6400" w:type="dxa"/>
            <w:vAlign w:val="bottom"/>
            <w:vMerge w:val="continue"/>
          </w:tcPr>
          <w:p>
            <w:pPr>
              <w:spacing w:after="0"/>
              <w:rPr>
                <w:sz w:val="12"/>
                <w:szCs w:val="12"/>
                <w:color w:val="auto"/>
              </w:rPr>
            </w:pPr>
          </w:p>
        </w:tc>
        <w:tc>
          <w:tcPr>
            <w:tcW w:w="1300" w:type="dxa"/>
            <w:vAlign w:val="bottom"/>
            <w:tcBorders>
              <w:top w:val="single" w:sz="8" w:color="auto"/>
              <w:bottom w:val="single" w:sz="8" w:color="auto"/>
            </w:tcBorders>
          </w:tcPr>
          <w:p>
            <w:pPr>
              <w:jc w:val="right"/>
              <w:ind w:right="325"/>
              <w:spacing w:after="0" w:line="129" w:lineRule="exact"/>
              <w:rPr>
                <w:sz w:val="20"/>
                <w:szCs w:val="20"/>
                <w:color w:val="auto"/>
              </w:rPr>
            </w:pPr>
            <w:r>
              <w:rPr>
                <w:rFonts w:ascii="Arial" w:cs="Arial" w:eastAsia="Arial" w:hAnsi="Arial"/>
                <w:sz w:val="13"/>
                <w:szCs w:val="13"/>
                <w:b w:val="1"/>
                <w:bCs w:val="1"/>
                <w:color w:val="auto"/>
              </w:rPr>
              <w:t>€ million</w:t>
            </w:r>
          </w:p>
        </w:tc>
        <w:tc>
          <w:tcPr>
            <w:tcW w:w="2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center"/>
              <w:ind w:left="197"/>
              <w:spacing w:after="0" w:line="129" w:lineRule="exact"/>
              <w:rPr>
                <w:sz w:val="20"/>
                <w:szCs w:val="20"/>
                <w:color w:val="auto"/>
              </w:rPr>
            </w:pPr>
            <w:r>
              <w:rPr>
                <w:rFonts w:ascii="Arial" w:cs="Arial" w:eastAsia="Arial" w:hAnsi="Arial"/>
                <w:sz w:val="13"/>
                <w:szCs w:val="13"/>
                <w:b w:val="1"/>
                <w:bCs w:val="1"/>
                <w:color w:val="auto"/>
                <w:w w:val="98"/>
              </w:rPr>
              <w:t>€ million</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345"/>
              <w:spacing w:after="0" w:line="129" w:lineRule="exact"/>
              <w:rPr>
                <w:sz w:val="20"/>
                <w:szCs w:val="20"/>
                <w:color w:val="auto"/>
              </w:rPr>
            </w:pPr>
            <w:r>
              <w:rPr>
                <w:rFonts w:ascii="Arial" w:cs="Arial" w:eastAsia="Arial" w:hAnsi="Arial"/>
                <w:sz w:val="13"/>
                <w:szCs w:val="13"/>
                <w:b w:val="1"/>
                <w:bCs w:val="1"/>
                <w:color w:val="auto"/>
              </w:rPr>
              <w:t>€ million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680" w:type="dxa"/>
            <w:vAlign w:val="bottom"/>
            <w:gridSpan w:val="2"/>
          </w:tcPr>
          <w:p>
            <w:pPr>
              <w:spacing w:after="0"/>
              <w:rPr>
                <w:sz w:val="20"/>
                <w:szCs w:val="20"/>
                <w:color w:val="auto"/>
              </w:rPr>
            </w:pPr>
            <w:r>
              <w:rPr>
                <w:rFonts w:ascii="Arial" w:cs="Arial" w:eastAsia="Arial" w:hAnsi="Arial"/>
                <w:sz w:val="16"/>
                <w:szCs w:val="16"/>
                <w:color w:val="auto"/>
              </w:rPr>
              <w:t>2027</w:t>
            </w:r>
          </w:p>
        </w:tc>
        <w:tc>
          <w:tcPr>
            <w:tcW w:w="1300" w:type="dxa"/>
            <w:vAlign w:val="bottom"/>
          </w:tcPr>
          <w:p>
            <w:pPr>
              <w:jc w:val="right"/>
              <w:spacing w:after="0"/>
              <w:rPr>
                <w:sz w:val="20"/>
                <w:szCs w:val="20"/>
                <w:color w:val="auto"/>
              </w:rPr>
            </w:pPr>
            <w:r>
              <w:rPr>
                <w:rFonts w:ascii="Arial" w:cs="Arial" w:eastAsia="Arial" w:hAnsi="Arial"/>
                <w:sz w:val="16"/>
                <w:szCs w:val="16"/>
                <w:color w:val="auto"/>
              </w:rPr>
              <w:t>31.3</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2028</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80" w:type="dxa"/>
            <w:vAlign w:val="bottom"/>
            <w:gridSpan w:val="2"/>
          </w:tcPr>
          <w:p>
            <w:pPr>
              <w:spacing w:after="0"/>
              <w:rPr>
                <w:sz w:val="20"/>
                <w:szCs w:val="20"/>
                <w:color w:val="auto"/>
              </w:rPr>
            </w:pPr>
            <w:r>
              <w:rPr>
                <w:rFonts w:ascii="Arial" w:cs="Arial" w:eastAsia="Arial" w:hAnsi="Arial"/>
                <w:sz w:val="16"/>
                <w:szCs w:val="16"/>
                <w:color w:val="auto"/>
              </w:rPr>
              <w:t>Unlimited</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 carry-forward losses</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taxes</w:t>
      </w:r>
    </w:p>
    <w:p>
      <w:pPr>
        <w:spacing w:after="0" w:line="113"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w:t>
      </w:r>
    </w:p>
    <w:p>
      <w:pPr>
        <w:spacing w:after="0" w:line="374"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As a result thereof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Movements in deferred tax balances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tcPr>
          <w:p>
            <w:pPr>
              <w:spacing w:after="0"/>
              <w:rPr>
                <w:sz w:val="13"/>
                <w:szCs w:val="13"/>
                <w:color w:val="auto"/>
              </w:rPr>
            </w:pP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3"/>
                <w:szCs w:val="13"/>
                <w:b w:val="1"/>
                <w:bCs w:val="1"/>
                <w:color w:val="auto"/>
              </w:rPr>
              <w:t>R&amp;D</w:t>
            </w: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rPr>
              <w:t>Fixed</w:t>
            </w:r>
          </w:p>
        </w:tc>
        <w:tc>
          <w:tcPr>
            <w:tcW w:w="12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Non current</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provisions</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13"/>
                <w:szCs w:val="13"/>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expenses</w:t>
            </w:r>
          </w:p>
        </w:tc>
        <w:tc>
          <w:tcPr>
            <w:tcW w:w="12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and liabilities</w:t>
            </w:r>
          </w:p>
        </w:tc>
        <w:tc>
          <w:tcPr>
            <w:tcW w:w="12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6"/>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Deferred tax assets</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60" w:type="dxa"/>
            <w:vAlign w:val="bottom"/>
          </w:tcPr>
          <w:p>
            <w:pPr>
              <w:spacing w:after="0"/>
              <w:rPr>
                <w:sz w:val="20"/>
                <w:szCs w:val="20"/>
                <w:color w:val="auto"/>
              </w:rPr>
            </w:pPr>
            <w:r>
              <w:rPr>
                <w:rFonts w:ascii="Arial" w:cs="Arial" w:eastAsia="Arial" w:hAnsi="Arial"/>
                <w:sz w:val="16"/>
                <w:szCs w:val="16"/>
                <w:color w:val="auto"/>
              </w:rPr>
              <w:t>At January 1, 2021</w:t>
            </w:r>
          </w:p>
        </w:tc>
        <w:tc>
          <w:tcPr>
            <w:tcW w:w="1140" w:type="dxa"/>
            <w:vAlign w:val="bottom"/>
          </w:tcPr>
          <w:p>
            <w:pPr>
              <w:jc w:val="right"/>
              <w:spacing w:after="0"/>
              <w:rPr>
                <w:sz w:val="20"/>
                <w:szCs w:val="20"/>
                <w:color w:val="auto"/>
              </w:rPr>
            </w:pPr>
            <w:r>
              <w:rPr>
                <w:rFonts w:ascii="Arial" w:cs="Arial" w:eastAsia="Arial" w:hAnsi="Arial"/>
                <w:sz w:val="16"/>
                <w:szCs w:val="16"/>
                <w:color w:val="auto"/>
              </w:rPr>
              <w:t>1,964,583</w:t>
            </w:r>
          </w:p>
        </w:tc>
        <w:tc>
          <w:tcPr>
            <w:tcW w:w="2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99,339</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2,063,922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(Charged)/credited</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 Profit or loss</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(54,667)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125,557</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13,612</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At December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1,909,916</w:t>
            </w:r>
          </w:p>
        </w:tc>
        <w:tc>
          <w:tcPr>
            <w:tcW w:w="240" w:type="dxa"/>
            <w:vAlign w:val="bottom"/>
            <w:tcBorders>
              <w:bottom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238,508</w:t>
            </w:r>
          </w:p>
        </w:tc>
        <w:tc>
          <w:tcPr>
            <w:tcW w:w="220" w:type="dxa"/>
            <w:vAlign w:val="bottom"/>
            <w:tcBorders>
              <w:bottom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2,148,424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Deferred tax liability</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At January 1, 2021</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180"/>
              <w:spacing w:after="0"/>
              <w:rPr>
                <w:sz w:val="20"/>
                <w:szCs w:val="20"/>
                <w:color w:val="auto"/>
              </w:rPr>
            </w:pPr>
            <w:r>
              <w:rPr>
                <w:rFonts w:ascii="Arial" w:cs="Arial" w:eastAsia="Arial" w:hAnsi="Arial"/>
                <w:sz w:val="16"/>
                <w:szCs w:val="16"/>
                <w:color w:val="auto"/>
              </w:rPr>
              <w:t>(1,964,583)</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(1,964,583)</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(Charged)/credited</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 Profit or loss</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(63,753)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54,667</w:t>
            </w:r>
          </w:p>
        </w:tc>
        <w:tc>
          <w:tcPr>
            <w:tcW w:w="2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(9,086)</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 Currency translation differences</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(2,703)</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At December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(66,456)</w:t>
            </w:r>
          </w:p>
        </w:tc>
        <w:tc>
          <w:tcPr>
            <w:tcW w:w="100" w:type="dxa"/>
            <w:vAlign w:val="bottom"/>
            <w:tcBorders>
              <w:bottom w:val="single" w:sz="8" w:color="CFF0FC"/>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(1,909,916)</w:t>
            </w:r>
          </w:p>
        </w:tc>
        <w:tc>
          <w:tcPr>
            <w:tcW w:w="220" w:type="dxa"/>
            <w:vAlign w:val="bottom"/>
            <w:tcBorders>
              <w:bottom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(1,976,372)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deferred tax assets at December 31, 2021</w:t>
            </w:r>
          </w:p>
        </w:tc>
        <w:tc>
          <w:tcPr>
            <w:tcW w:w="1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172,052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total unrecognized deferred tax assets from temporary differences amounts to €23.8 million (2020: €0.9 million).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6260" w:type="dxa"/>
            <w:vAlign w:val="bottom"/>
            <w:vMerge w:val="restart"/>
          </w:tcPr>
          <w:p>
            <w:pPr>
              <w:spacing w:after="0"/>
              <w:rPr>
                <w:sz w:val="20"/>
                <w:szCs w:val="20"/>
                <w:color w:val="auto"/>
              </w:rPr>
            </w:pPr>
            <w:r>
              <w:rPr>
                <w:rFonts w:ascii="Arial" w:cs="Arial" w:eastAsia="Arial" w:hAnsi="Arial"/>
                <w:sz w:val="13"/>
                <w:szCs w:val="13"/>
                <w:b w:val="1"/>
                <w:bCs w:val="1"/>
                <w:color w:val="auto"/>
              </w:rPr>
              <w:t>Net book value</w:t>
            </w: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Notes</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FF0FC"/>
            </w:tcBorders>
            <w:vMerge w:val="continue"/>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48,503</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78,251</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(18,656)</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(7,401)</w:t>
            </w:r>
          </w:p>
        </w:tc>
        <w:tc>
          <w:tcPr>
            <w:tcW w:w="0" w:type="dxa"/>
            <w:vAlign w:val="bottom"/>
          </w:tcPr>
          <w:p>
            <w:pPr>
              <w:spacing w:after="0"/>
              <w:rPr>
                <w:sz w:val="1"/>
                <w:szCs w:val="1"/>
                <w:color w:val="auto"/>
              </w:rPr>
            </w:pPr>
          </w:p>
        </w:tc>
      </w:tr>
      <w:tr>
        <w:trPr>
          <w:trHeight w:val="196"/>
        </w:trPr>
        <w:tc>
          <w:tcPr>
            <w:tcW w:w="6820" w:type="dxa"/>
            <w:vAlign w:val="bottom"/>
            <w:gridSpan w:val="2"/>
          </w:tcPr>
          <w:p>
            <w:pPr>
              <w:spacing w:after="0"/>
              <w:rPr>
                <w:sz w:val="20"/>
                <w:szCs w:val="20"/>
                <w:color w:val="auto"/>
              </w:rPr>
            </w:pPr>
            <w:r>
              <w:rPr>
                <w:rFonts w:ascii="Arial" w:cs="Arial" w:eastAsia="Arial" w:hAnsi="Arial"/>
                <w:sz w:val="16"/>
                <w:szCs w:val="16"/>
                <w:color w:val="auto"/>
              </w:rPr>
              <w:t>As of December 31,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108,099</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Cumulative depreciation</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FF0FC"/>
            </w:tcBorders>
            <w:gridSpan w:val="2"/>
            <w:vMerge w:val="continue"/>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(18,656)</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(7,401)</w:t>
            </w:r>
          </w:p>
        </w:tc>
        <w:tc>
          <w:tcPr>
            <w:tcW w:w="0" w:type="dxa"/>
            <w:vAlign w:val="bottom"/>
          </w:tcPr>
          <w:p>
            <w:pPr>
              <w:spacing w:after="0"/>
              <w:rPr>
                <w:sz w:val="1"/>
                <w:szCs w:val="1"/>
                <w:color w:val="auto"/>
              </w:rPr>
            </w:pPr>
          </w:p>
        </w:tc>
      </w:tr>
      <w:tr>
        <w:trPr>
          <w:trHeight w:val="196"/>
        </w:trPr>
        <w:tc>
          <w:tcPr>
            <w:tcW w:w="6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As of December 31,</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(26,605)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(7,950)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Cumulative Costs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FF0FC"/>
            </w:tcBorders>
            <w:gridSpan w:val="2"/>
            <w:vMerge w:val="continue"/>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56,453</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Addition</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78,251</w:t>
            </w:r>
          </w:p>
        </w:tc>
        <w:tc>
          <w:tcPr>
            <w:tcW w:w="2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42,977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As of December 31,</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134,704</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56,453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During 2021, the Group acquired assets with a cost of €78,251 (December 31, 2020: €42,977). The investments in PPE relate to equipment, tools and installations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Leases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right of use assets: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200" w:type="dxa"/>
            <w:vAlign w:val="bottom"/>
            <w:gridSpan w:val="2"/>
          </w:tcPr>
          <w:p>
            <w:pPr>
              <w:jc w:val="right"/>
              <w:ind w:right="324"/>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3"/>
                <w:szCs w:val="13"/>
                <w:color w:val="auto"/>
              </w:rPr>
            </w:pPr>
          </w:p>
        </w:tc>
        <w:tc>
          <w:tcPr>
            <w:tcW w:w="1080" w:type="dxa"/>
            <w:vAlign w:val="bottom"/>
          </w:tcPr>
          <w:p>
            <w:pPr>
              <w:jc w:val="right"/>
              <w:ind w:right="324"/>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42"/>
        </w:trPr>
        <w:tc>
          <w:tcPr>
            <w:tcW w:w="1700" w:type="dxa"/>
            <w:vAlign w:val="bottom"/>
          </w:tcPr>
          <w:p>
            <w:pPr>
              <w:spacing w:after="0"/>
              <w:rPr>
                <w:sz w:val="12"/>
                <w:szCs w:val="12"/>
                <w:color w:val="auto"/>
              </w:rPr>
            </w:pPr>
          </w:p>
        </w:tc>
        <w:tc>
          <w:tcPr>
            <w:tcW w:w="3320" w:type="dxa"/>
            <w:vAlign w:val="bottom"/>
            <w:tcBorders>
              <w:bottom w:val="single" w:sz="8" w:color="CFF0FC"/>
            </w:tcBorders>
          </w:tcPr>
          <w:p>
            <w:pPr>
              <w:spacing w:after="0"/>
              <w:rPr>
                <w:sz w:val="12"/>
                <w:szCs w:val="12"/>
                <w:color w:val="auto"/>
              </w:rPr>
            </w:pPr>
          </w:p>
        </w:tc>
        <w:tc>
          <w:tcPr>
            <w:tcW w:w="2140" w:type="dxa"/>
            <w:vAlign w:val="bottom"/>
            <w:tcBorders>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80" w:type="dxa"/>
            <w:vAlign w:val="bottom"/>
            <w:tcBorders>
              <w:bottom w:val="single" w:sz="8" w:color="CFF0FC"/>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FF0FC"/>
            </w:tcBorders>
          </w:tcPr>
          <w:p>
            <w:pPr>
              <w:spacing w:after="0"/>
              <w:rPr>
                <w:sz w:val="12"/>
                <w:szCs w:val="12"/>
                <w:color w:val="auto"/>
              </w:rPr>
            </w:pPr>
          </w:p>
        </w:tc>
        <w:tc>
          <w:tcPr>
            <w:tcW w:w="1680" w:type="dxa"/>
            <w:vAlign w:val="bottom"/>
          </w:tcPr>
          <w:p>
            <w:pPr>
              <w:spacing w:after="0"/>
              <w:rPr>
                <w:sz w:val="12"/>
                <w:szCs w:val="12"/>
                <w:color w:val="auto"/>
              </w:rPr>
            </w:pPr>
          </w:p>
        </w:tc>
      </w:tr>
      <w:tr>
        <w:trPr>
          <w:trHeight w:val="196"/>
        </w:trPr>
        <w:tc>
          <w:tcPr>
            <w:tcW w:w="1700" w:type="dxa"/>
            <w:vAlign w:val="bottom"/>
          </w:tcPr>
          <w:p>
            <w:pPr>
              <w:spacing w:after="0"/>
              <w:rPr>
                <w:sz w:val="17"/>
                <w:szCs w:val="17"/>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2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ind w:left="90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Addition</w:t>
            </w:r>
          </w:p>
        </w:tc>
        <w:tc>
          <w:tcPr>
            <w:tcW w:w="3200" w:type="dxa"/>
            <w:vAlign w:val="bottom"/>
            <w:gridSpan w:val="2"/>
          </w:tcPr>
          <w:p>
            <w:pPr>
              <w:jc w:val="right"/>
              <w:spacing w:after="0"/>
              <w:rPr>
                <w:sz w:val="20"/>
                <w:szCs w:val="20"/>
                <w:color w:val="auto"/>
              </w:rPr>
            </w:pPr>
            <w:r>
              <w:rPr>
                <w:rFonts w:ascii="Arial" w:cs="Arial" w:eastAsia="Arial" w:hAnsi="Arial"/>
                <w:sz w:val="16"/>
                <w:szCs w:val="16"/>
                <w:color w:val="auto"/>
              </w:rPr>
              <w:t>301,965</w:t>
            </w:r>
          </w:p>
        </w:tc>
        <w:tc>
          <w:tcPr>
            <w:tcW w:w="180" w:type="dxa"/>
            <w:vAlign w:val="bottom"/>
          </w:tcPr>
          <w:p>
            <w:pPr>
              <w:spacing w:after="0"/>
              <w:rPr>
                <w:sz w:val="17"/>
                <w:szCs w:val="17"/>
                <w:color w:val="auto"/>
              </w:rPr>
            </w:pPr>
          </w:p>
        </w:tc>
        <w:tc>
          <w:tcPr>
            <w:tcW w:w="11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Depreciation charges</w:t>
            </w:r>
          </w:p>
        </w:tc>
        <w:tc>
          <w:tcPr>
            <w:tcW w:w="33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(58,715)</w:t>
            </w:r>
          </w:p>
        </w:tc>
        <w:tc>
          <w:tcPr>
            <w:tcW w:w="1160" w:type="dxa"/>
            <w:vAlign w:val="bottom"/>
            <w:gridSpan w:val="2"/>
            <w:shd w:val="clear" w:color="auto" w:fill="CFF0FC"/>
          </w:tcPr>
          <w:p>
            <w:pPr>
              <w:ind w:left="90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Impact of transaction of foreign currency</w:t>
            </w:r>
          </w:p>
        </w:tc>
        <w:tc>
          <w:tcPr>
            <w:tcW w:w="2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As of December 31,</w:t>
            </w:r>
          </w:p>
        </w:tc>
        <w:tc>
          <w:tcPr>
            <w:tcW w:w="214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243,251</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6"/>
                <w:szCs w:val="16"/>
                <w:color w:val="auto"/>
                <w:w w:val="99"/>
              </w:rPr>
              <w:t>—</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97"/>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380" w:type="dxa"/>
            <w:vAlign w:val="bottom"/>
            <w:gridSpan w:val="3"/>
          </w:tcPr>
          <w:p>
            <w:pPr>
              <w:jc w:val="right"/>
              <w:ind w:right="2600"/>
              <w:spacing w:after="0"/>
              <w:rPr>
                <w:sz w:val="20"/>
                <w:szCs w:val="20"/>
                <w:color w:val="auto"/>
              </w:rPr>
            </w:pPr>
            <w:r>
              <w:rPr>
                <w:rFonts w:ascii="Arial" w:cs="Arial" w:eastAsia="Arial" w:hAnsi="Arial"/>
                <w:sz w:val="16"/>
                <w:szCs w:val="16"/>
                <w:color w:val="auto"/>
              </w:rPr>
              <w:t>F-17</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3"/>
        </w:trPr>
        <w:tc>
          <w:tcPr>
            <w:tcW w:w="170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lease liabilities at December 31,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80" w:type="dxa"/>
            <w:vAlign w:val="bottom"/>
          </w:tcPr>
          <w:p>
            <w:pPr>
              <w:spacing w:after="0"/>
              <w:rPr>
                <w:sz w:val="13"/>
                <w:szCs w:val="13"/>
                <w:color w:val="auto"/>
              </w:rPr>
            </w:pPr>
          </w:p>
        </w:tc>
        <w:tc>
          <w:tcPr>
            <w:tcW w:w="152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42"/>
        </w:trPr>
        <w:tc>
          <w:tcPr>
            <w:tcW w:w="7780" w:type="dxa"/>
            <w:vAlign w:val="bottom"/>
            <w:tcBorders>
              <w:bottom w:val="single" w:sz="8" w:color="CFF0FC"/>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bottom w:val="single" w:sz="8" w:color="CFF0FC"/>
            </w:tcBorders>
          </w:tcPr>
          <w:p>
            <w:pPr>
              <w:spacing w:after="0"/>
              <w:rPr>
                <w:sz w:val="12"/>
                <w:szCs w:val="12"/>
                <w:color w:val="auto"/>
              </w:rPr>
            </w:pPr>
          </w:p>
        </w:tc>
        <w:tc>
          <w:tcPr>
            <w:tcW w:w="1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00" w:type="dxa"/>
            <w:vAlign w:val="bottom"/>
            <w:tcBorders>
              <w:bottom w:val="single" w:sz="8" w:color="CFF0FC"/>
            </w:tcBorders>
          </w:tcPr>
          <w:p>
            <w:pPr>
              <w:spacing w:after="0"/>
              <w:rPr>
                <w:sz w:val="12"/>
                <w:szCs w:val="12"/>
                <w:color w:val="auto"/>
              </w:rPr>
            </w:pPr>
          </w:p>
        </w:tc>
      </w:tr>
      <w:tr>
        <w:trPr>
          <w:trHeight w:val="196"/>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Office lease</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(250,184)</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ind w:left="13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lease liability</w:t>
            </w: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(250,184)</w:t>
            </w:r>
          </w:p>
        </w:tc>
        <w:tc>
          <w:tcPr>
            <w:tcW w:w="1660" w:type="dxa"/>
            <w:vAlign w:val="bottom"/>
            <w:gridSpan w:val="2"/>
          </w:tcPr>
          <w:p>
            <w:pPr>
              <w:ind w:left="1380"/>
              <w:spacing w:after="0"/>
              <w:rPr>
                <w:sz w:val="20"/>
                <w:szCs w:val="20"/>
                <w:color w:val="auto"/>
              </w:rPr>
            </w:pPr>
            <w:r>
              <w:rPr>
                <w:rFonts w:ascii="Arial" w:cs="Arial" w:eastAsia="Arial" w:hAnsi="Arial"/>
                <w:sz w:val="16"/>
                <w:szCs w:val="16"/>
                <w:color w:val="auto"/>
              </w:rPr>
              <w:t>—</w:t>
            </w:r>
          </w:p>
        </w:tc>
      </w:tr>
      <w:tr>
        <w:trPr>
          <w:trHeight w:val="203"/>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w:t>
            </w: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(99,432)</w:t>
            </w:r>
          </w:p>
        </w:tc>
        <w:tc>
          <w:tcPr>
            <w:tcW w:w="1660" w:type="dxa"/>
            <w:vAlign w:val="bottom"/>
            <w:gridSpan w:val="2"/>
            <w:shd w:val="clear" w:color="auto" w:fill="CFF0FC"/>
          </w:tcPr>
          <w:p>
            <w:pPr>
              <w:ind w:left="1380"/>
              <w:spacing w:after="0"/>
              <w:rPr>
                <w:sz w:val="20"/>
                <w:szCs w:val="20"/>
                <w:color w:val="auto"/>
              </w:rPr>
            </w:pPr>
            <w:r>
              <w:rPr>
                <w:rFonts w:ascii="Arial" w:cs="Arial" w:eastAsia="Arial" w:hAnsi="Arial"/>
                <w:sz w:val="16"/>
                <w:szCs w:val="16"/>
                <w:color w:val="auto"/>
              </w:rPr>
              <w:t>—</w:t>
            </w: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Non-current Portion</w:t>
            </w:r>
          </w:p>
        </w:tc>
        <w:tc>
          <w:tcPr>
            <w:tcW w:w="1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(150,752)</w:t>
            </w:r>
          </w:p>
        </w:tc>
        <w:tc>
          <w:tcPr>
            <w:tcW w:w="1660" w:type="dxa"/>
            <w:vAlign w:val="bottom"/>
            <w:gridSpan w:val="2"/>
          </w:tcPr>
          <w:p>
            <w:pPr>
              <w:ind w:left="1380"/>
              <w:spacing w:after="0"/>
              <w:rPr>
                <w:sz w:val="20"/>
                <w:szCs w:val="20"/>
                <w:color w:val="auto"/>
              </w:rPr>
            </w:pPr>
            <w:r>
              <w:rPr>
                <w:rFonts w:ascii="Arial" w:cs="Arial" w:eastAsia="Arial" w:hAnsi="Arial"/>
                <w:sz w:val="16"/>
                <w:szCs w:val="16"/>
                <w:color w:val="auto"/>
              </w:rPr>
              <w:t>—</w:t>
            </w:r>
          </w:p>
        </w:tc>
      </w:tr>
      <w:tr>
        <w:trPr>
          <w:trHeight w:val="20"/>
        </w:trPr>
        <w:tc>
          <w:tcPr>
            <w:tcW w:w="7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lease agreement started on June 1, 2021 and has a lease term of three years. The average incremental borrowing rate applied to the lease liabilities was 2.91% during the twelve months ended December 31, 2021.</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Receivables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26"/>
              <w:spacing w:after="0"/>
              <w:rPr>
                <w:sz w:val="20"/>
                <w:szCs w:val="20"/>
                <w:color w:val="auto"/>
              </w:rPr>
            </w:pPr>
            <w:r>
              <w:rPr>
                <w:rFonts w:ascii="Arial" w:cs="Arial" w:eastAsia="Arial" w:hAnsi="Arial"/>
                <w:sz w:val="13"/>
                <w:szCs w:val="13"/>
                <w:b w:val="1"/>
                <w:bCs w:val="1"/>
                <w:color w:val="auto"/>
                <w:w w:val="96"/>
              </w:rPr>
              <w:t>2021</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3"/>
                <w:szCs w:val="13"/>
                <w:color w:val="auto"/>
              </w:rPr>
            </w:pPr>
          </w:p>
        </w:tc>
      </w:tr>
      <w:tr>
        <w:trPr>
          <w:trHeight w:val="142"/>
        </w:trPr>
        <w:tc>
          <w:tcPr>
            <w:tcW w:w="778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46"/>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bottom w:val="single" w:sz="8" w:color="CFF0FC"/>
            </w:tcBorders>
          </w:tcPr>
          <w:p>
            <w:pPr>
              <w:spacing w:after="0"/>
              <w:rPr>
                <w:sz w:val="12"/>
                <w:szCs w:val="12"/>
                <w:color w:val="auto"/>
              </w:rPr>
            </w:pPr>
          </w:p>
        </w:tc>
        <w:tc>
          <w:tcPr>
            <w:tcW w:w="1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00" w:type="dxa"/>
            <w:vAlign w:val="bottom"/>
            <w:tcBorders>
              <w:bottom w:val="single" w:sz="8" w:color="CFF0FC"/>
            </w:tcBorders>
          </w:tcPr>
          <w:p>
            <w:pPr>
              <w:spacing w:after="0"/>
              <w:rPr>
                <w:sz w:val="12"/>
                <w:szCs w:val="12"/>
                <w:color w:val="auto"/>
              </w:rPr>
            </w:pPr>
          </w:p>
        </w:tc>
      </w:tr>
      <w:tr>
        <w:trPr>
          <w:trHeight w:val="196"/>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Trade receivables</w:t>
            </w:r>
          </w:p>
        </w:tc>
        <w:tc>
          <w:tcPr>
            <w:tcW w:w="4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8,451</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gridSpan w:val="2"/>
          </w:tcPr>
          <w:p>
            <w:pPr>
              <w:spacing w:after="0"/>
              <w:rPr>
                <w:sz w:val="20"/>
                <w:szCs w:val="20"/>
                <w:color w:val="auto"/>
              </w:rPr>
            </w:pPr>
            <w:r>
              <w:rPr>
                <w:rFonts w:ascii="Arial" w:cs="Arial" w:eastAsia="Arial" w:hAnsi="Arial"/>
                <w:sz w:val="16"/>
                <w:szCs w:val="16"/>
                <w:color w:val="auto"/>
              </w:rPr>
              <w:t>VAT receivables</w:t>
            </w:r>
          </w:p>
        </w:tc>
        <w:tc>
          <w:tcPr>
            <w:tcW w:w="1120" w:type="dxa"/>
            <w:vAlign w:val="bottom"/>
          </w:tcPr>
          <w:p>
            <w:pPr>
              <w:jc w:val="right"/>
              <w:spacing w:after="0"/>
              <w:rPr>
                <w:sz w:val="20"/>
                <w:szCs w:val="20"/>
                <w:color w:val="auto"/>
              </w:rPr>
            </w:pPr>
            <w:r>
              <w:rPr>
                <w:rFonts w:ascii="Arial" w:cs="Arial" w:eastAsia="Arial" w:hAnsi="Arial"/>
                <w:sz w:val="16"/>
                <w:szCs w:val="16"/>
                <w:color w:val="auto"/>
              </w:rPr>
              <w:t>691,628</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569,578</w:t>
            </w:r>
          </w:p>
        </w:tc>
        <w:tc>
          <w:tcPr>
            <w:tcW w:w="100" w:type="dxa"/>
            <w:vAlign w:val="bottom"/>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700,079</w:t>
            </w:r>
          </w:p>
        </w:tc>
        <w:tc>
          <w:tcPr>
            <w:tcW w:w="28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569,578</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0"/>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11. Other current assets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26"/>
              <w:spacing w:after="0"/>
              <w:rPr>
                <w:sz w:val="20"/>
                <w:szCs w:val="20"/>
                <w:color w:val="auto"/>
              </w:rPr>
            </w:pPr>
            <w:r>
              <w:rPr>
                <w:rFonts w:ascii="Arial" w:cs="Arial" w:eastAsia="Arial" w:hAnsi="Arial"/>
                <w:sz w:val="13"/>
                <w:szCs w:val="13"/>
                <w:b w:val="1"/>
                <w:bCs w:val="1"/>
                <w:color w:val="auto"/>
                <w:w w:val="96"/>
              </w:rPr>
              <w:t>2021</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9"/>
                <w:szCs w:val="19"/>
                <w:color w:val="auto"/>
              </w:rPr>
            </w:pPr>
          </w:p>
        </w:tc>
      </w:tr>
      <w:tr>
        <w:trPr>
          <w:trHeight w:val="142"/>
        </w:trPr>
        <w:tc>
          <w:tcPr>
            <w:tcW w:w="778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46"/>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bottom w:val="single" w:sz="8" w:color="CFF0FC"/>
            </w:tcBorders>
          </w:tcPr>
          <w:p>
            <w:pPr>
              <w:spacing w:after="0"/>
              <w:rPr>
                <w:sz w:val="12"/>
                <w:szCs w:val="12"/>
                <w:color w:val="auto"/>
              </w:rPr>
            </w:pPr>
          </w:p>
        </w:tc>
        <w:tc>
          <w:tcPr>
            <w:tcW w:w="1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00" w:type="dxa"/>
            <w:vAlign w:val="bottom"/>
            <w:tcBorders>
              <w:bottom w:val="single" w:sz="8" w:color="CFF0FC"/>
            </w:tcBorders>
          </w:tcPr>
          <w:p>
            <w:pPr>
              <w:spacing w:after="0"/>
              <w:rPr>
                <w:sz w:val="12"/>
                <w:szCs w:val="12"/>
                <w:color w:val="auto"/>
              </w:rPr>
            </w:pPr>
          </w:p>
        </w:tc>
      </w:tr>
      <w:tr>
        <w:trPr>
          <w:trHeight w:val="196"/>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Prepayments</w:t>
            </w:r>
          </w:p>
        </w:tc>
        <w:tc>
          <w:tcPr>
            <w:tcW w:w="4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1,507,753</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540,701</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120" w:type="dxa"/>
            <w:vAlign w:val="bottom"/>
          </w:tcPr>
          <w:p>
            <w:pPr>
              <w:jc w:val="right"/>
              <w:spacing w:after="0"/>
              <w:rPr>
                <w:sz w:val="20"/>
                <w:szCs w:val="20"/>
                <w:color w:val="auto"/>
              </w:rPr>
            </w:pPr>
            <w:r>
              <w:rPr>
                <w:rFonts w:ascii="Arial" w:cs="Arial" w:eastAsia="Arial" w:hAnsi="Arial"/>
                <w:sz w:val="16"/>
                <w:szCs w:val="16"/>
                <w:color w:val="auto"/>
              </w:rPr>
              <w:t>5,699</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1,212,626</w:t>
            </w:r>
          </w:p>
        </w:tc>
        <w:tc>
          <w:tcPr>
            <w:tcW w:w="100" w:type="dxa"/>
            <w:vAlign w:val="bottom"/>
          </w:tcPr>
          <w:p>
            <w:pPr>
              <w:spacing w:after="0"/>
              <w:rPr>
                <w:sz w:val="17"/>
                <w:szCs w:val="17"/>
                <w:color w:val="auto"/>
              </w:rPr>
            </w:pPr>
          </w:p>
        </w:tc>
      </w:tr>
      <w:tr>
        <w:trPr>
          <w:trHeight w:val="196"/>
        </w:trPr>
        <w:tc>
          <w:tcPr>
            <w:tcW w:w="7780" w:type="dxa"/>
            <w:vAlign w:val="bottom"/>
            <w:tcBorders>
              <w:top w:val="single" w:sz="8" w:color="CFF0FC"/>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1,513,452</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1,753,327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8180" w:type="dxa"/>
            <w:vAlign w:val="bottom"/>
            <w:gridSpan w:val="2"/>
          </w:tcPr>
          <w:p>
            <w:pPr>
              <w:ind w:left="60"/>
              <w:spacing w:after="0"/>
              <w:rPr>
                <w:sz w:val="20"/>
                <w:szCs w:val="20"/>
                <w:color w:val="auto"/>
              </w:rPr>
            </w:pPr>
            <w:r>
              <w:rPr>
                <w:rFonts w:ascii="Arial" w:cs="Arial" w:eastAsia="Arial" w:hAnsi="Arial"/>
                <w:sz w:val="16"/>
                <w:szCs w:val="16"/>
                <w:color w:val="auto"/>
              </w:rPr>
              <w:t>Prepayments mainly relate to prepaid insurance, sign-on bonus to personnel, prepaid R&amp;D expenses and rent.</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Other assets per December 31, 2020 mainly consisted of deferred transaction costs related to Group’s IPO, which was completed in February 2021. The balance was reclassified to the share premium at completion of the IPO. Other assets per December 31, 2021 consist of rent deposit paid.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spacing w:after="0"/>
              <w:rPr>
                <w:sz w:val="20"/>
                <w:szCs w:val="20"/>
                <w:color w:val="auto"/>
              </w:rPr>
            </w:pPr>
            <w:r>
              <w:rPr>
                <w:rFonts w:ascii="Arial" w:cs="Arial" w:eastAsia="Arial" w:hAnsi="Arial"/>
                <w:sz w:val="16"/>
                <w:szCs w:val="16"/>
                <w:b w:val="1"/>
                <w:bCs w:val="1"/>
                <w:color w:val="auto"/>
              </w:rPr>
              <w:t>12.</w:t>
            </w:r>
          </w:p>
        </w:tc>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520" w:type="dxa"/>
            <w:vAlign w:val="bottom"/>
            <w:vMerge w:val="restart"/>
          </w:tcPr>
          <w:p>
            <w:pPr>
              <w:ind w:left="620"/>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9"/>
                <w:szCs w:val="19"/>
                <w:color w:val="auto"/>
              </w:rPr>
            </w:pPr>
          </w:p>
        </w:tc>
        <w:tc>
          <w:tcPr>
            <w:tcW w:w="1560" w:type="dxa"/>
            <w:vAlign w:val="bottom"/>
            <w:vMerge w:val="restart"/>
          </w:tcPr>
          <w:p>
            <w:pPr>
              <w:jc w:val="right"/>
              <w:ind w:right="58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52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FF0FC"/>
            </w:tcBorders>
          </w:tcPr>
          <w:p>
            <w:pPr>
              <w:spacing w:after="0"/>
              <w:rPr>
                <w:sz w:val="12"/>
                <w:szCs w:val="12"/>
                <w:color w:val="auto"/>
              </w:rPr>
            </w:pPr>
          </w:p>
        </w:tc>
        <w:tc>
          <w:tcPr>
            <w:tcW w:w="7520" w:type="dxa"/>
            <w:vAlign w:val="bottom"/>
            <w:tcBorders>
              <w:bottom w:val="single" w:sz="8" w:color="CFF0FC"/>
            </w:tcBorders>
          </w:tcPr>
          <w:p>
            <w:pPr>
              <w:spacing w:after="0"/>
              <w:rPr>
                <w:sz w:val="12"/>
                <w:szCs w:val="12"/>
                <w:color w:val="auto"/>
              </w:rPr>
            </w:pPr>
          </w:p>
        </w:tc>
        <w:tc>
          <w:tcPr>
            <w:tcW w:w="1520" w:type="dxa"/>
            <w:vAlign w:val="bottom"/>
            <w:tcBorders>
              <w:bottom w:val="single" w:sz="8" w:color="auto"/>
            </w:tcBorders>
          </w:tcPr>
          <w:p>
            <w:pPr>
              <w:ind w:left="72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CFF0FC"/>
            </w:tcBorders>
          </w:tcPr>
          <w:p>
            <w:pPr>
              <w:spacing w:after="0"/>
              <w:rPr>
                <w:sz w:val="12"/>
                <w:szCs w:val="12"/>
                <w:color w:val="auto"/>
              </w:rPr>
            </w:pPr>
          </w:p>
        </w:tc>
        <w:tc>
          <w:tcPr>
            <w:tcW w:w="1560" w:type="dxa"/>
            <w:vAlign w:val="bottom"/>
            <w:tcBorders>
              <w:bottom w:val="single" w:sz="8" w:color="auto"/>
            </w:tcBorders>
          </w:tcPr>
          <w:p>
            <w:pPr>
              <w:ind w:left="740"/>
              <w:spacing w:after="0" w:line="142"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52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8"/>
              </w:rPr>
              <w:t>209,353,132</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ind w:left="720"/>
              <w:spacing w:after="0"/>
              <w:rPr>
                <w:sz w:val="20"/>
                <w:szCs w:val="20"/>
                <w:color w:val="auto"/>
              </w:rPr>
            </w:pPr>
            <w:r>
              <w:rPr>
                <w:rFonts w:ascii="Arial" w:cs="Arial" w:eastAsia="Arial" w:hAnsi="Arial"/>
                <w:sz w:val="16"/>
                <w:szCs w:val="16"/>
                <w:color w:val="auto"/>
              </w:rPr>
              <w:t>98,628,871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w w:val="98"/>
              </w:rPr>
              <w:t>209,353,132</w:t>
            </w:r>
          </w:p>
        </w:tc>
        <w:tc>
          <w:tcPr>
            <w:tcW w:w="280" w:type="dxa"/>
            <w:vAlign w:val="bottom"/>
          </w:tcPr>
          <w:p>
            <w:pPr>
              <w:spacing w:after="0"/>
              <w:rPr>
                <w:sz w:val="18"/>
                <w:szCs w:val="18"/>
                <w:color w:val="auto"/>
              </w:rPr>
            </w:pPr>
          </w:p>
        </w:tc>
        <w:tc>
          <w:tcPr>
            <w:tcW w:w="1560" w:type="dxa"/>
            <w:vAlign w:val="bottom"/>
          </w:tcPr>
          <w:p>
            <w:pPr>
              <w:ind w:left="720"/>
              <w:spacing w:after="0"/>
              <w:rPr>
                <w:sz w:val="20"/>
                <w:szCs w:val="20"/>
                <w:color w:val="auto"/>
              </w:rPr>
            </w:pPr>
            <w:r>
              <w:rPr>
                <w:rFonts w:ascii="Arial" w:cs="Arial" w:eastAsia="Arial" w:hAnsi="Arial"/>
                <w:sz w:val="16"/>
                <w:szCs w:val="16"/>
                <w:color w:val="auto"/>
              </w:rPr>
              <w:t>98,628,871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7780" w:type="dxa"/>
            <w:vAlign w:val="bottom"/>
            <w:gridSpan w:val="2"/>
          </w:tcPr>
          <w:p>
            <w:pPr>
              <w:spacing w:after="0"/>
              <w:rPr>
                <w:sz w:val="20"/>
                <w:szCs w:val="20"/>
                <w:color w:val="auto"/>
              </w:rPr>
            </w:pPr>
            <w:r>
              <w:rPr>
                <w:rFonts w:ascii="Arial" w:cs="Arial" w:eastAsia="Arial" w:hAnsi="Arial"/>
                <w:sz w:val="16"/>
                <w:szCs w:val="16"/>
                <w:color w:val="auto"/>
              </w:rPr>
              <w:t>The Cash and cash equivalents consist of bank balances and are not subject to any restriction.</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260" w:type="dxa"/>
            <w:vAlign w:val="bottom"/>
          </w:tcPr>
          <w:p>
            <w:pPr>
              <w:spacing w:after="0"/>
              <w:rPr>
                <w:sz w:val="20"/>
                <w:szCs w:val="20"/>
                <w:color w:val="auto"/>
              </w:rPr>
            </w:pPr>
            <w:r>
              <w:rPr>
                <w:rFonts w:ascii="Arial" w:cs="Arial" w:eastAsia="Arial" w:hAnsi="Arial"/>
                <w:sz w:val="16"/>
                <w:szCs w:val="16"/>
                <w:b w:val="1"/>
                <w:bCs w:val="1"/>
                <w:color w:val="auto"/>
              </w:rPr>
              <w:t>13.</w:t>
            </w:r>
          </w:p>
        </w:tc>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On December 31, 2021, the Company’s authorized share capital amounted to € 14,100,000 divided into 58,750,000 ordinary shares and 58,750,000 preferred shares, each with a nominal value of (€0.12). As at December 31, 2021, the total number of issued shares was 33,151,881 (2020: 23,569,276). On December 31, 2021, the issued share capital totaled to €3,978,226 (2020: €235,693).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shares</w:t>
      </w:r>
    </w:p>
    <w:p>
      <w:pPr>
        <w:spacing w:after="0" w:line="21" w:lineRule="exact"/>
        <w:rPr>
          <w:sz w:val="20"/>
          <w:szCs w:val="20"/>
          <w:color w:val="auto"/>
        </w:rPr>
      </w:pPr>
    </w:p>
    <w:p>
      <w:pPr>
        <w:jc w:val="both"/>
        <w:ind w:right="200"/>
        <w:spacing w:after="0" w:line="256"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p>
      <w:pPr>
        <w:spacing w:after="0" w:line="4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0"/>
        </w:trPr>
        <w:tc>
          <w:tcPr>
            <w:tcW w:w="5460" w:type="dxa"/>
            <w:vAlign w:val="bottom"/>
          </w:tcPr>
          <w:p>
            <w:pPr>
              <w:spacing w:after="0"/>
              <w:rPr>
                <w:sz w:val="13"/>
                <w:szCs w:val="13"/>
                <w:color w:val="auto"/>
              </w:rPr>
            </w:pPr>
          </w:p>
        </w:tc>
        <w:tc>
          <w:tcPr>
            <w:tcW w:w="124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rPr>
              <w:t>Number of</w:t>
            </w:r>
          </w:p>
        </w:tc>
      </w:tr>
      <w:tr>
        <w:trPr>
          <w:trHeight w:val="171"/>
        </w:trPr>
        <w:tc>
          <w:tcPr>
            <w:tcW w:w="54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r>
      <w:tr>
        <w:trPr>
          <w:trHeight w:val="210"/>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Preferred shares A</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5,242,850</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Preferred shares B</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7,650,147</w:t>
            </w:r>
          </w:p>
        </w:tc>
        <w:tc>
          <w:tcPr>
            <w:tcW w:w="8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Preferred shares C</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5,826,279</w:t>
            </w:r>
          </w:p>
        </w:tc>
        <w:tc>
          <w:tcPr>
            <w:tcW w:w="8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Ordinary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33,151,881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4,850,000</w:t>
            </w:r>
          </w:p>
        </w:tc>
        <w:tc>
          <w:tcPr>
            <w:tcW w:w="8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33,151,881</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23,569,276</w:t>
            </w:r>
          </w:p>
        </w:tc>
        <w:tc>
          <w:tcPr>
            <w:tcW w:w="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0" w:name="page131"/>
    <w:bookmarkEnd w:id="1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No dividend was distributed in 2021 or in 2020.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nature and purpose of each reserve within equity:</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premium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amount subscribed for share capital in excess of nominal value.</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reserves</w:t>
      </w:r>
    </w:p>
    <w:p>
      <w:pPr>
        <w:spacing w:after="0" w:line="11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Other reserves entirely consist of share-based payments reserve, which is used to recognize: the grant date fair value of options issued but not vested and the grant date fair value of RSUs issued to employees and consultants.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Trade and other payables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80" w:type="dxa"/>
            <w:vAlign w:val="bottom"/>
          </w:tcPr>
          <w:p>
            <w:pPr>
              <w:spacing w:after="0"/>
              <w:rPr>
                <w:sz w:val="13"/>
                <w:szCs w:val="13"/>
                <w:color w:val="auto"/>
              </w:rPr>
            </w:pPr>
          </w:p>
        </w:tc>
        <w:tc>
          <w:tcPr>
            <w:tcW w:w="152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ind w:right="58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42"/>
        </w:trPr>
        <w:tc>
          <w:tcPr>
            <w:tcW w:w="7780" w:type="dxa"/>
            <w:vAlign w:val="bottom"/>
            <w:tcBorders>
              <w:bottom w:val="single" w:sz="8" w:color="CFF0FC"/>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bottom w:val="single" w:sz="8" w:color="CFF0FC"/>
            </w:tcBorders>
          </w:tcPr>
          <w:p>
            <w:pPr>
              <w:spacing w:after="0"/>
              <w:rPr>
                <w:sz w:val="12"/>
                <w:szCs w:val="12"/>
                <w:color w:val="auto"/>
              </w:rPr>
            </w:pPr>
          </w:p>
        </w:tc>
        <w:tc>
          <w:tcPr>
            <w:tcW w:w="1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00" w:type="dxa"/>
            <w:vAlign w:val="bottom"/>
            <w:tcBorders>
              <w:bottom w:val="single" w:sz="8" w:color="CFF0FC"/>
            </w:tcBorders>
          </w:tcPr>
          <w:p>
            <w:pPr>
              <w:spacing w:after="0"/>
              <w:rPr>
                <w:sz w:val="12"/>
                <w:szCs w:val="12"/>
                <w:color w:val="auto"/>
              </w:rPr>
            </w:pPr>
          </w:p>
        </w:tc>
      </w:tr>
      <w:tr>
        <w:trPr>
          <w:trHeight w:val="196"/>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Trade payables</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2,125,511</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656,448</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Tax and social security liabilities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365,061</w:t>
            </w:r>
          </w:p>
        </w:tc>
        <w:tc>
          <w:tcPr>
            <w:tcW w:w="280" w:type="dxa"/>
            <w:vAlign w:val="bottom"/>
            <w:tcBorders>
              <w:bottom w:val="single" w:sz="8" w:color="CFF0FC"/>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174,416</w:t>
            </w:r>
          </w:p>
        </w:tc>
        <w:tc>
          <w:tcPr>
            <w:tcW w:w="100" w:type="dxa"/>
            <w:vAlign w:val="bottom"/>
            <w:tcBorders>
              <w:bottom w:val="single" w:sz="8" w:color="CFF0FC"/>
            </w:tcBorders>
          </w:tcPr>
          <w:p>
            <w:pPr>
              <w:spacing w:after="0"/>
              <w:rPr>
                <w:sz w:val="17"/>
                <w:szCs w:val="17"/>
                <w:color w:val="auto"/>
              </w:rPr>
            </w:pPr>
          </w:p>
        </w:tc>
      </w:tr>
      <w:tr>
        <w:trPr>
          <w:trHeight w:val="196"/>
        </w:trPr>
        <w:tc>
          <w:tcPr>
            <w:tcW w:w="778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2,490,572</w:t>
            </w:r>
          </w:p>
        </w:tc>
        <w:tc>
          <w:tcPr>
            <w:tcW w:w="28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830,864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Financial assets and liabilities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Fair values of cash, receivables, and current liabilities approximate their carrying amounts due to the short-term maturities of these instruments.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Accrued liabilities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80" w:type="dxa"/>
            <w:vAlign w:val="bottom"/>
          </w:tcPr>
          <w:p>
            <w:pPr>
              <w:spacing w:after="0"/>
              <w:rPr>
                <w:sz w:val="13"/>
                <w:szCs w:val="13"/>
                <w:color w:val="auto"/>
              </w:rPr>
            </w:pPr>
          </w:p>
        </w:tc>
        <w:tc>
          <w:tcPr>
            <w:tcW w:w="152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42"/>
        </w:trPr>
        <w:tc>
          <w:tcPr>
            <w:tcW w:w="7780" w:type="dxa"/>
            <w:vAlign w:val="bottom"/>
            <w:tcBorders>
              <w:bottom w:val="single" w:sz="8" w:color="CFF0FC"/>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bottom w:val="single" w:sz="8" w:color="CFF0FC"/>
            </w:tcBorders>
          </w:tcPr>
          <w:p>
            <w:pPr>
              <w:spacing w:after="0"/>
              <w:rPr>
                <w:sz w:val="12"/>
                <w:szCs w:val="12"/>
                <w:color w:val="auto"/>
              </w:rPr>
            </w:pPr>
          </w:p>
        </w:tc>
        <w:tc>
          <w:tcPr>
            <w:tcW w:w="1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00" w:type="dxa"/>
            <w:vAlign w:val="bottom"/>
            <w:tcBorders>
              <w:bottom w:val="single" w:sz="8" w:color="CFF0FC"/>
            </w:tcBorders>
          </w:tcPr>
          <w:p>
            <w:pPr>
              <w:spacing w:after="0"/>
              <w:rPr>
                <w:sz w:val="12"/>
                <w:szCs w:val="12"/>
                <w:color w:val="auto"/>
              </w:rPr>
            </w:pPr>
          </w:p>
        </w:tc>
      </w:tr>
      <w:tr>
        <w:trPr>
          <w:trHeight w:val="196"/>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Consulting, professional and audit liability</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786,116</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1,505,304</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Clinical accrued liabilities</w:t>
            </w:r>
          </w:p>
        </w:tc>
        <w:tc>
          <w:tcPr>
            <w:tcW w:w="1520" w:type="dxa"/>
            <w:vAlign w:val="bottom"/>
          </w:tcPr>
          <w:p>
            <w:pPr>
              <w:jc w:val="right"/>
              <w:spacing w:after="0"/>
              <w:rPr>
                <w:sz w:val="20"/>
                <w:szCs w:val="20"/>
                <w:color w:val="auto"/>
              </w:rPr>
            </w:pPr>
            <w:r>
              <w:rPr>
                <w:rFonts w:ascii="Arial" w:cs="Arial" w:eastAsia="Arial" w:hAnsi="Arial"/>
                <w:sz w:val="16"/>
                <w:szCs w:val="16"/>
                <w:color w:val="auto"/>
              </w:rPr>
              <w:t>386,328</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635,820</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Manufacturing accrued liabilities</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1,231,514</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970,587</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Pre-clinical accrued liabilities</w:t>
            </w:r>
          </w:p>
        </w:tc>
        <w:tc>
          <w:tcPr>
            <w:tcW w:w="1520" w:type="dxa"/>
            <w:vAlign w:val="bottom"/>
          </w:tcPr>
          <w:p>
            <w:pPr>
              <w:jc w:val="right"/>
              <w:spacing w:after="0"/>
              <w:rPr>
                <w:sz w:val="20"/>
                <w:szCs w:val="20"/>
                <w:color w:val="auto"/>
              </w:rPr>
            </w:pPr>
            <w:r>
              <w:rPr>
                <w:rFonts w:ascii="Arial" w:cs="Arial" w:eastAsia="Arial" w:hAnsi="Arial"/>
                <w:sz w:val="16"/>
                <w:szCs w:val="16"/>
                <w:color w:val="auto"/>
              </w:rPr>
              <w:t>398,468</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421,429</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Personnel related accruals</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1,459,162</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875,238</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accrued liabilities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8,495</w:t>
            </w:r>
          </w:p>
        </w:tc>
        <w:tc>
          <w:tcPr>
            <w:tcW w:w="280" w:type="dxa"/>
            <w:vAlign w:val="bottom"/>
            <w:tcBorders>
              <w:bottom w:val="single" w:sz="8" w:color="CFF0FC"/>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58,459</w:t>
            </w:r>
          </w:p>
        </w:tc>
        <w:tc>
          <w:tcPr>
            <w:tcW w:w="100" w:type="dxa"/>
            <w:vAlign w:val="bottom"/>
            <w:tcBorders>
              <w:bottom w:val="single" w:sz="8" w:color="CFF0FC"/>
            </w:tcBorders>
          </w:tcPr>
          <w:p>
            <w:pPr>
              <w:spacing w:after="0"/>
              <w:rPr>
                <w:sz w:val="17"/>
                <w:szCs w:val="17"/>
                <w:color w:val="auto"/>
              </w:rPr>
            </w:pPr>
          </w:p>
        </w:tc>
      </w:tr>
      <w:tr>
        <w:trPr>
          <w:trHeight w:val="196"/>
        </w:trPr>
        <w:tc>
          <w:tcPr>
            <w:tcW w:w="778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4,270,082</w:t>
            </w:r>
          </w:p>
        </w:tc>
        <w:tc>
          <w:tcPr>
            <w:tcW w:w="28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4,466,837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Financial risk management</w:t>
      </w:r>
    </w:p>
    <w:p>
      <w:pPr>
        <w:spacing w:after="0" w:line="11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Group’s principal financial instruments consist of receivables, trade and other trade payables. The financial instruments represent the Group’s working capital to serve the Group’s day-to-day operations.</w:t>
      </w:r>
    </w:p>
    <w:p>
      <w:pPr>
        <w:spacing w:after="0" w:line="156"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The Group is exposed to market risk (including currency risk, interest rate risk and price risk), credit risk and liquidity risk. The Group’s management manages each risk as discussed below.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1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Company is exposed to foreign exchange risk arising from various currency exposures, primarily with respect to the U.S. Dollar. We received the proceeds from our initial public offering in February 2021 in U.S. Dollars. We seek to minimize our exchange rate risk in our cash positions by taking into considerations market conditions and keeping currencies in which we expect to incur the majority of our near future expenses and make related payments from those positions.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Group keeps an amount of €173.6 million in USD and €0.1 million in CHF on its bank accounts as of December 31, 2021.</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Price risk</w:t>
      </w:r>
    </w:p>
    <w:p>
      <w:pPr>
        <w:spacing w:after="0" w:line="111"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The market prices for the provision of preclinical and clinical materials and services, as well as external contracted research may vary over time. The commercial prices of any of the Group’s products or product candidates are currently uncertain. The Group is not exposed to commodity price risk.</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risk</w:t>
      </w:r>
    </w:p>
    <w:p>
      <w:pPr>
        <w:spacing w:after="0" w:line="11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 The Group has €209.4 million of cash on the balance sheet at December 31, 2021. The Group is implementing its treasury strategy to monitor the impact of changes in interest rates.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11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risk for the components of the statements of financial position on December 31, 2021 and 2020 are the carrying amounts as illustrated in Note 11.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are no financial assets past due date or impaired.</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1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Cash deposits are placed only with reputable financial institutions with a credit rating of not less than A- (Standard &amp; Poor’s). Credit risk is further limited by investing only in liquid instruments.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111"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Company has cash of €209.4 million.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On February 9, 2021, the Company completed its initial public offering (IPO) with total net proceeds of USD 176.9 million.</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Based on the existing operating plan, anticipated working capital requirements and available capital sources, the Company believes that it can execute on strategy and realize liquidity planning and it is able to finance its activities for at least eighteen months following the date of these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need additional funding in the future, which could possibly not be available to the Group at all or not at acceptable or favorable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could lead to a situation where the Group would have to delay the execution of parts of its business plan.</w:t>
      </w:r>
    </w:p>
    <w:p>
      <w:pPr>
        <w:spacing w:after="0" w:line="23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Group manages liquidity risks by holding appropriate reserves, taking timely action for future funding, as well as by monitoring forecasted and actual cash flows and reconciling the maturity profiles of financial assets and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summarizes the maturity profile of the Group’s accrued liabilities based on contractual undiscounted payments: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680" w:type="dxa"/>
            <w:vAlign w:val="bottom"/>
          </w:tcPr>
          <w:p>
            <w:pPr>
              <w:spacing w:after="0"/>
              <w:rPr>
                <w:sz w:val="9"/>
                <w:szCs w:val="9"/>
                <w:color w:val="auto"/>
              </w:rPr>
            </w:pPr>
          </w:p>
        </w:tc>
        <w:tc>
          <w:tcPr>
            <w:tcW w:w="154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Less than</w:t>
            </w: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1 to 5 years</w:t>
            </w:r>
          </w:p>
        </w:tc>
        <w:tc>
          <w:tcPr>
            <w:tcW w:w="13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68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2021</w:t>
            </w:r>
          </w:p>
        </w:tc>
        <w:tc>
          <w:tcPr>
            <w:tcW w:w="15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12 months</w:t>
            </w:r>
          </w:p>
        </w:tc>
        <w:tc>
          <w:tcPr>
            <w:tcW w:w="1580" w:type="dxa"/>
            <w:vAlign w:val="bottom"/>
            <w:gridSpan w:val="2"/>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1300" w:type="dxa"/>
            <w:vAlign w:val="bottom"/>
          </w:tcPr>
          <w:p>
            <w:pPr>
              <w:jc w:val="right"/>
              <w:spacing w:after="0"/>
              <w:rPr>
                <w:sz w:val="20"/>
                <w:szCs w:val="20"/>
                <w:color w:val="auto"/>
              </w:rPr>
            </w:pPr>
            <w:r>
              <w:rPr>
                <w:rFonts w:ascii="Arial" w:cs="Arial" w:eastAsia="Arial" w:hAnsi="Arial"/>
                <w:sz w:val="16"/>
                <w:szCs w:val="16"/>
                <w:color w:val="auto"/>
              </w:rPr>
              <w:t>2,490,572</w:t>
            </w:r>
          </w:p>
        </w:tc>
        <w:tc>
          <w:tcPr>
            <w:tcW w:w="240" w:type="dxa"/>
            <w:vAlign w:val="bottom"/>
          </w:tcPr>
          <w:p>
            <w:pPr>
              <w:spacing w:after="0"/>
              <w:rPr>
                <w:sz w:val="17"/>
                <w:szCs w:val="17"/>
                <w:color w:val="auto"/>
              </w:rPr>
            </w:pPr>
          </w:p>
        </w:tc>
        <w:tc>
          <w:tcPr>
            <w:tcW w:w="1340" w:type="dxa"/>
            <w:vAlign w:val="bottom"/>
          </w:tcPr>
          <w:p>
            <w:pPr>
              <w:ind w:left="11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2,490,572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Accrued liabilities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4,270,082</w:t>
            </w:r>
          </w:p>
        </w:tc>
        <w:tc>
          <w:tcPr>
            <w:tcW w:w="2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ind w:left="1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4,270,082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680" w:type="dxa"/>
            <w:vAlign w:val="bottom"/>
          </w:tcPr>
          <w:p>
            <w:pPr>
              <w:spacing w:after="0"/>
              <w:rPr>
                <w:sz w:val="11"/>
                <w:szCs w:val="11"/>
                <w:color w:val="auto"/>
              </w:rPr>
            </w:pPr>
          </w:p>
        </w:tc>
        <w:tc>
          <w:tcPr>
            <w:tcW w:w="154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5"/>
              </w:rPr>
              <w:t>Less than</w:t>
            </w: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1 to 5 years</w:t>
            </w: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3"/>
        </w:trPr>
        <w:tc>
          <w:tcPr>
            <w:tcW w:w="668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2020</w:t>
            </w:r>
          </w:p>
        </w:tc>
        <w:tc>
          <w:tcPr>
            <w:tcW w:w="15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12 months</w:t>
            </w:r>
          </w:p>
        </w:tc>
        <w:tc>
          <w:tcPr>
            <w:tcW w:w="158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FF0FC"/>
            </w:tcBorders>
            <w:vMerge w:val="continue"/>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40" w:type="dxa"/>
            <w:vAlign w:val="bottom"/>
            <w:tcBorders>
              <w:bottom w:val="single" w:sz="8" w:color="CFF0FC"/>
            </w:tcBorders>
          </w:tcPr>
          <w:p>
            <w:pPr>
              <w:spacing w:after="0"/>
              <w:rPr>
                <w:sz w:val="12"/>
                <w:szCs w:val="12"/>
                <w:color w:val="auto"/>
              </w:rPr>
            </w:pPr>
          </w:p>
        </w:tc>
        <w:tc>
          <w:tcPr>
            <w:tcW w:w="1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FF0FC"/>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Trade and other payables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830,864</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ind w:left="11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846,952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80" w:type="dxa"/>
            <w:vAlign w:val="bottom"/>
          </w:tcPr>
          <w:p>
            <w:pPr>
              <w:spacing w:after="0"/>
              <w:rPr>
                <w:sz w:val="20"/>
                <w:szCs w:val="20"/>
                <w:color w:val="auto"/>
              </w:rPr>
            </w:pPr>
            <w:r>
              <w:rPr>
                <w:rFonts w:ascii="Arial" w:cs="Arial" w:eastAsia="Arial" w:hAnsi="Arial"/>
                <w:sz w:val="16"/>
                <w:szCs w:val="16"/>
                <w:color w:val="auto"/>
              </w:rPr>
              <w:t>Accrued liabilities</w:t>
            </w:r>
          </w:p>
        </w:tc>
        <w:tc>
          <w:tcPr>
            <w:tcW w:w="1300" w:type="dxa"/>
            <w:vAlign w:val="bottom"/>
          </w:tcPr>
          <w:p>
            <w:pPr>
              <w:jc w:val="right"/>
              <w:spacing w:after="0"/>
              <w:rPr>
                <w:sz w:val="20"/>
                <w:szCs w:val="20"/>
                <w:color w:val="auto"/>
              </w:rPr>
            </w:pPr>
            <w:r>
              <w:rPr>
                <w:rFonts w:ascii="Arial" w:cs="Arial" w:eastAsia="Arial" w:hAnsi="Arial"/>
                <w:sz w:val="16"/>
                <w:szCs w:val="16"/>
                <w:color w:val="auto"/>
              </w:rPr>
              <w:t>4,466,837</w:t>
            </w:r>
          </w:p>
        </w:tc>
        <w:tc>
          <w:tcPr>
            <w:tcW w:w="240" w:type="dxa"/>
            <w:vAlign w:val="bottom"/>
          </w:tcPr>
          <w:p>
            <w:pPr>
              <w:spacing w:after="0"/>
              <w:rPr>
                <w:sz w:val="18"/>
                <w:szCs w:val="18"/>
                <w:color w:val="auto"/>
              </w:rPr>
            </w:pPr>
          </w:p>
        </w:tc>
        <w:tc>
          <w:tcPr>
            <w:tcW w:w="15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4,466,837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payments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2016, the Group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main terms and conditions of the separate award agreements entered into under this Plan are provided below.</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Agreements</w:t>
      </w:r>
    </w:p>
    <w:p>
      <w:pPr>
        <w:spacing w:after="0" w:line="21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On January 1, 2020 the Company granted a total of 600,000 stock options to members of key management with an exercise price of €2.38 per share with a final exercise date of December 31, 2029 unless forfeited or exercised on an earlier date. And on February 3, 2020 a total of 308,000 stock options was granted to a member of key management with an exercise price of €2.38 per share with a final exercise date of February 2, 2030 unless forfeited or exercised on an earlier date. 25% of the aggregate number of stock options shall vest on the one-year anniversary of the grant date, and thereafter 1/48th of the aggregate number of stock options shall vest on each month until either the stock option is fully vested or the stock option holders’ continuous service terminates.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February 3, 2020 a total of 132,000 stock options were granted to a member of key management with an exercise price of €2.38 per share with a final exercise date of February 2, 2030 unless forfeited or exercised on an earlier date. Each of 2020, 2021, 2022 is a performance period. The Board of directors needs to determine the performance goals for the related performance period before September 30 of the respective year. On July 13, 2020 the performance goals for 2020 were determined and the fair value of the related stock options was reassessed for the stock options subject to the performance goals for 2020. The fair value of the stock options related to the performance periods 2021 and 2022 was reassessed on December 31, 2020. One-third of the aggregate number of stock options shall vest on the last day of each performance period if (i) the performance condition for the applicable performance period is achieved, as determined by the Board, and (ii) option holder remains in continuous service through the last day of such performance period. The Board resolved to modify the terms and conditions related to the performance options effective June 25, 2021. The performance condition was released and the vesting period was changed from vesting on December 31, 2021 of the second tranche and December 31, 2022 of the third tranche to monthly vesting starting from February 3, 2020. Each month, 1/48 of the options will vest, with final vesting on February 4, 2024. Since this modification did not change Management’s best estimate of when the options will be exercised, no incremental fair value was granted.</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On December 17, 2020 a total of 32,445 stock options were granted to employees with an exercise price of €7.25 per share with a final exercise date of September 30, 2030 unless forfeited or exercised on an earlier date. The stock options shall vest over four-year period with 25% of the stock options vesting on the one-year anniversary of the vesting commencement date and thereafter 1/48th of the aggregate number of stock options shall vest on each month until either the stock option is fully vested or the option holders’ continuous service terminates. The vesting of the stock option commences on October 1, 2020.</w:t>
      </w:r>
    </w:p>
    <w:p>
      <w:pPr>
        <w:spacing w:after="0" w:line="182" w:lineRule="exact"/>
        <w:rPr>
          <w:sz w:val="20"/>
          <w:szCs w:val="20"/>
          <w:color w:val="auto"/>
        </w:rPr>
      </w:pPr>
    </w:p>
    <w:p>
      <w:pPr>
        <w:ind w:right="40"/>
        <w:spacing w:after="0" w:line="223" w:lineRule="auto"/>
        <w:rPr>
          <w:sz w:val="20"/>
          <w:szCs w:val="20"/>
          <w:color w:val="auto"/>
        </w:rPr>
      </w:pPr>
      <w:r>
        <w:rPr>
          <w:rFonts w:ascii="Arial" w:cs="Arial" w:eastAsia="Arial" w:hAnsi="Arial"/>
          <w:sz w:val="16"/>
          <w:szCs w:val="16"/>
          <w:color w:val="auto"/>
        </w:rPr>
        <w:t>On January 1, 2021 the Company granted a total of 107,000 stock options to members of key management with an exercise price of €7.25 per share with a final exercise date of December 31, 2030 unless forfeited or exercised on an earlier date. On February 4, 2021, a total of 873,000 stock options were granted to members of key management with an exercise price of $20 per share with a final exercise date of February 3, 2031 unless forfeited or exercised on an earlier date. 25% of the aggregate number of share options shall vest on the 12-month anniversary of the vesting commencement date, and thereafter 1/48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77"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On June 25, 2021, a total of 14,000 stock options were granted to a member of key management with an exercise price of $20 per share with a final exercise date of February 3, 2031 unless forfeited or exercised on an earlier date. 25% of the aggregate number of share options shall vest on February 3, 2022 and thereafter 1/48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79" w:lineRule="exact"/>
        <w:rPr>
          <w:sz w:val="20"/>
          <w:szCs w:val="20"/>
          <w:color w:val="auto"/>
        </w:rPr>
      </w:pPr>
    </w:p>
    <w:p>
      <w:pPr>
        <w:ind w:right="100"/>
        <w:spacing w:after="0" w:line="217" w:lineRule="auto"/>
        <w:rPr>
          <w:sz w:val="20"/>
          <w:szCs w:val="20"/>
          <w:color w:val="auto"/>
        </w:rPr>
      </w:pPr>
      <w:r>
        <w:rPr>
          <w:rFonts w:ascii="Arial" w:cs="Arial" w:eastAsia="Arial" w:hAnsi="Arial"/>
          <w:sz w:val="16"/>
          <w:szCs w:val="16"/>
          <w:color w:val="auto"/>
        </w:rPr>
        <w:t>On July 1, 2021, a total of 150,000 stock options were granted to members of key management with an exercise price of $17.43 per share with a final exercise date of June 30, 2031 unless forfeited or exercised on an earlier date. 25% of the aggregate number of share options shall vest on June 30, 2022 and thereafter 1/48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92"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share-based payment expenses are recognized over the service period in the consolidated statements of profit or loss and other comprehensive income. For the years ended December 31, 2021 and 2020 an amount of €7,008,923 and €1,410,101 respectively, has been recognized.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exercise prices of, and movements in, stock options during the year: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53"/>
        </w:trPr>
        <w:tc>
          <w:tcPr>
            <w:tcW w:w="586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860" w:type="dxa"/>
            <w:vAlign w:val="bottom"/>
          </w:tcPr>
          <w:p>
            <w:pPr>
              <w:spacing w:after="0"/>
              <w:rPr>
                <w:sz w:val="10"/>
                <w:szCs w:val="10"/>
                <w:color w:val="auto"/>
              </w:rPr>
            </w:pPr>
          </w:p>
        </w:tc>
        <w:tc>
          <w:tcPr>
            <w:tcW w:w="11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6"/>
              </w:rPr>
              <w:t>Number stock</w:t>
            </w:r>
          </w:p>
        </w:tc>
        <w:tc>
          <w:tcPr>
            <w:tcW w:w="24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11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6"/>
              </w:rPr>
              <w:t>Number stock</w:t>
            </w:r>
          </w:p>
        </w:tc>
        <w:tc>
          <w:tcPr>
            <w:tcW w:w="220" w:type="dxa"/>
            <w:vAlign w:val="bottom"/>
          </w:tcPr>
          <w:p>
            <w:pPr>
              <w:spacing w:after="0"/>
              <w:rPr>
                <w:sz w:val="10"/>
                <w:szCs w:val="10"/>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w:t>
            </w:r>
          </w:p>
        </w:tc>
        <w:tc>
          <w:tcPr>
            <w:tcW w:w="0" w:type="dxa"/>
            <w:vAlign w:val="bottom"/>
          </w:tcPr>
          <w:p>
            <w:pPr>
              <w:spacing w:after="0"/>
              <w:rPr>
                <w:sz w:val="1"/>
                <w:szCs w:val="1"/>
                <w:color w:val="auto"/>
              </w:rPr>
            </w:pPr>
          </w:p>
        </w:tc>
      </w:tr>
      <w:tr>
        <w:trPr>
          <w:trHeight w:val="153"/>
        </w:trPr>
        <w:tc>
          <w:tcPr>
            <w:tcW w:w="586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options</w:t>
            </w:r>
          </w:p>
        </w:tc>
        <w:tc>
          <w:tcPr>
            <w:tcW w:w="11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options</w:t>
            </w: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January 1,</w:t>
            </w:r>
          </w:p>
        </w:tc>
        <w:tc>
          <w:tcPr>
            <w:tcW w:w="1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1,465,295</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3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392,850</w:t>
            </w:r>
          </w:p>
        </w:tc>
        <w:tc>
          <w:tcPr>
            <w:tcW w:w="2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1,144,000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1,072,445</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(34,000)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(105,000)</w:t>
            </w:r>
          </w:p>
        </w:tc>
        <w:tc>
          <w:tcPr>
            <w:tcW w:w="1140" w:type="dxa"/>
            <w:vAlign w:val="bottom"/>
          </w:tcPr>
          <w:p>
            <w:pPr>
              <w:jc w:val="right"/>
              <w:spacing w:after="0"/>
              <w:rPr>
                <w:sz w:val="20"/>
                <w:szCs w:val="20"/>
                <w:color w:val="auto"/>
              </w:rPr>
            </w:pPr>
            <w:r>
              <w:rPr>
                <w:rFonts w:ascii="Arial" w:cs="Arial" w:eastAsia="Arial" w:hAnsi="Arial"/>
                <w:sz w:val="16"/>
                <w:szCs w:val="16"/>
                <w:color w:val="auto"/>
              </w:rPr>
              <w:t>16.67</w:t>
            </w:r>
          </w:p>
        </w:tc>
        <w:tc>
          <w:tcPr>
            <w:tcW w:w="2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Outstanding December 31,</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2,470,295</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1,465,295</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Out of the total outstanding stock options of 2,470,295 at December 31, 2021 (2020: 1,465,295), 469,630 stock options were exercisable (2020: 194,000). The options outstanding at December 31, 2021 had an exercise price in the range of €0.01 to €16.67 and a weighted-average remaining contractual life of 8.0 years (2020: exercise price in the range of €0.01 to €7.25 and a weighted-average remaining contractual life of 8.0 years).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Award Agreements</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On December 17, 2020 a total of 128,300 RSUs were granted to employees with a final vesting date of December 17, 2025 unless forfeited on an earlier date. The vesting of the RSUs starts at October 1, 2020. The RSUs shall vest equally over a four-year period on each of the four anniversaries of the vesting start date until either the RSUs are fully vested or the RSUs holders’ continuous service terminates. The fair value of €9.67 is determined based on the share value per ordinary share at the grant date, prior to applying a discount for lack of marketability.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In 2021 the Company granted a total of 175,991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2021 amounted to €17.0. The expenses are recognized over the service period in the consolidated statements of profit or loss and other comprehensive income.</w:t>
      </w:r>
    </w:p>
    <w:p>
      <w:pPr>
        <w:spacing w:after="0" w:line="18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share-based payment expense recorded for the years ended December 31, 2021 and 2020 and related to RSUs amounted to €1,187,463 and €177,635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purchase prices of, and movements in, RSUs during the year: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ind w:left="137"/>
              <w:spacing w:after="0"/>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left="137"/>
              <w:spacing w:after="0"/>
              <w:rPr>
                <w:sz w:val="20"/>
                <w:szCs w:val="20"/>
                <w:color w:val="auto"/>
              </w:rPr>
            </w:pPr>
            <w:r>
              <w:rPr>
                <w:rFonts w:ascii="Arial" w:cs="Arial" w:eastAsia="Arial" w:hAnsi="Arial"/>
                <w:sz w:val="13"/>
                <w:szCs w:val="13"/>
                <w:b w:val="1"/>
                <w:bCs w:val="1"/>
                <w:color w:val="auto"/>
                <w:w w:val="93"/>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140" w:type="dxa"/>
            <w:vAlign w:val="bottom"/>
            <w:vMerge w:val="restart"/>
          </w:tcPr>
          <w:p>
            <w:pPr>
              <w:jc w:val="right"/>
              <w:ind w:right="364"/>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1"/>
                <w:szCs w:val="11"/>
                <w:color w:val="auto"/>
              </w:rPr>
            </w:pPr>
          </w:p>
        </w:tc>
        <w:tc>
          <w:tcPr>
            <w:tcW w:w="90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96"/>
              </w:rPr>
              <w:t>purchase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right"/>
              <w:ind w:right="364"/>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1"/>
                <w:szCs w:val="11"/>
                <w:color w:val="auto"/>
              </w:rPr>
            </w:pPr>
          </w:p>
        </w:tc>
        <w:tc>
          <w:tcPr>
            <w:tcW w:w="12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purchase</w:t>
            </w:r>
          </w:p>
        </w:tc>
        <w:tc>
          <w:tcPr>
            <w:tcW w:w="0" w:type="dxa"/>
            <w:vAlign w:val="bottom"/>
          </w:tcPr>
          <w:p>
            <w:pPr>
              <w:spacing w:after="0"/>
              <w:rPr>
                <w:sz w:val="1"/>
                <w:szCs w:val="1"/>
                <w:color w:val="auto"/>
              </w:rPr>
            </w:pPr>
          </w:p>
        </w:tc>
      </w:tr>
      <w:tr>
        <w:trPr>
          <w:trHeight w:val="153"/>
        </w:trPr>
        <w:tc>
          <w:tcPr>
            <w:tcW w:w="58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ind w:left="137"/>
              <w:spacing w:after="0"/>
              <w:rPr>
                <w:sz w:val="20"/>
                <w:szCs w:val="20"/>
                <w:color w:val="auto"/>
              </w:rPr>
            </w:pPr>
            <w:r>
              <w:rPr>
                <w:rFonts w:ascii="Arial" w:cs="Arial" w:eastAsia="Arial" w:hAnsi="Arial"/>
                <w:sz w:val="13"/>
                <w:szCs w:val="13"/>
                <w:b w:val="1"/>
                <w:bCs w:val="1"/>
                <w:color w:val="auto"/>
                <w:w w:val="96"/>
              </w:rPr>
              <w:t>price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price</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FF0FC"/>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3"/>
                <w:szCs w:val="13"/>
                <w:b w:val="1"/>
                <w:bCs w:val="1"/>
                <w:color w:val="auto"/>
              </w:rPr>
              <w:t>Number RSUs</w:t>
            </w:r>
          </w:p>
        </w:tc>
        <w:tc>
          <w:tcPr>
            <w:tcW w:w="240" w:type="dxa"/>
            <w:vAlign w:val="bottom"/>
            <w:tcBorders>
              <w:bottom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jc w:val="center"/>
              <w:ind w:left="137"/>
              <w:spacing w:after="0" w:line="142" w:lineRule="exact"/>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3"/>
                <w:szCs w:val="13"/>
                <w:b w:val="1"/>
                <w:bCs w:val="1"/>
                <w:color w:val="auto"/>
              </w:rPr>
              <w:t>Number RSUs</w:t>
            </w:r>
          </w:p>
        </w:tc>
        <w:tc>
          <w:tcPr>
            <w:tcW w:w="240" w:type="dxa"/>
            <w:vAlign w:val="bottom"/>
            <w:tcBorders>
              <w:bottom w:val="single" w:sz="8" w:color="CFF0FC"/>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Outstanding January 1,</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153,595</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25,295</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175,991</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128,300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(57,372)</w:t>
            </w:r>
          </w:p>
        </w:tc>
        <w:tc>
          <w:tcPr>
            <w:tcW w:w="9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(12,500)</w:t>
            </w:r>
          </w:p>
        </w:tc>
        <w:tc>
          <w:tcPr>
            <w:tcW w:w="900" w:type="dxa"/>
            <w:vAlign w:val="bottom"/>
          </w:tcPr>
          <w:p>
            <w:pPr>
              <w:spacing w:after="0"/>
              <w:rPr>
                <w:sz w:val="17"/>
                <w:szCs w:val="17"/>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December 31,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259,714</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153,595</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 of the Company’s shares</w:t>
      </w:r>
    </w:p>
    <w:p>
      <w:pPr>
        <w:spacing w:after="0" w:line="111"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For the pre-IPO grants, the fair value of ordinary shares is determined by the Board of directors and takes into account the most recently available valuation of ordinary shares performed by an independent valuation firm and the assessment of additional objective and subjective factors we believe are relevant and which may have changed from the date of the most recent valuation through the date of the grant.</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The Board of directors consider numerous objective and subjective factors to determine their best estimate of the fair value of the ordinary shares as of each grant date, including:</w:t>
      </w:r>
    </w:p>
    <w:p>
      <w:pPr>
        <w:spacing w:after="0" w:line="48" w:lineRule="exact"/>
        <w:rPr>
          <w:sz w:val="20"/>
          <w:szCs w:val="20"/>
          <w:color w:val="auto"/>
        </w:rPr>
      </w:pPr>
    </w:p>
    <w:p>
      <w:pPr>
        <w:ind w:left="980" w:hanging="486"/>
        <w:spacing w:after="0"/>
        <w:tabs>
          <w:tab w:leader="none" w:pos="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progress of the research and development programs</w:t>
      </w:r>
    </w:p>
    <w:p>
      <w:pPr>
        <w:spacing w:after="0" w:line="153" w:lineRule="exact"/>
        <w:rPr>
          <w:rFonts w:ascii="Arial" w:cs="Arial" w:eastAsia="Arial" w:hAnsi="Arial"/>
          <w:sz w:val="16"/>
          <w:szCs w:val="16"/>
          <w:color w:val="auto"/>
        </w:rPr>
      </w:pPr>
    </w:p>
    <w:p>
      <w:pPr>
        <w:ind w:left="980" w:hanging="486"/>
        <w:spacing w:after="0"/>
        <w:tabs>
          <w:tab w:leader="none" w:pos="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Contemporaneous third-party valuations of the ordinary shares for the share issuances in 2016, 2019 and 2020</w:t>
      </w:r>
    </w:p>
    <w:p>
      <w:pPr>
        <w:spacing w:after="0" w:line="153" w:lineRule="exact"/>
        <w:rPr>
          <w:rFonts w:ascii="Arial" w:cs="Arial" w:eastAsia="Arial" w:hAnsi="Arial"/>
          <w:sz w:val="16"/>
          <w:szCs w:val="16"/>
          <w:color w:val="auto"/>
        </w:rPr>
      </w:pPr>
    </w:p>
    <w:p>
      <w:pPr>
        <w:ind w:left="980" w:hanging="486"/>
        <w:spacing w:after="0"/>
        <w:tabs>
          <w:tab w:leader="none" w:pos="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rights and preferences of the preferred shares relative to the ordinary shares</w:t>
      </w:r>
    </w:p>
    <w:p>
      <w:pPr>
        <w:spacing w:after="0" w:line="153" w:lineRule="exact"/>
        <w:rPr>
          <w:rFonts w:ascii="Arial" w:cs="Arial" w:eastAsia="Arial" w:hAnsi="Arial"/>
          <w:sz w:val="16"/>
          <w:szCs w:val="16"/>
          <w:color w:val="auto"/>
        </w:rPr>
      </w:pPr>
    </w:p>
    <w:p>
      <w:pPr>
        <w:ind w:left="980" w:right="680" w:hanging="486"/>
        <w:spacing w:after="0" w:line="286" w:lineRule="auto"/>
        <w:tabs>
          <w:tab w:leader="none" w:pos="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likelihood of achieving a discrete liquidity event, such as a sale of the Company or an initial public offering given prevailing market conditions</w:t>
      </w:r>
    </w:p>
    <w:p>
      <w:pPr>
        <w:spacing w:after="0" w:line="47" w:lineRule="exact"/>
        <w:rPr>
          <w:rFonts w:ascii="Arial" w:cs="Arial" w:eastAsia="Arial" w:hAnsi="Arial"/>
          <w:sz w:val="16"/>
          <w:szCs w:val="16"/>
          <w:color w:val="auto"/>
        </w:rPr>
      </w:pPr>
    </w:p>
    <w:p>
      <w:pPr>
        <w:ind w:left="980" w:hanging="486"/>
        <w:spacing w:after="0"/>
        <w:tabs>
          <w:tab w:leader="none" w:pos="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External market and economic conditions impacting the industry sector</w:t>
      </w:r>
    </w:p>
    <w:p>
      <w:pPr>
        <w:spacing w:after="0" w:line="26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inputs used in the measurement of the fair value per ordinary share pre-IPO at the grant/measurement date based upon the total equity value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January 1,</w:t>
            </w:r>
          </w:p>
        </w:tc>
      </w:tr>
      <w:tr>
        <w:trPr>
          <w:trHeight w:val="172"/>
        </w:trPr>
        <w:tc>
          <w:tcPr>
            <w:tcW w:w="9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jc w:val="right"/>
              <w:ind w:right="785"/>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4"/>
                <w:szCs w:val="14"/>
                <w:color w:val="auto"/>
              </w:rPr>
            </w:pPr>
          </w:p>
        </w:tc>
      </w:tr>
      <w:tr>
        <w:trPr>
          <w:trHeight w:val="130"/>
        </w:trPr>
        <w:tc>
          <w:tcPr>
            <w:tcW w:w="9080" w:type="dxa"/>
            <w:vAlign w:val="bottom"/>
            <w:tcBorders>
              <w:bottom w:val="single" w:sz="8" w:color="CFF0FC"/>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r>
      <w:tr>
        <w:trPr>
          <w:trHeight w:val="196"/>
        </w:trPr>
        <w:tc>
          <w:tcPr>
            <w:tcW w:w="908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 (%)</w:t>
            </w: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w:t>
            </w:r>
          </w:p>
        </w:tc>
      </w:tr>
      <w:tr>
        <w:trPr>
          <w:trHeight w:val="203"/>
        </w:trPr>
        <w:tc>
          <w:tcPr>
            <w:tcW w:w="9080" w:type="dxa"/>
            <w:vAlign w:val="bottom"/>
          </w:tcPr>
          <w:p>
            <w:pPr>
              <w:spacing w:after="0"/>
              <w:rPr>
                <w:sz w:val="20"/>
                <w:szCs w:val="20"/>
                <w:color w:val="auto"/>
              </w:rPr>
            </w:pPr>
            <w:r>
              <w:rPr>
                <w:rFonts w:ascii="Arial" w:cs="Arial" w:eastAsia="Arial" w:hAnsi="Arial"/>
                <w:sz w:val="16"/>
                <w:szCs w:val="16"/>
                <w:color w:val="auto"/>
              </w:rPr>
              <w:t>Expected life (years)</w:t>
            </w:r>
          </w:p>
        </w:tc>
        <w:tc>
          <w:tcPr>
            <w:tcW w:w="3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7"/>
                <w:szCs w:val="17"/>
                <w:color w:val="auto"/>
              </w:rPr>
            </w:pPr>
          </w:p>
        </w:tc>
      </w:tr>
      <w:tr>
        <w:trPr>
          <w:trHeight w:val="203"/>
        </w:trPr>
        <w:tc>
          <w:tcPr>
            <w:tcW w:w="908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 (%)</w:t>
            </w: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r>
      <w:tr>
        <w:trPr>
          <w:trHeight w:val="215"/>
        </w:trPr>
        <w:tc>
          <w:tcPr>
            <w:tcW w:w="908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bl>
    <w:p>
      <w:pPr>
        <w:spacing w:after="0" w:line="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July 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6"/>
              </w:rPr>
              <w:t>June 25,</w:t>
            </w:r>
          </w:p>
        </w:tc>
        <w:tc>
          <w:tcPr>
            <w:tcW w:w="16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June 25,</w:t>
            </w:r>
          </w:p>
        </w:tc>
        <w:tc>
          <w:tcPr>
            <w:tcW w:w="160" w:type="dxa"/>
            <w:vAlign w:val="bottom"/>
          </w:tcPr>
          <w:p>
            <w:pPr>
              <w:spacing w:after="0"/>
              <w:rPr>
                <w:sz w:val="12"/>
                <w:szCs w:val="12"/>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February 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9"/>
              </w:rPr>
              <w:t>January 1,</w:t>
            </w:r>
          </w:p>
        </w:tc>
      </w:tr>
      <w:tr>
        <w:trPr>
          <w:trHeight w:val="148"/>
        </w:trPr>
        <w:tc>
          <w:tcPr>
            <w:tcW w:w="4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63"/>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4"/>
              <w:spacing w:after="0"/>
              <w:rPr>
                <w:sz w:val="20"/>
                <w:szCs w:val="20"/>
                <w:color w:val="auto"/>
              </w:rPr>
            </w:pPr>
            <w:r>
              <w:rPr>
                <w:rFonts w:ascii="Arial" w:cs="Arial" w:eastAsia="Arial" w:hAnsi="Arial"/>
                <w:sz w:val="13"/>
                <w:szCs w:val="13"/>
                <w:b w:val="1"/>
                <w:bCs w:val="1"/>
                <w:color w:val="auto"/>
                <w:w w:val="96"/>
              </w:rPr>
              <w:t>2021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104"/>
              <w:spacing w:after="0"/>
              <w:rPr>
                <w:sz w:val="20"/>
                <w:szCs w:val="20"/>
                <w:color w:val="auto"/>
              </w:rPr>
            </w:pPr>
            <w:r>
              <w:rPr>
                <w:rFonts w:ascii="Arial" w:cs="Arial" w:eastAsia="Arial" w:hAnsi="Arial"/>
                <w:sz w:val="13"/>
                <w:szCs w:val="13"/>
                <w:b w:val="1"/>
                <w:bCs w:val="1"/>
                <w:color w:val="auto"/>
                <w:w w:val="96"/>
              </w:rPr>
              <w:t>2021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43"/>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63"/>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2"/>
                <w:szCs w:val="12"/>
                <w:color w:val="auto"/>
              </w:rPr>
            </w:pPr>
          </w:p>
        </w:tc>
      </w:tr>
      <w:tr>
        <w:trPr>
          <w:trHeight w:val="153"/>
        </w:trPr>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8"/>
              </w:rPr>
              <w:t>Option 1</w:t>
            </w:r>
          </w:p>
        </w:tc>
        <w:tc>
          <w:tcPr>
            <w:tcW w:w="16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Option 2</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6"/>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Number of options</w:t>
            </w: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88,000</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873,000</w:t>
            </w: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107,000</w:t>
            </w:r>
          </w:p>
        </w:tc>
        <w:tc>
          <w:tcPr>
            <w:tcW w:w="160" w:type="dxa"/>
            <w:vAlign w:val="bottom"/>
            <w:tcBorders>
              <w:top w:val="single" w:sz="8" w:color="CFF0FC"/>
            </w:tcBorders>
            <w:shd w:val="clear" w:color="auto" w:fill="CFF0FC"/>
          </w:tcPr>
          <w:p>
            <w:pPr>
              <w:spacing w:after="0"/>
              <w:rPr>
                <w:sz w:val="17"/>
                <w:szCs w:val="17"/>
                <w:color w:val="auto"/>
              </w:rPr>
            </w:pPr>
          </w:p>
        </w:tc>
      </w:tr>
      <w:tr>
        <w:trPr>
          <w:trHeight w:val="203"/>
        </w:trPr>
        <w:tc>
          <w:tcPr>
            <w:tcW w:w="4780" w:type="dxa"/>
            <w:vAlign w:val="bottom"/>
          </w:tcPr>
          <w:p>
            <w:pPr>
              <w:spacing w:after="0"/>
              <w:rPr>
                <w:sz w:val="20"/>
                <w:szCs w:val="20"/>
                <w:color w:val="auto"/>
              </w:rPr>
            </w:pPr>
            <w:r>
              <w:rPr>
                <w:rFonts w:ascii="Arial" w:cs="Arial" w:eastAsia="Arial" w:hAnsi="Arial"/>
                <w:sz w:val="16"/>
                <w:szCs w:val="16"/>
                <w:color w:val="auto"/>
              </w:rPr>
              <w:t>Fair value of the options</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10.50</w:t>
            </w:r>
          </w:p>
        </w:tc>
        <w:tc>
          <w:tcPr>
            <w:tcW w:w="200" w:type="dxa"/>
            <w:vAlign w:val="bottom"/>
          </w:tcPr>
          <w:p>
            <w:pPr>
              <w:spacing w:after="0"/>
              <w:rPr>
                <w:sz w:val="17"/>
                <w:szCs w:val="17"/>
                <w:color w:val="auto"/>
              </w:rPr>
            </w:pPr>
          </w:p>
        </w:tc>
        <w:tc>
          <w:tcPr>
            <w:tcW w:w="2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10.90</w:t>
            </w:r>
          </w:p>
        </w:tc>
        <w:tc>
          <w:tcPr>
            <w:tcW w:w="2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13.73</w:t>
            </w:r>
          </w:p>
        </w:tc>
        <w:tc>
          <w:tcPr>
            <w:tcW w:w="2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11.88</w:t>
            </w:r>
          </w:p>
        </w:tc>
        <w:tc>
          <w:tcPr>
            <w:tcW w:w="22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5.06</w:t>
            </w:r>
          </w:p>
        </w:tc>
        <w:tc>
          <w:tcPr>
            <w:tcW w:w="16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Fair value of the ordinary shares</w:t>
            </w: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w:t>
            </w:r>
          </w:p>
        </w:tc>
        <w:tc>
          <w:tcPr>
            <w:tcW w:w="2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2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6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rPr>
                <w:sz w:val="20"/>
                <w:szCs w:val="20"/>
                <w:color w:val="auto"/>
              </w:rPr>
            </w:pPr>
            <w:r>
              <w:rPr>
                <w:rFonts w:ascii="Arial" w:cs="Arial" w:eastAsia="Arial" w:hAnsi="Arial"/>
                <w:sz w:val="16"/>
                <w:szCs w:val="16"/>
                <w:color w:val="auto"/>
              </w:rPr>
              <w:t>Exercise price</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14.67</w:t>
            </w:r>
          </w:p>
        </w:tc>
        <w:tc>
          <w:tcPr>
            <w:tcW w:w="200" w:type="dxa"/>
            <w:vAlign w:val="bottom"/>
          </w:tcPr>
          <w:p>
            <w:pPr>
              <w:spacing w:after="0"/>
              <w:rPr>
                <w:sz w:val="17"/>
                <w:szCs w:val="17"/>
                <w:color w:val="auto"/>
              </w:rPr>
            </w:pPr>
          </w:p>
        </w:tc>
        <w:tc>
          <w:tcPr>
            <w:tcW w:w="2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16.74</w:t>
            </w:r>
          </w:p>
        </w:tc>
        <w:tc>
          <w:tcPr>
            <w:tcW w:w="2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2.38</w:t>
            </w:r>
          </w:p>
        </w:tc>
        <w:tc>
          <w:tcPr>
            <w:tcW w:w="2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16.69</w:t>
            </w:r>
          </w:p>
        </w:tc>
        <w:tc>
          <w:tcPr>
            <w:tcW w:w="22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 (%)</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85%</w:t>
            </w:r>
          </w:p>
        </w:tc>
        <w:tc>
          <w:tcPr>
            <w:tcW w:w="1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w:t>
            </w: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w:t>
            </w:r>
          </w:p>
        </w:tc>
      </w:tr>
      <w:tr>
        <w:trPr>
          <w:trHeight w:val="203"/>
        </w:trPr>
        <w:tc>
          <w:tcPr>
            <w:tcW w:w="4780" w:type="dxa"/>
            <w:vAlign w:val="bottom"/>
          </w:tcPr>
          <w:p>
            <w:pPr>
              <w:spacing w:after="0"/>
              <w:rPr>
                <w:sz w:val="20"/>
                <w:szCs w:val="20"/>
                <w:color w:val="auto"/>
              </w:rPr>
            </w:pPr>
            <w:r>
              <w:rPr>
                <w:rFonts w:ascii="Arial" w:cs="Arial" w:eastAsia="Arial" w:hAnsi="Arial"/>
                <w:sz w:val="16"/>
                <w:szCs w:val="16"/>
                <w:color w:val="auto"/>
              </w:rPr>
              <w:t>Expected life (years)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 (%)</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0.8%</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r>
      <w:tr>
        <w:trPr>
          <w:trHeight w:val="215"/>
        </w:trPr>
        <w:tc>
          <w:tcPr>
            <w:tcW w:w="478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bl>
    <w:p>
      <w:pPr>
        <w:spacing w:after="0" w:line="176"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Expected volatility was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or US Government bonds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depending on whether the exercise price is in euros or in US Dollars. The expected dividend yield is zero considering the stage of the Group.</w:t>
      </w:r>
    </w:p>
    <w:p>
      <w:pPr>
        <w:spacing w:after="0" w:line="20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On February 5, 2021, the Company’s ordinary shares began trading on the Nasdaq Stock Exchange. From that date, the shares of the Company were traded at a regulated stock exchange. For the determination of the fair value on the grant date, the closing price on the grant date is used.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Note 5 for allocation of expenses in lines of the consolidated statement of income or loss and other comprehensive income (loss).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Basic and diluted loss per share</w:t>
      </w:r>
    </w:p>
    <w:p>
      <w:pPr>
        <w:spacing w:after="0" w:line="11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year.</w:t>
      </w:r>
    </w:p>
    <w:p>
      <w:pPr>
        <w:spacing w:after="0" w:line="1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Potentially dilutive shares that were not included in the diluted per share calculations because they would be anti-dilutive were: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gridSpan w:val="3"/>
          </w:tcPr>
          <w:p>
            <w:pPr>
              <w:ind w:left="340"/>
              <w:spacing w:after="0"/>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3"/>
                <w:szCs w:val="13"/>
                <w:color w:val="auto"/>
              </w:rPr>
            </w:pPr>
          </w:p>
        </w:tc>
        <w:tc>
          <w:tcPr>
            <w:tcW w:w="162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11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58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bottom w:val="single" w:sz="8" w:color="auto"/>
            </w:tcBorders>
            <w:gridSpan w:val="2"/>
          </w:tcPr>
          <w:p>
            <w:pPr>
              <w:jc w:val="right"/>
              <w:ind w:right="593"/>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1140" w:type="dxa"/>
            <w:vAlign w:val="bottom"/>
          </w:tcPr>
          <w:p>
            <w:pPr>
              <w:spacing w:after="0"/>
              <w:rPr>
                <w:sz w:val="12"/>
                <w:szCs w:val="12"/>
                <w:color w:val="auto"/>
              </w:rPr>
            </w:pPr>
          </w:p>
        </w:tc>
        <w:tc>
          <w:tcPr>
            <w:tcW w:w="5500" w:type="dxa"/>
            <w:vAlign w:val="bottom"/>
            <w:tcBorders>
              <w:bottom w:val="single" w:sz="8" w:color="CFF0FC"/>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r>
      <w:tr>
        <w:trPr>
          <w:trHeight w:val="196"/>
        </w:trPr>
        <w:tc>
          <w:tcPr>
            <w:tcW w:w="1140" w:type="dxa"/>
            <w:vAlign w:val="bottom"/>
          </w:tcPr>
          <w:p>
            <w:pPr>
              <w:spacing w:after="0"/>
              <w:rPr>
                <w:sz w:val="17"/>
                <w:szCs w:val="17"/>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Series A preferred shares</w:t>
            </w:r>
          </w:p>
        </w:tc>
        <w:tc>
          <w:tcPr>
            <w:tcW w:w="40" w:type="dxa"/>
            <w:vAlign w:val="bottom"/>
            <w:shd w:val="clear" w:color="auto" w:fill="CFF0FC"/>
          </w:tcPr>
          <w:p>
            <w:pPr>
              <w:spacing w:after="0"/>
              <w:rPr>
                <w:sz w:val="17"/>
                <w:szCs w:val="17"/>
                <w:color w:val="auto"/>
              </w:rPr>
            </w:pPr>
          </w:p>
        </w:tc>
        <w:tc>
          <w:tcPr>
            <w:tcW w:w="1540" w:type="dxa"/>
            <w:vAlign w:val="bottom"/>
            <w:shd w:val="clear" w:color="auto" w:fill="CFF0FC"/>
          </w:tcPr>
          <w:p>
            <w:pPr>
              <w:ind w:left="136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5,242,850</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Series B preferred shares</w:t>
            </w:r>
          </w:p>
        </w:tc>
        <w:tc>
          <w:tcPr>
            <w:tcW w:w="40" w:type="dxa"/>
            <w:vAlign w:val="bottom"/>
          </w:tcPr>
          <w:p>
            <w:pPr>
              <w:spacing w:after="0"/>
              <w:rPr>
                <w:sz w:val="17"/>
                <w:szCs w:val="17"/>
                <w:color w:val="auto"/>
              </w:rPr>
            </w:pPr>
          </w:p>
        </w:tc>
        <w:tc>
          <w:tcPr>
            <w:tcW w:w="1780" w:type="dxa"/>
            <w:vAlign w:val="bottom"/>
            <w:gridSpan w:val="3"/>
          </w:tcPr>
          <w:p>
            <w:pPr>
              <w:ind w:left="136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7,650,147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Series C preferred shares</w:t>
            </w:r>
          </w:p>
        </w:tc>
        <w:tc>
          <w:tcPr>
            <w:tcW w:w="40" w:type="dxa"/>
            <w:vAlign w:val="bottom"/>
            <w:shd w:val="clear" w:color="auto" w:fill="CFF0FC"/>
          </w:tcPr>
          <w:p>
            <w:pPr>
              <w:spacing w:after="0"/>
              <w:rPr>
                <w:sz w:val="17"/>
                <w:szCs w:val="17"/>
                <w:color w:val="auto"/>
              </w:rPr>
            </w:pPr>
          </w:p>
        </w:tc>
        <w:tc>
          <w:tcPr>
            <w:tcW w:w="1780" w:type="dxa"/>
            <w:vAlign w:val="bottom"/>
            <w:gridSpan w:val="3"/>
            <w:shd w:val="clear" w:color="auto" w:fill="CFF0FC"/>
          </w:tcPr>
          <w:p>
            <w:pPr>
              <w:ind w:left="136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5,826,279</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559"/>
        </w:trPr>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Basic and diluted loss per share</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2"/>
        </w:trPr>
        <w:tc>
          <w:tcPr>
            <w:tcW w:w="1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3"/>
          </w:tcPr>
          <w:p>
            <w:pPr>
              <w:ind w:left="360"/>
              <w:spacing w:after="0"/>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24"/>
                <w:szCs w:val="24"/>
                <w:color w:val="auto"/>
              </w:rPr>
            </w:pPr>
          </w:p>
        </w:tc>
        <w:tc>
          <w:tcPr>
            <w:tcW w:w="162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11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580" w:type="dxa"/>
            <w:vAlign w:val="bottom"/>
            <w:gridSpan w:val="2"/>
          </w:tcPr>
          <w:p>
            <w:pPr>
              <w:jc w:val="right"/>
              <w:ind w:right="568"/>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right"/>
              <w:ind w:right="553"/>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1140" w:type="dxa"/>
            <w:vAlign w:val="bottom"/>
          </w:tcPr>
          <w:p>
            <w:pPr>
              <w:spacing w:after="0"/>
              <w:rPr>
                <w:sz w:val="12"/>
                <w:szCs w:val="12"/>
                <w:color w:val="auto"/>
              </w:rPr>
            </w:pPr>
          </w:p>
        </w:tc>
        <w:tc>
          <w:tcPr>
            <w:tcW w:w="55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56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54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2"/>
                <w:szCs w:val="12"/>
                <w:color w:val="auto"/>
              </w:rPr>
            </w:pPr>
          </w:p>
        </w:tc>
      </w:tr>
      <w:tr>
        <w:trPr>
          <w:trHeight w:val="196"/>
        </w:trPr>
        <w:tc>
          <w:tcPr>
            <w:tcW w:w="1140" w:type="dxa"/>
            <w:vAlign w:val="bottom"/>
          </w:tcPr>
          <w:p>
            <w:pPr>
              <w:spacing w:after="0"/>
              <w:rPr>
                <w:sz w:val="17"/>
                <w:szCs w:val="17"/>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Loss attributable to equity holders of the Company</w:t>
            </w:r>
          </w:p>
        </w:tc>
        <w:tc>
          <w:tcPr>
            <w:tcW w:w="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(42,700,486)</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(25,990,069)</w:t>
            </w:r>
          </w:p>
        </w:tc>
        <w:tc>
          <w:tcPr>
            <w:tcW w:w="80" w:type="dxa"/>
            <w:vAlign w:val="bottom"/>
            <w:shd w:val="clear" w:color="auto" w:fill="CFF0FC"/>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Weighted average number of ordinary shares</w:t>
            </w: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14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6"/>
                <w:szCs w:val="16"/>
                <w:color w:val="auto"/>
              </w:rPr>
              <w:t>outstanding</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30,411,902</w:t>
            </w:r>
          </w:p>
        </w:tc>
        <w:tc>
          <w:tcPr>
            <w:tcW w:w="2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4,850,000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share</w:t>
            </w:r>
          </w:p>
        </w:tc>
        <w:tc>
          <w:tcPr>
            <w:tcW w:w="182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(1.40)</w:t>
            </w:r>
          </w:p>
        </w:tc>
        <w:tc>
          <w:tcPr>
            <w:tcW w:w="16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(5.36)</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Related parties</w:t>
      </w:r>
    </w:p>
    <w:p>
      <w:pPr>
        <w:spacing w:after="0" w:line="11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Dr. Knolle, who has served as Chief Scientific Officer and Chief Operating Officer since its inception, was a member of the board of Charité Research Organisation GmbH, or Charité CRO until February 28, 2022. The Company has entered into a service contract with Charité CRO according to which Charité CRO provides services supporting research for the Company. In fiscal years 2020 and 2021 payments to Charité CRO with respect to this service contract amounted to €1,025,795 and €608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management personnel compensation</w:t>
      </w:r>
    </w:p>
    <w:p>
      <w:pPr>
        <w:spacing w:after="0" w:line="109"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5440" w:type="dxa"/>
            <w:vAlign w:val="bottom"/>
          </w:tcPr>
          <w:p>
            <w:pPr>
              <w:spacing w:after="0"/>
              <w:rPr>
                <w:sz w:val="13"/>
                <w:szCs w:val="13"/>
                <w:color w:val="auto"/>
              </w:rPr>
            </w:pPr>
          </w:p>
        </w:tc>
        <w:tc>
          <w:tcPr>
            <w:tcW w:w="108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3"/>
                <w:szCs w:val="13"/>
                <w:color w:val="auto"/>
              </w:rPr>
            </w:pPr>
          </w:p>
        </w:tc>
        <w:tc>
          <w:tcPr>
            <w:tcW w:w="108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r>
      <w:tr>
        <w:trPr>
          <w:trHeight w:val="142"/>
        </w:trPr>
        <w:tc>
          <w:tcPr>
            <w:tcW w:w="544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FF0FC"/>
            </w:tcBorders>
          </w:tcPr>
          <w:p>
            <w:pPr>
              <w:spacing w:after="0"/>
              <w:rPr>
                <w:sz w:val="12"/>
                <w:szCs w:val="12"/>
                <w:color w:val="auto"/>
              </w:rPr>
            </w:pPr>
          </w:p>
        </w:tc>
      </w:tr>
      <w:tr>
        <w:trPr>
          <w:trHeight w:val="196"/>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Short term employee benefits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2,517,211</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1,834,423</w:t>
            </w:r>
          </w:p>
        </w:tc>
        <w:tc>
          <w:tcPr>
            <w:tcW w:w="8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Post employee benefits</w:t>
            </w:r>
          </w:p>
        </w:tc>
        <w:tc>
          <w:tcPr>
            <w:tcW w:w="1080" w:type="dxa"/>
            <w:vAlign w:val="bottom"/>
          </w:tcPr>
          <w:p>
            <w:pPr>
              <w:jc w:val="right"/>
              <w:spacing w:after="0"/>
              <w:rPr>
                <w:sz w:val="20"/>
                <w:szCs w:val="20"/>
                <w:color w:val="auto"/>
              </w:rPr>
            </w:pPr>
            <w:r>
              <w:rPr>
                <w:rFonts w:ascii="Arial" w:cs="Arial" w:eastAsia="Arial" w:hAnsi="Arial"/>
                <w:sz w:val="16"/>
                <w:szCs w:val="16"/>
                <w:color w:val="auto"/>
              </w:rPr>
              <w:t>80,482</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34,934</w:t>
            </w:r>
          </w:p>
        </w:tc>
        <w:tc>
          <w:tcPr>
            <w:tcW w:w="80" w:type="dxa"/>
            <w:vAlign w:val="bottom"/>
          </w:tcPr>
          <w:p>
            <w:pPr>
              <w:spacing w:after="0"/>
              <w:rPr>
                <w:sz w:val="17"/>
                <w:szCs w:val="17"/>
                <w:color w:val="auto"/>
              </w:rPr>
            </w:pPr>
          </w:p>
        </w:tc>
      </w:tr>
      <w:tr>
        <w:trPr>
          <w:trHeight w:val="203"/>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Share-based payments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6,269,218</w:t>
            </w:r>
          </w:p>
        </w:tc>
        <w:tc>
          <w:tcPr>
            <w:tcW w:w="180" w:type="dxa"/>
            <w:vAlign w:val="bottom"/>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860,117</w:t>
            </w:r>
          </w:p>
        </w:tc>
        <w:tc>
          <w:tcPr>
            <w:tcW w:w="80" w:type="dxa"/>
            <w:vAlign w:val="bottom"/>
            <w:shd w:val="clear" w:color="auto" w:fill="CFF0FC"/>
          </w:tcPr>
          <w:p>
            <w:pPr>
              <w:spacing w:after="0"/>
              <w:rPr>
                <w:sz w:val="17"/>
                <w:szCs w:val="17"/>
                <w:color w:val="auto"/>
              </w:rPr>
            </w:pPr>
          </w:p>
        </w:tc>
      </w:tr>
      <w:tr>
        <w:trPr>
          <w:trHeight w:val="196"/>
        </w:trPr>
        <w:tc>
          <w:tcPr>
            <w:tcW w:w="5440" w:type="dxa"/>
            <w:vAlign w:val="bottom"/>
          </w:tcPr>
          <w:p>
            <w:pPr>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8,866,911</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2,729,474</w:t>
            </w:r>
          </w:p>
        </w:tc>
        <w:tc>
          <w:tcPr>
            <w:tcW w:w="80" w:type="dxa"/>
            <w:vAlign w:val="bottom"/>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At the end of financial year 2020 an amount of €120,000 of short-term employee benefits was capitalized on the consolidated statements of financial position. This amount was recognized in the Group’s statements of profit or loss and other comprehensive income in 2021. As at 31 December 2021, no short-term employee benefits have been capitalized.</w:t>
      </w:r>
    </w:p>
    <w:p>
      <w:pPr>
        <w:spacing w:after="0" w:line="17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Group engages several management entities for the purpose of providing key management services to the Group. These management entities are considered related parties, as they provide key management services and the key management personnel</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have key management functions within these entities. Certain key management personnel are also shareholders of the Company. The aggregate amount of expense recognized in the consolidated statements of profit or loss and other comprehensive income related to these related parties were €1,101,280 (2020: €724,897).</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amounts payable to the related parties were €1,157,029 (2020: €398,489).</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Commitments and contingencies</w:t>
      </w:r>
    </w:p>
    <w:p>
      <w:pPr>
        <w:spacing w:after="0" w:line="11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This section provides additional information about items not recognized in the financial statements but could potentially have a significant impact on the Group’s financial position and performance.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Non-cancellable service contracts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entered into research and development commitments in relation to the developments of Group’s oral bradykinin B2 receptor antagonist.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future aggregate minimum payments under these research and development commitments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Commitment for the minimum payments in relation to the non-cancellable service contracts are payable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08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3"/>
                <w:szCs w:val="13"/>
                <w:color w:val="auto"/>
              </w:rPr>
            </w:pPr>
          </w:p>
        </w:tc>
        <w:tc>
          <w:tcPr>
            <w:tcW w:w="108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4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Within one year</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16,153,000</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8,898,000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Later than one year but not later than five years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3,351,000</w:t>
            </w:r>
          </w:p>
        </w:tc>
        <w:tc>
          <w:tcPr>
            <w:tcW w:w="18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2,453,000</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19,504,000</w:t>
            </w:r>
          </w:p>
        </w:tc>
        <w:tc>
          <w:tcPr>
            <w:tcW w:w="1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11,351,000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6"/>
                <w:szCs w:val="16"/>
                <w:b w:val="1"/>
                <w:bCs w:val="1"/>
                <w:color w:val="auto"/>
              </w:rPr>
              <w:t>22.</w:t>
            </w:r>
          </w:p>
        </w:tc>
        <w:tc>
          <w:tcPr>
            <w:tcW w:w="6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Contingent liabilities and contingent assets</w:t>
            </w: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60" w:type="dxa"/>
            <w:vAlign w:val="bottom"/>
            <w:vMerge w:val="continue"/>
          </w:tcPr>
          <w:p>
            <w:pPr>
              <w:spacing w:after="0"/>
              <w:rPr>
                <w:sz w:val="24"/>
                <w:szCs w:val="24"/>
                <w:color w:val="auto"/>
              </w:rPr>
            </w:pPr>
          </w:p>
        </w:tc>
        <w:tc>
          <w:tcPr>
            <w:tcW w:w="68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140" w:type="dxa"/>
            <w:vAlign w:val="bottom"/>
            <w:gridSpan w:val="3"/>
          </w:tcPr>
          <w:p>
            <w:pPr>
              <w:spacing w:after="0"/>
              <w:rPr>
                <w:sz w:val="20"/>
                <w:szCs w:val="20"/>
                <w:color w:val="auto"/>
              </w:rPr>
            </w:pPr>
            <w:r>
              <w:rPr>
                <w:rFonts w:ascii="Arial" w:cs="Arial" w:eastAsia="Arial" w:hAnsi="Arial"/>
                <w:sz w:val="16"/>
                <w:szCs w:val="16"/>
                <w:color w:val="auto"/>
              </w:rPr>
              <w:t>The Group had no contingent liabilities and no contingent assets at December 31, 2021 and 2020.</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260" w:type="dxa"/>
            <w:vAlign w:val="bottom"/>
          </w:tcPr>
          <w:p>
            <w:pPr>
              <w:spacing w:after="0"/>
              <w:rPr>
                <w:sz w:val="20"/>
                <w:szCs w:val="20"/>
                <w:color w:val="auto"/>
              </w:rPr>
            </w:pPr>
            <w:r>
              <w:rPr>
                <w:rFonts w:ascii="Arial" w:cs="Arial" w:eastAsia="Arial" w:hAnsi="Arial"/>
                <w:sz w:val="16"/>
                <w:szCs w:val="16"/>
                <w:b w:val="1"/>
                <w:bCs w:val="1"/>
                <w:color w:val="auto"/>
              </w:rPr>
              <w:t>23.</w:t>
            </w:r>
          </w:p>
        </w:tc>
        <w:tc>
          <w:tcPr>
            <w:tcW w:w="6880" w:type="dxa"/>
            <w:vAlign w:val="bottom"/>
            <w:gridSpan w:val="2"/>
          </w:tcPr>
          <w:p>
            <w:pPr>
              <w:ind w:left="20"/>
              <w:spacing w:after="0"/>
              <w:rPr>
                <w:sz w:val="20"/>
                <w:szCs w:val="20"/>
                <w:color w:val="auto"/>
              </w:rPr>
            </w:pPr>
            <w:r>
              <w:rPr>
                <w:rFonts w:ascii="Arial" w:cs="Arial" w:eastAsia="Arial" w:hAnsi="Arial"/>
                <w:sz w:val="16"/>
                <w:szCs w:val="16"/>
                <w:b w:val="1"/>
                <w:bCs w:val="1"/>
                <w:color w:val="auto"/>
              </w:rPr>
              <w:t>Events after the reporting period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2022, 70,000 stock options were granted to members of the Board of directors, with an exercise price of €12.67 per stock option.</w:t>
      </w:r>
    </w:p>
    <w:p>
      <w:pPr>
        <w:spacing w:after="0" w:line="329"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Company has filed a Form F-3 Registration Statement (prospectus) on March 1, 2022. The aggregate initial offering price of the securities the Company may offer and sell from time to time under this prospectus will not exceed $350 million. The Company also entered into a sales agreement with SVB Leerink LLC to sell ordinary shares having an aggregate offering price of up to $75 million from time to time through SVB Leerink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Leiden, March 29, 2022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Pharvaris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D. Meeker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 Björk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V. Monges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R. Glassman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118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 A.M de Jonge Schuermans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 de Jonge Schuermans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4029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847" w:lineRule="exact"/>
        <w:rPr>
          <w:sz w:val="20"/>
          <w:szCs w:val="20"/>
          <w:color w:val="auto"/>
        </w:rPr>
      </w:pPr>
    </w:p>
    <w:p>
      <w:pPr>
        <w:sectPr>
          <w:pgSz w:w="11900" w:h="16838" w:orient="portrait"/>
          <w:cols w:equalWidth="0" w:num="2">
            <w:col w:w="5160" w:space="720"/>
            <w:col w:w="425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0139"/>
          </w:cols>
          <w:pgMar w:left="320" w:top="125" w:right="1440"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6"/>
          <w:szCs w:val="16"/>
          <w:b w:val="1"/>
          <w:bCs w:val="1"/>
          <w:color w:val="auto"/>
        </w:rPr>
        <w:t>Exhibit 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Ordinary Shares of the Registrant</w:t>
      </w:r>
    </w:p>
    <w:p>
      <w:pPr>
        <w:spacing w:after="0" w:line="194"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As of the date of the Annual Report on Form 20-F of which this Exhibit 2.1 is a part, Pharvaris N.V.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has only one class of securities registered under Section 12 of the Securities Exchange Act of 1934, as amended; our registered ordinary shares.</w:t>
      </w:r>
    </w:p>
    <w:p>
      <w:pPr>
        <w:spacing w:after="0" w:line="156" w:lineRule="exact"/>
        <w:rPr>
          <w:sz w:val="20"/>
          <w:szCs w:val="20"/>
          <w:color w:val="auto"/>
        </w:rPr>
      </w:pPr>
    </w:p>
    <w:p>
      <w:pPr>
        <w:ind w:right="140" w:firstLine="449"/>
        <w:spacing w:after="0" w:line="286" w:lineRule="auto"/>
        <w:rPr>
          <w:sz w:val="20"/>
          <w:szCs w:val="20"/>
          <w:color w:val="auto"/>
        </w:rPr>
      </w:pPr>
      <w:r>
        <w:rPr>
          <w:rFonts w:ascii="Arial" w:cs="Arial" w:eastAsia="Arial" w:hAnsi="Arial"/>
          <w:sz w:val="16"/>
          <w:szCs w:val="16"/>
          <w:color w:val="auto"/>
        </w:rPr>
        <w:t>We are registered with the Trade Register of the Chamber of Commerce (</w:t>
      </w:r>
      <w:r>
        <w:rPr>
          <w:rFonts w:ascii="Arial" w:cs="Arial" w:eastAsia="Arial" w:hAnsi="Arial"/>
          <w:sz w:val="16"/>
          <w:szCs w:val="16"/>
          <w:i w:val="1"/>
          <w:iCs w:val="1"/>
          <w:color w:val="auto"/>
        </w:rPr>
        <w:t>Kamer van Koophandel</w:t>
      </w:r>
      <w:r>
        <w:rPr>
          <w:rFonts w:ascii="Arial" w:cs="Arial" w:eastAsia="Arial" w:hAnsi="Arial"/>
          <w:sz w:val="16"/>
          <w:szCs w:val="16"/>
          <w:color w:val="auto"/>
        </w:rPr>
        <w:t>) under number 64239411. Our corporate seat is in Leiden, the Netherlands, and our registered office is also in Leiden, the Netherlands.</w:t>
      </w:r>
    </w:p>
    <w:p>
      <w:pPr>
        <w:spacing w:after="0" w:line="75" w:lineRule="exact"/>
        <w:rPr>
          <w:sz w:val="20"/>
          <w:szCs w:val="20"/>
          <w:color w:val="auto"/>
        </w:rPr>
      </w:pPr>
    </w:p>
    <w:p>
      <w:pPr>
        <w:ind w:right="180" w:firstLine="449"/>
        <w:spacing w:after="0" w:line="266" w:lineRule="auto"/>
        <w:rPr>
          <w:sz w:val="20"/>
          <w:szCs w:val="20"/>
          <w:color w:val="auto"/>
        </w:rPr>
      </w:pPr>
      <w:r>
        <w:rPr>
          <w:rFonts w:ascii="Arial" w:cs="Arial" w:eastAsia="Arial" w:hAnsi="Arial"/>
          <w:sz w:val="16"/>
          <w:szCs w:val="16"/>
          <w:color w:val="auto"/>
        </w:rPr>
        <w:t>The following description of our ordinary shares is a summary and does not purport to be complete. It is subject to and qualified in its entirety by reference to our Articles of Association, which are incorporated by reference as an exhibit to this Annual Report on Form 20-F of which this Exhibit 2.1 is a part.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Ordinary Shares</w:t>
      </w:r>
    </w:p>
    <w:p>
      <w:pPr>
        <w:spacing w:after="0" w:line="221" w:lineRule="exact"/>
        <w:rPr>
          <w:sz w:val="20"/>
          <w:szCs w:val="20"/>
          <w:color w:val="auto"/>
        </w:rPr>
      </w:pPr>
    </w:p>
    <w:p>
      <w:pPr>
        <w:ind w:firstLine="449"/>
        <w:spacing w:after="0" w:line="266" w:lineRule="auto"/>
        <w:rPr>
          <w:sz w:val="20"/>
          <w:szCs w:val="20"/>
          <w:color w:val="auto"/>
        </w:rPr>
      </w:pPr>
      <w:r>
        <w:rPr>
          <w:rFonts w:ascii="Arial" w:cs="Arial" w:eastAsia="Arial" w:hAnsi="Arial"/>
          <w:sz w:val="16"/>
          <w:szCs w:val="16"/>
          <w:color w:val="auto"/>
        </w:rPr>
        <w:t>Our ordinary shares and preferred shares shall be in registered form (</w:t>
      </w:r>
      <w:r>
        <w:rPr>
          <w:rFonts w:ascii="Arial" w:cs="Arial" w:eastAsia="Arial" w:hAnsi="Arial"/>
          <w:sz w:val="16"/>
          <w:szCs w:val="16"/>
          <w:i w:val="1"/>
          <w:iCs w:val="1"/>
          <w:color w:val="auto"/>
        </w:rPr>
        <w:t>op naam</w:t>
      </w:r>
      <w:r>
        <w:rPr>
          <w:rFonts w:ascii="Arial" w:cs="Arial" w:eastAsia="Arial" w:hAnsi="Arial"/>
          <w:sz w:val="16"/>
          <w:szCs w:val="16"/>
          <w:color w:val="auto"/>
        </w:rPr>
        <w:t>). We may issue share certificates (</w:t>
      </w:r>
      <w:r>
        <w:rPr>
          <w:rFonts w:ascii="Arial" w:cs="Arial" w:eastAsia="Arial" w:hAnsi="Arial"/>
          <w:sz w:val="16"/>
          <w:szCs w:val="16"/>
          <w:i w:val="1"/>
          <w:iCs w:val="1"/>
          <w:color w:val="auto"/>
        </w:rPr>
        <w:t>aandeelbewijzen</w:t>
      </w:r>
      <w:r>
        <w:rPr>
          <w:rFonts w:ascii="Arial" w:cs="Arial" w:eastAsia="Arial" w:hAnsi="Arial"/>
          <w:sz w:val="16"/>
          <w:szCs w:val="16"/>
          <w:color w:val="auto"/>
        </w:rPr>
        <w:t>) for registered shares in such form as may be approved by our Board. Our authorized share capital amounts to €14,100,000, divided into 58,750,000 ordinary shares, each with a nominal value of €0.12, and 58,750,000 preferred shares, each with a nominal value of €0.12.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Dutch law, our authorized share capital is the maximum capital that we may issue without amending our Articles of Association.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the main rights of holders of our ordinary shares:</w:t>
      </w:r>
    </w:p>
    <w:p>
      <w:pPr>
        <w:spacing w:after="0" w:line="221" w:lineRule="exact"/>
        <w:rPr>
          <w:sz w:val="20"/>
          <w:szCs w:val="20"/>
          <w:color w:val="auto"/>
        </w:rPr>
      </w:pPr>
    </w:p>
    <w:p>
      <w:pPr>
        <w:ind w:left="980" w:right="740" w:hanging="540"/>
        <w:spacing w:after="0" w:line="286" w:lineRule="auto"/>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each holder of ordinary shares is entitled to one vote per share on all matters to be voted on by shareholders generally, including the appointment of directors;</w:t>
      </w:r>
    </w:p>
    <w:p>
      <w:pPr>
        <w:spacing w:after="0" w:line="142" w:lineRule="exact"/>
        <w:rPr>
          <w:rFonts w:ascii="Arial" w:cs="Arial" w:eastAsia="Arial" w:hAnsi="Arial"/>
          <w:sz w:val="16"/>
          <w:szCs w:val="16"/>
          <w:color w:val="auto"/>
        </w:rPr>
      </w:pPr>
    </w:p>
    <w:p>
      <w:pPr>
        <w:ind w:left="980" w:hanging="540"/>
        <w:spacing w:after="0"/>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there are no cumulative voting rights;</w:t>
      </w:r>
    </w:p>
    <w:p>
      <w:pPr>
        <w:spacing w:after="0" w:line="248" w:lineRule="exact"/>
        <w:rPr>
          <w:rFonts w:ascii="Arial" w:cs="Arial" w:eastAsia="Arial" w:hAnsi="Arial"/>
          <w:sz w:val="16"/>
          <w:szCs w:val="16"/>
          <w:color w:val="auto"/>
        </w:rPr>
      </w:pPr>
    </w:p>
    <w:p>
      <w:pPr>
        <w:ind w:left="980" w:right="200" w:hanging="540"/>
        <w:spacing w:after="0" w:line="266" w:lineRule="auto"/>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holders of our ordinary shares are entitled to dividends and other distributions as may be declared from time to time by us out of funds legally available for that purpose, if any, following payment of the preferred dividend if any preferred shares are or have been outstanding (to the extent holders or former holders of preferred shares are entitled to such distribution under our Articles of Association);</w:t>
      </w:r>
    </w:p>
    <w:p>
      <w:pPr>
        <w:spacing w:after="0" w:line="103" w:lineRule="exact"/>
        <w:rPr>
          <w:rFonts w:ascii="Arial" w:cs="Arial" w:eastAsia="Arial" w:hAnsi="Arial"/>
          <w:sz w:val="16"/>
          <w:szCs w:val="16"/>
          <w:color w:val="auto"/>
        </w:rPr>
      </w:pPr>
    </w:p>
    <w:p>
      <w:pPr>
        <w:jc w:val="both"/>
        <w:ind w:left="980" w:right="340" w:hanging="540"/>
        <w:spacing w:after="0" w:line="259" w:lineRule="auto"/>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our liquidation, dissolution or winding-up, the holders of ordinary shares will be entitled to share ratably in the distribution of all of our assets remaining available for distribution after satisfaction of all our liabilities, following payment of the preferred dividend if any preferred shares are or have been outstanding (to the extent holders or former holders of preferred shares are entitled to such distribution under our Articles of Association); and</w:t>
      </w:r>
    </w:p>
    <w:p>
      <w:pPr>
        <w:spacing w:after="0" w:line="164" w:lineRule="exact"/>
        <w:rPr>
          <w:rFonts w:ascii="Arial" w:cs="Arial" w:eastAsia="Arial" w:hAnsi="Arial"/>
          <w:sz w:val="16"/>
          <w:szCs w:val="16"/>
          <w:color w:val="auto"/>
        </w:rPr>
      </w:pPr>
    </w:p>
    <w:p>
      <w:pPr>
        <w:ind w:left="980" w:right="40" w:hanging="540"/>
        <w:spacing w:after="0" w:line="266" w:lineRule="auto"/>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holders of ordinary shares have preemptive rights in case of share issuances or the grant or rights to subscribe for shares, except if such rights are limited or excluded by the corporate body authorized to do so and except in such cases as provided by Dutch law and our Articles of Association.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B. Amendment to our Articles of Association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amendment to our Articles of Association would require a resolution of the general meeting upon proposal by the Board.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Limitations on the Rights to Own Ordinary Shares</w:t>
      </w:r>
    </w:p>
    <w:p>
      <w:pPr>
        <w:spacing w:after="0" w:line="2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6"/>
          <w:szCs w:val="16"/>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 Our preferred shares shall only be issued to the protective foundation, if and when incorporated.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Limitation on Liability and Indemnification Matters</w:t>
      </w:r>
    </w:p>
    <w:p>
      <w:pPr>
        <w:spacing w:after="0" w:line="221" w:lineRule="exact"/>
        <w:rPr>
          <w:sz w:val="20"/>
          <w:szCs w:val="20"/>
          <w:color w:val="auto"/>
        </w:rPr>
      </w:pPr>
    </w:p>
    <w:p>
      <w:pPr>
        <w:ind w:firstLine="449"/>
        <w:spacing w:after="0" w:line="256" w:lineRule="auto"/>
        <w:rPr>
          <w:sz w:val="20"/>
          <w:szCs w:val="20"/>
          <w:color w:val="auto"/>
        </w:rPr>
      </w:pPr>
      <w:r>
        <w:rPr>
          <w:rFonts w:ascii="Arial" w:cs="Arial" w:eastAsia="Arial" w:hAnsi="Arial"/>
          <w:sz w:val="16"/>
          <w:szCs w:val="16"/>
          <w:color w:val="auto"/>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directors (and other current and former officers and employees as designated by our Board). No indemnification shall be given to an indemnified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8" w:name="page139"/>
    <w:bookmarkEnd w:id="138"/>
    <w:p>
      <w:pPr>
        <w:ind w:left="980" w:right="20" w:hanging="540"/>
        <w:spacing w:after="0" w:line="259" w:lineRule="auto"/>
        <w:tabs>
          <w:tab w:leader="none" w:pos="9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23" w:lineRule="exact"/>
        <w:rPr>
          <w:rFonts w:ascii="Arial" w:cs="Arial" w:eastAsia="Arial" w:hAnsi="Arial"/>
          <w:sz w:val="16"/>
          <w:szCs w:val="16"/>
          <w:color w:val="auto"/>
        </w:rPr>
      </w:pPr>
    </w:p>
    <w:p>
      <w:pPr>
        <w:ind w:left="980" w:right="140" w:hanging="540"/>
        <w:spacing w:after="0" w:line="286" w:lineRule="auto"/>
        <w:tabs>
          <w:tab w:leader="none" w:pos="9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101" w:lineRule="exact"/>
        <w:rPr>
          <w:rFonts w:ascii="Arial" w:cs="Arial" w:eastAsia="Arial" w:hAnsi="Arial"/>
          <w:sz w:val="16"/>
          <w:szCs w:val="16"/>
          <w:color w:val="auto"/>
        </w:rPr>
      </w:pPr>
    </w:p>
    <w:p>
      <w:pPr>
        <w:ind w:left="980" w:right="40" w:hanging="540"/>
        <w:spacing w:after="0" w:line="266" w:lineRule="auto"/>
        <w:tabs>
          <w:tab w:leader="none" w:pos="9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157" w:lineRule="exact"/>
        <w:rPr>
          <w:rFonts w:ascii="Arial" w:cs="Arial" w:eastAsia="Arial" w:hAnsi="Arial"/>
          <w:sz w:val="16"/>
          <w:szCs w:val="16"/>
          <w:color w:val="auto"/>
        </w:rPr>
      </w:pPr>
    </w:p>
    <w:p>
      <w:pPr>
        <w:ind w:left="980" w:right="320" w:hanging="540"/>
        <w:spacing w:after="0" w:line="286" w:lineRule="auto"/>
        <w:tabs>
          <w:tab w:leader="none" w:pos="9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for any financial losses, damages or expenses incurred in connection with a settlement of any proceedings effected without the Company’s prior consent.</w:t>
      </w:r>
    </w:p>
    <w:p>
      <w:pPr>
        <w:spacing w:after="0" w:line="156" w:lineRule="exact"/>
        <w:rPr>
          <w:sz w:val="20"/>
          <w:szCs w:val="20"/>
          <w:color w:val="auto"/>
        </w:rPr>
      </w:pPr>
    </w:p>
    <w:p>
      <w:pPr>
        <w:ind w:right="400" w:firstLine="449"/>
        <w:spacing w:after="0" w:line="286" w:lineRule="auto"/>
        <w:rPr>
          <w:sz w:val="20"/>
          <w:szCs w:val="20"/>
          <w:color w:val="auto"/>
        </w:rPr>
      </w:pPr>
      <w:r>
        <w:rPr>
          <w:rFonts w:ascii="Arial" w:cs="Arial" w:eastAsia="Arial" w:hAnsi="Arial"/>
          <w:sz w:val="16"/>
          <w:szCs w:val="16"/>
          <w:color w:val="auto"/>
        </w:rPr>
        <w:t>Under our Articles of Association, our Board may stipulate additional terms, conditions and restrictions in relation to the indemnification described above.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Shareholders’ Meetings and Consents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Meeting</w:t>
      </w:r>
    </w:p>
    <w:p>
      <w:pPr>
        <w:spacing w:after="0" w:line="219" w:lineRule="exact"/>
        <w:rPr>
          <w:sz w:val="20"/>
          <w:szCs w:val="20"/>
          <w:color w:val="auto"/>
        </w:rPr>
      </w:pPr>
    </w:p>
    <w:p>
      <w:pPr>
        <w:ind w:right="80" w:firstLine="449"/>
        <w:spacing w:after="0" w:line="256" w:lineRule="auto"/>
        <w:rPr>
          <w:sz w:val="20"/>
          <w:szCs w:val="20"/>
          <w:color w:val="auto"/>
        </w:rPr>
      </w:pPr>
      <w:r>
        <w:rPr>
          <w:rFonts w:ascii="Arial" w:cs="Arial" w:eastAsia="Arial" w:hAnsi="Arial"/>
          <w:sz w:val="16"/>
          <w:szCs w:val="16"/>
          <w:color w:val="auto"/>
        </w:rPr>
        <w:t>General meetings may be held in Amsterdam, Arnhem, Assen, The Hague, Haarlem, s-Hertogenbosch, Groningen, Leeuwarden, Lelystad, Leiden, Maastricht, Middelburg, Rotterdam, Schiphol (Haarlemmermeer), Utrecht or Zwolle, all in the Netherlands.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equity has decreased to an amount equal to or lower than half of its paid-up and called-up share capital, in order to discuss the measures to be taken if so required.</w:t>
      </w:r>
    </w:p>
    <w:p>
      <w:pPr>
        <w:spacing w:after="0" w:line="180" w:lineRule="exact"/>
        <w:rPr>
          <w:sz w:val="20"/>
          <w:szCs w:val="20"/>
          <w:color w:val="auto"/>
        </w:rPr>
      </w:pPr>
    </w:p>
    <w:p>
      <w:pPr>
        <w:ind w:right="20" w:firstLine="449"/>
        <w:spacing w:after="0" w:line="254" w:lineRule="auto"/>
        <w:rPr>
          <w:sz w:val="20"/>
          <w:szCs w:val="20"/>
          <w:color w:val="auto"/>
        </w:rPr>
      </w:pPr>
      <w:r>
        <w:rPr>
          <w:rFonts w:ascii="Arial" w:cs="Arial" w:eastAsia="Arial" w:hAnsi="Arial"/>
          <w:sz w:val="16"/>
          <w:szCs w:val="16"/>
          <w:color w:val="auto"/>
        </w:rPr>
        <w:t>Pursuant to Dutch law, one or more shareholders or others with meeting rights under Dutch law who jointly represent at least one-tenth of the issued share capital may request us to convene a general meeting, setting out in detail the matters to be discussed. If our Board has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Board to convene a general meeting and our Board has not taken the necessary steps so that the general meeting could be held within six weeks after the request.</w:t>
      </w:r>
    </w:p>
    <w:p>
      <w:pPr>
        <w:spacing w:after="0" w:line="182" w:lineRule="exact"/>
        <w:rPr>
          <w:sz w:val="20"/>
          <w:szCs w:val="20"/>
          <w:color w:val="auto"/>
        </w:rPr>
      </w:pPr>
    </w:p>
    <w:p>
      <w:pPr>
        <w:ind w:right="120" w:firstLine="449"/>
        <w:spacing w:after="0" w:line="256" w:lineRule="auto"/>
        <w:rPr>
          <w:sz w:val="20"/>
          <w:szCs w:val="20"/>
          <w:color w:val="auto"/>
        </w:rPr>
      </w:pPr>
      <w:r>
        <w:rPr>
          <w:rFonts w:ascii="Arial" w:cs="Arial" w:eastAsia="Arial" w:hAnsi="Arial"/>
          <w:sz w:val="16"/>
          <w:szCs w:val="16"/>
          <w:color w:val="auto"/>
        </w:rPr>
        <w:t>General meetings can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among other things, the adoption of the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agenda shall also include such items requested by one or more shareholders, or others with meeting rights under Dutch law, representing at least 3% of the issued share capital. Requests must be made in writing or by electronic means and received by the Board at least 60 days before the day of the meeting. No resolutions shall be adopted on items other than those that have been included in the agenda.</w:t>
      </w:r>
    </w:p>
    <w:p>
      <w:pPr>
        <w:spacing w:after="0" w:line="171" w:lineRule="exact"/>
        <w:rPr>
          <w:sz w:val="20"/>
          <w:szCs w:val="20"/>
          <w:color w:val="auto"/>
        </w:rPr>
      </w:pPr>
    </w:p>
    <w:p>
      <w:pPr>
        <w:ind w:right="40" w:firstLine="449"/>
        <w:spacing w:after="0" w:line="250" w:lineRule="auto"/>
        <w:rPr>
          <w:sz w:val="20"/>
          <w:szCs w:val="20"/>
          <w:color w:val="auto"/>
        </w:rPr>
      </w:pPr>
      <w:r>
        <w:rPr>
          <w:rFonts w:ascii="Arial" w:cs="Arial" w:eastAsia="Arial" w:hAnsi="Arial"/>
          <w:sz w:val="16"/>
          <w:szCs w:val="16"/>
          <w:color w:val="auto"/>
        </w:rPr>
        <w:t>In accordance with the Dutch Corporate Governance Code, or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does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39" w:name="page140"/>
    <w:bookmarkEnd w:id="139"/>
    <w:p>
      <w:pPr>
        <w:ind w:right="100" w:firstLine="449"/>
        <w:spacing w:after="0" w:line="254" w:lineRule="auto"/>
        <w:rPr>
          <w:sz w:val="20"/>
          <w:szCs w:val="20"/>
          <w:color w:val="auto"/>
        </w:rPr>
      </w:pPr>
      <w:r>
        <w:rPr>
          <w:rFonts w:ascii="Arial" w:cs="Arial" w:eastAsia="Arial" w:hAnsi="Arial"/>
          <w:sz w:val="16"/>
          <w:szCs w:val="16"/>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55" w:lineRule="exact"/>
        <w:rPr>
          <w:sz w:val="20"/>
          <w:szCs w:val="20"/>
          <w:color w:val="auto"/>
        </w:rPr>
      </w:pPr>
    </w:p>
    <w:p>
      <w:pPr>
        <w:ind w:right="20" w:firstLine="449"/>
        <w:spacing w:after="0" w:line="252"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83" w:lineRule="exact"/>
        <w:rPr>
          <w:sz w:val="20"/>
          <w:szCs w:val="20"/>
          <w:color w:val="auto"/>
        </w:rPr>
      </w:pPr>
    </w:p>
    <w:p>
      <w:pPr>
        <w:ind w:left="980" w:right="560" w:hanging="540"/>
        <w:spacing w:after="0" w:line="256"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 w:lineRule="exact"/>
        <w:rPr>
          <w:rFonts w:ascii="Arial" w:cs="Arial" w:eastAsia="Arial" w:hAnsi="Arial"/>
          <w:sz w:val="16"/>
          <w:szCs w:val="16"/>
          <w:color w:val="auto"/>
        </w:rPr>
      </w:pPr>
    </w:p>
    <w:p>
      <w:pPr>
        <w:ind w:left="980" w:hanging="540"/>
        <w:spacing w:after="0"/>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29" w:lineRule="exact"/>
        <w:rPr>
          <w:rFonts w:ascii="Arial" w:cs="Arial" w:eastAsia="Arial" w:hAnsi="Arial"/>
          <w:sz w:val="16"/>
          <w:szCs w:val="16"/>
          <w:color w:val="auto"/>
        </w:rPr>
      </w:pPr>
    </w:p>
    <w:p>
      <w:pPr>
        <w:ind w:left="980" w:right="40" w:hanging="540"/>
        <w:spacing w:after="0" w:line="266"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1" w:lineRule="exact"/>
        <w:rPr>
          <w:sz w:val="20"/>
          <w:szCs w:val="20"/>
          <w:color w:val="auto"/>
        </w:rPr>
      </w:pPr>
    </w:p>
    <w:p>
      <w:pPr>
        <w:ind w:right="20" w:firstLine="449"/>
        <w:spacing w:after="0" w:line="253" w:lineRule="auto"/>
        <w:rPr>
          <w:sz w:val="20"/>
          <w:szCs w:val="20"/>
          <w:color w:val="auto"/>
        </w:rPr>
      </w:pPr>
      <w:r>
        <w:rPr>
          <w:rFonts w:ascii="Arial" w:cs="Arial" w:eastAsia="Arial" w:hAnsi="Arial"/>
          <w:sz w:val="16"/>
          <w:szCs w:val="16"/>
          <w:color w:val="auto"/>
        </w:rPr>
        <w:t>The general meeting is presided over by the chairman of the Board. If no chairman has been elected or if he or she is not present at the meeting, the general meeting shall be presided over by the vice-Chairman. If no vice-Chairman has been elected or if he or she is not present at the meeting, the general meeting shall be presided over by the chief executive officer. If no chief executive officer has been elected or if he or she is not present at the meeting, the general meeting shall be presided over by another director present at the meeting. If no director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Directors may always attend a general meeting. In these meetings, they have an advisory vote. The chairman of the meeting may decide at his or her discretion to admit other persons to the meeting.</w:t>
      </w:r>
    </w:p>
    <w:p>
      <w:pPr>
        <w:spacing w:after="0" w:line="181" w:lineRule="exact"/>
        <w:rPr>
          <w:sz w:val="20"/>
          <w:szCs w:val="20"/>
          <w:color w:val="auto"/>
        </w:rPr>
      </w:pPr>
    </w:p>
    <w:p>
      <w:pPr>
        <w:ind w:firstLine="449"/>
        <w:spacing w:after="0" w:line="256" w:lineRule="auto"/>
        <w:rPr>
          <w:sz w:val="20"/>
          <w:szCs w:val="20"/>
          <w:color w:val="auto"/>
        </w:rPr>
      </w:pPr>
      <w:r>
        <w:rPr>
          <w:rFonts w:ascii="Arial" w:cs="Arial" w:eastAsia="Arial" w:hAnsi="Arial"/>
          <w:sz w:val="16"/>
          <w:szCs w:val="16"/>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Quorum and voting requirements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ordinary share and each preferred share confers the right on the holder to cast one vote at the general meeting. Shareholders may vote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proxy. No votes may be cast at a general meeting on shares held by us or our subsidiaries or on shares for which we or our subsidiaries hold depository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 us or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voting rights pursuant to the preceding sentences will not be taken into account for the purpose of determining the number of shareholders that vote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that are present or represented, or the amount of the share capital that is provided or that is represented at a general meeting.</w:t>
      </w:r>
    </w:p>
    <w:p>
      <w:pPr>
        <w:spacing w:after="0" w:line="205" w:lineRule="exact"/>
        <w:rPr>
          <w:sz w:val="20"/>
          <w:szCs w:val="20"/>
          <w:color w:val="auto"/>
        </w:rPr>
      </w:pPr>
    </w:p>
    <w:p>
      <w:pPr>
        <w:ind w:right="380" w:firstLine="449"/>
        <w:spacing w:after="0" w:line="286" w:lineRule="auto"/>
        <w:rPr>
          <w:sz w:val="20"/>
          <w:szCs w:val="20"/>
          <w:color w:val="auto"/>
        </w:rPr>
      </w:pPr>
      <w:r>
        <w:rPr>
          <w:rFonts w:ascii="Arial" w:cs="Arial" w:eastAsia="Arial" w:hAnsi="Arial"/>
          <w:sz w:val="16"/>
          <w:szCs w:val="16"/>
          <w:color w:val="auto"/>
        </w:rPr>
        <w:t>Decisions of the general meeting are taken by a simple majority of votes cast, except where Dutch law or our Articles of Association provide for a qualified majority or unanimity.</w:t>
      </w: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F. Board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Appointment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140" w:name="page141"/>
    <w:bookmarkEnd w:id="140"/>
    <w:p>
      <w:pPr>
        <w:ind w:right="80" w:firstLine="449"/>
        <w:spacing w:after="0" w:line="259" w:lineRule="auto"/>
        <w:rPr>
          <w:sz w:val="20"/>
          <w:szCs w:val="20"/>
          <w:color w:val="auto"/>
        </w:rPr>
      </w:pPr>
      <w:r>
        <w:rPr>
          <w:rFonts w:ascii="Arial" w:cs="Arial" w:eastAsia="Arial" w:hAnsi="Arial"/>
          <w:sz w:val="16"/>
          <w:szCs w:val="16"/>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78" w:lineRule="exact"/>
        <w:rPr>
          <w:sz w:val="20"/>
          <w:szCs w:val="20"/>
          <w:color w:val="auto"/>
        </w:rPr>
      </w:pPr>
    </w:p>
    <w:p>
      <w:pPr>
        <w:ind w:right="240" w:firstLine="449"/>
        <w:spacing w:after="0" w:line="266" w:lineRule="auto"/>
        <w:rPr>
          <w:sz w:val="20"/>
          <w:szCs w:val="20"/>
          <w:color w:val="auto"/>
        </w:rPr>
      </w:pPr>
      <w:r>
        <w:rPr>
          <w:rFonts w:ascii="Arial" w:cs="Arial" w:eastAsia="Arial" w:hAnsi="Arial"/>
          <w:sz w:val="16"/>
          <w:szCs w:val="16"/>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Duties and liabilities of directors</w:t>
      </w:r>
    </w:p>
    <w:p>
      <w:pPr>
        <w:spacing w:after="0" w:line="219" w:lineRule="exact"/>
        <w:rPr>
          <w:sz w:val="20"/>
          <w:szCs w:val="20"/>
          <w:color w:val="auto"/>
        </w:rPr>
      </w:pPr>
    </w:p>
    <w:p>
      <w:pPr>
        <w:jc w:val="both"/>
        <w:ind w:right="220" w:firstLine="449"/>
        <w:spacing w:after="0" w:line="266" w:lineRule="auto"/>
        <w:rPr>
          <w:sz w:val="20"/>
          <w:szCs w:val="20"/>
          <w:color w:val="auto"/>
        </w:rPr>
      </w:pPr>
      <w:r>
        <w:rPr>
          <w:rFonts w:ascii="Arial" w:cs="Arial" w:eastAsia="Arial" w:hAnsi="Arial"/>
          <w:sz w:val="16"/>
          <w:szCs w:val="16"/>
          <w:color w:val="auto"/>
        </w:rPr>
        <w:t>Under Dutch law, the Board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Subject to certain limitations under Dutch law, the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G. Dividends and Other Distributions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 available for distribution</w:t>
      </w:r>
    </w:p>
    <w:p>
      <w:pPr>
        <w:spacing w:after="0" w:line="219" w:lineRule="exact"/>
        <w:rPr>
          <w:sz w:val="20"/>
          <w:szCs w:val="20"/>
          <w:color w:val="auto"/>
        </w:rPr>
      </w:pPr>
    </w:p>
    <w:p>
      <w:pPr>
        <w:ind w:right="140" w:firstLine="449"/>
        <w:spacing w:after="0" w:line="254" w:lineRule="auto"/>
        <w:rPr>
          <w:sz w:val="20"/>
          <w:szCs w:val="20"/>
          <w:color w:val="auto"/>
        </w:rPr>
      </w:pPr>
      <w:r>
        <w:rPr>
          <w:rFonts w:ascii="Arial" w:cs="Arial" w:eastAsia="Arial" w:hAnsi="Arial"/>
          <w:sz w:val="16"/>
          <w:szCs w:val="16"/>
          <w:color w:val="auto"/>
        </w:rPr>
        <w:t>We may only make distributions, whether of profits or from our reserves, to our shareholders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any reserves required by Dutch law or by our Articles of Association. Under our Articles of Association, if any preferred shares are or have been outstanding, the preferred dividend is first paid out of the profit, if available for distribution, to the holders or former holders, as applicable, of those preferred shares to the extent they are entitled to such distribution under our Articles of Association. Our Board may decide that all or part of our remaining profits are carried to reserves. After such reservation, any remaining profit will be at the disposal of the general meeting at the proposal of our Board for distribution on our ordinary shares, subject to the applicable restrictions of Dutch law.</w:t>
      </w:r>
    </w:p>
    <w:p>
      <w:pPr>
        <w:spacing w:after="0" w:line="182"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6"/>
          <w:szCs w:val="16"/>
          <w:color w:val="auto"/>
        </w:rPr>
        <w:t>We only make a distribution of dividends to our shareholders after the adoption of our annual accounts demonstrating that such distribution is legally permitted. The Board is permitted, subject to certain requirements, to declare interim dividends without the approval of the general meeting.</w:t>
      </w:r>
    </w:p>
    <w:p>
      <w:pPr>
        <w:spacing w:after="0" w:line="156" w:lineRule="exact"/>
        <w:rPr>
          <w:sz w:val="20"/>
          <w:szCs w:val="20"/>
          <w:color w:val="auto"/>
        </w:rPr>
      </w:pPr>
    </w:p>
    <w:p>
      <w:pPr>
        <w:jc w:val="both"/>
        <w:ind w:right="180" w:firstLine="449"/>
        <w:spacing w:after="0" w:line="266" w:lineRule="auto"/>
        <w:rPr>
          <w:sz w:val="20"/>
          <w:szCs w:val="20"/>
          <w:color w:val="auto"/>
        </w:rPr>
      </w:pPr>
      <w:r>
        <w:rPr>
          <w:rFonts w:ascii="Arial" w:cs="Arial" w:eastAsia="Arial" w:hAnsi="Arial"/>
          <w:sz w:val="16"/>
          <w:szCs w:val="16"/>
          <w:color w:val="auto"/>
        </w:rPr>
        <w:t>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Exchange controls</w:t>
      </w:r>
    </w:p>
    <w:p>
      <w:pPr>
        <w:spacing w:after="0" w:line="219" w:lineRule="exact"/>
        <w:rPr>
          <w:sz w:val="20"/>
          <w:szCs w:val="20"/>
          <w:color w:val="auto"/>
        </w:rPr>
      </w:pPr>
    </w:p>
    <w:p>
      <w:pPr>
        <w:ind w:right="160" w:firstLine="449"/>
        <w:spacing w:after="0" w:line="256" w:lineRule="auto"/>
        <w:rPr>
          <w:sz w:val="20"/>
          <w:szCs w:val="20"/>
          <w:color w:val="auto"/>
        </w:rPr>
      </w:pPr>
      <w:r>
        <w:rPr>
          <w:rFonts w:ascii="Arial" w:cs="Arial" w:eastAsia="Arial" w:hAnsi="Arial"/>
          <w:sz w:val="16"/>
          <w:szCs w:val="16"/>
          <w:color w:val="auto"/>
        </w:rPr>
        <w:t xml:space="preserve">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 </w:t>
      </w:r>
      <w:r>
        <w:rPr>
          <w:rFonts w:ascii="Arial" w:cs="Arial" w:eastAsia="Arial" w:hAnsi="Arial"/>
          <w:sz w:val="16"/>
          <w:szCs w:val="16"/>
          <w:i w:val="1"/>
          <w:iCs w:val="1"/>
          <w:color w:val="auto"/>
        </w:rPr>
        <w:t>Sanctiewet 1977</w:t>
      </w:r>
      <w:r>
        <w:rPr>
          <w:rFonts w:ascii="Arial" w:cs="Arial" w:eastAsia="Arial" w:hAnsi="Arial"/>
          <w:sz w:val="16"/>
          <w:szCs w:val="16"/>
          <w:color w:val="auto"/>
        </w:rPr>
        <w:t>) or other legislation, applicable anti-boycott regulations and similar rules. There are no special restrictions in the Articles of Association or Dutch law that limit the right of shareholders who are not citizens or residents of the Netherlands to hold or vote shares.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Squeeze-out procedures</w:t>
      </w:r>
    </w:p>
    <w:p>
      <w:pPr>
        <w:spacing w:after="0" w:line="219" w:lineRule="exact"/>
        <w:rPr>
          <w:sz w:val="20"/>
          <w:szCs w:val="20"/>
          <w:color w:val="auto"/>
        </w:rPr>
      </w:pPr>
    </w:p>
    <w:p>
      <w:pPr>
        <w:ind w:firstLine="449"/>
        <w:spacing w:after="0" w:line="251" w:lineRule="auto"/>
        <w:rPr>
          <w:sz w:val="20"/>
          <w:szCs w:val="20"/>
          <w:color w:val="auto"/>
        </w:rPr>
      </w:pPr>
      <w:r>
        <w:rPr>
          <w:rFonts w:ascii="Arial" w:cs="Arial" w:eastAsia="Arial" w:hAnsi="Arial"/>
          <w:sz w:val="16"/>
          <w:szCs w:val="16"/>
          <w:color w:val="auto"/>
        </w:rPr>
        <w:t>A shareholder who alone or together with group companies holds at least 95% of our issued share capital for his or her own account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Arial" w:cs="Arial" w:eastAsia="Arial" w:hAnsi="Arial"/>
          <w:sz w:val="16"/>
          <w:szCs w:val="16"/>
          <w:i w:val="1"/>
          <w:iCs w:val="1"/>
          <w:color w:val="auto"/>
        </w:rPr>
        <w:t>Wetboek van Burgerlijke Rechtsvordering</w:t>
      </w:r>
      <w:r>
        <w:rPr>
          <w:rFonts w:ascii="Arial" w:cs="Arial" w:eastAsia="Arial" w:hAnsi="Arial"/>
          <w:sz w:val="16"/>
          <w:szCs w:val="16"/>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41" w:name="page142"/>
    <w:bookmarkEnd w:id="141"/>
    <w:p>
      <w:pPr>
        <w:ind w:left="460"/>
        <w:spacing w:after="0"/>
        <w:rPr>
          <w:sz w:val="20"/>
          <w:szCs w:val="20"/>
          <w:color w:val="auto"/>
        </w:rPr>
      </w:pPr>
      <w:r>
        <w:rPr>
          <w:rFonts w:ascii="Arial" w:cs="Arial" w:eastAsia="Arial" w:hAnsi="Arial"/>
          <w:sz w:val="16"/>
          <w:szCs w:val="16"/>
          <w:b w:val="1"/>
          <w:bCs w:val="1"/>
          <w:color w:val="auto"/>
        </w:rPr>
        <w:t>H. Dissolution and Liquidation</w:t>
      </w:r>
    </w:p>
    <w:p>
      <w:pPr>
        <w:spacing w:after="0" w:line="221" w:lineRule="exact"/>
        <w:rPr>
          <w:sz w:val="20"/>
          <w:szCs w:val="20"/>
          <w:color w:val="auto"/>
        </w:rPr>
      </w:pPr>
    </w:p>
    <w:p>
      <w:pPr>
        <w:ind w:right="100" w:firstLine="449"/>
        <w:spacing w:after="0" w:line="254" w:lineRule="auto"/>
        <w:rPr>
          <w:sz w:val="20"/>
          <w:szCs w:val="20"/>
          <w:color w:val="auto"/>
        </w:rPr>
      </w:pPr>
      <w:r>
        <w:rPr>
          <w:rFonts w:ascii="Arial" w:cs="Arial" w:eastAsia="Arial" w:hAnsi="Arial"/>
          <w:sz w:val="16"/>
          <w:szCs w:val="16"/>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debts, if any preferred shares are or have been outstanding, a liquidation distribution equal to the preferred dividend is first paid out to the holders or former holders of those preferred shares (to the extent they are entitled to such distribution under our Articles of Association). Any remaining assets shall be distributed to the holders of ordinary shares in proportion to their ordinary shares.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 Exclusive Forum</w:t>
      </w:r>
    </w:p>
    <w:p>
      <w:pPr>
        <w:spacing w:after="0" w:line="221" w:lineRule="exact"/>
        <w:rPr>
          <w:sz w:val="20"/>
          <w:szCs w:val="20"/>
          <w:color w:val="auto"/>
        </w:rPr>
      </w:pPr>
    </w:p>
    <w:p>
      <w:pPr>
        <w:ind w:right="40" w:firstLine="449"/>
        <w:spacing w:after="0" w:line="251" w:lineRule="auto"/>
        <w:rPr>
          <w:sz w:val="20"/>
          <w:szCs w:val="20"/>
          <w:color w:val="auto"/>
        </w:rPr>
      </w:pPr>
      <w:r>
        <w:rPr>
          <w:rFonts w:ascii="Arial" w:cs="Arial" w:eastAsia="Arial" w:hAnsi="Arial"/>
          <w:sz w:val="16"/>
          <w:szCs w:val="16"/>
          <w:color w:val="auto"/>
        </w:rPr>
        <w:t>Our Articles of Association provide that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J. Comparison of Dutch Corporate Law and U.S. Corporate Law</w:t>
      </w:r>
    </w:p>
    <w:p>
      <w:pPr>
        <w:spacing w:after="0" w:line="221" w:lineRule="exact"/>
        <w:rPr>
          <w:sz w:val="20"/>
          <w:szCs w:val="20"/>
          <w:color w:val="auto"/>
        </w:rPr>
      </w:pPr>
    </w:p>
    <w:p>
      <w:pPr>
        <w:ind w:firstLine="449"/>
        <w:spacing w:after="0" w:line="259" w:lineRule="auto"/>
        <w:rPr>
          <w:sz w:val="20"/>
          <w:szCs w:val="20"/>
          <w:color w:val="auto"/>
        </w:rPr>
      </w:pPr>
      <w:r>
        <w:rPr>
          <w:rFonts w:ascii="Arial" w:cs="Arial" w:eastAsia="Arial" w:hAnsi="Arial"/>
          <w:sz w:val="16"/>
          <w:szCs w:val="16"/>
          <w:color w:val="auto"/>
        </w:rPr>
        <w:t>The following comparison between Dutch corporate law, which applies to us, and Delaware corporation law, the law under which many publicly listed corporations in the United States are incorporated, discusses additional matters not otherwise described in this Exhibit 2.1. Although we believe this summary is materially accurate, the summary is subject to Dutch law, including Book 2 of the Dutch Civil Code and the DCGC and Delaware corporation law, including the Delaware General Corporation Law.</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Governance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Duties of Directors</w:t>
      </w:r>
    </w:p>
    <w:p>
      <w:pPr>
        <w:spacing w:after="0" w:line="219" w:lineRule="exact"/>
        <w:rPr>
          <w:sz w:val="20"/>
          <w:szCs w:val="20"/>
          <w:color w:val="auto"/>
        </w:rPr>
      </w:pPr>
    </w:p>
    <w:p>
      <w:pPr>
        <w:ind w:right="80" w:firstLine="449"/>
        <w:spacing w:after="0" w:line="25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We have a one-tier board structure consisting of one or more executive directors and one or more non-executive directors. Under Dutch law, the board of directors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 Subject to certain limitations under Dutch law, the directors may divide their tasks among themselves in or pursuant to the internal rules applicable to the board of directors.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of directors regarding a material change in our identity or character requires approval of the general meeting.</w:t>
      </w:r>
    </w:p>
    <w:p>
      <w:pPr>
        <w:spacing w:after="0" w:line="185" w:lineRule="exact"/>
        <w:rPr>
          <w:sz w:val="20"/>
          <w:szCs w:val="20"/>
          <w:color w:val="auto"/>
        </w:rPr>
      </w:pPr>
    </w:p>
    <w:p>
      <w:pPr>
        <w:ind w:right="40" w:firstLine="449"/>
        <w:spacing w:after="0" w:line="25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i w:val="1"/>
          <w:iCs w:val="1"/>
          <w:color w:val="auto"/>
        </w:rPr>
        <w:t>Director terms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The DCGC provides the following best practice recommendations on the terms for directors’ service:</w:t>
      </w:r>
    </w:p>
    <w:p>
      <w:pPr>
        <w:spacing w:after="0" w:line="221" w:lineRule="exact"/>
        <w:rPr>
          <w:sz w:val="20"/>
          <w:szCs w:val="20"/>
          <w:color w:val="auto"/>
        </w:rPr>
      </w:pPr>
    </w:p>
    <w:p>
      <w:pPr>
        <w:ind w:left="980" w:right="560" w:hanging="540"/>
        <w:spacing w:after="0" w:line="286" w:lineRule="auto"/>
        <w:tabs>
          <w:tab w:leader="none" w:pos="9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Executive directors should be appointed for a maximum period of four years, without limiting the number of consecutive terms executive directors may serve.</w:t>
      </w:r>
    </w:p>
    <w:p>
      <w:pPr>
        <w:spacing w:after="0" w:line="142" w:lineRule="exact"/>
        <w:rPr>
          <w:rFonts w:ascii="Arial" w:cs="Arial" w:eastAsia="Arial" w:hAnsi="Arial"/>
          <w:sz w:val="16"/>
          <w:szCs w:val="16"/>
          <w:color w:val="auto"/>
        </w:rPr>
      </w:pPr>
    </w:p>
    <w:p>
      <w:pPr>
        <w:ind w:left="980" w:right="160" w:hanging="540"/>
        <w:spacing w:after="0" w:line="266" w:lineRule="auto"/>
        <w:tabs>
          <w:tab w:leader="none" w:pos="9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Non-executive directors should be appointed for two consecutive periods of no more than four years. Thereafter, non-executive directors may be reappointed for a maximum of two consecutive periods of no more than two years, provided that in the event of reappointment after an eight-year term of office the reasons for such reappointment should be disclosed in the Company’s statutory annual Board report.</w:t>
      </w:r>
    </w:p>
    <w:p>
      <w:pPr>
        <w:spacing w:after="0" w:line="171" w:lineRule="exact"/>
        <w:rPr>
          <w:sz w:val="20"/>
          <w:szCs w:val="20"/>
          <w:color w:val="auto"/>
        </w:rPr>
      </w:pPr>
    </w:p>
    <w:p>
      <w:pPr>
        <w:ind w:right="80" w:firstLine="449"/>
        <w:spacing w:after="0" w:line="259" w:lineRule="auto"/>
        <w:rPr>
          <w:sz w:val="20"/>
          <w:szCs w:val="20"/>
          <w:color w:val="auto"/>
        </w:rPr>
      </w:pPr>
      <w:r>
        <w:rPr>
          <w:rFonts w:ascii="Arial" w:cs="Arial" w:eastAsia="Arial" w:hAnsi="Arial"/>
          <w:sz w:val="16"/>
          <w:szCs w:val="16"/>
          <w:color w:val="auto"/>
        </w:rPr>
        <w:t>The general meeting shall at all times be entitled to suspend or remove a director. Under our Articles of Association, the general meeting may only adopt a resolution to suspend or remove such director by at least a two-thirds majority of the votes cast, provided such majority represents more than half of the issued share capital, unless the resolution is passed at the proposal of the board of directors, in which case a simple majority of the votes cast is sufficient.</w:t>
      </w:r>
    </w:p>
    <w:p>
      <w:pPr>
        <w:spacing w:after="0" w:line="178" w:lineRule="exact"/>
        <w:rPr>
          <w:sz w:val="20"/>
          <w:szCs w:val="20"/>
          <w:color w:val="auto"/>
        </w:rPr>
      </w:pPr>
    </w:p>
    <w:p>
      <w:pPr>
        <w:ind w:right="80" w:firstLine="449"/>
        <w:spacing w:after="0" w:line="259"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vacancies</w:t>
      </w:r>
    </w:p>
    <w:p>
      <w:pPr>
        <w:spacing w:after="0" w:line="219" w:lineRule="exact"/>
        <w:rPr>
          <w:sz w:val="20"/>
          <w:szCs w:val="20"/>
          <w:color w:val="auto"/>
        </w:rPr>
      </w:pPr>
    </w:p>
    <w:p>
      <w:pPr>
        <w:ind w:firstLine="449"/>
        <w:spacing w:after="0" w:line="25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chairman of our Board. If such former chairman would be unwilling or unable to accept that position, our management would be attributed to the person who most recently ceased to hold office as our chief executive officer. If such former chief executive officer would also be unwilling or unable to accept that position, our management would be attributed to one or more persons whom the general meeting would designate for that purpose. The person(s) charged with our management in this manner, may designate one or more persons to be charged with our management instead of, or together with, such person(s).</w:t>
      </w:r>
    </w:p>
    <w:p>
      <w:pPr>
        <w:spacing w:after="0" w:line="375" w:lineRule="exact"/>
        <w:rPr>
          <w:sz w:val="20"/>
          <w:szCs w:val="20"/>
          <w:color w:val="auto"/>
        </w:rPr>
      </w:pPr>
    </w:p>
    <w:p>
      <w:pPr>
        <w:ind w:right="40" w:firstLine="449"/>
        <w:spacing w:after="0" w:line="257" w:lineRule="auto"/>
        <w:rPr>
          <w:sz w:val="20"/>
          <w:szCs w:val="20"/>
          <w:color w:val="auto"/>
        </w:rPr>
      </w:pPr>
      <w:r>
        <w:rPr>
          <w:rFonts w:ascii="Arial" w:cs="Arial" w:eastAsia="Arial" w:hAnsi="Arial"/>
          <w:sz w:val="16"/>
          <w:szCs w:val="16"/>
          <w:color w:val="auto"/>
        </w:rPr>
        <w:t>Under Dutch law, directors are appointed and reappointed by the general meeting, on a recommendation of our nomination and corporate governance committee. Under our Articles of Association, directors are appointed by the general meeting upon the binding nomination by our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373"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w:t>
      </w:r>
    </w:p>
    <w:p>
      <w:pPr>
        <w:spacing w:after="0" w:line="115" w:lineRule="exact"/>
        <w:rPr>
          <w:sz w:val="20"/>
          <w:szCs w:val="20"/>
          <w:color w:val="auto"/>
        </w:rPr>
      </w:pPr>
    </w:p>
    <w:p>
      <w:pPr>
        <w:ind w:left="200" w:right="120" w:hanging="188"/>
        <w:spacing w:after="0" w:line="286" w:lineRule="auto"/>
        <w:rPr>
          <w:sz w:val="20"/>
          <w:szCs w:val="20"/>
          <w:color w:val="auto"/>
        </w:rPr>
      </w:pPr>
      <w:r>
        <w:rPr>
          <w:rFonts w:ascii="Arial" w:cs="Arial" w:eastAsia="Arial" w:hAnsi="Arial"/>
          <w:sz w:val="16"/>
          <w:szCs w:val="16"/>
          <w:color w:val="auto"/>
        </w:rPr>
        <w:t>(ii)the certificate of incorporation directs that a particular class of stock is to elect such director, in which case any other directors elected by such class, or a sole remaining director elected by such class, will fill such vacancy.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Conflict-of-interest transactions</w:t>
      </w:r>
    </w:p>
    <w:p>
      <w:pPr>
        <w:spacing w:after="0" w:line="219" w:lineRule="exact"/>
        <w:rPr>
          <w:sz w:val="20"/>
          <w:szCs w:val="20"/>
          <w:color w:val="auto"/>
        </w:rPr>
      </w:pPr>
    </w:p>
    <w:p>
      <w:pPr>
        <w:ind w:right="20" w:firstLine="449"/>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case, each director is entitled to participate in the discussion and decision-making process and to cast a vote.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DCGC provides the following best practice recommendations in relation to conflicts of interests:</w:t>
      </w:r>
    </w:p>
    <w:p>
      <w:pPr>
        <w:spacing w:after="0" w:line="221" w:lineRule="exact"/>
        <w:rPr>
          <w:sz w:val="20"/>
          <w:szCs w:val="20"/>
          <w:color w:val="auto"/>
        </w:rPr>
      </w:pPr>
    </w:p>
    <w:p>
      <w:pPr>
        <w:ind w:left="980" w:right="160" w:hanging="540"/>
        <w:spacing w:after="0" w:line="286" w:lineRule="auto"/>
        <w:tabs>
          <w:tab w:leader="none" w:pos="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director should report any potential conflict of interest in a transaction that is of material significance to the Company and/or to such director to the other directors without delay, providing all relevant information in relation to the conflict;</w:t>
      </w:r>
    </w:p>
    <w:p>
      <w:pPr>
        <w:spacing w:after="0" w:line="142" w:lineRule="exact"/>
        <w:rPr>
          <w:rFonts w:ascii="Arial" w:cs="Arial" w:eastAsia="Arial" w:hAnsi="Arial"/>
          <w:sz w:val="16"/>
          <w:szCs w:val="16"/>
          <w:color w:val="auto"/>
        </w:rPr>
      </w:pPr>
    </w:p>
    <w:p>
      <w:pPr>
        <w:ind w:left="980" w:hanging="540"/>
        <w:spacing w:after="0"/>
        <w:tabs>
          <w:tab w:leader="none" w:pos="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board of directors should then decide, outside the presence of the director concerned, whether there is a conflict of interest;</w:t>
      </w:r>
    </w:p>
    <w:p>
      <w:pPr>
        <w:spacing w:after="0" w:line="207" w:lineRule="exact"/>
        <w:rPr>
          <w:rFonts w:ascii="Arial" w:cs="Arial" w:eastAsia="Arial" w:hAnsi="Arial"/>
          <w:sz w:val="16"/>
          <w:szCs w:val="16"/>
          <w:color w:val="auto"/>
        </w:rPr>
      </w:pPr>
    </w:p>
    <w:p>
      <w:pPr>
        <w:ind w:left="980" w:hanging="540"/>
        <w:spacing w:after="0"/>
        <w:tabs>
          <w:tab w:leader="none" w:pos="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transactions in which there is a conflict of interest with a director should be agreed on arms’ length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43" w:name="page144"/>
    <w:bookmarkEnd w:id="143"/>
    <w:p>
      <w:pPr>
        <w:ind w:left="980" w:right="20" w:hanging="540"/>
        <w:spacing w:after="0" w:line="266" w:lineRule="auto"/>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decision to enter into such a transaction in which there is a conflict of interest with a director that is of material significance to the Company and/or to such director shall require the approval of the board of directors, and such transactions should be disclosed in the Company’s annual board report.</w:t>
      </w:r>
    </w:p>
    <w:p>
      <w:pPr>
        <w:spacing w:after="0" w:line="171"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transactions involving a Delaware corporation and an interested director of that corporation would not be voidable if:</w:t>
      </w:r>
    </w:p>
    <w:p>
      <w:pPr>
        <w:spacing w:after="0" w:line="156" w:lineRule="exact"/>
        <w:rPr>
          <w:sz w:val="20"/>
          <w:szCs w:val="20"/>
          <w:color w:val="auto"/>
        </w:rPr>
      </w:pPr>
    </w:p>
    <w:p>
      <w:pPr>
        <w:ind w:left="980" w:right="540" w:hanging="540"/>
        <w:spacing w:after="0" w:line="286" w:lineRule="auto"/>
        <w:tabs>
          <w:tab w:leader="none" w:pos="9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142" w:lineRule="exact"/>
        <w:rPr>
          <w:rFonts w:ascii="Arial" w:cs="Arial" w:eastAsia="Arial" w:hAnsi="Arial"/>
          <w:sz w:val="16"/>
          <w:szCs w:val="16"/>
          <w:color w:val="auto"/>
        </w:rPr>
      </w:pPr>
    </w:p>
    <w:p>
      <w:pPr>
        <w:ind w:left="980" w:hanging="540"/>
        <w:spacing w:after="0" w:line="286" w:lineRule="auto"/>
        <w:tabs>
          <w:tab w:leader="none" w:pos="9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material facts are disclosed or known as to the director’s relationship or interest and the transaction is specifically approved in good faith by vote of the majority of shares entitled to vote thereon; or</w:t>
      </w:r>
    </w:p>
    <w:p>
      <w:pPr>
        <w:spacing w:after="0" w:line="142" w:lineRule="exact"/>
        <w:rPr>
          <w:rFonts w:ascii="Arial" w:cs="Arial" w:eastAsia="Arial" w:hAnsi="Arial"/>
          <w:sz w:val="16"/>
          <w:szCs w:val="16"/>
          <w:color w:val="auto"/>
        </w:rPr>
      </w:pPr>
    </w:p>
    <w:p>
      <w:pPr>
        <w:ind w:left="980" w:right="540" w:hanging="540"/>
        <w:spacing w:after="0" w:line="286" w:lineRule="auto"/>
        <w:tabs>
          <w:tab w:leader="none" w:pos="9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transaction is fair to the corporation at the time it is authorized by the board of directors, a committee of the board of directors or the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Proxy voting by directors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An absent director may issue a proxy for a specific board meeting but only to another director in writing or by electronic means.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A director of a Delaware corporation may not issue a proxy representing the director’s voting rights as a director.</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Shareholders Rights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9" w:lineRule="exact"/>
        <w:rPr>
          <w:sz w:val="20"/>
          <w:szCs w:val="20"/>
          <w:color w:val="auto"/>
        </w:rPr>
      </w:pPr>
    </w:p>
    <w:p>
      <w:pPr>
        <w:ind w:firstLine="449"/>
        <w:spacing w:after="0" w:line="25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In accordance with Dutch law and our Articles of Association, each issued ordinary share and each issued preferred share confers the right to cast one vote at the general meeting. Each holder of shares may cast as many votes as it holds shares. No votes may be cast on shares that are held by us or our direct or indirect subsidiaries or on shares for which we or our subsidiaries hold depository 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 us or our 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w:t>
      </w:r>
    </w:p>
    <w:p>
      <w:pPr>
        <w:spacing w:after="0" w:line="141" w:lineRule="exact"/>
        <w:rPr>
          <w:sz w:val="20"/>
          <w:szCs w:val="20"/>
          <w:color w:val="auto"/>
        </w:rPr>
      </w:pPr>
    </w:p>
    <w:p>
      <w:pPr>
        <w:ind w:firstLine="449"/>
        <w:spacing w:after="0" w:line="253" w:lineRule="auto"/>
        <w:rPr>
          <w:sz w:val="20"/>
          <w:szCs w:val="20"/>
          <w:color w:val="auto"/>
        </w:rPr>
      </w:pPr>
      <w:r>
        <w:rPr>
          <w:rFonts w:ascii="Arial" w:cs="Arial" w:eastAsia="Arial" w:hAnsi="Arial"/>
          <w:sz w:val="16"/>
          <w:szCs w:val="16"/>
          <w:color w:val="auto"/>
        </w:rPr>
        <w:t>In accordance with our Articles of Association, 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1" w:lineRule="exact"/>
        <w:rPr>
          <w:sz w:val="20"/>
          <w:szCs w:val="20"/>
          <w:color w:val="auto"/>
        </w:rPr>
      </w:pPr>
    </w:p>
    <w:p>
      <w:pPr>
        <w:ind w:right="80" w:firstLine="449"/>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80" w:lineRule="exact"/>
        <w:rPr>
          <w:sz w:val="20"/>
          <w:szCs w:val="20"/>
          <w:color w:val="auto"/>
        </w:rPr>
      </w:pPr>
    </w:p>
    <w:p>
      <w:pPr>
        <w:ind w:right="80" w:firstLine="449"/>
        <w:spacing w:after="0" w:line="256" w:lineRule="auto"/>
        <w:rPr>
          <w:sz w:val="20"/>
          <w:szCs w:val="20"/>
          <w:color w:val="auto"/>
        </w:rPr>
      </w:pPr>
      <w:r>
        <w:rPr>
          <w:rFonts w:ascii="Arial" w:cs="Arial" w:eastAsia="Arial" w:hAnsi="Arial"/>
          <w:sz w:val="16"/>
          <w:szCs w:val="16"/>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proposals</w:t>
      </w:r>
    </w:p>
    <w:p>
      <w:pPr>
        <w:spacing w:after="0" w:line="219" w:lineRule="exact"/>
        <w:rPr>
          <w:sz w:val="20"/>
          <w:szCs w:val="20"/>
          <w:color w:val="auto"/>
        </w:rPr>
      </w:pPr>
    </w:p>
    <w:p>
      <w:pPr>
        <w:ind w:right="20" w:firstLine="449"/>
        <w:spacing w:after="0" w:line="259"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Pursuant to our Articles of Association, extraordinary general meetings will be held whenever required under Dutch law or whenever our Board deems such to be appropriate or necessary. Pursuant to Dutch law, one or more shareholders or others with meeting rights under Dutch law representing at least one-tenth of the issued share capital may request us to convene a general meeting, setting out in detail the matters to be discussed. If our Board has not taken the steps necessary to ensure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44" w:name="page145"/>
    <w:bookmarkEnd w:id="144"/>
    <w:p>
      <w:pPr>
        <w:ind w:right="80"/>
        <w:spacing w:after="0" w:line="286" w:lineRule="auto"/>
        <w:rPr>
          <w:sz w:val="20"/>
          <w:szCs w:val="20"/>
          <w:color w:val="auto"/>
        </w:rPr>
      </w:pPr>
      <w:r>
        <w:rPr>
          <w:rFonts w:ascii="Arial" w:cs="Arial" w:eastAsia="Arial" w:hAnsi="Arial"/>
          <w:sz w:val="16"/>
          <w:szCs w:val="16"/>
          <w:color w:val="auto"/>
        </w:rPr>
        <w:t>meeting can be held within six weeks after the request, the requesting party or parties may, on their application, be authorized by the competent Dutch court in preliminary relief proceedings to convene a general meeting.</w:t>
      </w:r>
    </w:p>
    <w:p>
      <w:pPr>
        <w:spacing w:after="0" w:line="156" w:lineRule="exact"/>
        <w:rPr>
          <w:sz w:val="20"/>
          <w:szCs w:val="20"/>
          <w:color w:val="auto"/>
        </w:rPr>
      </w:pPr>
    </w:p>
    <w:p>
      <w:pPr>
        <w:ind w:right="40" w:firstLine="449"/>
        <w:spacing w:after="0" w:line="262" w:lineRule="auto"/>
        <w:rPr>
          <w:sz w:val="20"/>
          <w:szCs w:val="20"/>
          <w:color w:val="auto"/>
        </w:rPr>
      </w:pPr>
      <w:r>
        <w:rPr>
          <w:rFonts w:ascii="Arial" w:cs="Arial" w:eastAsia="Arial" w:hAnsi="Arial"/>
          <w:sz w:val="16"/>
          <w:szCs w:val="16"/>
          <w:color w:val="auto"/>
        </w:rPr>
        <w:t>Also, the agenda for a general meeting shall include such items requested by one or more shareholders, and others entitled to attend general meetings, representing at least 3% of the issued share capital, except where the Articles of Association state a lower percentage. Our Articles of Association do not state such lower percentage. Requests must be made in writing or by electronic means and received by the Board at least 60 days before the day of the meeting.</w:t>
      </w:r>
    </w:p>
    <w:p>
      <w:pPr>
        <w:spacing w:after="0" w:line="369" w:lineRule="exact"/>
        <w:rPr>
          <w:sz w:val="20"/>
          <w:szCs w:val="20"/>
          <w:color w:val="auto"/>
        </w:rPr>
      </w:pPr>
    </w:p>
    <w:p>
      <w:pPr>
        <w:ind w:right="20" w:firstLine="449"/>
        <w:spacing w:after="0" w:line="250" w:lineRule="auto"/>
        <w:rPr>
          <w:sz w:val="20"/>
          <w:szCs w:val="20"/>
          <w:color w:val="auto"/>
        </w:rPr>
      </w:pPr>
      <w:r>
        <w:rPr>
          <w:rFonts w:ascii="Arial" w:cs="Arial" w:eastAsia="Arial" w:hAnsi="Arial"/>
          <w:sz w:val="16"/>
          <w:szCs w:val="16"/>
          <w:color w:val="auto"/>
        </w:rPr>
        <w:t>In accordance with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does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49" w:lineRule="exact"/>
        <w:rPr>
          <w:sz w:val="20"/>
          <w:szCs w:val="20"/>
          <w:color w:val="auto"/>
        </w:rPr>
      </w:pPr>
    </w:p>
    <w:p>
      <w:pPr>
        <w:ind w:right="180" w:firstLine="449"/>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Action by written consent</w:t>
      </w:r>
    </w:p>
    <w:p>
      <w:pPr>
        <w:spacing w:after="0" w:line="219" w:lineRule="exact"/>
        <w:rPr>
          <w:sz w:val="20"/>
          <w:szCs w:val="20"/>
          <w:color w:val="auto"/>
        </w:rPr>
      </w:pPr>
    </w:p>
    <w:p>
      <w:pPr>
        <w:ind w:right="80" w:firstLine="449"/>
        <w:spacing w:after="0" w:line="25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shareholders’ resolutions may be adopted in writing without holding a meeting of shareholders, provided that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80"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Although permitted by Delaware law, publicly listed companies do not typically permit stockholders of a corporation to take action by written consent.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Appraisal rights</w:t>
      </w:r>
    </w:p>
    <w:p>
      <w:pPr>
        <w:spacing w:after="0" w:line="219" w:lineRule="exact"/>
        <w:rPr>
          <w:sz w:val="20"/>
          <w:szCs w:val="20"/>
          <w:color w:val="auto"/>
        </w:rPr>
      </w:pPr>
    </w:p>
    <w:p>
      <w:pPr>
        <w:ind w:firstLine="449"/>
        <w:spacing w:after="0" w:line="25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Subject to certain exceptions, Dutch law does not recognize the concept of appraisal or dissenters’ rights. However, Dutch law does provide for squeeze-out procedures as described under “—G.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80" w:lineRule="exact"/>
        <w:rPr>
          <w:sz w:val="20"/>
          <w:szCs w:val="20"/>
          <w:color w:val="auto"/>
        </w:rPr>
      </w:pPr>
    </w:p>
    <w:p>
      <w:pPr>
        <w:ind w:right="240" w:firstLine="449"/>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for stockholder appraisal rights, or the right to demand payment in cash of the judicially determined fair value of the stockholder’s shares, in connection with certain mergers and consolidations.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suits</w:t>
      </w:r>
    </w:p>
    <w:p>
      <w:pPr>
        <w:spacing w:after="0" w:line="219" w:lineRule="exact"/>
        <w:rPr>
          <w:sz w:val="20"/>
          <w:szCs w:val="20"/>
          <w:color w:val="auto"/>
        </w:rPr>
      </w:pPr>
    </w:p>
    <w:p>
      <w:pPr>
        <w:ind w:right="40" w:firstLine="449"/>
        <w:spacing w:after="0" w:line="250"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ind w:right="120"/>
        <w:spacing w:after="0" w:line="286" w:lineRule="auto"/>
        <w:rPr>
          <w:sz w:val="20"/>
          <w:szCs w:val="20"/>
          <w:color w:val="auto"/>
        </w:rPr>
      </w:pPr>
      <w:r>
        <w:rPr>
          <w:rFonts w:ascii="Arial" w:cs="Arial" w:eastAsia="Arial" w:hAnsi="Arial"/>
          <w:sz w:val="16"/>
          <w:szCs w:val="16"/>
          <w:color w:val="auto"/>
        </w:rPr>
        <w:t>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115" w:lineRule="exact"/>
        <w:rPr>
          <w:sz w:val="20"/>
          <w:szCs w:val="20"/>
          <w:color w:val="auto"/>
        </w:rPr>
      </w:pPr>
    </w:p>
    <w:p>
      <w:pPr>
        <w:ind w:right="20" w:firstLine="449"/>
        <w:spacing w:after="0" w:line="25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of shares</w:t>
      </w:r>
    </w:p>
    <w:p>
      <w:pPr>
        <w:spacing w:after="0" w:line="219" w:lineRule="exact"/>
        <w:rPr>
          <w:sz w:val="20"/>
          <w:szCs w:val="20"/>
          <w:color w:val="auto"/>
        </w:rPr>
      </w:pPr>
    </w:p>
    <w:p>
      <w:pPr>
        <w:ind w:right="40" w:firstLine="449"/>
        <w:spacing w:after="0" w:line="25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when issuing shares, a public company with limited liability such as ours may not subscribe for newly issued shares in its own capital. Such company may, however, subject to certain restrictions of Dutch law and its Articles of Association, acquire shares in its own capital. A listed public company with limited liability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less the payment required to make the acquisition does not fall below the sum of paid-up and called-up share capital plus any reserves required by Dutch law or its Articles of Association and (ii) the aggregate nominal value of shares of the company which the company acquires, holds or on which the company holds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or which are held by a subsidiary of the company, would not exceed 50% of its then current issued share capital. Such company may only acquire its own shares if its general meeting has granted the board of directors the authority to effect such acquisitions.</w:t>
      </w:r>
    </w:p>
    <w:p>
      <w:pPr>
        <w:spacing w:after="0" w:line="185" w:lineRule="exact"/>
        <w:rPr>
          <w:sz w:val="20"/>
          <w:szCs w:val="20"/>
          <w:color w:val="auto"/>
        </w:rPr>
      </w:pPr>
    </w:p>
    <w:p>
      <w:pPr>
        <w:ind w:firstLine="449"/>
        <w:spacing w:after="0" w:line="251" w:lineRule="auto"/>
        <w:rPr>
          <w:sz w:val="20"/>
          <w:szCs w:val="20"/>
          <w:color w:val="auto"/>
        </w:rPr>
      </w:pPr>
      <w:r>
        <w:rPr>
          <w:rFonts w:ascii="Arial" w:cs="Arial" w:eastAsia="Arial" w:hAnsi="Arial"/>
          <w:sz w:val="16"/>
          <w:szCs w:val="16"/>
          <w:color w:val="auto"/>
        </w:rPr>
        <w:t>An acquisition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February 1, 2021, our general meeting adopted a resolution pursuant to which our Board is authorized, for a period of 18 months following February 9, 2021 to cause the repurchase of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ordinary shares are acquired by us with the intention of transferring such ordinary shares to our employees under an applicable employee stock purchase plan.</w:t>
      </w:r>
    </w:p>
    <w:p>
      <w:pPr>
        <w:spacing w:after="0" w:line="185" w:lineRule="exact"/>
        <w:rPr>
          <w:sz w:val="20"/>
          <w:szCs w:val="20"/>
          <w:color w:val="auto"/>
        </w:rPr>
      </w:pPr>
    </w:p>
    <w:p>
      <w:pPr>
        <w:jc w:val="both"/>
        <w:ind w:right="60" w:firstLine="449"/>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w:t>
      </w:r>
    </w:p>
    <w:p>
      <w:pPr>
        <w:spacing w:after="0" w:line="219" w:lineRule="exact"/>
        <w:rPr>
          <w:sz w:val="20"/>
          <w:szCs w:val="20"/>
          <w:color w:val="auto"/>
        </w:rPr>
      </w:pPr>
    </w:p>
    <w:p>
      <w:pPr>
        <w:ind w:right="100" w:firstLine="449"/>
        <w:spacing w:after="0" w:line="28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various protective measures are possible and permissible within the boundaries set by Dutch law and Dutch case law. We have adopted several provisions that may have the effect of making a takeover of our Company more difficult or less attractive, including:</w:t>
      </w:r>
    </w:p>
    <w:p>
      <w:pPr>
        <w:spacing w:after="0" w:line="156" w:lineRule="exact"/>
        <w:rPr>
          <w:sz w:val="20"/>
          <w:szCs w:val="20"/>
          <w:color w:val="auto"/>
        </w:rPr>
      </w:pPr>
    </w:p>
    <w:p>
      <w:pPr>
        <w:ind w:left="980" w:hanging="540"/>
        <w:spacing w:after="0"/>
        <w:tabs>
          <w:tab w:leader="none" w:pos="9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authorization of a class of preferred shares that may be issued to a protective foundation pursuant to a call option to that effect;</w:t>
      </w:r>
    </w:p>
    <w:p>
      <w:pPr>
        <w:spacing w:after="0" w:line="234" w:lineRule="exact"/>
        <w:rPr>
          <w:rFonts w:ascii="Arial" w:cs="Arial" w:eastAsia="Arial" w:hAnsi="Arial"/>
          <w:sz w:val="16"/>
          <w:szCs w:val="16"/>
          <w:color w:val="auto"/>
        </w:rPr>
      </w:pPr>
    </w:p>
    <w:p>
      <w:pPr>
        <w:ind w:left="980" w:right="80" w:hanging="540"/>
        <w:spacing w:after="0" w:line="286" w:lineRule="auto"/>
        <w:tabs>
          <w:tab w:leader="none" w:pos="9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provision that our directors may only be removed at the general meeting by a two-thirds majority of votes cast representing more than half of our issued share capital if such removal is not proposed by our Board;</w:t>
      </w:r>
    </w:p>
    <w:p>
      <w:pPr>
        <w:spacing w:after="0" w:line="128" w:lineRule="exact"/>
        <w:rPr>
          <w:rFonts w:ascii="Arial" w:cs="Arial" w:eastAsia="Arial" w:hAnsi="Arial"/>
          <w:sz w:val="16"/>
          <w:szCs w:val="16"/>
          <w:color w:val="auto"/>
        </w:rPr>
      </w:pPr>
    </w:p>
    <w:p>
      <w:pPr>
        <w:jc w:val="both"/>
        <w:ind w:left="980" w:right="380" w:hanging="540"/>
        <w:spacing w:after="0" w:line="266" w:lineRule="auto"/>
        <w:tabs>
          <w:tab w:leader="none" w:pos="9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157" w:lineRule="exact"/>
        <w:rPr>
          <w:rFonts w:ascii="Arial" w:cs="Arial" w:eastAsia="Arial" w:hAnsi="Arial"/>
          <w:sz w:val="16"/>
          <w:szCs w:val="16"/>
          <w:color w:val="auto"/>
        </w:rPr>
      </w:pPr>
    </w:p>
    <w:p>
      <w:pPr>
        <w:ind w:left="980" w:right="60" w:hanging="540"/>
        <w:spacing w:after="0" w:line="286" w:lineRule="auto"/>
        <w:tabs>
          <w:tab w:leader="none" w:pos="9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provision which allows the former chairman of our Board or our former chief executive officer to be charged with our management if all of our directors are absent or incapacitated;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6" w:name="page147"/>
    <w:bookmarkEnd w:id="146"/>
    <w:p>
      <w:pPr>
        <w:ind w:left="980" w:right="180" w:hanging="540"/>
        <w:spacing w:after="0" w:line="286" w:lineRule="auto"/>
        <w:tabs>
          <w:tab w:leader="none" w:pos="9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requirements that certain matters, including an amendment of our Articles of Association, may only be brought to our shareholders for a vote upon a proposal by our Board.</w:t>
      </w:r>
    </w:p>
    <w:p>
      <w:pPr>
        <w:spacing w:after="0" w:line="156" w:lineRule="exact"/>
        <w:rPr>
          <w:sz w:val="20"/>
          <w:szCs w:val="20"/>
          <w:color w:val="auto"/>
        </w:rPr>
      </w:pPr>
    </w:p>
    <w:p>
      <w:pPr>
        <w:ind w:right="780" w:firstLine="449"/>
        <w:spacing w:after="0" w:line="28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our Board can invoke the 'cooling-off period' as described under “—E. Shareholders’ Meetings and Consents”</w:t>
      </w:r>
    </w:p>
    <w:p>
      <w:pPr>
        <w:spacing w:after="0" w:line="221" w:lineRule="exact"/>
        <w:rPr>
          <w:sz w:val="20"/>
          <w:szCs w:val="20"/>
          <w:color w:val="auto"/>
        </w:rPr>
      </w:pPr>
    </w:p>
    <w:p>
      <w:pPr>
        <w:ind w:right="340" w:firstLine="449"/>
        <w:spacing w:after="0" w:line="26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71" w:lineRule="exact"/>
        <w:rPr>
          <w:sz w:val="20"/>
          <w:szCs w:val="20"/>
          <w:color w:val="auto"/>
        </w:rPr>
      </w:pPr>
    </w:p>
    <w:p>
      <w:pPr>
        <w:jc w:val="both"/>
        <w:ind w:right="60" w:firstLine="449"/>
        <w:spacing w:after="0" w:line="266" w:lineRule="auto"/>
        <w:rPr>
          <w:sz w:val="20"/>
          <w:szCs w:val="20"/>
          <w:color w:val="auto"/>
        </w:rPr>
      </w:pPr>
      <w:r>
        <w:rPr>
          <w:rFonts w:ascii="Arial" w:cs="Arial" w:eastAsia="Arial" w:hAnsi="Arial"/>
          <w:sz w:val="16"/>
          <w:szCs w:val="16"/>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171" w:lineRule="exact"/>
        <w:rPr>
          <w:sz w:val="20"/>
          <w:szCs w:val="20"/>
          <w:color w:val="auto"/>
        </w:rPr>
      </w:pPr>
    </w:p>
    <w:p>
      <w:pPr>
        <w:ind w:left="980" w:right="240" w:hanging="540"/>
        <w:spacing w:after="0" w:line="286" w:lineRule="auto"/>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prior to such time the board of directors of the corporation approved either the business combination or the transaction which resulted in the stockholder becoming an interested stockholder;</w:t>
      </w:r>
    </w:p>
    <w:p>
      <w:pPr>
        <w:spacing w:after="0" w:line="142" w:lineRule="exact"/>
        <w:rPr>
          <w:rFonts w:ascii="Arial" w:cs="Arial" w:eastAsia="Arial" w:hAnsi="Arial"/>
          <w:sz w:val="16"/>
          <w:szCs w:val="16"/>
          <w:color w:val="auto"/>
        </w:rPr>
      </w:pPr>
    </w:p>
    <w:p>
      <w:pPr>
        <w:jc w:val="both"/>
        <w:ind w:left="980" w:right="20" w:hanging="540"/>
        <w:spacing w:after="0" w:line="266" w:lineRule="auto"/>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157" w:lineRule="exact"/>
        <w:rPr>
          <w:rFonts w:ascii="Arial" w:cs="Arial" w:eastAsia="Arial" w:hAnsi="Arial"/>
          <w:sz w:val="16"/>
          <w:szCs w:val="16"/>
          <w:color w:val="auto"/>
        </w:rPr>
      </w:pPr>
    </w:p>
    <w:p>
      <w:pPr>
        <w:ind w:left="980" w:right="320" w:hanging="540"/>
        <w:spacing w:after="0" w:line="286" w:lineRule="auto"/>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56" w:lineRule="exact"/>
        <w:rPr>
          <w:sz w:val="20"/>
          <w:szCs w:val="20"/>
          <w:color w:val="auto"/>
        </w:rPr>
      </w:pPr>
    </w:p>
    <w:p>
      <w:pPr>
        <w:ind w:right="80" w:firstLine="449"/>
        <w:spacing w:after="0" w:line="259" w:lineRule="auto"/>
        <w:rPr>
          <w:sz w:val="20"/>
          <w:szCs w:val="20"/>
          <w:color w:val="auto"/>
        </w:rPr>
      </w:pPr>
      <w:r>
        <w:rPr>
          <w:rFonts w:ascii="Arial" w:cs="Arial" w:eastAsia="Arial" w:hAnsi="Arial"/>
          <w:sz w:val="16"/>
          <w:szCs w:val="16"/>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Access to books and records</w:t>
      </w:r>
    </w:p>
    <w:p>
      <w:pPr>
        <w:spacing w:after="0" w:line="219" w:lineRule="exact"/>
        <w:rPr>
          <w:sz w:val="20"/>
          <w:szCs w:val="20"/>
          <w:color w:val="auto"/>
        </w:rPr>
      </w:pPr>
    </w:p>
    <w:p>
      <w:pPr>
        <w:ind w:right="180" w:firstLine="449"/>
        <w:spacing w:after="0" w:line="26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The board of directors provides the general meeting, within a reasonable amount of time with all information that the shareholders require for the exercise of their powers, unless this would be contrary to an overriding interest of our Company. If the board of directors invokes such an overriding interest, it must give reasons.</w:t>
      </w:r>
    </w:p>
    <w:p>
      <w:pPr>
        <w:spacing w:after="0" w:line="171"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any stockholder may inspect for any proper purpose certain of the corporation’s books and records during the corporation’s usual hours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219" w:lineRule="exact"/>
        <w:rPr>
          <w:sz w:val="20"/>
          <w:szCs w:val="20"/>
          <w:color w:val="auto"/>
        </w:rPr>
      </w:pPr>
    </w:p>
    <w:p>
      <w:pPr>
        <w:ind w:firstLine="449"/>
        <w:spacing w:after="0" w:line="26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our Articles of Association, the general meeting shall at all times be entitled to suspend or dismiss a director. The general meeting may only adopt a resolution to suspend or dismiss a director by at least a two-thirds majority of the votes cast, if such majority represents more than half of the issued share capital, unless the proposal was made by the board of directors, in which latter case a simple majority is sufficient.</w:t>
      </w:r>
    </w:p>
    <w:p>
      <w:pPr>
        <w:spacing w:after="0" w:line="171" w:lineRule="exact"/>
        <w:rPr>
          <w:sz w:val="20"/>
          <w:szCs w:val="20"/>
          <w:color w:val="auto"/>
        </w:rPr>
      </w:pPr>
    </w:p>
    <w:p>
      <w:pPr>
        <w:jc w:val="both"/>
        <w:ind w:right="120" w:firstLine="449"/>
        <w:spacing w:after="0" w:line="254"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Issuance of Shares</w:t>
      </w:r>
    </w:p>
    <w:p>
      <w:pPr>
        <w:spacing w:after="0" w:line="219" w:lineRule="exact"/>
        <w:rPr>
          <w:sz w:val="20"/>
          <w:szCs w:val="20"/>
          <w:color w:val="auto"/>
        </w:rPr>
      </w:pPr>
    </w:p>
    <w:p>
      <w:pPr>
        <w:ind w:right="100" w:firstLine="449"/>
        <w:spacing w:after="0" w:line="26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 company’s general meeting is the corporate body authorized to resolve on the issuance of shares and the granting of rights to subscribe for shares. The general meeting can delegate such authority to another corporate body of the company, such as the board of directors, for a period not exceeding five years; this authorization may only be extended from time to time for a maximum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47" w:name="page148"/>
    <w:bookmarkEnd w:id="147"/>
    <w:p>
      <w:pPr>
        <w:ind w:firstLine="449"/>
        <w:spacing w:after="0" w:line="286" w:lineRule="auto"/>
        <w:rPr>
          <w:sz w:val="20"/>
          <w:szCs w:val="20"/>
          <w:color w:val="auto"/>
        </w:rPr>
      </w:pPr>
      <w:r>
        <w:rPr>
          <w:rFonts w:ascii="Arial" w:cs="Arial" w:eastAsia="Arial" w:hAnsi="Arial"/>
          <w:sz w:val="16"/>
          <w:szCs w:val="16"/>
          <w:color w:val="auto"/>
        </w:rPr>
        <w:t>On February 1, 2021, our general meeting authorized our Board, for a period of five years following February 5, 2021, to issue shares or grant rights to subscribe for shares up to our authorized share capital from time to time. We may not subscribe for our own shares on issue.</w:t>
      </w:r>
    </w:p>
    <w:p>
      <w:pPr>
        <w:spacing w:after="0" w:line="156" w:lineRule="exact"/>
        <w:rPr>
          <w:sz w:val="20"/>
          <w:szCs w:val="20"/>
          <w:color w:val="auto"/>
        </w:rPr>
      </w:pPr>
    </w:p>
    <w:p>
      <w:pPr>
        <w:ind w:right="180" w:firstLine="449"/>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Pre-emptive rights</w:t>
      </w:r>
    </w:p>
    <w:p>
      <w:pPr>
        <w:spacing w:after="0" w:line="219" w:lineRule="exact"/>
        <w:rPr>
          <w:sz w:val="20"/>
          <w:szCs w:val="20"/>
          <w:color w:val="auto"/>
        </w:rPr>
      </w:pPr>
    </w:p>
    <w:p>
      <w:pPr>
        <w:ind w:right="20" w:firstLine="449"/>
        <w:spacing w:after="0" w:line="25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 of directors. Our preferred shares carry no preemptive rights.</w:t>
      </w:r>
    </w:p>
    <w:p>
      <w:pPr>
        <w:spacing w:after="0" w:line="180" w:lineRule="exact"/>
        <w:rPr>
          <w:sz w:val="20"/>
          <w:szCs w:val="20"/>
          <w:color w:val="auto"/>
        </w:rPr>
      </w:pPr>
    </w:p>
    <w:p>
      <w:pPr>
        <w:ind w:right="20" w:firstLine="449"/>
        <w:spacing w:after="0" w:line="259" w:lineRule="auto"/>
        <w:rPr>
          <w:sz w:val="20"/>
          <w:szCs w:val="20"/>
          <w:color w:val="auto"/>
        </w:rPr>
      </w:pPr>
      <w:r>
        <w:rPr>
          <w:rFonts w:ascii="Arial" w:cs="Arial" w:eastAsia="Arial" w:hAnsi="Arial"/>
          <w:sz w:val="16"/>
          <w:szCs w:val="16"/>
          <w:color w:val="auto"/>
        </w:rPr>
        <w:t>The board of directors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the board of directors as the authorized body to do so requires a majority of not less than two-thirds of the votes cast, if less than one-half of our issued share capital is represented at the meeting.</w:t>
      </w:r>
    </w:p>
    <w:p>
      <w:pPr>
        <w:spacing w:after="0" w:line="178" w:lineRule="exact"/>
        <w:rPr>
          <w:sz w:val="20"/>
          <w:szCs w:val="20"/>
          <w:color w:val="auto"/>
        </w:rPr>
      </w:pPr>
    </w:p>
    <w:p>
      <w:pPr>
        <w:ind w:right="200" w:firstLine="449"/>
        <w:spacing w:after="0" w:line="266" w:lineRule="auto"/>
        <w:rPr>
          <w:sz w:val="20"/>
          <w:szCs w:val="20"/>
          <w:color w:val="auto"/>
        </w:rPr>
      </w:pPr>
      <w:r>
        <w:rPr>
          <w:rFonts w:ascii="Arial" w:cs="Arial" w:eastAsia="Arial" w:hAnsi="Arial"/>
          <w:sz w:val="16"/>
          <w:szCs w:val="16"/>
          <w:color w:val="auto"/>
        </w:rPr>
        <w:t>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 Issuance of Shares.”</w:t>
      </w:r>
    </w:p>
    <w:p>
      <w:pPr>
        <w:spacing w:after="0" w:line="171"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219" w:lineRule="exact"/>
        <w:rPr>
          <w:sz w:val="20"/>
          <w:szCs w:val="20"/>
          <w:color w:val="auto"/>
        </w:rPr>
      </w:pPr>
    </w:p>
    <w:p>
      <w:pPr>
        <w:ind w:right="60" w:firstLine="450"/>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Dutch law provides that dividends may be distributed after adoption of the annual accounts by the general meeting from which it appears that such dividend distribution is allowed. Moreover, dividends may be distributed only to the extent the shareholders’ equity exceeds the amount of the paid-up and called-up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paid-up and called-up issued share capital plus any reserves as described above as apparent from our financial statements. Under Dutch law, the Articles of Association may prescribe that the board of directors decide what portion of the profits are to be held as reserves.</w:t>
      </w:r>
    </w:p>
    <w:p>
      <w:pPr>
        <w:spacing w:after="0" w:line="182" w:lineRule="exact"/>
        <w:rPr>
          <w:sz w:val="20"/>
          <w:szCs w:val="20"/>
          <w:color w:val="auto"/>
        </w:rPr>
      </w:pPr>
    </w:p>
    <w:p>
      <w:pPr>
        <w:ind w:right="120" w:firstLine="450"/>
        <w:spacing w:after="0" w:line="253" w:lineRule="auto"/>
        <w:rPr>
          <w:sz w:val="20"/>
          <w:szCs w:val="20"/>
          <w:color w:val="auto"/>
        </w:rPr>
      </w:pPr>
      <w:r>
        <w:rPr>
          <w:rFonts w:ascii="Arial" w:cs="Arial" w:eastAsia="Arial" w:hAnsi="Arial"/>
          <w:sz w:val="16"/>
          <w:szCs w:val="16"/>
          <w:color w:val="auto"/>
        </w:rPr>
        <w:t>Under the Articles of Association, first,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Any remaining profit is carried to the reserve as the board of directors determines. After reservation by the board of directors of any profit, the remaining profit will be at the disposal of the general meeting at the proposal of our Board for distribution on our ordinary shares, subject to the applicable restrictions of Dutch law. We only make a distribution of dividends to our shareholders after the adoption of our annual accounts demonstrating that such distribution is legally permitted. The board of directors is permitted, subject to certain requirements, to declare interim dividends without the approval of the general meeting.</w:t>
      </w:r>
    </w:p>
    <w:p>
      <w:pPr>
        <w:spacing w:after="0" w:line="181" w:lineRule="exact"/>
        <w:rPr>
          <w:sz w:val="20"/>
          <w:szCs w:val="20"/>
          <w:color w:val="auto"/>
        </w:rPr>
      </w:pPr>
    </w:p>
    <w:p>
      <w:pPr>
        <w:ind w:right="260" w:firstLine="450"/>
        <w:spacing w:after="0" w:line="266" w:lineRule="auto"/>
        <w:rPr>
          <w:sz w:val="20"/>
          <w:szCs w:val="20"/>
          <w:color w:val="auto"/>
        </w:rPr>
      </w:pPr>
      <w:r>
        <w:rPr>
          <w:rFonts w:ascii="Arial" w:cs="Arial" w:eastAsia="Arial" w:hAnsi="Arial"/>
          <w:sz w:val="16"/>
          <w:szCs w:val="16"/>
          <w:color w:val="auto"/>
        </w:rPr>
        <w:t>Dividends and other distributions shall be made payable not later than the date determined by the board of directors.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71" w:lineRule="exact"/>
        <w:rPr>
          <w:sz w:val="20"/>
          <w:szCs w:val="20"/>
          <w:color w:val="auto"/>
        </w:rPr>
      </w:pPr>
    </w:p>
    <w:p>
      <w:pPr>
        <w:ind w:right="180" w:firstLine="450"/>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vote on Certain Reorganizations</w:t>
      </w:r>
    </w:p>
    <w:p>
      <w:pPr>
        <w:spacing w:after="0" w:line="219" w:lineRule="exact"/>
        <w:rPr>
          <w:sz w:val="20"/>
          <w:szCs w:val="20"/>
          <w:color w:val="auto"/>
        </w:rPr>
      </w:pPr>
    </w:p>
    <w:p>
      <w:pPr>
        <w:ind w:right="480" w:firstLine="450"/>
        <w:spacing w:after="0" w:line="28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the general meeting must approve resolutions of the board of directors relating to a significant change in the identity or the character of the Company or the business of the Company, which includes:</w:t>
      </w:r>
    </w:p>
    <w:p>
      <w:pPr>
        <w:spacing w:after="0" w:line="156" w:lineRule="exact"/>
        <w:rPr>
          <w:sz w:val="20"/>
          <w:szCs w:val="20"/>
          <w:color w:val="auto"/>
        </w:rPr>
      </w:pPr>
    </w:p>
    <w:p>
      <w:pPr>
        <w:ind w:left="980" w:hanging="540"/>
        <w:spacing w:after="0"/>
        <w:tabs>
          <w:tab w:leader="none" w:pos="9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transfer of the business or virtually the entire business to a third-party;</w:t>
      </w:r>
    </w:p>
    <w:p>
      <w:pPr>
        <w:spacing w:after="0" w:line="248" w:lineRule="exact"/>
        <w:rPr>
          <w:rFonts w:ascii="Arial" w:cs="Arial" w:eastAsia="Arial" w:hAnsi="Arial"/>
          <w:sz w:val="16"/>
          <w:szCs w:val="16"/>
          <w:color w:val="auto"/>
        </w:rPr>
      </w:pPr>
    </w:p>
    <w:p>
      <w:pPr>
        <w:jc w:val="both"/>
        <w:ind w:left="980" w:right="60" w:hanging="540"/>
        <w:spacing w:after="0" w:line="286" w:lineRule="auto"/>
        <w:tabs>
          <w:tab w:leader="none" w:pos="9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142" w:lineRule="exact"/>
        <w:rPr>
          <w:rFonts w:ascii="Arial" w:cs="Arial" w:eastAsia="Arial" w:hAnsi="Arial"/>
          <w:sz w:val="16"/>
          <w:szCs w:val="16"/>
          <w:color w:val="auto"/>
        </w:rPr>
      </w:pPr>
    </w:p>
    <w:p>
      <w:pPr>
        <w:ind w:left="980" w:right="100" w:hanging="540"/>
        <w:spacing w:after="0" w:line="266" w:lineRule="auto"/>
        <w:tabs>
          <w:tab w:leader="none" w:pos="9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71" w:lineRule="exact"/>
        <w:rPr>
          <w:sz w:val="20"/>
          <w:szCs w:val="20"/>
          <w:color w:val="auto"/>
        </w:rPr>
      </w:pPr>
    </w:p>
    <w:p>
      <w:pPr>
        <w:ind w:right="80" w:firstLine="450"/>
        <w:spacing w:after="0" w:line="259"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37" w:lineRule="exact"/>
        <w:rPr>
          <w:sz w:val="20"/>
          <w:szCs w:val="20"/>
          <w:color w:val="auto"/>
        </w:rPr>
      </w:pPr>
    </w:p>
    <w:p>
      <w:pPr>
        <w:ind w:firstLine="450"/>
        <w:spacing w:after="0" w:line="255" w:lineRule="auto"/>
        <w:rPr>
          <w:sz w:val="20"/>
          <w:szCs w:val="20"/>
          <w:color w:val="auto"/>
        </w:rPr>
      </w:pPr>
      <w:r>
        <w:rPr>
          <w:rFonts w:ascii="Arial" w:cs="Arial" w:eastAsia="Arial" w:hAnsi="Arial"/>
          <w:sz w:val="16"/>
          <w:szCs w:val="16"/>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bookmarkStart w:id="149" w:name="page150"/>
    <w:bookmarkEnd w:id="149"/>
    <w:p>
      <w:pPr>
        <w:ind w:right="200"/>
        <w:spacing w:after="0" w:line="286" w:lineRule="auto"/>
        <w:rPr>
          <w:sz w:val="20"/>
          <w:szCs w:val="20"/>
          <w:color w:val="auto"/>
        </w:rPr>
      </w:pPr>
      <w:r>
        <w:rPr>
          <w:rFonts w:ascii="Arial" w:cs="Arial" w:eastAsia="Arial" w:hAnsi="Arial"/>
          <w:sz w:val="16"/>
          <w:szCs w:val="16"/>
          <w:color w:val="auto"/>
        </w:rPr>
        <w:t>corporations that own 90% or more of the outstanding shares of each class of stock of such corporation, but the stockholders will be entitled to appraisal rights.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of Directors</w:t>
      </w:r>
    </w:p>
    <w:p>
      <w:pPr>
        <w:spacing w:after="0" w:line="219" w:lineRule="exact"/>
        <w:rPr>
          <w:sz w:val="20"/>
          <w:szCs w:val="20"/>
          <w:color w:val="auto"/>
        </w:rPr>
      </w:pPr>
    </w:p>
    <w:p>
      <w:pPr>
        <w:ind w:firstLine="450"/>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and our Articles of Association, we must adopt a compensation policy for our Board. Such compensation policy shall be adopted by the general meeting upon the proposal of the board of directors. The board of directors determines the compensation of individual directors with due observance of the compensation policy. Our executive directors may not participate in the discussions or decision-making regarding the compensation of executive directors. A proposal by the board of directors with respect to compensation schemes in the form of shares or rights to shares is submitted by the board of directors to the general meeting for its approval. This proposal must set out at least the maximum number of shares or rights to subscribe for shares to be granted to the board of directors and the criteria for granting or amendment.</w:t>
      </w:r>
    </w:p>
    <w:p>
      <w:pPr>
        <w:spacing w:after="0" w:line="182" w:lineRule="exact"/>
        <w:rPr>
          <w:sz w:val="20"/>
          <w:szCs w:val="20"/>
          <w:color w:val="auto"/>
        </w:rPr>
      </w:pPr>
    </w:p>
    <w:p>
      <w:pPr>
        <w:ind w:right="120" w:firstLine="450"/>
        <w:spacing w:after="0" w:line="26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ectPr>
          <w:pgSz w:w="11900" w:h="16838" w:orient="portrait"/>
          <w:cols w:equalWidth="0" w:num="1">
            <w:col w:w="11100"/>
          </w:cols>
          <w:pgMar w:left="320" w:top="301" w:right="479" w:bottom="1440" w:gutter="0" w:footer="0" w:header="0"/>
        </w:sectPr>
      </w:pPr>
    </w:p>
    <w:bookmarkStart w:id="150" w:name="page151"/>
    <w:bookmarkEnd w:id="150"/>
    <w:p>
      <w:pPr>
        <w:jc w:val="right"/>
        <w:spacing w:after="0"/>
        <w:rPr>
          <w:sz w:val="20"/>
          <w:szCs w:val="20"/>
          <w:color w:val="auto"/>
        </w:rPr>
      </w:pPr>
      <w:r>
        <w:rPr>
          <w:rFonts w:ascii="Arial" w:cs="Arial" w:eastAsia="Arial" w:hAnsi="Arial"/>
          <w:sz w:val="16"/>
          <w:szCs w:val="16"/>
          <w:b w:val="1"/>
          <w:bCs w:val="1"/>
          <w:color w:val="auto"/>
        </w:rPr>
        <w:t>Exhibit 8.1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20" w:type="dxa"/>
            <w:vAlign w:val="bottom"/>
          </w:tcPr>
          <w:p>
            <w:pPr>
              <w:spacing w:after="0"/>
              <w:rPr>
                <w:sz w:val="19"/>
                <w:szCs w:val="19"/>
                <w:color w:val="auto"/>
              </w:rPr>
            </w:pPr>
          </w:p>
        </w:tc>
        <w:tc>
          <w:tcPr>
            <w:tcW w:w="8020" w:type="dxa"/>
            <w:vAlign w:val="bottom"/>
            <w:gridSpan w:val="3"/>
          </w:tcPr>
          <w:p>
            <w:pPr>
              <w:ind w:left="1260"/>
              <w:spacing w:after="0"/>
              <w:rPr>
                <w:sz w:val="20"/>
                <w:szCs w:val="20"/>
                <w:color w:val="auto"/>
              </w:rPr>
            </w:pPr>
            <w:r>
              <w:rPr>
                <w:rFonts w:ascii="Arial" w:cs="Arial" w:eastAsia="Arial" w:hAnsi="Arial"/>
                <w:sz w:val="16"/>
                <w:szCs w:val="16"/>
                <w:b w:val="1"/>
                <w:bCs w:val="1"/>
                <w:color w:val="auto"/>
              </w:rPr>
              <w:t>Subsidiaries of Pharvaris N.V.</w:t>
            </w:r>
          </w:p>
        </w:tc>
      </w:tr>
      <w:tr>
        <w:trPr>
          <w:trHeight w:val="223"/>
        </w:trPr>
        <w:tc>
          <w:tcPr>
            <w:tcW w:w="3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Subsidiary</w:t>
            </w:r>
          </w:p>
        </w:tc>
        <w:tc>
          <w:tcPr>
            <w:tcW w:w="2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Jurisdiction</w:t>
            </w:r>
          </w:p>
        </w:tc>
      </w:tr>
      <w:tr>
        <w:trPr>
          <w:trHeight w:val="182"/>
        </w:trPr>
        <w:tc>
          <w:tcPr>
            <w:tcW w:w="3220" w:type="dxa"/>
            <w:vAlign w:val="bottom"/>
          </w:tcPr>
          <w:p>
            <w:pPr>
              <w:spacing w:after="0" w:line="182" w:lineRule="exact"/>
              <w:rPr>
                <w:sz w:val="20"/>
                <w:szCs w:val="20"/>
                <w:color w:val="auto"/>
              </w:rPr>
            </w:pPr>
            <w:r>
              <w:rPr>
                <w:rFonts w:ascii="Arial" w:cs="Arial" w:eastAsia="Arial" w:hAnsi="Arial"/>
                <w:sz w:val="16"/>
                <w:szCs w:val="16"/>
                <w:color w:val="auto"/>
              </w:rPr>
              <w:t>Pharvaris Holdings B.V.</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spacing w:after="0" w:line="182" w:lineRule="exact"/>
              <w:rPr>
                <w:sz w:val="20"/>
                <w:szCs w:val="20"/>
                <w:color w:val="auto"/>
              </w:rPr>
            </w:pPr>
            <w:r>
              <w:rPr>
                <w:rFonts w:ascii="Arial" w:cs="Arial" w:eastAsia="Arial" w:hAnsi="Arial"/>
                <w:sz w:val="16"/>
                <w:szCs w:val="16"/>
                <w:color w:val="auto"/>
              </w:rPr>
              <w:t>The Netherlands</w:t>
            </w:r>
          </w:p>
        </w:tc>
      </w:tr>
      <w:tr>
        <w:trPr>
          <w:trHeight w:val="203"/>
        </w:trPr>
        <w:tc>
          <w:tcPr>
            <w:tcW w:w="3220" w:type="dxa"/>
            <w:vAlign w:val="bottom"/>
          </w:tcPr>
          <w:p>
            <w:pPr>
              <w:spacing w:after="0"/>
              <w:rPr>
                <w:sz w:val="20"/>
                <w:szCs w:val="20"/>
                <w:color w:val="auto"/>
              </w:rPr>
            </w:pPr>
            <w:r>
              <w:rPr>
                <w:rFonts w:ascii="Arial" w:cs="Arial" w:eastAsia="Arial" w:hAnsi="Arial"/>
                <w:sz w:val="16"/>
                <w:szCs w:val="16"/>
                <w:color w:val="auto"/>
              </w:rPr>
              <w:t>Pharvaris Netherlands B.V.</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The Netherlands</w:t>
            </w:r>
          </w:p>
        </w:tc>
      </w:t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Pharvaris GmbH</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Zug, Switzerland</w:t>
            </w:r>
          </w:p>
        </w:tc>
      </w:tr>
      <w:tr>
        <w:trPr>
          <w:trHeight w:val="216"/>
        </w:trPr>
        <w:tc>
          <w:tcPr>
            <w:tcW w:w="3220" w:type="dxa"/>
            <w:vAlign w:val="bottom"/>
          </w:tcPr>
          <w:p>
            <w:pPr>
              <w:spacing w:after="0"/>
              <w:rPr>
                <w:sz w:val="20"/>
                <w:szCs w:val="20"/>
                <w:color w:val="auto"/>
              </w:rPr>
            </w:pPr>
            <w:r>
              <w:rPr>
                <w:rFonts w:ascii="Arial" w:cs="Arial" w:eastAsia="Arial" w:hAnsi="Arial"/>
                <w:sz w:val="16"/>
                <w:szCs w:val="16"/>
                <w:color w:val="auto"/>
              </w:rPr>
              <w:t>Pharvaris, Inc.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6"/>
                <w:szCs w:val="16"/>
                <w:color w:val="auto"/>
              </w:rPr>
              <w:t>Delaware, United States of America</w:t>
            </w:r>
          </w:p>
        </w:tc>
      </w:tr>
    </w:tbl>
    <w:p>
      <w:pPr>
        <w:sectPr>
          <w:pgSz w:w="11900" w:h="16838" w:orient="portrait"/>
          <w:cols w:equalWidth="0" w:num="1">
            <w:col w:w="11240"/>
          </w:cols>
          <w:pgMar w:left="320" w:top="125" w:right="339" w:bottom="1440" w:gutter="0" w:footer="0" w:header="0"/>
        </w:sectPr>
      </w:pPr>
    </w:p>
    <w:bookmarkStart w:id="151" w:name="page152"/>
    <w:bookmarkEnd w:id="151"/>
    <w:p>
      <w:pPr>
        <w:ind w:left="10240"/>
        <w:spacing w:after="0"/>
        <w:rPr>
          <w:sz w:val="20"/>
          <w:szCs w:val="20"/>
          <w:color w:val="auto"/>
        </w:rPr>
      </w:pPr>
      <w:r>
        <w:rPr>
          <w:rFonts w:ascii="Arial" w:cs="Arial" w:eastAsia="Arial" w:hAnsi="Arial"/>
          <w:sz w:val="16"/>
          <w:szCs w:val="16"/>
          <w:b w:val="1"/>
          <w:bCs w:val="1"/>
          <w:u w:val="single" w:color="auto"/>
          <w:color w:val="auto"/>
        </w:rPr>
        <w:t>EXHIBIT 12.1</w:t>
      </w:r>
    </w:p>
    <w:p>
      <w:pPr>
        <w:spacing w:after="0" w:line="194" w:lineRule="exact"/>
        <w:rPr>
          <w:sz w:val="20"/>
          <w:szCs w:val="20"/>
          <w:color w:val="auto"/>
        </w:rPr>
      </w:pPr>
    </w:p>
    <w:p>
      <w:pPr>
        <w:jc w:val="center"/>
        <w:ind w:left="340" w:right="340"/>
        <w:spacing w:after="0" w:line="296" w:lineRule="auto"/>
        <w:rPr>
          <w:sz w:val="20"/>
          <w:szCs w:val="20"/>
          <w:color w:val="auto"/>
        </w:rPr>
      </w:pPr>
      <w:r>
        <w:rPr>
          <w:rFonts w:ascii="Arial" w:cs="Arial" w:eastAsia="Arial" w:hAnsi="Arial"/>
          <w:sz w:val="16"/>
          <w:szCs w:val="16"/>
          <w:b w:val="1"/>
          <w:bCs w:val="1"/>
          <w:color w:val="auto"/>
        </w:rPr>
        <w:t>CERTIFICATION OF THE PRINCIPAL EXECUTIVE OFFICER PURSUANT TO EXCHANGE ACT RULE 13A-14(A) OR 15D-14(A) AS ADOPTED PURSUANT TO SECTION 302 OF THE SARBANES-OXLEY ACT OF 2002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 Berndt Modig, certify that:</w:t>
      </w:r>
    </w:p>
    <w:p>
      <w:pPr>
        <w:spacing w:after="0" w:line="194" w:lineRule="exact"/>
        <w:rPr>
          <w:sz w:val="20"/>
          <w:szCs w:val="20"/>
          <w:color w:val="auto"/>
        </w:rPr>
      </w:pPr>
    </w:p>
    <w:p>
      <w:pPr>
        <w:ind w:left="500" w:hanging="492"/>
        <w:spacing w:after="0"/>
        <w:tabs>
          <w:tab w:leader="none" w:pos="5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Pharvaris N.V.;</w:t>
      </w:r>
    </w:p>
    <w:p>
      <w:pPr>
        <w:spacing w:after="0" w:line="180" w:lineRule="exact"/>
        <w:rPr>
          <w:rFonts w:ascii="Arial" w:cs="Arial" w:eastAsia="Arial" w:hAnsi="Arial"/>
          <w:sz w:val="16"/>
          <w:szCs w:val="16"/>
          <w:color w:val="auto"/>
        </w:rPr>
      </w:pPr>
    </w:p>
    <w:p>
      <w:pPr>
        <w:jc w:val="both"/>
        <w:ind w:left="500" w:right="260" w:hanging="492"/>
        <w:spacing w:after="0" w:line="266" w:lineRule="auto"/>
        <w:tabs>
          <w:tab w:leader="none" w:pos="5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00" w:right="380" w:hanging="492"/>
        <w:spacing w:after="0" w:line="286" w:lineRule="auto"/>
        <w:tabs>
          <w:tab w:leader="none" w:pos="5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5" w:lineRule="exact"/>
        <w:rPr>
          <w:rFonts w:ascii="Arial" w:cs="Arial" w:eastAsia="Arial" w:hAnsi="Arial"/>
          <w:sz w:val="16"/>
          <w:szCs w:val="16"/>
          <w:color w:val="auto"/>
        </w:rPr>
      </w:pPr>
    </w:p>
    <w:p>
      <w:pPr>
        <w:ind w:left="500" w:hanging="492"/>
        <w:spacing w:after="0" w:line="266" w:lineRule="auto"/>
        <w:tabs>
          <w:tab w:leader="none" w:pos="5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0" w:lineRule="exact"/>
        <w:rPr>
          <w:rFonts w:ascii="Arial" w:cs="Arial" w:eastAsia="Arial" w:hAnsi="Arial"/>
          <w:sz w:val="16"/>
          <w:szCs w:val="16"/>
          <w:color w:val="auto"/>
        </w:rPr>
      </w:pPr>
    </w:p>
    <w:p>
      <w:pPr>
        <w:jc w:val="both"/>
        <w:ind w:left="1000" w:hanging="493"/>
        <w:spacing w:after="0" w:line="266" w:lineRule="auto"/>
        <w:tabs>
          <w:tab w:leader="none" w:pos="10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left="1000" w:hanging="493"/>
        <w:spacing w:after="0" w:line="266" w:lineRule="auto"/>
        <w:tabs>
          <w:tab w:leader="none" w:pos="10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1000" w:hanging="493"/>
        <w:spacing w:after="0" w:line="286" w:lineRule="auto"/>
        <w:tabs>
          <w:tab w:leader="none" w:pos="10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00" w:hanging="493"/>
        <w:spacing w:after="0" w:line="286" w:lineRule="auto"/>
        <w:tabs>
          <w:tab w:leader="none" w:pos="10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15" w:lineRule="exact"/>
        <w:rPr>
          <w:rFonts w:ascii="Arial" w:cs="Arial" w:eastAsia="Arial" w:hAnsi="Arial"/>
          <w:sz w:val="16"/>
          <w:szCs w:val="16"/>
          <w:color w:val="auto"/>
        </w:rPr>
      </w:pPr>
    </w:p>
    <w:p>
      <w:pPr>
        <w:ind w:left="500" w:right="340" w:hanging="492"/>
        <w:spacing w:after="0" w:line="286" w:lineRule="auto"/>
        <w:tabs>
          <w:tab w:leader="none" w:pos="5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5" w:lineRule="exact"/>
        <w:rPr>
          <w:rFonts w:ascii="Arial" w:cs="Arial" w:eastAsia="Arial" w:hAnsi="Arial"/>
          <w:sz w:val="16"/>
          <w:szCs w:val="16"/>
          <w:color w:val="auto"/>
        </w:rPr>
      </w:pPr>
    </w:p>
    <w:p>
      <w:pPr>
        <w:ind w:left="1000" w:right="940" w:hanging="493"/>
        <w:spacing w:after="0" w:line="286" w:lineRule="auto"/>
        <w:tabs>
          <w:tab w:leader="none" w:pos="10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5" w:lineRule="exact"/>
        <w:rPr>
          <w:rFonts w:ascii="Arial" w:cs="Arial" w:eastAsia="Arial" w:hAnsi="Arial"/>
          <w:sz w:val="16"/>
          <w:szCs w:val="16"/>
          <w:color w:val="auto"/>
        </w:rPr>
      </w:pPr>
    </w:p>
    <w:p>
      <w:pPr>
        <w:ind w:left="1000" w:right="600" w:hanging="493"/>
        <w:spacing w:after="0" w:line="286" w:lineRule="auto"/>
        <w:tabs>
          <w:tab w:leader="none" w:pos="10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2022</w:t>
      </w:r>
    </w:p>
    <w:p>
      <w:pPr>
        <w:spacing w:after="0" w:line="22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12065</wp:posOffset>
            </wp:positionV>
            <wp:extent cx="21602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Name: Berndt Modig</w:t>
      </w:r>
    </w:p>
    <w:p>
      <w:pPr>
        <w:spacing w:after="0" w:line="1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Title:</w:t>
        <w:tab/>
        <w:t>Director and Chief Executive Officer</w:t>
      </w:r>
    </w:p>
    <w:p>
      <w:pPr>
        <w:sectPr>
          <w:pgSz w:w="11900" w:h="16838" w:orient="portrait"/>
          <w:cols w:equalWidth="0" w:num="1">
            <w:col w:w="11240"/>
          </w:cols>
          <w:pgMar w:left="320" w:top="355" w:right="339" w:bottom="1440" w:gutter="0" w:footer="0" w:header="0"/>
        </w:sectPr>
      </w:pPr>
    </w:p>
    <w:bookmarkStart w:id="152" w:name="page153"/>
    <w:bookmarkEnd w:id="152"/>
    <w:p>
      <w:pPr>
        <w:ind w:left="10240"/>
        <w:spacing w:after="0"/>
        <w:rPr>
          <w:sz w:val="20"/>
          <w:szCs w:val="20"/>
          <w:color w:val="auto"/>
        </w:rPr>
      </w:pPr>
      <w:r>
        <w:rPr>
          <w:rFonts w:ascii="Arial" w:cs="Arial" w:eastAsia="Arial" w:hAnsi="Arial"/>
          <w:sz w:val="16"/>
          <w:szCs w:val="16"/>
          <w:b w:val="1"/>
          <w:bCs w:val="1"/>
          <w:u w:val="single" w:color="auto"/>
          <w:color w:val="auto"/>
        </w:rPr>
        <w:t>EXHIBIT 12.2</w:t>
      </w:r>
    </w:p>
    <w:p>
      <w:pPr>
        <w:spacing w:after="0" w:line="221" w:lineRule="exact"/>
        <w:rPr>
          <w:sz w:val="20"/>
          <w:szCs w:val="20"/>
          <w:color w:val="auto"/>
        </w:rPr>
      </w:pPr>
    </w:p>
    <w:p>
      <w:pPr>
        <w:jc w:val="center"/>
        <w:ind w:left="340" w:right="360"/>
        <w:spacing w:after="0" w:line="296" w:lineRule="auto"/>
        <w:rPr>
          <w:sz w:val="20"/>
          <w:szCs w:val="20"/>
          <w:color w:val="auto"/>
        </w:rPr>
      </w:pPr>
      <w:r>
        <w:rPr>
          <w:rFonts w:ascii="Arial" w:cs="Arial" w:eastAsia="Arial" w:hAnsi="Arial"/>
          <w:sz w:val="16"/>
          <w:szCs w:val="16"/>
          <w:b w:val="1"/>
          <w:bCs w:val="1"/>
          <w:color w:val="auto"/>
        </w:rPr>
        <w:t>CERTIFICATION OF THE PRINCIPAL FINANCIAL OFFICER PURSUANT TO EXCHANGE ACT RULE 13A-14(A) OR 15D-14(A) AS ADOPTED PURSUANT TO SECTION 302 OF THE SARBANES-OXLEY ACT OF 2002</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 Anna Nijdam, certify that:</w:t>
      </w:r>
    </w:p>
    <w:p>
      <w:pPr>
        <w:spacing w:after="0" w:line="221" w:lineRule="exact"/>
        <w:rPr>
          <w:sz w:val="20"/>
          <w:szCs w:val="20"/>
          <w:color w:val="auto"/>
        </w:rPr>
      </w:pPr>
    </w:p>
    <w:p>
      <w:pPr>
        <w:ind w:left="440" w:hanging="432"/>
        <w:spacing w:after="0"/>
        <w:tabs>
          <w:tab w:leader="none" w:pos="4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Pharvaris N.V.;</w:t>
      </w:r>
    </w:p>
    <w:p>
      <w:pPr>
        <w:spacing w:after="0" w:line="221" w:lineRule="exact"/>
        <w:rPr>
          <w:rFonts w:ascii="Arial" w:cs="Arial" w:eastAsia="Arial" w:hAnsi="Arial"/>
          <w:sz w:val="16"/>
          <w:szCs w:val="16"/>
          <w:color w:val="auto"/>
        </w:rPr>
      </w:pPr>
    </w:p>
    <w:p>
      <w:pPr>
        <w:jc w:val="both"/>
        <w:ind w:left="440" w:right="260" w:hanging="432"/>
        <w:spacing w:after="0" w:line="266" w:lineRule="auto"/>
        <w:tabs>
          <w:tab w:leader="none" w:pos="4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440" w:right="460" w:hanging="432"/>
        <w:spacing w:after="0" w:line="286" w:lineRule="auto"/>
        <w:tabs>
          <w:tab w:leader="none" w:pos="4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5" w:lineRule="exact"/>
        <w:rPr>
          <w:rFonts w:ascii="Arial" w:cs="Arial" w:eastAsia="Arial" w:hAnsi="Arial"/>
          <w:sz w:val="16"/>
          <w:szCs w:val="16"/>
          <w:color w:val="auto"/>
        </w:rPr>
      </w:pPr>
    </w:p>
    <w:p>
      <w:pPr>
        <w:jc w:val="both"/>
        <w:ind w:left="420" w:right="620" w:hanging="412"/>
        <w:spacing w:after="0" w:line="256" w:lineRule="auto"/>
        <w:tabs>
          <w:tab w:leader="none" w:pos="4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15d-15(f)) for the company and have:</w:t>
      </w:r>
    </w:p>
    <w:p>
      <w:pPr>
        <w:spacing w:after="0" w:line="205" w:lineRule="exact"/>
        <w:rPr>
          <w:rFonts w:ascii="Arial" w:cs="Arial" w:eastAsia="Arial" w:hAnsi="Arial"/>
          <w:sz w:val="16"/>
          <w:szCs w:val="16"/>
          <w:color w:val="auto"/>
        </w:rPr>
      </w:pPr>
    </w:p>
    <w:p>
      <w:pPr>
        <w:jc w:val="both"/>
        <w:ind w:left="1000" w:right="80" w:hanging="547"/>
        <w:spacing w:after="0" w:line="266" w:lineRule="auto"/>
        <w:tabs>
          <w:tab w:leader="none" w:pos="10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00" w:right="460" w:hanging="547"/>
        <w:spacing w:after="0" w:line="266" w:lineRule="auto"/>
        <w:tabs>
          <w:tab w:leader="none" w:pos="10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left="1000" w:right="340" w:hanging="547"/>
        <w:spacing w:after="0" w:line="286" w:lineRule="auto"/>
        <w:tabs>
          <w:tab w:leader="none" w:pos="10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jc w:val="both"/>
        <w:ind w:left="1000" w:right="300" w:hanging="547"/>
        <w:spacing w:after="0" w:line="286" w:lineRule="auto"/>
        <w:tabs>
          <w:tab w:leader="none" w:pos="10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55" w:lineRule="exact"/>
        <w:rPr>
          <w:rFonts w:ascii="Arial" w:cs="Arial" w:eastAsia="Arial" w:hAnsi="Arial"/>
          <w:sz w:val="16"/>
          <w:szCs w:val="16"/>
          <w:color w:val="auto"/>
        </w:rPr>
      </w:pPr>
    </w:p>
    <w:p>
      <w:pPr>
        <w:ind w:left="440" w:right="420" w:hanging="432"/>
        <w:spacing w:after="0" w:line="256" w:lineRule="auto"/>
        <w:tabs>
          <w:tab w:leader="none" w:pos="4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6"/>
          <w:szCs w:val="16"/>
          <w:color w:val="auto"/>
        </w:rPr>
      </w:pPr>
    </w:p>
    <w:p>
      <w:pPr>
        <w:ind w:left="1000" w:right="940" w:hanging="547"/>
        <w:spacing w:after="0" w:line="265" w:lineRule="auto"/>
        <w:tabs>
          <w:tab w:leader="none" w:pos="10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1" w:lineRule="exact"/>
        <w:rPr>
          <w:rFonts w:ascii="Arial" w:cs="Arial" w:eastAsia="Arial" w:hAnsi="Arial"/>
          <w:sz w:val="16"/>
          <w:szCs w:val="16"/>
          <w:color w:val="auto"/>
        </w:rPr>
      </w:pPr>
    </w:p>
    <w:p>
      <w:pPr>
        <w:ind w:left="1000" w:right="60" w:hanging="547"/>
        <w:spacing w:after="0" w:line="286" w:lineRule="auto"/>
        <w:tabs>
          <w:tab w:leader="none" w:pos="10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20"/>
                <w:szCs w:val="20"/>
                <w:color w:val="auto"/>
              </w:rPr>
            </w:pPr>
            <w:r>
              <w:rPr>
                <w:rFonts w:ascii="Arial" w:cs="Arial" w:eastAsia="Arial" w:hAnsi="Arial"/>
                <w:sz w:val="16"/>
                <w:szCs w:val="16"/>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Anna Nijdam</w:t>
            </w:r>
          </w:p>
        </w:tc>
      </w:tr>
      <w:tr>
        <w:trPr>
          <w:trHeight w:val="195"/>
        </w:trPr>
        <w:tc>
          <w:tcPr>
            <w:tcW w:w="660" w:type="dxa"/>
            <w:vAlign w:val="bottom"/>
          </w:tcPr>
          <w:p>
            <w:pPr>
              <w:spacing w:after="0"/>
              <w:rPr>
                <w:sz w:val="20"/>
                <w:szCs w:val="20"/>
                <w:color w:val="auto"/>
              </w:rPr>
            </w:pPr>
            <w:r>
              <w:rPr>
                <w:rFonts w:ascii="Arial" w:cs="Arial" w:eastAsia="Arial" w:hAnsi="Arial"/>
                <w:sz w:val="16"/>
                <w:szCs w:val="16"/>
                <w:color w:val="auto"/>
              </w:rPr>
              <w:t>Name:</w:t>
            </w:r>
          </w:p>
        </w:tc>
        <w:tc>
          <w:tcPr>
            <w:tcW w:w="4360" w:type="dxa"/>
            <w:vAlign w:val="bottom"/>
          </w:tcPr>
          <w:p>
            <w:pPr>
              <w:spacing w:after="0"/>
              <w:rPr>
                <w:sz w:val="20"/>
                <w:szCs w:val="20"/>
                <w:color w:val="auto"/>
              </w:rPr>
            </w:pPr>
            <w:r>
              <w:rPr>
                <w:rFonts w:ascii="Arial" w:cs="Arial" w:eastAsia="Arial" w:hAnsi="Arial"/>
                <w:sz w:val="16"/>
                <w:szCs w:val="16"/>
                <w:color w:val="auto"/>
              </w:rPr>
              <w:t>Anna Nijdam</w:t>
            </w:r>
          </w:p>
        </w:tc>
      </w:tr>
      <w:tr>
        <w:trPr>
          <w:trHeight w:val="215"/>
        </w:trPr>
        <w:tc>
          <w:tcPr>
            <w:tcW w:w="660" w:type="dxa"/>
            <w:vAlign w:val="bottom"/>
          </w:tcPr>
          <w:p>
            <w:pPr>
              <w:spacing w:after="0"/>
              <w:rPr>
                <w:sz w:val="20"/>
                <w:szCs w:val="20"/>
                <w:color w:val="auto"/>
              </w:rPr>
            </w:pPr>
            <w:r>
              <w:rPr>
                <w:rFonts w:ascii="Arial" w:cs="Arial" w:eastAsia="Arial" w:hAnsi="Arial"/>
                <w:sz w:val="16"/>
                <w:szCs w:val="16"/>
                <w:color w:val="auto"/>
              </w:rPr>
              <w:t>Title:</w:t>
            </w:r>
          </w:p>
        </w:tc>
        <w:tc>
          <w:tcPr>
            <w:tcW w:w="4360" w:type="dxa"/>
            <w:vAlign w:val="bottom"/>
          </w:tcPr>
          <w:p>
            <w:pPr>
              <w:spacing w:after="0"/>
              <w:rPr>
                <w:sz w:val="20"/>
                <w:szCs w:val="20"/>
                <w:color w:val="auto"/>
              </w:rPr>
            </w:pPr>
            <w:r>
              <w:rPr>
                <w:rFonts w:ascii="Arial" w:cs="Arial" w:eastAsia="Arial" w:hAnsi="Arial"/>
                <w:sz w:val="16"/>
                <w:szCs w:val="16"/>
                <w:color w:val="auto"/>
              </w:rPr>
              <w:t>Head of Finance and Principal Accounting Officer</w:t>
            </w:r>
          </w:p>
        </w:tc>
      </w:tr>
    </w:tbl>
    <w:p>
      <w:pPr>
        <w:sectPr>
          <w:pgSz w:w="11900" w:h="16838" w:orient="portrait"/>
          <w:cols w:equalWidth="0" w:num="1">
            <w:col w:w="11240"/>
          </w:cols>
          <w:pgMar w:left="320" w:top="126"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6"/>
          <w:szCs w:val="16"/>
          <w:b w:val="1"/>
          <w:bCs w:val="1"/>
          <w:u w:val="single" w:color="auto"/>
          <w:color w:val="auto"/>
        </w:rPr>
        <w:t>EXHIBIT 13.1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202" w:lineRule="exact"/>
        <w:rPr>
          <w:sz w:val="20"/>
          <w:szCs w:val="20"/>
          <w:color w:val="auto"/>
        </w:rPr>
      </w:pPr>
    </w:p>
    <w:p>
      <w:pPr>
        <w:jc w:val="both"/>
        <w:ind w:right="60" w:firstLine="446"/>
        <w:spacing w:after="0" w:line="244" w:lineRule="auto"/>
        <w:rPr>
          <w:sz w:val="20"/>
          <w:szCs w:val="20"/>
          <w:color w:val="auto"/>
        </w:rPr>
      </w:pPr>
      <w:r>
        <w:rPr>
          <w:rFonts w:ascii="Arial" w:cs="Arial" w:eastAsia="Arial" w:hAnsi="Arial"/>
          <w:sz w:val="15"/>
          <w:szCs w:val="15"/>
          <w:color w:val="auto"/>
        </w:rPr>
        <w:t>In connection with the Annual Report of Pharvaris N.V. (the “Company”) on Form 20-F for the fiscal year ended December 31, 2021 as filed with the Securities and Exchange Commission on the date hereof (the “Report”), I, Berndt Modig, Chief Executive Officer of the Company, certify, pursuant to 18 U.S.C. Section 1350, as adopted pursuant to Section 906 of the Sarbanes-Oxley Act of 2002, that to my knowledge:</w:t>
      </w:r>
    </w:p>
    <w:p>
      <w:pPr>
        <w:spacing w:after="0" w:line="179" w:lineRule="exact"/>
        <w:rPr>
          <w:sz w:val="20"/>
          <w:szCs w:val="20"/>
          <w:color w:val="auto"/>
        </w:rPr>
      </w:pPr>
    </w:p>
    <w:p>
      <w:pPr>
        <w:ind w:left="1000" w:hanging="547"/>
        <w:spacing w:after="0"/>
        <w:tabs>
          <w:tab w:leader="none" w:pos="1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1" w:lineRule="exact"/>
        <w:rPr>
          <w:rFonts w:ascii="Arial" w:cs="Arial" w:eastAsia="Arial" w:hAnsi="Arial"/>
          <w:sz w:val="16"/>
          <w:szCs w:val="16"/>
          <w:color w:val="auto"/>
        </w:rPr>
      </w:pPr>
    </w:p>
    <w:p>
      <w:pPr>
        <w:ind w:left="1000" w:right="720" w:hanging="547"/>
        <w:spacing w:after="0" w:line="286" w:lineRule="auto"/>
        <w:tabs>
          <w:tab w:leader="none" w:pos="1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Berndt Modig</w:t>
            </w:r>
          </w:p>
        </w:tc>
      </w:tr>
      <w:tr>
        <w:trPr>
          <w:trHeight w:val="195"/>
        </w:trPr>
        <w:tc>
          <w:tcPr>
            <w:tcW w:w="580" w:type="dxa"/>
            <w:vAlign w:val="bottom"/>
          </w:tcPr>
          <w:p>
            <w:pPr>
              <w:spacing w:after="0"/>
              <w:rPr>
                <w:sz w:val="20"/>
                <w:szCs w:val="20"/>
                <w:color w:val="auto"/>
              </w:rPr>
            </w:pPr>
            <w:r>
              <w:rPr>
                <w:rFonts w:ascii="Arial" w:cs="Arial" w:eastAsia="Arial" w:hAnsi="Arial"/>
                <w:sz w:val="16"/>
                <w:szCs w:val="16"/>
                <w:color w:val="auto"/>
              </w:rPr>
              <w:t>Name:</w:t>
            </w:r>
          </w:p>
        </w:tc>
        <w:tc>
          <w:tcPr>
            <w:tcW w:w="4500" w:type="dxa"/>
            <w:vAlign w:val="bottom"/>
          </w:tcPr>
          <w:p>
            <w:pPr>
              <w:spacing w:after="0"/>
              <w:rPr>
                <w:sz w:val="20"/>
                <w:szCs w:val="20"/>
                <w:color w:val="auto"/>
              </w:rPr>
            </w:pPr>
            <w:r>
              <w:rPr>
                <w:rFonts w:ascii="Arial" w:cs="Arial" w:eastAsia="Arial" w:hAnsi="Arial"/>
                <w:sz w:val="16"/>
                <w:szCs w:val="16"/>
                <w:color w:val="auto"/>
              </w:rPr>
              <w:t>Berndt Modig</w:t>
            </w:r>
          </w:p>
        </w:tc>
      </w:t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500" w:type="dxa"/>
            <w:vAlign w:val="bottom"/>
          </w:tcPr>
          <w:p>
            <w:pPr>
              <w:spacing w:after="0"/>
              <w:rPr>
                <w:sz w:val="20"/>
                <w:szCs w:val="20"/>
                <w:color w:val="auto"/>
              </w:rPr>
            </w:pPr>
            <w:r>
              <w:rPr>
                <w:rFonts w:ascii="Arial" w:cs="Arial" w:eastAsia="Arial" w:hAnsi="Arial"/>
                <w:sz w:val="16"/>
                <w:szCs w:val="16"/>
                <w:color w:val="auto"/>
              </w:rPr>
              <w:t>Director and Chief Executive Officer</w:t>
            </w:r>
          </w:p>
        </w:tc>
      </w:tr>
    </w:tbl>
    <w:p>
      <w:pPr>
        <w:sectPr>
          <w:pgSz w:w="11900" w:h="16838" w:orient="portrait"/>
          <w:cols w:equalWidth="0" w:num="1">
            <w:col w:w="11240"/>
          </w:cols>
          <w:pgMar w:left="320" w:top="126"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u w:val="single" w:color="auto"/>
          <w:color w:val="auto"/>
        </w:rPr>
        <w:t>EXHIBIT 13.2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Financial Officer</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165" w:lineRule="exact"/>
        <w:rPr>
          <w:sz w:val="20"/>
          <w:szCs w:val="20"/>
          <w:color w:val="auto"/>
        </w:rPr>
      </w:pPr>
    </w:p>
    <w:p>
      <w:pPr>
        <w:jc w:val="both"/>
        <w:ind w:right="120" w:firstLine="524"/>
        <w:spacing w:after="0" w:line="266" w:lineRule="auto"/>
        <w:rPr>
          <w:sz w:val="20"/>
          <w:szCs w:val="20"/>
          <w:color w:val="auto"/>
        </w:rPr>
      </w:pPr>
      <w:r>
        <w:rPr>
          <w:rFonts w:ascii="Arial" w:cs="Arial" w:eastAsia="Arial" w:hAnsi="Arial"/>
          <w:sz w:val="16"/>
          <w:szCs w:val="16"/>
          <w:color w:val="auto"/>
        </w:rPr>
        <w:t>In connection with the Annual Report of Pharvaris N.V. (the “Company”) on Form 20-F for the fiscal year ended December 31, 2021 as filed with the Securities and Exchange Commission on the date hereof (the “Report”), I, Anna Nijdam, Head of Finance and Principal Accounting Officer of the Company, certify, pursuant to 18 U.S.C. Section 1350, as adopted pursuant to Section 906 of the Sarbanes-Oxley Act of 2002, that to my knowledge:</w:t>
      </w:r>
    </w:p>
    <w:p>
      <w:pPr>
        <w:spacing w:after="0" w:line="158" w:lineRule="exact"/>
        <w:rPr>
          <w:sz w:val="20"/>
          <w:szCs w:val="20"/>
          <w:color w:val="auto"/>
        </w:rPr>
      </w:pPr>
    </w:p>
    <w:p>
      <w:pPr>
        <w:ind w:left="1160" w:hanging="639"/>
        <w:spacing w:after="0"/>
        <w:tabs>
          <w:tab w:leader="none" w:pos="11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1160" w:right="560" w:hanging="639"/>
        <w:spacing w:after="0" w:line="286" w:lineRule="auto"/>
        <w:tabs>
          <w:tab w:leader="none" w:pos="11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2022</w:t>
      </w:r>
    </w:p>
    <w:p>
      <w:pPr>
        <w:spacing w:after="0" w:line="20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Anna Nijdam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12065</wp:posOffset>
            </wp:positionV>
            <wp:extent cx="21602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Name: Anna Nijdam</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Head of Finance and Principal Accounting</w:t>
      </w:r>
    </w:p>
    <w:p>
      <w:pPr>
        <w:spacing w:after="0" w:line="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Title:</w:t>
        <w:tab/>
        <w:t>Officer</w:t>
      </w:r>
    </w:p>
    <w:p>
      <w:pPr>
        <w:sectPr>
          <w:pgSz w:w="11900" w:h="16838" w:orient="portrait"/>
          <w:cols w:equalWidth="0" w:num="1">
            <w:col w:w="11240"/>
          </w:cols>
          <w:pgMar w:left="320" w:top="126"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color w:val="auto"/>
        </w:rPr>
        <w:t>Exhibit 15.1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42424"/>
        </w:rPr>
        <w:t>We hereby consent to the incorporation by reference in the Registration Statements on Form S-8 (No. “333-252897”) and Form F-3 (No. “333-263198”) of Pharvaris N.V. of our report dated March 29, 2022 relating to the financial statements, which appears in this Form 20-F.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/s/ R.M.N. Admiraal 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PricewaterhouseCoopers Accountants 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Eindhoven, The 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March 29, 2022</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1."/>
      <w:numFmt w:val="upperLetter"/>
      <w:start w:val="1"/>
    </w:lvl>
  </w:abstractNum>
  <w:abstractNum w:abstractNumId="7">
    <w:nsid w:val="11447B73"/>
    <w:multiLevelType w:val="hybridMultilevel"/>
    <w:lvl w:ilvl="0">
      <w:lvlJc w:val="left"/>
      <w:lvlText w:val="%1."/>
      <w:numFmt w:val="upperLetter"/>
      <w:start w:val="2"/>
    </w:lvl>
  </w:abstractNum>
  <w:abstractNum w:abstractNumId="8">
    <w:nsid w:val="42963E5A"/>
    <w:multiLevelType w:val="hybridMultilevel"/>
    <w:lvl w:ilvl="0">
      <w:lvlJc w:val="left"/>
      <w:lvlText w:val="%1."/>
      <w:numFmt w:val="upperLetter"/>
      <w:start w:val="3"/>
    </w:lvl>
  </w:abstractNum>
  <w:abstractNum w:abstractNumId="9">
    <w:nsid w:val="A0382C5"/>
    <w:multiLevelType w:val="hybridMultilevel"/>
    <w:lvl w:ilvl="0">
      <w:lvlJc w:val="left"/>
      <w:lvlText w:val="%1."/>
      <w:numFmt w:val="upperLetter"/>
      <w:start w:val="1"/>
    </w:lvl>
  </w:abstractNum>
  <w:abstractNum w:abstractNumId="10">
    <w:nsid w:val="8F2B15E"/>
    <w:multiLevelType w:val="hybridMultilevel"/>
    <w:lvl w:ilvl="0">
      <w:lvlJc w:val="left"/>
      <w:lvlText w:val="%1."/>
      <w:numFmt w:val="upperLetter"/>
      <w:start w:val="2"/>
    </w:lvl>
  </w:abstractNum>
  <w:abstractNum w:abstractNumId="11">
    <w:nsid w:val="1A32234B"/>
    <w:multiLevelType w:val="hybridMultilevel"/>
    <w:lvl w:ilvl="0">
      <w:lvlJc w:val="left"/>
      <w:lvlText w:val="%1."/>
      <w:numFmt w:val="upperLetter"/>
      <w:start w:val="1"/>
    </w:lvl>
  </w:abstractNum>
  <w:abstractNum w:abstractNumId="12">
    <w:nsid w:val="3B0FD379"/>
    <w:multiLevelType w:val="hybridMultilevel"/>
    <w:lvl w:ilvl="0">
      <w:lvlJc w:val="left"/>
      <w:lvlText w:val="%1."/>
      <w:numFmt w:val="upperLetter"/>
      <w:start w:val="3"/>
    </w:lvl>
  </w:abstractNum>
  <w:abstractNum w:abstractNumId="13">
    <w:nsid w:val="68EB2F63"/>
    <w:multiLevelType w:val="hybridMultilevel"/>
    <w:lvl w:ilvl="0">
      <w:lvlJc w:val="left"/>
      <w:lvlText w:val="%1."/>
      <w:numFmt w:val="upperLetter"/>
      <w:start w:val="4"/>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amp;"/>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
      <w:numFmt w:val="bullet"/>
      <w:start w:val="1"/>
    </w:lvl>
  </w:abstractNum>
  <w:abstractNum w:abstractNumId="32">
    <w:nsid w:val="74DE0EE3"/>
    <w:multiLevelType w:val="hybridMultilevel"/>
    <w:lvl w:ilvl="0">
      <w:lvlJc w:val="left"/>
      <w:lvlText w:val="•"/>
      <w:numFmt w:val="bullet"/>
      <w:start w:val="1"/>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
      <w:numFmt w:val="bullet"/>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
      <w:numFmt w:val="bullet"/>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1."/>
      <w:numFmt w:val="upperLetter"/>
      <w:start w:val="1"/>
    </w:lvl>
  </w:abstractNum>
  <w:abstractNum w:abstractNumId="41">
    <w:nsid w:val="60EF0119"/>
    <w:multiLevelType w:val="hybridMultilevel"/>
    <w:lvl w:ilvl="0">
      <w:lvlJc w:val="left"/>
      <w:lvlText w:val="%1."/>
      <w:numFmt w:val="upperLetter"/>
      <w:start w:val="2"/>
    </w:lvl>
  </w:abstractNum>
  <w:abstractNum w:abstractNumId="42">
    <w:nsid w:val="26F324BA"/>
    <w:multiLevelType w:val="hybridMultilevel"/>
    <w:lvl w:ilvl="0">
      <w:lvlJc w:val="left"/>
      <w:lvlText w:val="•"/>
      <w:numFmt w:val="bullet"/>
      <w:start w:val="1"/>
    </w:lvl>
  </w:abstractNum>
  <w:abstractNum w:abstractNumId="43">
    <w:nsid w:val="7F01579B"/>
    <w:multiLevelType w:val="hybridMultilevel"/>
    <w:lvl w:ilvl="0">
      <w:lvlJc w:val="left"/>
      <w:lvlText w:val="•"/>
      <w:numFmt w:val="bullet"/>
      <w:start w:val="1"/>
    </w:lvl>
  </w:abstractNum>
  <w:abstractNum w:abstractNumId="44">
    <w:nsid w:val="49DA307D"/>
    <w:multiLevelType w:val="hybridMultilevel"/>
    <w:lvl w:ilvl="0">
      <w:lvlJc w:val="left"/>
      <w:lvlText w:val="•"/>
      <w:numFmt w:val="bullet"/>
      <w:start w:val="1"/>
    </w:lvl>
  </w:abstractNum>
  <w:abstractNum w:abstractNumId="45">
    <w:nsid w:val="7055A5F5"/>
    <w:multiLevelType w:val="hybridMultilevel"/>
    <w:lvl w:ilvl="0">
      <w:lvlJc w:val="left"/>
      <w:lvlText w:val="•"/>
      <w:numFmt w:val="bullet"/>
      <w:start w:val="1"/>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
      <w:numFmt w:val="bullet"/>
      <w:start w:val="1"/>
    </w:lvl>
  </w:abstractNum>
  <w:abstractNum w:abstractNumId="48">
    <w:nsid w:val="488AC1A"/>
    <w:multiLevelType w:val="hybridMultilevel"/>
    <w:lvl w:ilvl="0">
      <w:lvlJc w:val="left"/>
      <w:lvlText w:val="•"/>
      <w:numFmt w:val="bullet"/>
      <w:start w:val="1"/>
    </w:lvl>
  </w:abstractNum>
  <w:abstractNum w:abstractNumId="49">
    <w:nsid w:val="5FB8011C"/>
    <w:multiLevelType w:val="hybridMultilevel"/>
    <w:lvl w:ilvl="0">
      <w:lvlJc w:val="left"/>
      <w:lvlText w:val="•"/>
      <w:numFmt w:val="bullet"/>
      <w:start w:val="1"/>
    </w:lvl>
  </w:abstractNum>
  <w:abstractNum w:abstractNumId="50">
    <w:nsid w:val="6AA78F7F"/>
    <w:multiLevelType w:val="hybridMultilevel"/>
    <w:lvl w:ilvl="0">
      <w:lvlJc w:val="left"/>
      <w:lvlText w:val="•"/>
      <w:numFmt w:val="bullet"/>
      <w:start w:val="1"/>
    </w:lvl>
  </w:abstractNum>
  <w:abstractNum w:abstractNumId="51">
    <w:nsid w:val="7672BD23"/>
    <w:multiLevelType w:val="hybridMultilevel"/>
    <w:lvl w:ilvl="0">
      <w:lvlJc w:val="left"/>
      <w:lvlText w:val="•"/>
      <w:numFmt w:val="bullet"/>
      <w:start w:val="1"/>
    </w:lvl>
  </w:abstractNum>
  <w:abstractNum w:abstractNumId="52">
    <w:nsid w:val="6FC75AF8"/>
    <w:multiLevelType w:val="hybridMultilevel"/>
    <w:lvl w:ilvl="0">
      <w:lvlJc w:val="left"/>
      <w:lvlText w:val="•"/>
      <w:numFmt w:val="bullet"/>
      <w:start w:val="1"/>
    </w:lvl>
  </w:abstractNum>
  <w:abstractNum w:abstractNumId="53">
    <w:nsid w:val="6A5F7029"/>
    <w:multiLevelType w:val="hybridMultilevel"/>
    <w:lvl w:ilvl="0">
      <w:lvlJc w:val="left"/>
      <w:lvlText w:val="•"/>
      <w:numFmt w:val="bullet"/>
      <w:start w:val="1"/>
    </w:lvl>
  </w:abstractNum>
  <w:abstractNum w:abstractNumId="54">
    <w:nsid w:val="7D5E18F8"/>
    <w:multiLevelType w:val="hybridMultilevel"/>
    <w:lvl w:ilvl="0">
      <w:lvlJc w:val="left"/>
      <w:lvlText w:val="•"/>
      <w:numFmt w:val="bullet"/>
      <w:start w:val="1"/>
    </w:lvl>
  </w:abstractNum>
  <w:abstractNum w:abstractNumId="55">
    <w:nsid w:val="5F3534A4"/>
    <w:multiLevelType w:val="hybridMultilevel"/>
    <w:lvl w:ilvl="0">
      <w:lvlJc w:val="left"/>
      <w:lvlText w:val="•"/>
      <w:numFmt w:val="bullet"/>
      <w:start w:val="1"/>
    </w:lvl>
  </w:abstractNum>
  <w:abstractNum w:abstractNumId="56">
    <w:nsid w:val="73A1821B"/>
    <w:multiLevelType w:val="hybridMultilevel"/>
    <w:lvl w:ilvl="0">
      <w:lvlJc w:val="left"/>
      <w:lvlText w:val="•"/>
      <w:numFmt w:val="bullet"/>
      <w:start w:val="1"/>
    </w:lvl>
  </w:abstractNum>
  <w:abstractNum w:abstractNumId="57">
    <w:nsid w:val="7DE67713"/>
    <w:multiLevelType w:val="hybridMultilevel"/>
    <w:lvl w:ilvl="0">
      <w:lvlJc w:val="left"/>
      <w:lvlText w:val="•"/>
      <w:numFmt w:val="bullet"/>
      <w:start w:val="1"/>
    </w:lvl>
  </w:abstractNum>
  <w:abstractNum w:abstractNumId="58">
    <w:nsid w:val="555C55B5"/>
    <w:multiLevelType w:val="hybridMultilevel"/>
    <w:lvl w:ilvl="0">
      <w:lvlJc w:val="left"/>
      <w:lvlText w:val="•"/>
      <w:numFmt w:val="bullet"/>
      <w:start w:val="1"/>
    </w:lvl>
  </w:abstractNum>
  <w:abstractNum w:abstractNumId="59">
    <w:nsid w:val="3FA62ACA"/>
    <w:multiLevelType w:val="hybridMultilevel"/>
    <w:lvl w:ilvl="0">
      <w:lvlJc w:val="left"/>
      <w:lvlText w:val="•"/>
      <w:numFmt w:val="bullet"/>
      <w:start w:val="1"/>
    </w:lvl>
  </w:abstractNum>
  <w:abstractNum w:abstractNumId="60">
    <w:nsid w:val="14FCE74E"/>
    <w:multiLevelType w:val="hybridMultilevel"/>
    <w:lvl w:ilvl="0">
      <w:lvlJc w:val="left"/>
      <w:lvlText w:val="•"/>
      <w:numFmt w:val="bullet"/>
      <w:start w:val="1"/>
    </w:lvl>
  </w:abstractNum>
  <w:abstractNum w:abstractNumId="61">
    <w:nsid w:val="6A3DD3E8"/>
    <w:multiLevelType w:val="hybridMultilevel"/>
    <w:lvl w:ilvl="0">
      <w:lvlJc w:val="left"/>
      <w:lvlText w:val="%1."/>
      <w:numFmt w:val="upperLetter"/>
      <w:start w:val="3"/>
    </w:lvl>
  </w:abstractNum>
  <w:abstractNum w:abstractNumId="62">
    <w:nsid w:val="71C91298"/>
    <w:multiLevelType w:val="hybridMultilevel"/>
    <w:lvl w:ilvl="0">
      <w:lvlJc w:val="left"/>
      <w:lvlText w:val="%1."/>
      <w:numFmt w:val="upperLetter"/>
      <w:start w:val="4"/>
    </w:lvl>
  </w:abstractNum>
  <w:abstractNum w:abstractNumId="63">
    <w:nsid w:val="9DAF632"/>
    <w:multiLevelType w:val="hybridMultilevel"/>
    <w:lvl w:ilvl="0">
      <w:lvlJc w:val="left"/>
      <w:lvlText w:val="%1."/>
      <w:numFmt w:val="upperLetter"/>
      <w:start w:val="1"/>
    </w:lvl>
  </w:abstractNum>
  <w:abstractNum w:abstractNumId="64">
    <w:nsid w:val="53299938"/>
    <w:multiLevelType w:val="hybridMultilevel"/>
    <w:lvl w:ilvl="0">
      <w:lvlJc w:val="left"/>
      <w:lvlText w:val="•"/>
      <w:numFmt w:val="bullet"/>
      <w:start w:val="1"/>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
      <w:numFmt w:val="bullet"/>
      <w:start w:val="1"/>
    </w:lvl>
  </w:abstractNum>
  <w:abstractNum w:abstractNumId="67">
    <w:nsid w:val="1D545C4D"/>
    <w:multiLevelType w:val="hybridMultilevel"/>
    <w:lvl w:ilvl="0">
      <w:lvlJc w:val="left"/>
      <w:lvlText w:val="%1."/>
      <w:numFmt w:val="upperLetter"/>
      <w:start w:val="2"/>
    </w:lvl>
  </w:abstractNum>
  <w:abstractNum w:abstractNumId="68">
    <w:nsid w:val="59ADEA3D"/>
    <w:multiLevelType w:val="hybridMultilevel"/>
    <w:lvl w:ilvl="0">
      <w:lvlJc w:val="left"/>
      <w:lvlText w:val="•"/>
      <w:numFmt w:val="bullet"/>
      <w:start w:val="1"/>
    </w:lvl>
  </w:abstractNum>
  <w:abstractNum w:abstractNumId="69">
    <w:nsid w:val="288F1A34"/>
    <w:multiLevelType w:val="hybridMultilevel"/>
    <w:lvl w:ilvl="0">
      <w:lvlJc w:val="left"/>
      <w:lvlText w:val="•"/>
      <w:numFmt w:val="bullet"/>
      <w:start w:val="1"/>
    </w:lvl>
  </w:abstractNum>
  <w:abstractNum w:abstractNumId="70">
    <w:nsid w:val="2A155DBC"/>
    <w:multiLevelType w:val="hybridMultilevel"/>
    <w:lvl w:ilvl="0">
      <w:lvlJc w:val="left"/>
      <w:lvlText w:val="%1."/>
      <w:numFmt w:val="upperLetter"/>
      <w:start w:val="3"/>
    </w:lvl>
  </w:abstractNum>
  <w:abstractNum w:abstractNumId="71">
    <w:nsid w:val="1D9F6E5F"/>
    <w:multiLevelType w:val="hybridMultilevel"/>
    <w:lvl w:ilvl="0">
      <w:lvlJc w:val="left"/>
      <w:lvlText w:val="%1."/>
      <w:numFmt w:val="upperLetter"/>
      <w:start w:val="4"/>
    </w:lvl>
  </w:abstractNum>
  <w:abstractNum w:abstractNumId="72">
    <w:nsid w:val="97E1B4E"/>
    <w:multiLevelType w:val="hybridMultilevel"/>
    <w:lvl w:ilvl="0">
      <w:lvlJc w:val="left"/>
      <w:lvlText w:val="%1."/>
      <w:numFmt w:val="upperLetter"/>
      <w:start w:val="1"/>
    </w:lvl>
  </w:abstractNum>
  <w:abstractNum w:abstractNumId="73">
    <w:nsid w:val="51088277"/>
    <w:multiLevelType w:val="hybridMultilevel"/>
    <w:lvl w:ilvl="0">
      <w:lvlJc w:val="left"/>
      <w:lvlText w:val="&amp;"/>
      <w:numFmt w:val="bullet"/>
      <w:start w:val="1"/>
    </w:lvl>
  </w:abstractNum>
  <w:abstractNum w:abstractNumId="74">
    <w:nsid w:val="1CA0C5FA"/>
    <w:multiLevelType w:val="hybridMultilevel"/>
    <w:lvl w:ilvl="0">
      <w:lvlJc w:val="left"/>
      <w:lvlText w:val="%1."/>
      <w:numFmt w:val="upperLetter"/>
      <w:start w:val="2"/>
    </w:lvl>
  </w:abstractNum>
  <w:abstractNum w:abstractNumId="75">
    <w:nsid w:val="53584BCB"/>
    <w:multiLevelType w:val="hybridMultilevel"/>
    <w:lvl w:ilvl="0">
      <w:lvlJc w:val="left"/>
      <w:lvlText w:val="(%1)"/>
      <w:numFmt w:val="decimal"/>
      <w:start w:val="1"/>
    </w:lvl>
  </w:abstractNum>
  <w:abstractNum w:abstractNumId="76">
    <w:nsid w:val="415E286C"/>
    <w:multiLevelType w:val="hybridMultilevel"/>
    <w:lvl w:ilvl="0">
      <w:lvlJc w:val="left"/>
      <w:lvlText w:val="%1."/>
      <w:numFmt w:val="upperLetter"/>
      <w:start w:val="3"/>
    </w:lvl>
  </w:abstractNum>
  <w:abstractNum w:abstractNumId="77">
    <w:nsid w:val="7C58FD05"/>
    <w:multiLevelType w:val="hybridMultilevel"/>
    <w:lvl w:ilvl="0">
      <w:lvlJc w:val="left"/>
      <w:lvlText w:val="•"/>
      <w:numFmt w:val="bullet"/>
      <w:start w:val="1"/>
    </w:lvl>
  </w:abstractNum>
  <w:abstractNum w:abstractNumId="78">
    <w:nsid w:val="23D86AAC"/>
    <w:multiLevelType w:val="hybridMultilevel"/>
    <w:lvl w:ilvl="0">
      <w:lvlJc w:val="left"/>
      <w:lvlText w:val="•"/>
      <w:numFmt w:val="bullet"/>
      <w:start w:val="1"/>
    </w:lvl>
  </w:abstractNum>
  <w:abstractNum w:abstractNumId="79">
    <w:nsid w:val="45E6D486"/>
    <w:multiLevelType w:val="hybridMultilevel"/>
    <w:lvl w:ilvl="0">
      <w:lvlJc w:val="left"/>
      <w:lvlText w:val="%1."/>
      <w:numFmt w:val="upperLetter"/>
      <w:start w:val="4"/>
    </w:lvl>
  </w:abstractNum>
  <w:abstractNum w:abstractNumId="80">
    <w:nsid w:val="5C10FE21"/>
    <w:multiLevelType w:val="hybridMultilevel"/>
    <w:lvl w:ilvl="0">
      <w:lvlJc w:val="left"/>
      <w:lvlText w:val="%1."/>
      <w:numFmt w:val="upperLetter"/>
      <w:start w:val="5"/>
    </w:lvl>
  </w:abstractNum>
  <w:abstractNum w:abstractNumId="81">
    <w:nsid w:val="E7FFA2B"/>
    <w:multiLevelType w:val="hybridMultilevel"/>
    <w:lvl w:ilvl="0">
      <w:lvlJc w:val="left"/>
      <w:lvlText w:val="%1."/>
      <w:numFmt w:val="upperLetter"/>
      <w:start w:val="1"/>
    </w:lvl>
  </w:abstractNum>
  <w:abstractNum w:abstractNumId="82">
    <w:nsid w:val="3C5991AA"/>
    <w:multiLevelType w:val="hybridMultilevel"/>
    <w:lvl w:ilvl="0">
      <w:lvlJc w:val="left"/>
      <w:lvlText w:val="•"/>
      <w:numFmt w:val="bullet"/>
      <w:start w:val="1"/>
    </w:lvl>
  </w:abstractNum>
  <w:abstractNum w:abstractNumId="83">
    <w:nsid w:val="4BD8591A"/>
    <w:multiLevelType w:val="hybridMultilevel"/>
    <w:lvl w:ilvl="0">
      <w:lvlJc w:val="left"/>
      <w:lvlText w:val="*"/>
      <w:numFmt w:val="bullet"/>
      <w:start w:val="1"/>
    </w:lvl>
  </w:abstractNum>
  <w:abstractNum w:abstractNumId="84">
    <w:nsid w:val="78DF6A55"/>
    <w:multiLevelType w:val="hybridMultilevel"/>
    <w:lvl w:ilvl="0">
      <w:lvlJc w:val="left"/>
      <w:lvlText w:val="(%1)"/>
      <w:numFmt w:val="decimal"/>
      <w:start w:val="1"/>
    </w:lvl>
  </w:abstractNum>
  <w:abstractNum w:abstractNumId="85">
    <w:nsid w:val="39B7AAA2"/>
    <w:multiLevelType w:val="hybridMultilevel"/>
    <w:lvl w:ilvl="0">
      <w:lvlJc w:val="left"/>
      <w:lvlText w:val="(%1)"/>
      <w:numFmt w:val="decimal"/>
      <w:start w:val="5"/>
    </w:lvl>
    <w:lvl w:ilvl="1">
      <w:lvlJc w:val="left"/>
      <w:lvlText w:val="%2."/>
      <w:numFmt w:val="upperLetter"/>
      <w:start w:val="2"/>
    </w:lvl>
  </w:abstractNum>
  <w:abstractNum w:abstractNumId="86">
    <w:nsid w:val="2B0D8DBE"/>
    <w:multiLevelType w:val="hybridMultilevel"/>
    <w:lvl w:ilvl="0">
      <w:lvlJc w:val="left"/>
      <w:lvlText w:val="%1."/>
      <w:numFmt w:val="upperLetter"/>
      <w:start w:val="2"/>
    </w:lvl>
  </w:abstractNum>
  <w:abstractNum w:abstractNumId="87">
    <w:nsid w:val="6C80EC70"/>
    <w:multiLevelType w:val="hybridMultilevel"/>
    <w:lvl w:ilvl="0">
      <w:lvlJc w:val="left"/>
      <w:lvlText w:val="%1."/>
      <w:numFmt w:val="upperLetter"/>
      <w:start w:val="3"/>
    </w:lvl>
  </w:abstractNum>
  <w:abstractNum w:abstractNumId="88">
    <w:nsid w:val="379E21B5"/>
    <w:multiLevelType w:val="hybridMultilevel"/>
    <w:lvl w:ilvl="0">
      <w:lvlJc w:val="left"/>
      <w:lvlText w:val="%1."/>
      <w:numFmt w:val="upperLetter"/>
      <w:start w:val="1"/>
    </w:lvl>
  </w:abstractNum>
  <w:abstractNum w:abstractNumId="89">
    <w:nsid w:val="69E373"/>
    <w:multiLevelType w:val="hybridMultilevel"/>
    <w:lvl w:ilvl="0">
      <w:lvlJc w:val="left"/>
      <w:lvlText w:val="%1."/>
      <w:numFmt w:val="upperLetter"/>
      <w:start w:val="2"/>
    </w:lvl>
  </w:abstractNum>
  <w:abstractNum w:abstractNumId="90">
    <w:nsid w:val="2C27173B"/>
    <w:multiLevelType w:val="hybridMultilevel"/>
    <w:lvl w:ilvl="0">
      <w:lvlJc w:val="left"/>
      <w:lvlText w:val="%1."/>
      <w:numFmt w:val="upperLetter"/>
      <w:start w:val="1"/>
    </w:lvl>
  </w:abstractNum>
  <w:abstractNum w:abstractNumId="91">
    <w:nsid w:val="4C9B0904"/>
    <w:multiLevelType w:val="hybridMultilevel"/>
    <w:lvl w:ilvl="0">
      <w:lvlJc w:val="left"/>
      <w:lvlText w:val="%1."/>
      <w:numFmt w:val="upperLetter"/>
      <w:start w:val="2"/>
    </w:lvl>
  </w:abstractNum>
  <w:abstractNum w:abstractNumId="92">
    <w:nsid w:val="6AA7B75C"/>
    <w:multiLevelType w:val="hybridMultilevel"/>
    <w:lvl w:ilvl="0">
      <w:lvlJc w:val="left"/>
      <w:lvlText w:val="%1."/>
      <w:numFmt w:val="upperLetter"/>
      <w:start w:val="3"/>
    </w:lvl>
  </w:abstractNum>
  <w:abstractNum w:abstractNumId="93">
    <w:nsid w:val="1DF029D3"/>
    <w:multiLevelType w:val="hybridMultilevel"/>
    <w:lvl w:ilvl="0">
      <w:lvlJc w:val="left"/>
      <w:lvlText w:val="%1."/>
      <w:numFmt w:val="upperLetter"/>
      <w:start w:val="4"/>
    </w:lvl>
  </w:abstractNum>
  <w:abstractNum w:abstractNumId="94">
    <w:nsid w:val="5675FF36"/>
    <w:multiLevelType w:val="hybridMultilevel"/>
    <w:lvl w:ilvl="0">
      <w:lvlJc w:val="left"/>
      <w:lvlText w:val="%1."/>
      <w:numFmt w:val="upperLetter"/>
      <w:start w:val="5"/>
    </w:lvl>
  </w:abstractNum>
  <w:abstractNum w:abstractNumId="95">
    <w:nsid w:val="3DD15094"/>
    <w:multiLevelType w:val="hybridMultilevel"/>
    <w:lvl w:ilvl="0">
      <w:lvlJc w:val="left"/>
      <w:lvlText w:val="%1."/>
      <w:numFmt w:val="upperLetter"/>
      <w:start w:val="6"/>
    </w:lvl>
  </w:abstractNum>
  <w:abstractNum w:abstractNumId="96">
    <w:nsid w:val="3DB012B3"/>
    <w:multiLevelType w:val="hybridMultilevel"/>
    <w:lvl w:ilvl="0">
      <w:lvlJc w:val="left"/>
      <w:lvlText w:val="%1."/>
      <w:numFmt w:val="upperLetter"/>
      <w:start w:val="1"/>
    </w:lvl>
  </w:abstractNum>
  <w:abstractNum w:abstractNumId="97">
    <w:nsid w:val="2708C9AF"/>
    <w:multiLevelType w:val="hybridMultilevel"/>
    <w:lvl w:ilvl="0">
      <w:lvlJc w:val="left"/>
      <w:lvlText w:val="%1."/>
      <w:numFmt w:val="upperLetter"/>
      <w:start w:val="2"/>
    </w:lvl>
  </w:abstractNum>
  <w:abstractNum w:abstractNumId="98">
    <w:nsid w:val="5B25ACE2"/>
    <w:multiLevelType w:val="hybridMultilevel"/>
    <w:lvl w:ilvl="0">
      <w:lvlJc w:val="left"/>
      <w:lvlText w:val="%1."/>
      <w:numFmt w:val="upperLetter"/>
      <w:start w:val="3"/>
    </w:lvl>
  </w:abstractNum>
  <w:abstractNum w:abstractNumId="99">
    <w:nsid w:val="175DFCF0"/>
    <w:multiLevelType w:val="hybridMultilevel"/>
    <w:lvl w:ilvl="0">
      <w:lvlJc w:val="left"/>
      <w:lvlText w:val="%1."/>
      <w:numFmt w:val="upperLetter"/>
      <w:start w:val="4"/>
    </w:lvl>
  </w:abstractNum>
  <w:abstractNum w:abstractNumId="100">
    <w:nsid w:val="4F97E3E4"/>
    <w:multiLevelType w:val="hybridMultilevel"/>
    <w:lvl w:ilvl="0">
      <w:lvlJc w:val="left"/>
      <w:lvlText w:val="%1."/>
      <w:numFmt w:val="upperLetter"/>
      <w:start w:val="5"/>
    </w:lvl>
  </w:abstractNum>
  <w:abstractNum w:abstractNumId="101">
    <w:nsid w:val="53B0A9E"/>
    <w:multiLevelType w:val="hybridMultilevel"/>
    <w:lvl w:ilvl="0">
      <w:lvlJc w:val="left"/>
      <w:lvlText w:val="•"/>
      <w:numFmt w:val="bullet"/>
      <w:start w:val="1"/>
    </w:lvl>
  </w:abstractNum>
  <w:abstractNum w:abstractNumId="102">
    <w:nsid w:val="34FD6B4F"/>
    <w:multiLevelType w:val="hybridMultilevel"/>
    <w:lvl w:ilvl="0">
      <w:lvlJc w:val="left"/>
      <w:lvlText w:val="•"/>
      <w:numFmt w:val="bullet"/>
      <w:start w:val="1"/>
    </w:lvl>
  </w:abstractNum>
  <w:abstractNum w:abstractNumId="103">
    <w:nsid w:val="5915FF32"/>
    <w:multiLevelType w:val="hybridMultilevel"/>
    <w:lvl w:ilvl="0">
      <w:lvlJc w:val="left"/>
      <w:lvlText w:val="(%1)"/>
      <w:numFmt w:val="lowerRoman"/>
      <w:start w:val="1"/>
    </w:lvl>
  </w:abstractNum>
  <w:abstractNum w:abstractNumId="104">
    <w:nsid w:val="56438D15"/>
    <w:multiLevelType w:val="hybridMultilevel"/>
    <w:lvl w:ilvl="0">
      <w:lvlJc w:val="left"/>
      <w:lvlText w:val="%1."/>
      <w:numFmt w:val="lowerRoman"/>
      <w:start w:val="1"/>
    </w:lvl>
  </w:abstractNum>
  <w:abstractNum w:abstractNumId="105">
    <w:nsid w:val="519E3149"/>
    <w:multiLevelType w:val="hybridMultilevel"/>
    <w:lvl w:ilvl="0">
      <w:lvlJc w:val="left"/>
      <w:lvlText w:val="%1."/>
      <w:numFmt w:val="lowerRoman"/>
      <w:start w:val="2"/>
    </w:lvl>
  </w:abstractNum>
  <w:abstractNum w:abstractNumId="106">
    <w:nsid w:val="2C6E4AFD"/>
    <w:multiLevelType w:val="hybridMultilevel"/>
    <w:lvl w:ilvl="0">
      <w:lvlJc w:val="left"/>
      <w:lvlText w:val="•"/>
      <w:numFmt w:val="bullet"/>
      <w:start w:val="1"/>
    </w:lvl>
  </w:abstractNum>
  <w:abstractNum w:abstractNumId="107">
    <w:nsid w:val="17A1B582"/>
    <w:multiLevelType w:val="hybridMultilevel"/>
    <w:lvl w:ilvl="0">
      <w:lvlJc w:val="left"/>
      <w:lvlText w:val="•"/>
      <w:numFmt w:val="bullet"/>
      <w:start w:val="1"/>
    </w:lvl>
  </w:abstractNum>
  <w:abstractNum w:abstractNumId="108">
    <w:nsid w:val="4DF72E4E"/>
    <w:multiLevelType w:val="hybridMultilevel"/>
    <w:lvl w:ilvl="0">
      <w:lvlJc w:val="left"/>
      <w:lvlText w:val="%1."/>
      <w:numFmt w:val="lowerRoman"/>
      <w:start w:val="1"/>
    </w:lvl>
  </w:abstractNum>
  <w:abstractNum w:abstractNumId="109">
    <w:nsid w:val="5046B5A9"/>
    <w:multiLevelType w:val="hybridMultilevel"/>
    <w:lvl w:ilvl="0">
      <w:lvlJc w:val="left"/>
      <w:lvlText w:val="%1."/>
      <w:numFmt w:val="lowerRoman"/>
      <w:start w:val="1"/>
    </w:lvl>
  </w:abstractNum>
  <w:abstractNum w:abstractNumId="110">
    <w:nsid w:val="5D888A08"/>
    <w:multiLevelType w:val="hybridMultilevel"/>
    <w:lvl w:ilvl="0">
      <w:lvlJc w:val="left"/>
      <w:lvlText w:val="%1."/>
      <w:numFmt w:val="lowerRoman"/>
      <w:start w:val="1"/>
    </w:lvl>
  </w:abstractNum>
  <w:abstractNum w:abstractNumId="111">
    <w:nsid w:val="2A082C70"/>
    <w:multiLevelType w:val="hybridMultilevel"/>
    <w:lvl w:ilvl="0">
      <w:lvlJc w:val="left"/>
      <w:lvlText w:val="%1."/>
      <w:numFmt w:val="lowerRoman"/>
      <w:start w:val="1"/>
    </w:lvl>
  </w:abstractNum>
  <w:abstractNum w:abstractNumId="112">
    <w:nsid w:val="5EC6AFD4"/>
    <w:multiLevelType w:val="hybridMultilevel"/>
    <w:lvl w:ilvl="0">
      <w:lvlJc w:val="left"/>
      <w:lvlText w:val="•"/>
      <w:numFmt w:val="bullet"/>
      <w:start w:val="1"/>
    </w:lvl>
  </w:abstractNum>
  <w:abstractNum w:abstractNumId="113">
    <w:nsid w:val="19E21BB2"/>
    <w:multiLevelType w:val="hybridMultilevel"/>
    <w:lvl w:ilvl="0">
      <w:lvlJc w:val="left"/>
      <w:lvlText w:val="-"/>
      <w:numFmt w:val="bullet"/>
      <w:start w:val="1"/>
    </w:lvl>
  </w:abstractNum>
  <w:abstractNum w:abstractNumId="114">
    <w:nsid w:val="75E0858A"/>
    <w:multiLevelType w:val="hybridMultilevel"/>
    <w:lvl w:ilvl="0">
      <w:lvlJc w:val="left"/>
      <w:lvlText w:val="%1"/>
      <w:numFmt w:val="decimal"/>
      <w:start w:val="101"/>
    </w:lvl>
  </w:abstractNum>
  <w:abstractNum w:abstractNumId="115">
    <w:nsid w:val="57A61A29"/>
    <w:multiLevelType w:val="hybridMultilevel"/>
    <w:lvl w:ilvl="0">
      <w:lvlJc w:val="left"/>
      <w:lvlText w:val="*"/>
      <w:numFmt w:val="bullet"/>
      <w:start w:val="1"/>
    </w:lvl>
    <w:lvl w:ilvl="1">
      <w:lvlJc w:val="left"/>
      <w:lvlText w:val="%2"/>
      <w:numFmt w:val="decimal"/>
      <w:start w:val="101"/>
    </w:lvl>
  </w:abstractNum>
  <w:abstractNum w:abstractNumId="116">
    <w:nsid w:val="5399C654"/>
    <w:multiLevelType w:val="hybridMultilevel"/>
    <w:lvl w:ilvl="0">
      <w:lvlJc w:val="left"/>
      <w:lvlText w:val="*"/>
      <w:numFmt w:val="bullet"/>
      <w:start w:val="1"/>
    </w:lvl>
    <w:lvl w:ilvl="1">
      <w:lvlJc w:val="left"/>
      <w:lvlText w:val="%2"/>
      <w:numFmt w:val="decimal"/>
      <w:start w:val="101"/>
    </w:lvl>
  </w:abstractNum>
  <w:abstractNum w:abstractNumId="117">
    <w:nsid w:val="20EE1348"/>
    <w:multiLevelType w:val="hybridMultilevel"/>
    <w:lvl w:ilvl="0">
      <w:lvlJc w:val="left"/>
      <w:lvlText w:val="*"/>
      <w:numFmt w:val="bullet"/>
      <w:start w:val="1"/>
    </w:lvl>
    <w:lvl w:ilvl="1">
      <w:lvlJc w:val="left"/>
      <w:lvlText w:val="%2"/>
      <w:numFmt w:val="decimal"/>
      <w:start w:val="101"/>
    </w:lvl>
  </w:abstractNum>
  <w:abstractNum w:abstractNumId="118">
    <w:nsid w:val="4427069A"/>
    <w:multiLevelType w:val="hybridMultilevel"/>
    <w:lvl w:ilvl="0">
      <w:lvlJc w:val="left"/>
      <w:lvlText w:val="*"/>
      <w:numFmt w:val="bullet"/>
      <w:start w:val="1"/>
    </w:lvl>
    <w:lvl w:ilvl="1">
      <w:lvlJc w:val="left"/>
      <w:lvlText w:val="%2"/>
      <w:numFmt w:val="decimal"/>
      <w:start w:val="101"/>
    </w:lvl>
  </w:abstractNum>
  <w:abstractNum w:abstractNumId="119">
    <w:nsid w:val="B37E80A"/>
    <w:multiLevelType w:val="hybridMultilevel"/>
    <w:lvl w:ilvl="0">
      <w:lvlJc w:val="left"/>
      <w:lvlText w:val="*"/>
      <w:numFmt w:val="bullet"/>
      <w:start w:val="1"/>
    </w:lvl>
    <w:lvl w:ilvl="1">
      <w:lvlJc w:val="left"/>
      <w:lvlText w:val="%2"/>
      <w:numFmt w:val="decimal"/>
      <w:start w:val="101"/>
    </w:lvl>
  </w:abstractNum>
  <w:abstractNum w:abstractNumId="120">
    <w:nsid w:val="2157F6BC"/>
    <w:multiLevelType w:val="hybridMultilevel"/>
    <w:lvl w:ilvl="0">
      <w:lvlJc w:val="left"/>
      <w:lvlText w:val="*"/>
      <w:numFmt w:val="bullet"/>
      <w:start w:val="1"/>
    </w:lvl>
    <w:lvl w:ilvl="1">
      <w:lvlJc w:val="left"/>
      <w:lvlText w:val="%2"/>
      <w:numFmt w:val="decimal"/>
      <w:start w:val="104"/>
    </w:lvl>
  </w:abstractNum>
  <w:abstractNum w:abstractNumId="121">
    <w:nsid w:val="704E1DD5"/>
    <w:multiLevelType w:val="hybridMultilevel"/>
    <w:lvl w:ilvl="0">
      <w:lvlJc w:val="left"/>
      <w:lvlText w:val="†"/>
      <w:numFmt w:val="bullet"/>
      <w:start w:val="1"/>
    </w:lvl>
  </w:abstractNum>
  <w:abstractNum w:abstractNumId="122">
    <w:nsid w:val="57D2F10E"/>
    <w:multiLevelType w:val="hybridMultilevel"/>
    <w:lvl w:ilvl="0">
      <w:lvlJc w:val="left"/>
      <w:lvlText w:val="%1."/>
      <w:numFmt w:val="decimal"/>
      <w:start w:val="2"/>
    </w:lvl>
  </w:abstractNum>
  <w:abstractNum w:abstractNumId="123">
    <w:nsid w:val="BFFAE18"/>
    <w:multiLevelType w:val="hybridMultilevel"/>
    <w:lvl w:ilvl="0">
      <w:lvlJc w:val="left"/>
      <w:lvlText w:val="•"/>
      <w:numFmt w:val="bullet"/>
      <w:start w:val="1"/>
    </w:lvl>
  </w:abstractNum>
  <w:abstractNum w:abstractNumId="124">
    <w:nsid w:val="E3E47A8"/>
    <w:multiLevelType w:val="hybridMultilevel"/>
    <w:lvl w:ilvl="0">
      <w:lvlJc w:val="left"/>
      <w:lvlText w:val="•"/>
      <w:numFmt w:val="bullet"/>
      <w:start w:val="1"/>
    </w:lvl>
  </w:abstractNum>
  <w:abstractNum w:abstractNumId="125">
    <w:nsid w:val="2E48F044"/>
    <w:multiLevelType w:val="hybridMultilevel"/>
    <w:lvl w:ilvl="0">
      <w:lvlJc w:val="left"/>
      <w:lvlText w:val="•"/>
      <w:numFmt w:val="bullet"/>
      <w:start w:val="1"/>
    </w:lvl>
  </w:abstractNum>
  <w:abstractNum w:abstractNumId="126">
    <w:nsid w:val="49D0FEAC"/>
    <w:multiLevelType w:val="hybridMultilevel"/>
    <w:lvl w:ilvl="0">
      <w:lvlJc w:val="left"/>
      <w:lvlText w:val="•"/>
      <w:numFmt w:val="bullet"/>
      <w:start w:val="1"/>
    </w:lvl>
  </w:abstractNum>
  <w:abstractNum w:abstractNumId="127">
    <w:nsid w:val="4BEE5A5B"/>
    <w:multiLevelType w:val="hybridMultilevel"/>
    <w:lvl w:ilvl="0">
      <w:lvlJc w:val="left"/>
      <w:lvlText w:val="•"/>
      <w:numFmt w:val="bullet"/>
      <w:start w:val="1"/>
    </w:lvl>
  </w:abstractNum>
  <w:abstractNum w:abstractNumId="128">
    <w:nsid w:val="5551B9F3"/>
    <w:multiLevelType w:val="hybridMultilevel"/>
    <w:lvl w:ilvl="0">
      <w:lvlJc w:val="left"/>
      <w:lvlText w:val="•"/>
      <w:numFmt w:val="bullet"/>
      <w:start w:val="1"/>
    </w:lvl>
  </w:abstractNum>
  <w:abstractNum w:abstractNumId="129">
    <w:nsid w:val="24F6AB8E"/>
    <w:multiLevelType w:val="hybridMultilevel"/>
    <w:lvl w:ilvl="0">
      <w:lvlJc w:val="left"/>
      <w:lvlText w:val="•"/>
      <w:numFmt w:val="bullet"/>
      <w:start w:val="1"/>
    </w:lvl>
  </w:abstractNum>
  <w:abstractNum w:abstractNumId="130">
    <w:nsid w:val="634C574C"/>
    <w:multiLevelType w:val="hybridMultilevel"/>
    <w:lvl w:ilvl="0">
      <w:lvlJc w:val="left"/>
      <w:lvlText w:val="•"/>
      <w:numFmt w:val="bullet"/>
      <w:start w:val="1"/>
    </w:lvl>
  </w:abstractNum>
  <w:abstractNum w:abstractNumId="131">
    <w:nsid w:val="24E99DD7"/>
    <w:multiLevelType w:val="hybridMultilevel"/>
    <w:lvl w:ilvl="0">
      <w:lvlJc w:val="left"/>
      <w:lvlText w:val="•"/>
      <w:numFmt w:val="bullet"/>
      <w:start w:val="1"/>
    </w:lvl>
  </w:abstractNum>
  <w:abstractNum w:abstractNumId="132">
    <w:nsid w:val="2A31B62D"/>
    <w:multiLevelType w:val="hybridMultilevel"/>
    <w:lvl w:ilvl="0">
      <w:lvlJc w:val="left"/>
      <w:lvlText w:val="•"/>
      <w:numFmt w:val="bullet"/>
      <w:start w:val="1"/>
    </w:lvl>
  </w:abstractNum>
  <w:abstractNum w:abstractNumId="133">
    <w:nsid w:val="1849C29B"/>
    <w:multiLevelType w:val="hybridMultilevel"/>
    <w:lvl w:ilvl="0">
      <w:lvlJc w:val="left"/>
      <w:lvlText w:val="•"/>
      <w:numFmt w:val="bullet"/>
      <w:start w:val="1"/>
    </w:lvl>
  </w:abstractNum>
  <w:abstractNum w:abstractNumId="134">
    <w:nsid w:val="7DFF9D09"/>
    <w:multiLevelType w:val="hybridMultilevel"/>
    <w:lvl w:ilvl="0">
      <w:lvlJc w:val="left"/>
      <w:lvlText w:val="•"/>
      <w:numFmt w:val="bullet"/>
      <w:start w:val="1"/>
    </w:lvl>
  </w:abstractNum>
  <w:abstractNum w:abstractNumId="135">
    <w:nsid w:val="754342"/>
    <w:multiLevelType w:val="hybridMultilevel"/>
    <w:lvl w:ilvl="0">
      <w:lvlJc w:val="left"/>
      <w:lvlText w:val="•"/>
      <w:numFmt w:val="bullet"/>
      <w:start w:val="1"/>
    </w:lvl>
  </w:abstractNum>
  <w:abstractNum w:abstractNumId="136">
    <w:nsid w:val="69E7F3E5"/>
    <w:multiLevelType w:val="hybridMultilevel"/>
    <w:lvl w:ilvl="0">
      <w:lvlJc w:val="left"/>
      <w:lvlText w:val="•"/>
      <w:numFmt w:val="bullet"/>
      <w:start w:val="1"/>
    </w:lvl>
  </w:abstractNum>
  <w:abstractNum w:abstractNumId="137">
    <w:nsid w:val="2A6DE806"/>
    <w:multiLevelType w:val="hybridMultilevel"/>
    <w:lvl w:ilvl="0">
      <w:lvlJc w:val="left"/>
      <w:lvlText w:val="•"/>
      <w:numFmt w:val="bullet"/>
      <w:start w:val="1"/>
    </w:lvl>
  </w:abstractNum>
  <w:abstractNum w:abstractNumId="138">
    <w:nsid w:val="1816F8C4"/>
    <w:multiLevelType w:val="hybridMultilevel"/>
    <w:lvl w:ilvl="0">
      <w:lvlJc w:val="left"/>
      <w:lvlText w:val="•"/>
      <w:numFmt w:val="bullet"/>
      <w:start w:val="1"/>
    </w:lvl>
  </w:abstractNum>
  <w:abstractNum w:abstractNumId="139">
    <w:nsid w:val="37DF2233"/>
    <w:multiLevelType w:val="hybridMultilevel"/>
    <w:lvl w:ilvl="0">
      <w:lvlJc w:val="left"/>
      <w:lvlText w:val="•"/>
      <w:numFmt w:val="bullet"/>
      <w:start w:val="1"/>
    </w:lvl>
  </w:abstractNum>
  <w:abstractNum w:abstractNumId="140">
    <w:nsid w:val="7AB49DAF"/>
    <w:multiLevelType w:val="hybridMultilevel"/>
    <w:lvl w:ilvl="0">
      <w:lvlJc w:val="left"/>
      <w:lvlText w:val="•"/>
      <w:numFmt w:val="bullet"/>
      <w:start w:val="1"/>
    </w:lvl>
  </w:abstractNum>
  <w:abstractNum w:abstractNumId="141">
    <w:nsid w:val="759F82CD"/>
    <w:multiLevelType w:val="hybridMultilevel"/>
    <w:lvl w:ilvl="0">
      <w:lvlJc w:val="left"/>
      <w:lvlText w:val="•"/>
      <w:numFmt w:val="bullet"/>
      <w:start w:val="1"/>
    </w:lvl>
  </w:abstractNum>
  <w:abstractNum w:abstractNumId="142">
    <w:nsid w:val="61E74EA3"/>
    <w:multiLevelType w:val="hybridMultilevel"/>
    <w:lvl w:ilvl="0">
      <w:lvlJc w:val="left"/>
      <w:lvlText w:val="%1."/>
      <w:numFmt w:val="decimal"/>
      <w:start w:val="1"/>
    </w:lvl>
    <w:lvl w:ilvl="1">
      <w:lvlJc w:val="left"/>
      <w:lvlText w:val="(%2)"/>
      <w:numFmt w:val="lowerLetter"/>
      <w:start w:val="1"/>
    </w:lvl>
  </w:abstractNum>
  <w:abstractNum w:abstractNumId="143">
    <w:nsid w:val="597B4D84"/>
    <w:multiLevelType w:val="hybridMultilevel"/>
    <w:lvl w:ilvl="0">
      <w:lvlJc w:val="left"/>
      <w:lvlText w:val="%1."/>
      <w:numFmt w:val="decimal"/>
      <w:start w:val="1"/>
    </w:lvl>
    <w:lvl w:ilvl="1">
      <w:lvlJc w:val="left"/>
      <w:lvlText w:val="(%2)"/>
      <w:numFmt w:val="lowerLetter"/>
      <w:start w:val="1"/>
    </w:lvl>
  </w:abstractNum>
  <w:abstractNum w:abstractNumId="144">
    <w:nsid w:val="F819E7F"/>
    <w:multiLevelType w:val="hybridMultilevel"/>
    <w:lvl w:ilvl="0">
      <w:lvlJc w:val="left"/>
      <w:lvlText w:val="(%1)"/>
      <w:numFmt w:val="decimal"/>
      <w:start w:val="1"/>
    </w:lvl>
  </w:abstractNum>
  <w:abstractNum w:abstractNumId="145">
    <w:nsid w:val="57C7D4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146" Type="http://schemas.openxmlformats.org/officeDocument/2006/relationships/hyperlink" Target="http://www.sec.gov/Archives/edgar/data/1830487/000119312521034489/d31744dex31.htm" TargetMode="External"/><Relationship Id="rId147" Type="http://schemas.openxmlformats.org/officeDocument/2006/relationships/hyperlink" Target="http://www.sec.gov/Archives/edgar/data/1830487/000119312521010126/d50231dex101.htm" TargetMode="External"/><Relationship Id="rId148" Type="http://schemas.openxmlformats.org/officeDocument/2006/relationships/hyperlink" Target="http://www.sec.gov/Archives/edgar/data/1830487/000119312521010126/d50231dex102.htm" TargetMode="External"/><Relationship Id="rId149" Type="http://schemas.openxmlformats.org/officeDocument/2006/relationships/hyperlink" Target="http://www.sec.gov/Archives/edgar/data/1830487/000119312521010126/d50231dex103.htm" TargetMode="External"/><Relationship Id="rId150" Type="http://schemas.openxmlformats.org/officeDocument/2006/relationships/hyperlink" Target="http://www.sec.gov/Archives/edgar/data/1830487/000119312521010126/d50231dex104.htm" TargetMode="External"/><Relationship Id="rId151" Type="http://schemas.openxmlformats.org/officeDocument/2006/relationships/hyperlink" Target="http://www.sec.gov/Archives/edgar/data/1830487/000119312521010126/d50231dex105.htm" TargetMode="External"/><Relationship Id="rId152" Type="http://schemas.openxmlformats.org/officeDocument/2006/relationships/hyperlink" Target="http://www.sec.gov/Archives/edgar/data/1830487/000119312521014933/d50231dex106.htm" TargetMode="External"/><Relationship Id="rId153" Type="http://schemas.openxmlformats.org/officeDocument/2006/relationships/hyperlink" Target="http://www.sec.gov/Archives/edgar/data/1830487/000119312521014933/d50231dex107.htm" TargetMode="External"/><Relationship Id="rId154" Type="http://schemas.openxmlformats.org/officeDocument/2006/relationships/hyperlink" Target="http://www.sec.gov/Archives/edgar/data/1830487/000119312521034489/d31744dex101.htm" TargetMode="External"/><Relationship Id="rId155" Type="http://schemas.openxmlformats.org/officeDocument/2006/relationships/hyperlink" Target="http://www.sec.gov/Archives/edgar/data/1830487/000119312521023578/d50231dex108.htm" TargetMode="External"/><Relationship Id="rId156" Type="http://schemas.openxmlformats.org/officeDocument/2006/relationships/hyperlink" Target="http://www.sec.gov/Archives/edgar/data/1830487/000119312521023578/d50231dex1010.htm" TargetMode="External"/><Relationship Id="rId157" Type="http://schemas.openxmlformats.org/officeDocument/2006/relationships/hyperlink" Target="http://www.sec.gov/Archives/edgar/data/1830487/000119312521023578/d50231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2022-03-29T07:04:46Z</dcterms:created>
  <dcterms:modified xsi:type="dcterms:W3CDTF">2022-03-29T07:04:46Z</dcterms:modified>
</cp:coreProperties>
</file>