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4" w:lineRule="exact"/>
        <w:rPr>
          <w:sz w:val="24"/>
          <w:szCs w:val="24"/>
          <w:color w:val="auto"/>
        </w:rPr>
      </w:pPr>
    </w:p>
    <w:p>
      <w:pPr>
        <w:ind w:right="300"/>
        <w:spacing w:after="0" w:line="260"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On June 1, 2023, Pharvaris N.V. (the “Company”) issued a press release announcing its 2023 annual general meeting of shareholders to be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held on June 23, 2023 and made available to its shareholders certain other materials in connection with such meeting. A copy of the press</w:t>
      </w:r>
    </w:p>
    <w:p>
      <w:pPr>
        <w:spacing w:after="0" w:line="234" w:lineRule="auto"/>
        <w:rPr>
          <w:sz w:val="20"/>
          <w:szCs w:val="20"/>
          <w:color w:val="auto"/>
        </w:rPr>
      </w:pPr>
      <w:r>
        <w:rPr>
          <w:rFonts w:ascii="Arial" w:cs="Arial" w:eastAsia="Arial" w:hAnsi="Arial"/>
          <w:sz w:val="18"/>
          <w:szCs w:val="18"/>
          <w:color w:val="auto"/>
        </w:rPr>
        <w:t>release is attached hereto as Exhibit 99.1 and is incorporated by reference herein. The materials made available to the Company’s</w:t>
      </w:r>
    </w:p>
    <w:p>
      <w:pPr>
        <w:spacing w:after="0" w:line="235" w:lineRule="auto"/>
        <w:rPr>
          <w:sz w:val="20"/>
          <w:szCs w:val="20"/>
          <w:color w:val="auto"/>
        </w:rPr>
      </w:pPr>
      <w:r>
        <w:rPr>
          <w:rFonts w:ascii="Arial" w:cs="Arial" w:eastAsia="Arial" w:hAnsi="Arial"/>
          <w:sz w:val="18"/>
          <w:szCs w:val="18"/>
          <w:color w:val="auto"/>
        </w:rPr>
        <w:t>shareholders are attached as Exhibits 99.2 and 99.3 hereto and are incorporated by reference herein. Exhibit 99.4 contains the Company’s</w:t>
      </w:r>
    </w:p>
    <w:p>
      <w:pPr>
        <w:spacing w:after="0" w:line="235" w:lineRule="auto"/>
        <w:rPr>
          <w:sz w:val="20"/>
          <w:szCs w:val="20"/>
          <w:color w:val="auto"/>
        </w:rPr>
      </w:pPr>
      <w:r>
        <w:rPr>
          <w:rFonts w:ascii="Arial" w:cs="Arial" w:eastAsia="Arial" w:hAnsi="Arial"/>
          <w:sz w:val="18"/>
          <w:szCs w:val="18"/>
          <w:color w:val="auto"/>
        </w:rPr>
        <w:t>Annual Report for the year ended December 31,</w:t>
      </w:r>
    </w:p>
    <w:p>
      <w:pPr>
        <w:spacing w:after="0" w:line="235" w:lineRule="auto"/>
        <w:rPr>
          <w:sz w:val="20"/>
          <w:szCs w:val="20"/>
          <w:color w:val="auto"/>
        </w:rPr>
      </w:pPr>
      <w:r>
        <w:rPr>
          <w:rFonts w:ascii="Arial" w:cs="Arial" w:eastAsia="Arial" w:hAnsi="Arial"/>
          <w:sz w:val="18"/>
          <w:szCs w:val="18"/>
          <w:color w:val="auto"/>
        </w:rPr>
        <w:t>2022, which is furnished herewith.</w:t>
      </w: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560" w:type="dxa"/>
            <w:vAlign w:val="bottom"/>
          </w:tcPr>
          <w:p>
            <w:pPr>
              <w:spacing w:after="0"/>
              <w:rPr>
                <w:sz w:val="21"/>
                <w:szCs w:val="21"/>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560" w:type="dxa"/>
            <w:vAlign w:val="bottom"/>
          </w:tcPr>
          <w:p>
            <w:pPr>
              <w:spacing w:after="0"/>
              <w:rPr>
                <w:sz w:val="20"/>
                <w:szCs w:val="20"/>
                <w:color w:val="auto"/>
              </w:rPr>
            </w:pPr>
            <w:r>
              <w:rPr>
                <w:rFonts w:ascii="Arial" w:cs="Arial" w:eastAsia="Arial" w:hAnsi="Arial"/>
                <w:sz w:val="18"/>
                <w:szCs w:val="18"/>
                <w:color w:val="auto"/>
              </w:rPr>
              <w:t>Date: June 1, 2023</w:t>
            </w:r>
          </w:p>
        </w:tc>
        <w:tc>
          <w:tcPr>
            <w:tcW w:w="2980" w:type="dxa"/>
            <w:vAlign w:val="bottom"/>
          </w:tcPr>
          <w:p>
            <w:pPr>
              <w:ind w:left="20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0"/>
        </w:trPr>
        <w:tc>
          <w:tcPr>
            <w:tcW w:w="3560" w:type="dxa"/>
            <w:vAlign w:val="bottom"/>
          </w:tcPr>
          <w:p>
            <w:pPr>
              <w:spacing w:after="0"/>
              <w:rPr>
                <w:sz w:val="19"/>
                <w:szCs w:val="19"/>
                <w:color w:val="auto"/>
              </w:rPr>
            </w:pPr>
          </w:p>
        </w:tc>
        <w:tc>
          <w:tcPr>
            <w:tcW w:w="2980" w:type="dxa"/>
            <w:vAlign w:val="bottom"/>
          </w:tcPr>
          <w:p>
            <w:pPr>
              <w:ind w:left="204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43"/>
        </w:trPr>
        <w:tc>
          <w:tcPr>
            <w:tcW w:w="3560" w:type="dxa"/>
            <w:vAlign w:val="bottom"/>
          </w:tcPr>
          <w:p>
            <w:pPr>
              <w:spacing w:after="0"/>
              <w:rPr>
                <w:sz w:val="21"/>
                <w:szCs w:val="21"/>
                <w:color w:val="auto"/>
              </w:rPr>
            </w:pPr>
          </w:p>
        </w:tc>
        <w:tc>
          <w:tcPr>
            <w:tcW w:w="2980" w:type="dxa"/>
            <w:vAlign w:val="bottom"/>
          </w:tcPr>
          <w:p>
            <w:pPr>
              <w:ind w:left="204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560" w:type="dxa"/>
            <w:vAlign w:val="bottom"/>
            <w:gridSpan w:val="3"/>
          </w:tcPr>
          <w:p>
            <w:pPr>
              <w:ind w:left="1340"/>
              <w:spacing w:after="0"/>
              <w:rPr>
                <w:sz w:val="20"/>
                <w:szCs w:val="20"/>
                <w:color w:val="auto"/>
              </w:rPr>
            </w:pPr>
            <w:r>
              <w:rPr>
                <w:rFonts w:ascii="Arial" w:cs="Arial" w:eastAsia="Arial" w:hAnsi="Arial"/>
                <w:sz w:val="18"/>
                <w:szCs w:val="18"/>
                <w:b w:val="1"/>
                <w:bCs w:val="1"/>
                <w:color w:val="auto"/>
              </w:rPr>
              <w:t>EXHIB INDEX</w:t>
            </w:r>
          </w:p>
        </w:tc>
      </w:tr>
      <w:tr>
        <w:trPr>
          <w:trHeight w:val="436"/>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46"/>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1"/>
                <w:szCs w:val="21"/>
                <w:color w:val="auto"/>
              </w:rPr>
            </w:pPr>
          </w:p>
        </w:tc>
        <w:tc>
          <w:tcPr>
            <w:tcW w:w="10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4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160" w:type="dxa"/>
            <w:vAlign w:val="bottom"/>
          </w:tcPr>
          <w:p>
            <w:pPr>
              <w:spacing w:after="0"/>
              <w:rPr>
                <w:sz w:val="15"/>
                <w:szCs w:val="15"/>
                <w:color w:val="auto"/>
              </w:rPr>
            </w:pPr>
          </w:p>
        </w:tc>
        <w:tc>
          <w:tcPr>
            <w:tcW w:w="10040" w:type="dxa"/>
            <w:vAlign w:val="bottom"/>
            <w:gridSpan w:val="5"/>
          </w:tcPr>
          <w:p>
            <w:pPr>
              <w:spacing w:after="0" w:line="175" w:lineRule="exact"/>
              <w:rPr>
                <w:sz w:val="20"/>
                <w:szCs w:val="20"/>
                <w:color w:val="auto"/>
              </w:rPr>
            </w:pPr>
            <w:r>
              <w:rPr>
                <w:rFonts w:ascii="Arial" w:cs="Arial" w:eastAsia="Arial" w:hAnsi="Arial"/>
                <w:sz w:val="16"/>
                <w:szCs w:val="16"/>
                <w:color w:val="0000FF"/>
              </w:rPr>
              <w:t>Press Release dated June 1, 2023</w:t>
            </w:r>
            <w:r>
              <w:rPr>
                <w:rFonts w:ascii="Arial" w:cs="Arial" w:eastAsia="Arial" w:hAnsi="Arial"/>
                <w:sz w:val="16"/>
                <w:szCs w:val="16"/>
                <w:color w:val="000000"/>
              </w:rPr>
              <w:t>.</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99.2</w:t>
            </w:r>
          </w:p>
        </w:tc>
        <w:tc>
          <w:tcPr>
            <w:tcW w:w="160" w:type="dxa"/>
            <w:vAlign w:val="bottom"/>
          </w:tcPr>
          <w:p>
            <w:pPr>
              <w:spacing w:after="0"/>
              <w:rPr>
                <w:sz w:val="17"/>
                <w:szCs w:val="17"/>
                <w:color w:val="auto"/>
              </w:rPr>
            </w:pPr>
          </w:p>
        </w:tc>
        <w:tc>
          <w:tcPr>
            <w:tcW w:w="10040" w:type="dxa"/>
            <w:vAlign w:val="bottom"/>
            <w:gridSpan w:val="5"/>
          </w:tcPr>
          <w:p>
            <w:pPr>
              <w:spacing w:after="0"/>
              <w:rPr>
                <w:sz w:val="20"/>
                <w:szCs w:val="20"/>
                <w:color w:val="auto"/>
              </w:rPr>
            </w:pPr>
            <w:r>
              <w:rPr>
                <w:rFonts w:ascii="Arial" w:cs="Arial" w:eastAsia="Arial" w:hAnsi="Arial"/>
                <w:sz w:val="16"/>
                <w:szCs w:val="16"/>
                <w:color w:val="0000FF"/>
              </w:rPr>
              <w:t>Convening Notice, including Agenda and Explanatory Notes.</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99.3</w:t>
            </w:r>
          </w:p>
        </w:tc>
        <w:tc>
          <w:tcPr>
            <w:tcW w:w="160" w:type="dxa"/>
            <w:vAlign w:val="bottom"/>
          </w:tcPr>
          <w:p>
            <w:pPr>
              <w:spacing w:after="0"/>
              <w:rPr>
                <w:sz w:val="17"/>
                <w:szCs w:val="17"/>
                <w:color w:val="auto"/>
              </w:rPr>
            </w:pPr>
          </w:p>
        </w:tc>
        <w:tc>
          <w:tcPr>
            <w:tcW w:w="10040" w:type="dxa"/>
            <w:vAlign w:val="bottom"/>
            <w:gridSpan w:val="5"/>
          </w:tcPr>
          <w:p>
            <w:pPr>
              <w:spacing w:after="0"/>
              <w:rPr>
                <w:sz w:val="20"/>
                <w:szCs w:val="20"/>
                <w:color w:val="auto"/>
              </w:rPr>
            </w:pPr>
            <w:r>
              <w:rPr>
                <w:rFonts w:ascii="Arial" w:cs="Arial" w:eastAsia="Arial" w:hAnsi="Arial"/>
                <w:sz w:val="16"/>
                <w:szCs w:val="16"/>
                <w:color w:val="0000FF"/>
              </w:rPr>
              <w:t>Voting Proxy</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99.4</w:t>
            </w:r>
          </w:p>
        </w:tc>
        <w:tc>
          <w:tcPr>
            <w:tcW w:w="160" w:type="dxa"/>
            <w:vAlign w:val="bottom"/>
          </w:tcPr>
          <w:p>
            <w:pPr>
              <w:spacing w:after="0"/>
              <w:rPr>
                <w:sz w:val="17"/>
                <w:szCs w:val="17"/>
                <w:color w:val="auto"/>
              </w:rPr>
            </w:pPr>
          </w:p>
        </w:tc>
        <w:tc>
          <w:tcPr>
            <w:tcW w:w="10040" w:type="dxa"/>
            <w:vAlign w:val="bottom"/>
            <w:gridSpan w:val="5"/>
          </w:tcPr>
          <w:p>
            <w:pPr>
              <w:spacing w:after="0"/>
              <w:rPr>
                <w:sz w:val="20"/>
                <w:szCs w:val="20"/>
                <w:color w:val="auto"/>
              </w:rPr>
            </w:pPr>
            <w:r>
              <w:rPr>
                <w:rFonts w:ascii="Arial" w:cs="Arial" w:eastAsia="Arial" w:hAnsi="Arial"/>
                <w:sz w:val="16"/>
                <w:szCs w:val="16"/>
                <w:color w:val="0000FF"/>
              </w:rPr>
              <w:t>Pharvaris N.V. Annual Report for the year ended December 31, 2022 (prepared in accordance with IFRS-EU).</w:t>
            </w:r>
          </w:p>
        </w:tc>
      </w:tr>
      <w:tr>
        <w:trPr>
          <w:trHeight w:val="352"/>
        </w:trPr>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580" w:type="dxa"/>
            <w:vAlign w:val="bottom"/>
            <w:tcBorders>
              <w:top w:val="single" w:sz="8" w:color="0000FF"/>
              <w:bottom w:val="single" w:sz="8" w:color="9A9A9A"/>
            </w:tcBorders>
          </w:tcPr>
          <w:p>
            <w:pPr>
              <w:spacing w:after="0"/>
              <w:rPr>
                <w:sz w:val="24"/>
                <w:szCs w:val="24"/>
                <w:color w:val="auto"/>
              </w:rPr>
            </w:pPr>
          </w:p>
        </w:tc>
        <w:tc>
          <w:tcPr>
            <w:tcW w:w="1840" w:type="dxa"/>
            <w:vAlign w:val="bottom"/>
            <w:tcBorders>
              <w:top w:val="single" w:sz="8" w:color="0000FF"/>
              <w:bottom w:val="single" w:sz="8" w:color="9A9A9A"/>
            </w:tcBorders>
          </w:tcPr>
          <w:p>
            <w:pPr>
              <w:spacing w:after="0"/>
              <w:rPr>
                <w:sz w:val="24"/>
                <w:szCs w:val="24"/>
                <w:color w:val="auto"/>
              </w:rPr>
            </w:pPr>
          </w:p>
        </w:tc>
        <w:tc>
          <w:tcPr>
            <w:tcW w:w="3520" w:type="dxa"/>
            <w:vAlign w:val="bottom"/>
            <w:tcBorders>
              <w:top w:val="single" w:sz="8" w:color="0000FF"/>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5343525</wp:posOffset>
            </wp:positionH>
            <wp:positionV relativeFrom="page">
              <wp:posOffset>88900</wp:posOffset>
            </wp:positionV>
            <wp:extent cx="199707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97075" cy="291465"/>
                    </a:xfrm>
                    <a:prstGeom prst="rect">
                      <a:avLst/>
                    </a:prstGeom>
                    <a:noFill/>
                  </pic:spPr>
                </pic:pic>
              </a:graphicData>
            </a:graphic>
          </wp:anchor>
        </w:drawing>
        <w:t>Exhibit 99.1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Announces Annual Meeting of Shareholders</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 xml:space="preserve">Zug, Switzerland, June 1, 2023 </w:t>
      </w:r>
      <w:r>
        <w:rPr>
          <w:rFonts w:ascii="Arial" w:cs="Arial" w:eastAsia="Arial" w:hAnsi="Arial"/>
          <w:sz w:val="20"/>
          <w:szCs w:val="20"/>
          <w:color w:val="auto"/>
        </w:rPr>
        <w:t>– Pharvaris (Nasdaq: PHVS), a clinical-stage company developing novel, oral bradykinin-B2-receptor</w:t>
      </w:r>
      <w:r>
        <w:rPr>
          <w:rFonts w:ascii="Arial" w:cs="Arial" w:eastAsia="Arial" w:hAnsi="Arial"/>
          <w:sz w:val="20"/>
          <w:szCs w:val="20"/>
          <w:b w:val="1"/>
          <w:bCs w:val="1"/>
          <w:color w:val="auto"/>
        </w:rPr>
        <w:t xml:space="preserve"> </w:t>
      </w:r>
      <w:r>
        <w:rPr>
          <w:rFonts w:ascii="Arial" w:cs="Arial" w:eastAsia="Arial" w:hAnsi="Arial"/>
          <w:sz w:val="20"/>
          <w:szCs w:val="20"/>
          <w:color w:val="auto"/>
        </w:rPr>
        <w:t>antagonists to treat and prevent hereditary angioedema (HAE) attacks, today announced the annual general meeting of shareholders will take place on Friday, June 23, 2023, at 15:00 CEST (9:00 a.m. EDT).</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All relevant documents and information relating to the annual general meeting, including the notice and agenda for the annual general meeting, are or will be made available in the “Investors” section of Pharvaris’ website under “Events &amp; Presentations”. The documents will also be made available on the SEC’s website at www.sec.gov. Shareholders who wish to attend the meeting should register as described in the notice and agenda for the annual general meeting.</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2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Building on its deep-seated roots in hereditary angioedema (HAE), Pharvaris is a clinical-stage company developing novel, oral bradykinin-B2-receptor antagonists to treat and prevent HAE attacks. By directly targeting this clinically proven therapeutic target with novel small molecules, the Pharvaris team aspires to offer people with all sub-types of HAE safe, effective, and convenient alternatives to treat attacks, both on-demand and prophylactically. The company brings together the best talent in the industry with deep expertise in rare diseases and HAE. For more information, visit https://pharvaris.com/.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Maggie Beller</w:t>
      </w:r>
    </w:p>
    <w:p>
      <w:pPr>
        <w:spacing w:after="0"/>
        <w:rPr>
          <w:sz w:val="20"/>
          <w:szCs w:val="20"/>
          <w:color w:val="auto"/>
        </w:rPr>
      </w:pPr>
      <w:r>
        <w:rPr>
          <w:rFonts w:ascii="Arial" w:cs="Arial" w:eastAsia="Arial" w:hAnsi="Arial"/>
          <w:sz w:val="20"/>
          <w:szCs w:val="20"/>
          <w:color w:val="auto"/>
        </w:rPr>
        <w:t>Head of Public Relations and Communications</w:t>
      </w:r>
    </w:p>
    <w:p>
      <w:pPr>
        <w:spacing w:after="0"/>
        <w:rPr>
          <w:sz w:val="20"/>
          <w:szCs w:val="20"/>
          <w:color w:val="auto"/>
        </w:rPr>
      </w:pPr>
      <w:r>
        <w:rPr>
          <w:rFonts w:ascii="Arial" w:cs="Arial" w:eastAsia="Arial" w:hAnsi="Arial"/>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20"/>
        <w:spacing w:after="0"/>
        <w:rPr>
          <w:sz w:val="20"/>
          <w:szCs w:val="20"/>
          <w:color w:val="auto"/>
        </w:rPr>
      </w:pPr>
      <w:r>
        <w:rPr>
          <w:rFonts w:ascii="Arial" w:cs="Arial" w:eastAsia="Arial" w:hAnsi="Arial"/>
          <w:sz w:val="18"/>
          <w:szCs w:val="18"/>
          <w:b w:val="1"/>
          <w:bCs w:val="1"/>
          <w:color w:val="auto"/>
        </w:rPr>
        <w:t>Exhibit 99.2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CONVENING NOTICE</w:t>
      </w:r>
    </w:p>
    <w:p>
      <w:pPr>
        <w:spacing w:after="0" w:line="20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This is the convening notice for the annual general meeting of shareholders of Pharvaris N.V. (the "</w:t>
      </w:r>
      <w:r>
        <w:rPr>
          <w:rFonts w:ascii="Arial" w:cs="Arial" w:eastAsia="Arial" w:hAnsi="Arial"/>
          <w:sz w:val="18"/>
          <w:szCs w:val="18"/>
          <w:b w:val="1"/>
          <w:bCs w:val="1"/>
          <w:color w:val="auto"/>
        </w:rPr>
        <w:t>Company</w:t>
      </w:r>
      <w:r>
        <w:rPr>
          <w:rFonts w:ascii="Arial" w:cs="Arial" w:eastAsia="Arial" w:hAnsi="Arial"/>
          <w:sz w:val="18"/>
          <w:szCs w:val="18"/>
          <w:color w:val="auto"/>
        </w:rPr>
        <w:t>") to be held on June 23, 2023 at 3:00 p.m. CEST at the offices of NautaDutilh N.V., Beethovenstraat 400, 1082 PR Amsterdam, the Netherlands (the "</w:t>
      </w:r>
      <w:r>
        <w:rPr>
          <w:rFonts w:ascii="Arial" w:cs="Arial" w:eastAsia="Arial" w:hAnsi="Arial"/>
          <w:sz w:val="18"/>
          <w:szCs w:val="18"/>
          <w:b w:val="1"/>
          <w:bCs w:val="1"/>
          <w:color w:val="auto"/>
        </w:rPr>
        <w:t>AGM</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agenda for the AGM is as follows:</w:t>
      </w:r>
    </w:p>
    <w:p>
      <w:pPr>
        <w:spacing w:after="0" w:line="229" w:lineRule="exact"/>
        <w:rPr>
          <w:sz w:val="20"/>
          <w:szCs w:val="20"/>
          <w:color w:val="auto"/>
        </w:rPr>
      </w:pPr>
    </w:p>
    <w:p>
      <w:pPr>
        <w:ind w:left="760" w:hanging="378"/>
        <w:spacing w:after="0"/>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Opening</w:t>
      </w:r>
    </w:p>
    <w:p>
      <w:pPr>
        <w:spacing w:after="0" w:line="229" w:lineRule="exact"/>
        <w:rPr>
          <w:rFonts w:ascii="Arial" w:cs="Arial" w:eastAsia="Arial" w:hAnsi="Arial"/>
          <w:sz w:val="20"/>
          <w:szCs w:val="20"/>
          <w:color w:val="auto"/>
        </w:rPr>
      </w:pPr>
    </w:p>
    <w:p>
      <w:pPr>
        <w:ind w:left="760" w:hanging="378"/>
        <w:spacing w:after="0"/>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Discussion of Dutch statutory board report for the fiscal year ended December 31, 2022 (</w:t>
      </w:r>
      <w:r>
        <w:rPr>
          <w:rFonts w:ascii="Arial" w:cs="Arial" w:eastAsia="Arial" w:hAnsi="Arial"/>
          <w:sz w:val="20"/>
          <w:szCs w:val="20"/>
          <w:i w:val="1"/>
          <w:iCs w:val="1"/>
          <w:color w:val="auto"/>
        </w:rPr>
        <w:t>discussion item</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760" w:hanging="378"/>
        <w:spacing w:after="0"/>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Adoption of Dutch statutory annual accounts for the fiscal year ended December 31, 2022 (</w:t>
      </w:r>
      <w:r>
        <w:rPr>
          <w:rFonts w:ascii="Arial" w:cs="Arial" w:eastAsia="Arial" w:hAnsi="Arial"/>
          <w:sz w:val="20"/>
          <w:szCs w:val="20"/>
          <w:i w:val="1"/>
          <w:iCs w:val="1"/>
          <w:color w:val="auto"/>
        </w:rPr>
        <w:t>voting item</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760" w:hanging="378"/>
        <w:spacing w:after="0" w:line="260"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Instruction to PricewaterhouseCoopers Accountants N.V. for the external audit of the Company's statutory annual accounts for the fiscal year ending December 31, 2023 (</w:t>
      </w:r>
      <w:r>
        <w:rPr>
          <w:rFonts w:ascii="Arial" w:cs="Arial" w:eastAsia="Arial" w:hAnsi="Arial"/>
          <w:sz w:val="20"/>
          <w:szCs w:val="20"/>
          <w:i w:val="1"/>
          <w:iCs w:val="1"/>
          <w:color w:val="auto"/>
        </w:rPr>
        <w:t>voting item</w:t>
      </w:r>
      <w:r>
        <w:rPr>
          <w:rFonts w:ascii="Arial" w:cs="Arial" w:eastAsia="Arial" w:hAnsi="Arial"/>
          <w:sz w:val="20"/>
          <w:szCs w:val="20"/>
          <w:color w:val="auto"/>
        </w:rPr>
        <w:t>)</w:t>
      </w:r>
    </w:p>
    <w:p>
      <w:pPr>
        <w:spacing w:after="0" w:line="392" w:lineRule="exact"/>
        <w:rPr>
          <w:rFonts w:ascii="Arial" w:cs="Arial" w:eastAsia="Arial" w:hAnsi="Arial"/>
          <w:sz w:val="20"/>
          <w:szCs w:val="20"/>
          <w:color w:val="auto"/>
        </w:rPr>
      </w:pPr>
    </w:p>
    <w:p>
      <w:pPr>
        <w:ind w:left="760" w:hanging="378"/>
        <w:spacing w:after="0" w:line="260"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Discharge from liability for the Company's directors with respect to the performance of their duties during the fiscal year ended December 31, 2022 (</w:t>
      </w:r>
      <w:r>
        <w:rPr>
          <w:rFonts w:ascii="Arial" w:cs="Arial" w:eastAsia="Arial" w:hAnsi="Arial"/>
          <w:sz w:val="20"/>
          <w:szCs w:val="20"/>
          <w:i w:val="1"/>
          <w:iCs w:val="1"/>
          <w:color w:val="auto"/>
        </w:rPr>
        <w:t>voting item</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760" w:hanging="378"/>
        <w:spacing w:after="0"/>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Discussion of the Company's dividend and reservation policy (</w:t>
      </w:r>
      <w:r>
        <w:rPr>
          <w:rFonts w:ascii="Arial" w:cs="Arial" w:eastAsia="Arial" w:hAnsi="Arial"/>
          <w:sz w:val="20"/>
          <w:szCs w:val="20"/>
          <w:i w:val="1"/>
          <w:iCs w:val="1"/>
          <w:color w:val="auto"/>
        </w:rPr>
        <w:t>discussion item</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Extension of authorization for the Board to acquire shares and depository receipts for shares in the Company's capital (</w:t>
      </w:r>
      <w:r>
        <w:rPr>
          <w:rFonts w:ascii="Arial" w:cs="Arial" w:eastAsia="Arial" w:hAnsi="Arial"/>
          <w:sz w:val="18"/>
          <w:szCs w:val="18"/>
          <w:i w:val="1"/>
          <w:iCs w:val="1"/>
          <w:color w:val="auto"/>
        </w:rPr>
        <w:t>voting item</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Closing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 business shall be voted on at the AGM, except such items as included in the above-mentioned agenda.</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record date for the AGM is May 26, 2023 (the "</w:t>
      </w:r>
      <w:r>
        <w:rPr>
          <w:rFonts w:ascii="Arial" w:cs="Arial" w:eastAsia="Arial" w:hAnsi="Arial"/>
          <w:sz w:val="18"/>
          <w:szCs w:val="18"/>
          <w:b w:val="1"/>
          <w:bCs w:val="1"/>
          <w:color w:val="auto"/>
        </w:rPr>
        <w:t>Record Date</w:t>
      </w:r>
      <w:r>
        <w:rPr>
          <w:rFonts w:ascii="Arial" w:cs="Arial" w:eastAsia="Arial" w:hAnsi="Arial"/>
          <w:sz w:val="18"/>
          <w:szCs w:val="18"/>
          <w:color w:val="auto"/>
        </w:rPr>
        <w:t>").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Arial" w:cs="Arial" w:eastAsia="Arial" w:hAnsi="Arial"/>
          <w:sz w:val="18"/>
          <w:szCs w:val="18"/>
          <w:b w:val="1"/>
          <w:bCs w:val="1"/>
          <w:color w:val="auto"/>
        </w:rPr>
        <w:t>Registers</w:t>
      </w:r>
      <w:r>
        <w:rPr>
          <w:rFonts w:ascii="Arial" w:cs="Arial" w:eastAsia="Arial" w:hAnsi="Arial"/>
          <w:sz w:val="18"/>
          <w:szCs w:val="18"/>
          <w:color w:val="auto"/>
        </w:rPr>
        <w:t>") may attend and, if relevant, vote at the AGM ("</w:t>
      </w:r>
      <w:r>
        <w:rPr>
          <w:rFonts w:ascii="Arial" w:cs="Arial" w:eastAsia="Arial" w:hAnsi="Arial"/>
          <w:sz w:val="18"/>
          <w:szCs w:val="18"/>
          <w:b w:val="1"/>
          <w:bCs w:val="1"/>
          <w:color w:val="auto"/>
        </w:rPr>
        <w:t>Persons with Meeting Rights</w:t>
      </w:r>
      <w:r>
        <w:rPr>
          <w:rFonts w:ascii="Arial" w:cs="Arial" w:eastAsia="Arial" w:hAnsi="Arial"/>
          <w:sz w:val="18"/>
          <w:szCs w:val="18"/>
          <w:color w:val="auto"/>
        </w:rPr>
        <w:t>"), irrespective of changes to their shareholdings or rights after the Record Date.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Those who beneficially own shares in the Company's capital in an account at a bank, a financial institution, an account holder or other financial intermediary (the " </w:t>
      </w:r>
      <w:r>
        <w:rPr>
          <w:rFonts w:ascii="Arial" w:cs="Arial" w:eastAsia="Arial" w:hAnsi="Arial"/>
          <w:sz w:val="18"/>
          <w:szCs w:val="18"/>
          <w:b w:val="1"/>
          <w:bCs w:val="1"/>
          <w:color w:val="auto"/>
        </w:rPr>
        <w:t>Beneficial Owners</w:t>
      </w:r>
      <w:r>
        <w:rPr>
          <w:rFonts w:ascii="Arial" w:cs="Arial" w:eastAsia="Arial" w:hAnsi="Arial"/>
          <w:sz w:val="18"/>
          <w:szCs w:val="18"/>
          <w:color w:val="auto"/>
        </w:rPr>
        <w:t>") on the Record Date, must also have their financial intermediary or their agent with whom the underlying shares are on deposit issue a proxy to them which confirms they are authorized to take part in and vote at the AGM.</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82044620 M 52331893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both"/>
        <w:spacing w:after="0" w:line="243" w:lineRule="auto"/>
        <w:rPr>
          <w:sz w:val="20"/>
          <w:szCs w:val="20"/>
          <w:color w:val="auto"/>
        </w:rPr>
      </w:pPr>
      <w:r>
        <w:rPr>
          <w:rFonts w:ascii="Arial" w:cs="Arial" w:eastAsia="Arial" w:hAnsi="Arial"/>
          <w:sz w:val="20"/>
          <w:szCs w:val="20"/>
          <w:color w:val="auto"/>
        </w:rPr>
        <w:t>Persons with Meeting Rights and Beneficial Owners who wish to attend the AGM, in person or represented by proxy, must notify the Company in writing of their identity and intention to attend the AGM (an "</w:t>
      </w:r>
      <w:r>
        <w:rPr>
          <w:rFonts w:ascii="Arial" w:cs="Arial" w:eastAsia="Arial" w:hAnsi="Arial"/>
          <w:sz w:val="20"/>
          <w:szCs w:val="20"/>
          <w:b w:val="1"/>
          <w:bCs w:val="1"/>
          <w:color w:val="auto"/>
        </w:rPr>
        <w:t>Attendance Notice</w:t>
      </w:r>
      <w:r>
        <w:rPr>
          <w:rFonts w:ascii="Arial" w:cs="Arial" w:eastAsia="Arial" w:hAnsi="Arial"/>
          <w:sz w:val="20"/>
          <w:szCs w:val="20"/>
          <w:color w:val="auto"/>
        </w:rPr>
        <w:t>") no later than 6:00 a.m. CEST on the day prior to the AGM (the "</w:t>
      </w:r>
      <w:r>
        <w:rPr>
          <w:rFonts w:ascii="Arial" w:cs="Arial" w:eastAsia="Arial" w:hAnsi="Arial"/>
          <w:sz w:val="20"/>
          <w:szCs w:val="20"/>
          <w:b w:val="1"/>
          <w:bCs w:val="1"/>
          <w:color w:val="auto"/>
        </w:rPr>
        <w:t>Cut-off Time</w:t>
      </w:r>
      <w:r>
        <w:rPr>
          <w:rFonts w:ascii="Arial" w:cs="Arial" w:eastAsia="Arial" w:hAnsi="Arial"/>
          <w:sz w:val="20"/>
          <w:szCs w:val="20"/>
          <w:color w:val="auto"/>
        </w:rPr>
        <w:t>"). The Attendance Notice must contain the name and number of shares the person will represent in the AGM. Beneficial Owners must also enclose with their Attendance Notice (i) proof of their beneficial ownership of the relevant underlying shares in the Company's capital, such as a recent account statement, and (ii) their signed proxy from their financial intermediary or agent with whom the shares are on deposit.</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Persons with Meeting Rights and Beneficial Owners who have duly provided an Attendance Notice to the Company may have themselves represented at the AGM through the use of a written or electronically recorded proxy. Proxyholders must submit a signed proxy to the Company no later than the Cut-off Time and present a copy of their proxy upon entry to the AGM. A proxy form can be downloaded from the Company's website (http://www.pharvaris.com).</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Attendance Notice, proof of beneficial ownership or signed proxy to be sent to the Company as part of the procedures described above must be provided via regular mail or e-mail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Pharvaris N.V.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 General Counsel</w:t>
      </w:r>
    </w:p>
    <w:p>
      <w:pPr>
        <w:jc w:val="center"/>
        <w:spacing w:after="0"/>
        <w:rPr>
          <w:sz w:val="20"/>
          <w:szCs w:val="20"/>
          <w:color w:val="auto"/>
        </w:rPr>
      </w:pPr>
      <w:r>
        <w:rPr>
          <w:rFonts w:ascii="Arial" w:cs="Arial" w:eastAsia="Arial" w:hAnsi="Arial"/>
          <w:sz w:val="20"/>
          <w:szCs w:val="20"/>
          <w:i w:val="1"/>
          <w:iCs w:val="1"/>
          <w:color w:val="auto"/>
        </w:rPr>
        <w:t>J.H. Oortweg 21</w:t>
      </w:r>
    </w:p>
    <w:p>
      <w:pPr>
        <w:jc w:val="center"/>
        <w:spacing w:after="0"/>
        <w:rPr>
          <w:sz w:val="20"/>
          <w:szCs w:val="20"/>
          <w:color w:val="auto"/>
        </w:rPr>
      </w:pPr>
      <w:r>
        <w:rPr>
          <w:rFonts w:ascii="Arial" w:cs="Arial" w:eastAsia="Arial" w:hAnsi="Arial"/>
          <w:sz w:val="20"/>
          <w:szCs w:val="20"/>
          <w:i w:val="1"/>
          <w:iCs w:val="1"/>
          <w:color w:val="auto"/>
        </w:rPr>
        <w:t>2333CH Leiden</w:t>
      </w:r>
    </w:p>
    <w:p>
      <w:pPr>
        <w:jc w:val="center"/>
        <w:ind w:right="40"/>
        <w:spacing w:after="0"/>
        <w:rPr>
          <w:sz w:val="20"/>
          <w:szCs w:val="20"/>
          <w:color w:val="auto"/>
        </w:rPr>
      </w:pPr>
      <w:r>
        <w:rPr>
          <w:rFonts w:ascii="Arial" w:cs="Arial" w:eastAsia="Arial" w:hAnsi="Arial"/>
          <w:sz w:val="20"/>
          <w:szCs w:val="20"/>
          <w:i w:val="1"/>
          <w:iCs w:val="1"/>
          <w:color w:val="auto"/>
        </w:rPr>
        <w:t>the Netherlands</w:t>
      </w:r>
    </w:p>
    <w:p>
      <w:pPr>
        <w:jc w:val="center"/>
        <w:spacing w:after="0"/>
        <w:rPr>
          <w:sz w:val="20"/>
          <w:szCs w:val="20"/>
          <w:color w:val="auto"/>
        </w:rPr>
      </w:pPr>
      <w:r>
        <w:rPr>
          <w:rFonts w:ascii="Arial" w:cs="Arial" w:eastAsia="Arial" w:hAnsi="Arial"/>
          <w:sz w:val="20"/>
          <w:szCs w:val="20"/>
          <w:i w:val="1"/>
          <w:iCs w:val="1"/>
          <w:color w:val="auto"/>
        </w:rPr>
        <w:t>investor.relations@pharvaris.com</w:t>
      </w:r>
    </w:p>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AGM.</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Broadridge Voting Instructions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has engaged Broadridge to assist in soliciting voting proxies in connection with the AGM. Broadridge will mail this notice and a voting proxy card to all Persons with Meeting Rights. Persons with Meetings Rights who choose to give voting instructions through Broadridge may do so on the internet, by telephone or by returning the proxy card as explained in more detail below.</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Beneficial Owners will not be mailed by Broadridge, but should receive a notice containing voting instructions from their bank, a financial institution, an account holder or other financial intermediary. Follow the instructions from your bank, a financial institution, an account holder or other financial intermediary, or contact such organization to request a proxy card.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Online</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Persons with Meeting Rights may provide voting instructions through the internet before the AGM. Go to www.proxyvote.com to complete an electronic proxy card. You will be asked to provide the 16-digit control number from the proxy card. Your voting instruction must be received by 5:59 a.m. CEST on 23 June 2023 to be counted.</w:t>
      </w:r>
    </w:p>
    <w:p>
      <w:pPr>
        <w:ind w:left="740"/>
        <w:spacing w:after="0"/>
        <w:rPr>
          <w:sz w:val="20"/>
          <w:szCs w:val="20"/>
          <w:color w:val="auto"/>
        </w:rPr>
      </w:pPr>
      <w:r>
        <w:rPr>
          <w:rFonts w:ascii="Arial" w:cs="Arial" w:eastAsia="Arial" w:hAnsi="Arial"/>
          <w:sz w:val="14"/>
          <w:szCs w:val="14"/>
          <w:color w:val="auto"/>
        </w:rPr>
        <w:t>82044620 M 52331893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i w:val="1"/>
          <w:iCs w:val="1"/>
          <w:color w:val="auto"/>
        </w:rPr>
        <w:t>Voting by Telephone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Persons with Meetings Rights may provide voting instructions over the telephone from a location in the United States by dialing toll-free 1-800-690-6903, using a touch-tone phone and follow the recorded instructions. You will be asked to provide the 16-digit control number from the proxy card. Your voting instruction must be received by 5:59 a.m. CEST on 23 June 2023 to be counted.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by Mail</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Persons with Meetings Rights may provide voting instructions using a proxy card by simply completing, signing and dating the proxy card mailed to you and returning it promptly in the envelope provided. If you return your signed proxy card to us before the AGM, we will vote your shares as you direct. Your vote must be received by 5:59 a.m. CEST on 23 June 2023 to be counted.</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4"/>
          <w:szCs w:val="14"/>
          <w:color w:val="auto"/>
        </w:rPr>
        <w:t>82044620 M 52331893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EXPLANATORY NOTES TO THE AGENDA</w:t>
      </w:r>
    </w:p>
    <w:p>
      <w:pPr>
        <w:spacing w:after="0" w:line="229" w:lineRule="exact"/>
        <w:rPr>
          <w:sz w:val="20"/>
          <w:szCs w:val="20"/>
          <w:color w:val="auto"/>
        </w:rPr>
      </w:pPr>
    </w:p>
    <w:p>
      <w:pPr>
        <w:spacing w:after="0"/>
        <w:tabs>
          <w:tab w:leader="none" w:pos="720" w:val="left"/>
          <w:tab w:leader="none" w:pos="82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20"/>
          <w:szCs w:val="20"/>
          <w:b w:val="1"/>
          <w:bCs w:val="1"/>
          <w:color w:val="auto"/>
        </w:rPr>
        <w:t>Discussion of Dutch statutory board report for the fiscal year ended December 31, 2022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discussion item</w:t>
      </w:r>
      <w:r>
        <w:rPr>
          <w:rFonts w:ascii="Arial" w:cs="Arial" w:eastAsia="Arial" w:hAnsi="Arial"/>
          <w:sz w:val="16"/>
          <w:szCs w:val="16"/>
          <w:b w:val="1"/>
          <w:bCs w:val="1"/>
          <w:color w:val="auto"/>
        </w:rPr>
        <w:t>)</w:t>
      </w:r>
    </w:p>
    <w:p>
      <w:pPr>
        <w:spacing w:after="0" w:line="235" w:lineRule="exact"/>
        <w:rPr>
          <w:sz w:val="20"/>
          <w:szCs w:val="20"/>
          <w:color w:val="auto"/>
        </w:rPr>
      </w:pPr>
    </w:p>
    <w:p>
      <w:pPr>
        <w:ind w:left="740"/>
        <w:spacing w:after="0" w:line="260" w:lineRule="auto"/>
        <w:rPr>
          <w:sz w:val="20"/>
          <w:szCs w:val="20"/>
          <w:color w:val="auto"/>
        </w:rPr>
      </w:pPr>
      <w:r>
        <w:rPr>
          <w:rFonts w:ascii="Arial" w:cs="Arial" w:eastAsia="Arial" w:hAnsi="Arial"/>
          <w:sz w:val="20"/>
          <w:szCs w:val="20"/>
          <w:color w:val="auto"/>
        </w:rPr>
        <w:t>The Company's statutory board report over the fiscal year ended December 31, 2022 has been made available on the Company's website (http://www.pharvaris.com) and at the Company's office address.</w:t>
      </w:r>
    </w:p>
    <w:p>
      <w:pPr>
        <w:spacing w:after="0" w:line="184" w:lineRule="exact"/>
        <w:rPr>
          <w:sz w:val="20"/>
          <w:szCs w:val="20"/>
          <w:color w:val="auto"/>
        </w:rPr>
      </w:pPr>
    </w:p>
    <w:p>
      <w:pPr>
        <w:ind w:left="740" w:hanging="732"/>
        <w:spacing w:after="0"/>
        <w:tabs>
          <w:tab w:leader="none" w:pos="7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Adoption of Dutch statutory annual accounts for the fiscal year ended December 31, 2022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740"/>
        <w:spacing w:after="0" w:line="316" w:lineRule="auto"/>
        <w:rPr>
          <w:rFonts w:ascii="Arial" w:cs="Arial" w:eastAsia="Arial" w:hAnsi="Arial"/>
          <w:sz w:val="20"/>
          <w:szCs w:val="20"/>
          <w:b w:val="1"/>
          <w:bCs w:val="1"/>
          <w:color w:val="auto"/>
        </w:rPr>
      </w:pPr>
      <w:r>
        <w:rPr>
          <w:rFonts w:ascii="Arial" w:cs="Arial" w:eastAsia="Arial" w:hAnsi="Arial"/>
          <w:sz w:val="18"/>
          <w:szCs w:val="18"/>
          <w:color w:val="auto"/>
        </w:rPr>
        <w:t>The Company's annual accounts over the fiscal year ended December 31, 2022 have been made available on the Company's website (http://www.pharvaris.com) and at the Company's office address. It is proposed that these annual accounts be adopted.</w:t>
      </w:r>
    </w:p>
    <w:p>
      <w:pPr>
        <w:spacing w:after="0" w:line="137" w:lineRule="exact"/>
        <w:rPr>
          <w:rFonts w:ascii="Arial" w:cs="Arial" w:eastAsia="Arial" w:hAnsi="Arial"/>
          <w:sz w:val="20"/>
          <w:szCs w:val="20"/>
          <w:b w:val="1"/>
          <w:bCs w:val="1"/>
          <w:color w:val="auto"/>
        </w:rPr>
      </w:pPr>
    </w:p>
    <w:p>
      <w:pPr>
        <w:ind w:left="740" w:hanging="732"/>
        <w:spacing w:after="0" w:line="267" w:lineRule="auto"/>
        <w:tabs>
          <w:tab w:leader="none" w:pos="757"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Instruction to PricewaterhouseCoopers Accountants N.V. for the external audit of the Company's annual accounts for the fiscal year ending December 31, 2023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182" w:lineRule="exact"/>
        <w:rPr>
          <w:rFonts w:ascii="Arial" w:cs="Arial" w:eastAsia="Arial" w:hAnsi="Arial"/>
          <w:sz w:val="20"/>
          <w:szCs w:val="20"/>
          <w:b w:val="1"/>
          <w:bCs w:val="1"/>
          <w:color w:val="auto"/>
        </w:rPr>
      </w:pPr>
    </w:p>
    <w:p>
      <w:pPr>
        <w:jc w:val="both"/>
        <w:ind w:left="74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Under Dutch law, the General Meeting is, in principle, the corporate body authorized to annually appoint the external independent auditor for the audit of the Company's annual accounts. It is now proposed to appoint PricewaterhouseCoopers Accountants N.V. as the external independent auditor for the audit of the Company's annual accounts for the fiscal year ending December 31, 2023.</w:t>
      </w:r>
    </w:p>
    <w:p>
      <w:pPr>
        <w:spacing w:after="0" w:line="159" w:lineRule="exact"/>
        <w:rPr>
          <w:rFonts w:ascii="Arial" w:cs="Arial" w:eastAsia="Arial" w:hAnsi="Arial"/>
          <w:sz w:val="20"/>
          <w:szCs w:val="20"/>
          <w:b w:val="1"/>
          <w:bCs w:val="1"/>
          <w:color w:val="auto"/>
        </w:rPr>
      </w:pPr>
    </w:p>
    <w:p>
      <w:pPr>
        <w:ind w:left="740" w:hanging="732"/>
        <w:spacing w:after="0" w:line="267" w:lineRule="auto"/>
        <w:tabs>
          <w:tab w:leader="none" w:pos="754"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Discharge from liability for the Company's directors with respect to the performance of their duties during the fiscal year ended December 31, 2022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182" w:lineRule="exact"/>
        <w:rPr>
          <w:rFonts w:ascii="Arial" w:cs="Arial" w:eastAsia="Arial" w:hAnsi="Arial"/>
          <w:sz w:val="20"/>
          <w:szCs w:val="20"/>
          <w:b w:val="1"/>
          <w:bCs w:val="1"/>
          <w:color w:val="auto"/>
        </w:rPr>
      </w:pPr>
    </w:p>
    <w:p>
      <w:pPr>
        <w:jc w:val="both"/>
        <w:ind w:left="74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It is proposed that the Company's directors be released from liability for the exercise of their duties during the fiscal year ended December 31, 2022. The scope of this release from liability extends to the exercise of their respective duties insofar as these are reflected in the Company's statutory board report or annual accounts over the fiscal year ended December 31, 2022 or in other public disclosures.</w:t>
      </w:r>
    </w:p>
    <w:p>
      <w:pPr>
        <w:spacing w:after="0" w:line="198" w:lineRule="exact"/>
        <w:rPr>
          <w:rFonts w:ascii="Arial" w:cs="Arial" w:eastAsia="Arial" w:hAnsi="Arial"/>
          <w:sz w:val="20"/>
          <w:szCs w:val="20"/>
          <w:b w:val="1"/>
          <w:bCs w:val="1"/>
          <w:color w:val="auto"/>
        </w:rPr>
      </w:pPr>
    </w:p>
    <w:p>
      <w:pPr>
        <w:ind w:left="400" w:hanging="392"/>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Discussion of the Company's dividend and reservation policy (</w:t>
      </w:r>
      <w:r>
        <w:rPr>
          <w:rFonts w:ascii="Arial" w:cs="Arial" w:eastAsia="Arial" w:hAnsi="Arial"/>
          <w:sz w:val="20"/>
          <w:szCs w:val="20"/>
          <w:b w:val="1"/>
          <w:bCs w:val="1"/>
          <w:i w:val="1"/>
          <w:iCs w:val="1"/>
          <w:color w:val="auto"/>
        </w:rPr>
        <w:t>discussion item</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left="740"/>
        <w:spacing w:after="0" w:line="253" w:lineRule="auto"/>
        <w:rPr>
          <w:sz w:val="20"/>
          <w:szCs w:val="20"/>
          <w:color w:val="auto"/>
        </w:rPr>
      </w:pPr>
      <w:r>
        <w:rPr>
          <w:rFonts w:ascii="Arial" w:cs="Arial" w:eastAsia="Arial" w:hAnsi="Arial"/>
          <w:sz w:val="19"/>
          <w:szCs w:val="19"/>
          <w:color w:val="auto"/>
        </w:rPr>
        <w:t>The Company has never paid or declared any cash dividends on its shares, and the Company does not anticipate paying any cash dividends on its shares in the foreseeable future. The Company intends to retain available funds and future earnings to fund the development and expansion of its business. Under Dutch law, the Company may only pay dividends to the extent its shareholders' equity (</w:t>
      </w:r>
      <w:r>
        <w:rPr>
          <w:rFonts w:ascii="Arial" w:cs="Arial" w:eastAsia="Arial" w:hAnsi="Arial"/>
          <w:sz w:val="19"/>
          <w:szCs w:val="19"/>
          <w:i w:val="1"/>
          <w:iCs w:val="1"/>
          <w:color w:val="auto"/>
        </w:rPr>
        <w:t>eigen vermogen</w:t>
      </w:r>
      <w:r>
        <w:rPr>
          <w:rFonts w:ascii="Arial" w:cs="Arial" w:eastAsia="Arial" w:hAnsi="Arial"/>
          <w:sz w:val="19"/>
          <w:szCs w:val="19"/>
          <w:color w:val="auto"/>
        </w:rPr>
        <w:t>) exceeds the sum of the Company's paid-up and called-up share capital plus the reserves required to be maintained by Dutch law or by the Company's articles of association (if any). Subject to such restrictions, any future determination to pay dividends will be at the discretion of the Company's board (the "</w:t>
      </w:r>
      <w:r>
        <w:rPr>
          <w:rFonts w:ascii="Arial" w:cs="Arial" w:eastAsia="Arial" w:hAnsi="Arial"/>
          <w:sz w:val="19"/>
          <w:szCs w:val="19"/>
          <w:b w:val="1"/>
          <w:bCs w:val="1"/>
          <w:color w:val="auto"/>
        </w:rPr>
        <w:t>Board</w:t>
      </w:r>
      <w:r>
        <w:rPr>
          <w:rFonts w:ascii="Arial" w:cs="Arial" w:eastAsia="Arial" w:hAnsi="Arial"/>
          <w:sz w:val="19"/>
          <w:szCs w:val="19"/>
          <w:color w:val="auto"/>
        </w:rPr>
        <w:t>") and will depend upon a number of factors, including the Company's results of operations, financial condition, future prospects, contractual restrictions, restrictions imposed by applicable law and other factors the</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14"/>
          <w:szCs w:val="14"/>
          <w:color w:val="auto"/>
        </w:rPr>
        <w:t>82044620 M 52331893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left="732"/>
        <w:spacing w:after="0" w:line="250" w:lineRule="auto"/>
        <w:rPr>
          <w:sz w:val="20"/>
          <w:szCs w:val="20"/>
          <w:color w:val="auto"/>
        </w:rPr>
      </w:pPr>
      <w:r>
        <w:rPr>
          <w:rFonts w:ascii="Arial" w:cs="Arial" w:eastAsia="Arial" w:hAnsi="Arial"/>
          <w:sz w:val="20"/>
          <w:szCs w:val="20"/>
          <w:color w:val="auto"/>
        </w:rPr>
        <w:t>Board deem relevant. If and when the Company does intend to distribute a dividend, such dividend may be distributed in the form of cash only or shares only, through a combination of the foregoing (cash and shares) or through a choice dividend (cash or shares), in each case subject to applicable law.</w:t>
      </w:r>
    </w:p>
    <w:p>
      <w:pPr>
        <w:spacing w:after="0" w:line="193" w:lineRule="exact"/>
        <w:rPr>
          <w:sz w:val="20"/>
          <w:szCs w:val="20"/>
          <w:color w:val="auto"/>
        </w:rPr>
      </w:pPr>
    </w:p>
    <w:p>
      <w:pPr>
        <w:ind w:left="732" w:hanging="732"/>
        <w:spacing w:after="0" w:line="267" w:lineRule="auto"/>
        <w:tabs>
          <w:tab w:leader="none" w:pos="792"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Extension of authorization for the Board to acquire ordinary shares and depository receipts for ordinary shares in the Company's capital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183" w:lineRule="exact"/>
        <w:rPr>
          <w:sz w:val="20"/>
          <w:szCs w:val="20"/>
          <w:color w:val="auto"/>
        </w:rPr>
      </w:pPr>
    </w:p>
    <w:p>
      <w:pPr>
        <w:jc w:val="both"/>
        <w:ind w:left="732"/>
        <w:spacing w:after="0" w:line="255" w:lineRule="auto"/>
        <w:rPr>
          <w:sz w:val="20"/>
          <w:szCs w:val="20"/>
          <w:color w:val="auto"/>
        </w:rPr>
      </w:pPr>
      <w:r>
        <w:rPr>
          <w:rFonts w:ascii="Arial" w:cs="Arial" w:eastAsia="Arial" w:hAnsi="Arial"/>
          <w:sz w:val="19"/>
          <w:szCs w:val="19"/>
          <w:color w:val="auto"/>
        </w:rPr>
        <w:t>The General Meeting has (i) authorized the Board, for a period of 18 months following 29 June 2022, to resolve for the Company to acquire fully paid-up ordinary shares in the Company's capital (and depository receipts for such ordinary shares), by any means, including through derivative products, purchases on a stock exchange, private purchases, block trades, or otherwise, for a price which is higher than nil and does not exceed 110% of the average market price of the Company's ordinary shares on the Nasdaq Stock Market (such average market price being the average of the closing prices on each of the five consecutive trading days preceding the date the acquisition is agreed upon by the Company), up to 10% of the Company's issued share capital (determined as at the close of business on 29 June 2022) and/or (ii) has authorized the Board, for a period ending 18 months following 29 June 2022, to resolve for the Company to acquire fully paid-up preferred shares (and depository receipts for such preferred shares) in the Company's issued share capital, by any means, including through derivative products, purchases on a stock exchange, private purchases, block trades, or otherwise, for a price which is higher than nil and does not exceed the nominal value of the preferred shares concerned.</w:t>
      </w:r>
    </w:p>
    <w:p>
      <w:pPr>
        <w:spacing w:after="0" w:line="200" w:lineRule="exact"/>
        <w:rPr>
          <w:sz w:val="20"/>
          <w:szCs w:val="20"/>
          <w:color w:val="auto"/>
        </w:rPr>
      </w:pPr>
    </w:p>
    <w:p>
      <w:pPr>
        <w:jc w:val="both"/>
        <w:ind w:left="732"/>
        <w:spacing w:after="0" w:line="263" w:lineRule="auto"/>
        <w:rPr>
          <w:sz w:val="20"/>
          <w:szCs w:val="20"/>
          <w:color w:val="auto"/>
        </w:rPr>
      </w:pPr>
      <w:r>
        <w:rPr>
          <w:rFonts w:ascii="Arial" w:cs="Arial" w:eastAsia="Arial" w:hAnsi="Arial"/>
          <w:sz w:val="19"/>
          <w:szCs w:val="19"/>
          <w:color w:val="auto"/>
        </w:rPr>
        <w:t>It is proposed that these authorizations under (i) and (ii) be renewed for a period of, an effectively extended to expire, 18 months following the date of this AGM, provided that the authorization referred to under (i) shall be limited to 10% of the Company's issued share capital determined as at the close of business on the date of the AGM. If the resolution proposed under this agenda item 7. is passed, the proposed authorizations shall replace the currently existing authorizations.</w:t>
      </w:r>
    </w:p>
    <w:p>
      <w:pPr>
        <w:spacing w:after="0" w:line="174" w:lineRule="exact"/>
        <w:rPr>
          <w:sz w:val="20"/>
          <w:szCs w:val="20"/>
          <w:color w:val="auto"/>
        </w:rPr>
      </w:pPr>
    </w:p>
    <w:p>
      <w:pPr>
        <w:ind w:left="732"/>
        <w:spacing w:after="0"/>
        <w:rPr>
          <w:sz w:val="20"/>
          <w:szCs w:val="20"/>
          <w:color w:val="auto"/>
        </w:rPr>
      </w:pPr>
      <w:r>
        <w:rPr>
          <w:rFonts w:ascii="Arial" w:cs="Arial" w:eastAsia="Arial" w:hAnsi="Arial"/>
          <w:sz w:val="14"/>
          <w:szCs w:val="14"/>
          <w:color w:val="auto"/>
        </w:rPr>
        <w:t>82044620 M 52331893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6" w:right="3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PROXY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UNDERSIGNED</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-10795</wp:posOffset>
            </wp:positionV>
            <wp:extent cx="3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acting on behalf of </w:t>
      </w:r>
      <w:r>
        <w:rPr>
          <w:rFonts w:ascii="Arial" w:cs="Arial" w:eastAsia="Arial" w:hAnsi="Arial"/>
          <w:sz w:val="20"/>
          <w:szCs w:val="20"/>
          <w:i w:val="1"/>
          <w:iCs w:val="1"/>
          <w:color w:val="auto"/>
        </w:rPr>
        <w:t>(only to be completed if relevant)</w:t>
      </w:r>
    </w:p>
    <w:p>
      <w:pPr>
        <w:spacing w:after="0" w:line="22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-10795</wp:posOffset>
            </wp:positionV>
            <wp:extent cx="3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Principal</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DECLARES AS FOLLOWS</w:t>
      </w:r>
    </w:p>
    <w:p>
      <w:pPr>
        <w:spacing w:after="0" w:line="229" w:lineRule="exact"/>
        <w:rPr>
          <w:sz w:val="20"/>
          <w:szCs w:val="20"/>
          <w:color w:val="auto"/>
        </w:rPr>
      </w:pPr>
    </w:p>
    <w:p>
      <w:pPr>
        <w:jc w:val="both"/>
        <w:ind w:left="760" w:hanging="752"/>
        <w:spacing w:after="0" w:line="248" w:lineRule="auto"/>
        <w:tabs>
          <w:tab w:leader="none" w:pos="7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The Principal hereby registers for the annual general meeting of shareholders of Pharvaris N.V. (the "</w:t>
      </w:r>
      <w:r>
        <w:rPr>
          <w:rFonts w:ascii="Arial" w:cs="Arial" w:eastAsia="Arial" w:hAnsi="Arial"/>
          <w:sz w:val="20"/>
          <w:szCs w:val="20"/>
          <w:b w:val="1"/>
          <w:bCs w:val="1"/>
          <w:color w:val="auto"/>
        </w:rPr>
        <w:t>Company</w:t>
      </w:r>
      <w:r>
        <w:rPr>
          <w:rFonts w:ascii="Arial" w:cs="Arial" w:eastAsia="Arial" w:hAnsi="Arial"/>
          <w:sz w:val="20"/>
          <w:szCs w:val="20"/>
          <w:color w:val="auto"/>
        </w:rPr>
        <w:t>") to be held on June 23, 2023 at 3:00 p.m. CEST at the offices of NautaDutilh N.V., Beethovenstraat 400, 1082 PR Amsterdam, the Netherlands (the "</w:t>
      </w:r>
      <w:r>
        <w:rPr>
          <w:rFonts w:ascii="Arial" w:cs="Arial" w:eastAsia="Arial" w:hAnsi="Arial"/>
          <w:sz w:val="20"/>
          <w:szCs w:val="20"/>
          <w:b w:val="1"/>
          <w:bCs w:val="1"/>
          <w:color w:val="auto"/>
        </w:rPr>
        <w:t>AGM</w:t>
      </w:r>
      <w:r>
        <w:rPr>
          <w:rFonts w:ascii="Arial" w:cs="Arial" w:eastAsia="Arial" w:hAnsi="Arial"/>
          <w:sz w:val="20"/>
          <w:szCs w:val="20"/>
          <w:color w:val="auto"/>
        </w:rPr>
        <w:t>") and, for purposes of being represented at the AGM, grants a power of attorney to each civil law notary and candidate civil law notary working with NautaDutilh N.V. (the "</w:t>
      </w:r>
      <w:r>
        <w:rPr>
          <w:rFonts w:ascii="Arial" w:cs="Arial" w:eastAsia="Arial" w:hAnsi="Arial"/>
          <w:sz w:val="20"/>
          <w:szCs w:val="20"/>
          <w:b w:val="1"/>
          <w:bCs w:val="1"/>
          <w:color w:val="auto"/>
        </w:rPr>
        <w:t>Proxyholder</w:t>
      </w:r>
      <w:r>
        <w:rPr>
          <w:rFonts w:ascii="Arial" w:cs="Arial" w:eastAsia="Arial" w:hAnsi="Arial"/>
          <w:sz w:val="20"/>
          <w:szCs w:val="20"/>
          <w:color w:val="auto"/>
        </w:rPr>
        <w:t>").</w:t>
      </w:r>
    </w:p>
    <w:p>
      <w:pPr>
        <w:spacing w:after="0" w:line="202" w:lineRule="exact"/>
        <w:rPr>
          <w:rFonts w:ascii="Arial" w:cs="Arial" w:eastAsia="Arial" w:hAnsi="Arial"/>
          <w:sz w:val="20"/>
          <w:szCs w:val="20"/>
          <w:b w:val="1"/>
          <w:bCs w:val="1"/>
          <w:color w:val="auto"/>
        </w:rPr>
      </w:pPr>
    </w:p>
    <w:p>
      <w:pPr>
        <w:ind w:left="760" w:hanging="752"/>
        <w:spacing w:after="0"/>
        <w:tabs>
          <w:tab w:leader="none" w:pos="760" w:val="left"/>
        </w:tabs>
        <w:numPr>
          <w:ilvl w:val="0"/>
          <w:numId w:val="4"/>
        </w:numPr>
        <w:rPr>
          <w:rFonts w:ascii="Arial" w:cs="Arial" w:eastAsia="Arial" w:hAnsi="Arial"/>
          <w:sz w:val="19"/>
          <w:szCs w:val="19"/>
          <w:b w:val="1"/>
          <w:bCs w:val="1"/>
          <w:color w:val="auto"/>
        </w:rPr>
      </w:pPr>
      <w:r>
        <w:rPr>
          <w:rFonts w:ascii="Arial" w:cs="Arial" w:eastAsia="Arial" w:hAnsi="Arial"/>
          <w:sz w:val="19"/>
          <w:szCs w:val="19"/>
          <w:color w:val="auto"/>
        </w:rPr>
        <w:t>The scope of this power of attorney extends to the performance of the following acts on behalf of the Principal at the AGM:</w:t>
      </w:r>
    </w:p>
    <w:p>
      <w:pPr>
        <w:spacing w:after="0" w:line="27" w:lineRule="exact"/>
        <w:rPr>
          <w:rFonts w:ascii="Arial" w:cs="Arial" w:eastAsia="Arial" w:hAnsi="Arial"/>
          <w:sz w:val="19"/>
          <w:szCs w:val="19"/>
          <w:b w:val="1"/>
          <w:bCs w:val="1"/>
          <w:color w:val="auto"/>
        </w:rPr>
      </w:pPr>
    </w:p>
    <w:p>
      <w:pPr>
        <w:ind w:left="1500" w:hanging="758"/>
        <w:spacing w:after="0"/>
        <w:tabs>
          <w:tab w:leader="none" w:pos="1500" w:val="left"/>
        </w:tabs>
        <w:numPr>
          <w:ilvl w:val="1"/>
          <w:numId w:val="4"/>
        </w:numPr>
        <w:rPr>
          <w:rFonts w:ascii="Arial" w:cs="Arial" w:eastAsia="Arial" w:hAnsi="Arial"/>
          <w:sz w:val="20"/>
          <w:szCs w:val="20"/>
          <w:b w:val="1"/>
          <w:bCs w:val="1"/>
          <w:color w:val="auto"/>
        </w:rPr>
      </w:pPr>
      <w:r>
        <w:rPr>
          <w:rFonts w:ascii="Arial" w:cs="Arial" w:eastAsia="Arial" w:hAnsi="Arial"/>
          <w:sz w:val="20"/>
          <w:szCs w:val="20"/>
          <w:color w:val="auto"/>
        </w:rPr>
        <w:t>to exercise the voting rights of the Principal in accordance with paragraph 3 below; and</w:t>
      </w:r>
    </w:p>
    <w:p>
      <w:pPr>
        <w:ind w:left="1500" w:hanging="758"/>
        <w:spacing w:after="0"/>
        <w:tabs>
          <w:tab w:leader="none" w:pos="1500" w:val="left"/>
        </w:tabs>
        <w:numPr>
          <w:ilvl w:val="1"/>
          <w:numId w:val="4"/>
        </w:numPr>
        <w:rPr>
          <w:rFonts w:ascii="Arial" w:cs="Arial" w:eastAsia="Arial" w:hAnsi="Arial"/>
          <w:sz w:val="20"/>
          <w:szCs w:val="20"/>
          <w:b w:val="1"/>
          <w:bCs w:val="1"/>
          <w:color w:val="auto"/>
        </w:rPr>
      </w:pPr>
      <w:r>
        <w:rPr>
          <w:rFonts w:ascii="Arial" w:cs="Arial" w:eastAsia="Arial" w:hAnsi="Arial"/>
          <w:sz w:val="20"/>
          <w:szCs w:val="20"/>
          <w:color w:val="auto"/>
        </w:rPr>
        <w:t>to exercise any other right of the Principal which the Principal would be allowed to exercise at the AGM.</w:t>
      </w:r>
    </w:p>
    <w:p>
      <w:pPr>
        <w:spacing w:after="0" w:line="213" w:lineRule="exact"/>
        <w:rPr>
          <w:rFonts w:ascii="Arial" w:cs="Arial" w:eastAsia="Arial" w:hAnsi="Arial"/>
          <w:sz w:val="20"/>
          <w:szCs w:val="20"/>
          <w:b w:val="1"/>
          <w:bCs w:val="1"/>
          <w:color w:val="auto"/>
        </w:rPr>
      </w:pPr>
    </w:p>
    <w:p>
      <w:pPr>
        <w:jc w:val="both"/>
        <w:ind w:left="760" w:hanging="752"/>
        <w:spacing w:after="0" w:line="250" w:lineRule="auto"/>
        <w:tabs>
          <w:tab w:leader="none" w:pos="7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This power of attorney shall be used by the Proxyholder to exercise the Principal's voting rights in the manner directed as set out below. If no choice is specified in respect of the sole voting item on the agenda, the Proxyholder shall vote "FOR" such agenda item.</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0" w:type="dxa"/>
            <w:vAlign w:val="bottom"/>
            <w:tcBorders>
              <w:top w:val="single" w:sz="8" w:color="auto"/>
              <w:left w:val="single" w:sz="8" w:color="auto"/>
              <w:right w:val="single" w:sz="8" w:color="auto"/>
            </w:tcBorders>
            <w:shd w:val="clear" w:color="auto" w:fill="DBE5F1"/>
          </w:tcPr>
          <w:p>
            <w:pPr>
              <w:ind w:left="120"/>
              <w:spacing w:after="0"/>
              <w:rPr>
                <w:sz w:val="20"/>
                <w:szCs w:val="20"/>
                <w:color w:val="auto"/>
              </w:rPr>
            </w:pPr>
            <w:r>
              <w:rPr>
                <w:rFonts w:ascii="Arial" w:cs="Arial" w:eastAsia="Arial" w:hAnsi="Arial"/>
                <w:sz w:val="20"/>
                <w:szCs w:val="20"/>
                <w:i w:val="1"/>
                <w:iCs w:val="1"/>
                <w:color w:val="auto"/>
              </w:rPr>
              <w:t>Agenda item</w:t>
            </w:r>
          </w:p>
        </w:tc>
        <w:tc>
          <w:tcPr>
            <w:tcW w:w="960" w:type="dxa"/>
            <w:vAlign w:val="bottom"/>
            <w:tcBorders>
              <w:top w:val="single" w:sz="8" w:color="auto"/>
            </w:tcBorders>
            <w:shd w:val="clear" w:color="auto" w:fill="DBE5F1"/>
          </w:tcPr>
          <w:p>
            <w:pPr>
              <w:ind w:left="300"/>
              <w:spacing w:after="0"/>
              <w:rPr>
                <w:sz w:val="20"/>
                <w:szCs w:val="20"/>
                <w:color w:val="auto"/>
              </w:rPr>
            </w:pPr>
            <w:r>
              <w:rPr>
                <w:rFonts w:ascii="Arial" w:cs="Arial" w:eastAsia="Arial" w:hAnsi="Arial"/>
                <w:sz w:val="20"/>
                <w:szCs w:val="20"/>
                <w:i w:val="1"/>
                <w:iCs w:val="1"/>
                <w:color w:val="auto"/>
              </w:rPr>
              <w:t>FOR</w:t>
            </w:r>
          </w:p>
        </w:tc>
        <w:tc>
          <w:tcPr>
            <w:tcW w:w="1280" w:type="dxa"/>
            <w:vAlign w:val="bottom"/>
            <w:tcBorders>
              <w:top w:val="single" w:sz="8" w:color="auto"/>
            </w:tcBorders>
            <w:shd w:val="clear" w:color="auto" w:fill="DBE5F1"/>
          </w:tcPr>
          <w:p>
            <w:pPr>
              <w:ind w:left="260"/>
              <w:spacing w:after="0"/>
              <w:rPr>
                <w:sz w:val="20"/>
                <w:szCs w:val="20"/>
                <w:color w:val="auto"/>
              </w:rPr>
            </w:pPr>
            <w:r>
              <w:rPr>
                <w:rFonts w:ascii="Arial" w:cs="Arial" w:eastAsia="Arial" w:hAnsi="Arial"/>
                <w:sz w:val="20"/>
                <w:szCs w:val="20"/>
                <w:i w:val="1"/>
                <w:iCs w:val="1"/>
                <w:color w:val="auto"/>
              </w:rPr>
              <w:t>AGAINST</w:t>
            </w:r>
          </w:p>
        </w:tc>
        <w:tc>
          <w:tcPr>
            <w:tcW w:w="1220" w:type="dxa"/>
            <w:vAlign w:val="bottom"/>
            <w:tcBorders>
              <w:top w:val="single" w:sz="8" w:color="auto"/>
            </w:tcBorders>
            <w:shd w:val="clear" w:color="auto" w:fill="DBE5F1"/>
          </w:tcPr>
          <w:p>
            <w:pPr>
              <w:ind w:left="220"/>
              <w:spacing w:after="0"/>
              <w:rPr>
                <w:sz w:val="20"/>
                <w:szCs w:val="20"/>
                <w:color w:val="auto"/>
              </w:rPr>
            </w:pPr>
            <w:r>
              <w:rPr>
                <w:rFonts w:ascii="Arial" w:cs="Arial" w:eastAsia="Arial" w:hAnsi="Arial"/>
                <w:sz w:val="20"/>
                <w:szCs w:val="20"/>
                <w:i w:val="1"/>
                <w:iCs w:val="1"/>
                <w:color w:val="auto"/>
              </w:rPr>
              <w:t>ABSTAIN</w:t>
            </w:r>
          </w:p>
        </w:tc>
      </w:tr>
      <w:tr>
        <w:trPr>
          <w:trHeight w:val="108"/>
        </w:trPr>
        <w:tc>
          <w:tcPr>
            <w:tcW w:w="7000" w:type="dxa"/>
            <w:vAlign w:val="bottom"/>
            <w:tcBorders>
              <w:left w:val="single" w:sz="8" w:color="auto"/>
              <w:bottom w:val="single" w:sz="8" w:color="auto"/>
              <w:right w:val="single" w:sz="8" w:color="auto"/>
            </w:tcBorders>
            <w:shd w:val="clear" w:color="auto" w:fill="DBE5F1"/>
          </w:tcPr>
          <w:p>
            <w:pPr>
              <w:spacing w:after="0"/>
              <w:rPr>
                <w:sz w:val="9"/>
                <w:szCs w:val="9"/>
                <w:color w:val="auto"/>
              </w:rPr>
            </w:pPr>
          </w:p>
        </w:tc>
        <w:tc>
          <w:tcPr>
            <w:tcW w:w="960" w:type="dxa"/>
            <w:vAlign w:val="bottom"/>
            <w:tcBorders>
              <w:bottom w:val="single" w:sz="8" w:color="auto"/>
            </w:tcBorders>
            <w:shd w:val="clear" w:color="auto" w:fill="DBE5F1"/>
          </w:tcPr>
          <w:p>
            <w:pPr>
              <w:spacing w:after="0"/>
              <w:rPr>
                <w:sz w:val="9"/>
                <w:szCs w:val="9"/>
                <w:color w:val="auto"/>
              </w:rPr>
            </w:pPr>
          </w:p>
        </w:tc>
        <w:tc>
          <w:tcPr>
            <w:tcW w:w="1280" w:type="dxa"/>
            <w:vAlign w:val="bottom"/>
            <w:tcBorders>
              <w:bottom w:val="single" w:sz="8" w:color="auto"/>
            </w:tcBorders>
            <w:shd w:val="clear" w:color="auto" w:fill="DBE5F1"/>
          </w:tcPr>
          <w:p>
            <w:pPr>
              <w:spacing w:after="0"/>
              <w:rPr>
                <w:sz w:val="9"/>
                <w:szCs w:val="9"/>
                <w:color w:val="auto"/>
              </w:rPr>
            </w:pPr>
          </w:p>
        </w:tc>
        <w:tc>
          <w:tcPr>
            <w:tcW w:w="1220" w:type="dxa"/>
            <w:vAlign w:val="bottom"/>
            <w:tcBorders>
              <w:bottom w:val="single" w:sz="8" w:color="auto"/>
            </w:tcBorders>
            <w:shd w:val="clear" w:color="auto" w:fill="DBE5F1"/>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6635115" cy="140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1405890"/>
                    </a:xfrm>
                    <a:prstGeom prst="rect">
                      <a:avLst/>
                    </a:prstGeom>
                    <a:noFill/>
                  </pic:spPr>
                </pic:pic>
              </a:graphicData>
            </a:graphic>
          </wp:anchor>
        </w:drawing>
      </w:r>
    </w:p>
    <w:p>
      <w:pPr>
        <w:ind w:left="120" w:right="4360"/>
        <w:spacing w:after="0" w:line="253" w:lineRule="auto"/>
        <w:rPr>
          <w:sz w:val="20"/>
          <w:szCs w:val="20"/>
          <w:color w:val="auto"/>
        </w:rPr>
      </w:pPr>
      <w:r>
        <w:rPr>
          <w:rFonts w:ascii="Arial" w:cs="Arial" w:eastAsia="Arial" w:hAnsi="Arial"/>
          <w:sz w:val="20"/>
          <w:szCs w:val="20"/>
          <w:color w:val="auto"/>
        </w:rPr>
        <w:t>Adoption of Dutch statutory annual accounts for the fiscal year ended December 31, 2022</w:t>
      </w:r>
    </w:p>
    <w:p>
      <w:pPr>
        <w:spacing w:after="0" w:line="116" w:lineRule="exact"/>
        <w:rPr>
          <w:sz w:val="20"/>
          <w:szCs w:val="20"/>
          <w:color w:val="auto"/>
        </w:rPr>
      </w:pPr>
    </w:p>
    <w:p>
      <w:pPr>
        <w:ind w:left="120" w:right="4360"/>
        <w:spacing w:after="0" w:line="316" w:lineRule="auto"/>
        <w:rPr>
          <w:sz w:val="20"/>
          <w:szCs w:val="20"/>
          <w:color w:val="auto"/>
        </w:rPr>
      </w:pPr>
      <w:r>
        <w:rPr>
          <w:rFonts w:ascii="Arial" w:cs="Arial" w:eastAsia="Arial" w:hAnsi="Arial"/>
          <w:sz w:val="18"/>
          <w:szCs w:val="18"/>
          <w:color w:val="auto"/>
        </w:rPr>
        <w:t>Instruction to PricewaterhouseCoopers Accountants N.V. for the external audit of the Company's statutory annual accounts for the fiscal year ended December 31, 2023</w:t>
      </w:r>
    </w:p>
    <w:p>
      <w:pPr>
        <w:spacing w:after="0" w:line="62" w:lineRule="exact"/>
        <w:rPr>
          <w:sz w:val="20"/>
          <w:szCs w:val="20"/>
          <w:color w:val="auto"/>
        </w:rPr>
      </w:pPr>
    </w:p>
    <w:p>
      <w:pPr>
        <w:ind w:left="120" w:right="4360"/>
        <w:spacing w:after="0" w:line="260" w:lineRule="auto"/>
        <w:rPr>
          <w:sz w:val="20"/>
          <w:szCs w:val="20"/>
          <w:color w:val="auto"/>
        </w:rPr>
      </w:pPr>
      <w:r>
        <w:rPr>
          <w:rFonts w:ascii="Arial" w:cs="Arial" w:eastAsia="Arial" w:hAnsi="Arial"/>
          <w:sz w:val="20"/>
          <w:szCs w:val="20"/>
          <w:color w:val="auto"/>
        </w:rPr>
        <w:t>Discharge from liability for the Company's directors with respect to the performance of their duties during the fiscal year ended December 31, 2022</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82044620 M 52301839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ind w:left="120" w:right="436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249555</wp:posOffset>
            </wp:positionV>
            <wp:extent cx="6637020" cy="398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7020" cy="398780"/>
                    </a:xfrm>
                    <a:prstGeom prst="rect">
                      <a:avLst/>
                    </a:prstGeom>
                    <a:noFill/>
                  </pic:spPr>
                </pic:pic>
              </a:graphicData>
            </a:graphic>
          </wp:anchor>
        </w:drawing>
        <w:t>Extension of authorization for the Board to acquire shares and depository receipts for shares in the Company's capital</w:t>
      </w:r>
    </w:p>
    <w:p>
      <w:pPr>
        <w:spacing w:after="0" w:line="325"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This power of attorney is granted with full power of substitution.</w:t>
      </w:r>
    </w:p>
    <w:p>
      <w:pPr>
        <w:spacing w:after="0" w:line="229" w:lineRule="exact"/>
        <w:rPr>
          <w:rFonts w:ascii="Arial" w:cs="Arial" w:eastAsia="Arial" w:hAnsi="Arial"/>
          <w:sz w:val="20"/>
          <w:szCs w:val="20"/>
          <w:b w:val="1"/>
          <w:bCs w:val="1"/>
          <w:color w:val="auto"/>
        </w:rPr>
      </w:pPr>
    </w:p>
    <w:p>
      <w:pPr>
        <w:ind w:left="760" w:hanging="752"/>
        <w:spacing w:after="0" w:line="260" w:lineRule="auto"/>
        <w:tabs>
          <w:tab w:leader="none" w:pos="7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The relationship between the Principal and the Proxyholder under this power of attorney is governed exclusively by the laws of the Netherlands.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82044620 M 52301839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3" w:name="page14"/>
    <w:bookmarkEnd w:id="13"/>
    <w:p>
      <w:pPr>
        <w:ind w:left="5080"/>
        <w:spacing w:after="0"/>
        <w:rPr>
          <w:sz w:val="20"/>
          <w:szCs w:val="20"/>
          <w:color w:val="auto"/>
        </w:rPr>
      </w:pPr>
      <w:r>
        <w:rPr>
          <w:rFonts w:ascii="Arial" w:cs="Arial" w:eastAsia="Arial" w:hAnsi="Arial"/>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175260</wp:posOffset>
            </wp:positionV>
            <wp:extent cx="3638550" cy="767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8550" cy="76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Please return this signed proxy via regular mail or e-mail to:</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Pharvaris N.V.</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c/o General Counsel</w:t>
      </w:r>
    </w:p>
    <w:p>
      <w:pPr>
        <w:jc w:val="center"/>
        <w:ind w:right="-1120"/>
        <w:spacing w:after="0"/>
        <w:rPr>
          <w:sz w:val="20"/>
          <w:szCs w:val="20"/>
          <w:color w:val="auto"/>
        </w:rPr>
      </w:pPr>
      <w:r>
        <w:rPr>
          <w:rFonts w:ascii="Arial" w:cs="Arial" w:eastAsia="Arial" w:hAnsi="Arial"/>
          <w:sz w:val="20"/>
          <w:szCs w:val="20"/>
          <w:i w:val="1"/>
          <w:iCs w:val="1"/>
          <w:color w:val="auto"/>
        </w:rPr>
        <w:t>J.H. Oortweg 21</w:t>
      </w:r>
    </w:p>
    <w:p>
      <w:pPr>
        <w:jc w:val="center"/>
        <w:ind w:right="-1120"/>
        <w:spacing w:after="0"/>
        <w:rPr>
          <w:sz w:val="20"/>
          <w:szCs w:val="20"/>
          <w:color w:val="auto"/>
        </w:rPr>
      </w:pPr>
      <w:r>
        <w:rPr>
          <w:rFonts w:ascii="Arial" w:cs="Arial" w:eastAsia="Arial" w:hAnsi="Arial"/>
          <w:sz w:val="20"/>
          <w:szCs w:val="20"/>
          <w:i w:val="1"/>
          <w:iCs w:val="1"/>
          <w:color w:val="auto"/>
        </w:rPr>
        <w:t>2333CH Leiden</w:t>
      </w:r>
    </w:p>
    <w:p>
      <w:pPr>
        <w:jc w:val="center"/>
        <w:ind w:right="-1060"/>
        <w:spacing w:after="0"/>
        <w:rPr>
          <w:sz w:val="20"/>
          <w:szCs w:val="20"/>
          <w:color w:val="auto"/>
        </w:rPr>
      </w:pPr>
      <w:r>
        <w:rPr>
          <w:rFonts w:ascii="Arial" w:cs="Arial" w:eastAsia="Arial" w:hAnsi="Arial"/>
          <w:sz w:val="20"/>
          <w:szCs w:val="20"/>
          <w:i w:val="1"/>
          <w:iCs w:val="1"/>
          <w:color w:val="auto"/>
        </w:rPr>
        <w:t>the Netherlands</w:t>
      </w:r>
    </w:p>
    <w:p>
      <w:pPr>
        <w:jc w:val="center"/>
        <w:ind w:right="-1120"/>
        <w:spacing w:after="0"/>
        <w:rPr>
          <w:sz w:val="20"/>
          <w:szCs w:val="20"/>
          <w:color w:val="auto"/>
        </w:rPr>
      </w:pPr>
      <w:r>
        <w:rPr>
          <w:rFonts w:ascii="Arial" w:cs="Arial" w:eastAsia="Arial" w:hAnsi="Arial"/>
          <w:sz w:val="20"/>
          <w:szCs w:val="20"/>
          <w:i w:val="1"/>
          <w:iCs w:val="1"/>
          <w:color w:val="auto"/>
        </w:rPr>
        <w:t>investor.relations@pharvaris.com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the Principal is a beneficial owner of shares in the Company's capital, please enclose:</w:t>
      </w:r>
    </w:p>
    <w:p>
      <w:pPr>
        <w:spacing w:after="0" w:line="16" w:lineRule="exact"/>
        <w:rPr>
          <w:sz w:val="20"/>
          <w:szCs w:val="20"/>
          <w:color w:val="auto"/>
        </w:rPr>
      </w:pPr>
    </w:p>
    <w:p>
      <w:pPr>
        <w:ind w:left="740" w:hanging="732"/>
        <w:spacing w:after="0"/>
        <w:tabs>
          <w:tab w:leader="none" w:pos="7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proof of beneficial ownership of the underlying shares, such as a recent account statement; and</w:t>
      </w:r>
    </w:p>
    <w:p>
      <w:pPr>
        <w:spacing w:after="0" w:line="45" w:lineRule="exact"/>
        <w:rPr>
          <w:rFonts w:ascii="Arial" w:cs="Arial" w:eastAsia="Arial" w:hAnsi="Arial"/>
          <w:sz w:val="16"/>
          <w:szCs w:val="16"/>
          <w:i w:val="1"/>
          <w:iCs w:val="1"/>
          <w:color w:val="auto"/>
        </w:rPr>
      </w:pPr>
    </w:p>
    <w:p>
      <w:pPr>
        <w:ind w:left="740" w:hanging="732"/>
        <w:spacing w:after="0"/>
        <w:tabs>
          <w:tab w:leader="none" w:pos="7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 signed proxy from its financial intermediary or its agent with whom the shares are on deposit.</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82044620 M 52301839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14" w:name="page15"/>
    <w:bookmarkEnd w:id="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8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Pharvaris N.V.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Pharvaris N.V.</w:t>
      </w:r>
    </w:p>
    <w:p>
      <w:pPr>
        <w:spacing w:after="0" w:line="221"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Report of Board of Directors</w:t>
      </w:r>
    </w:p>
    <w:p>
      <w:pPr>
        <w:spacing w:after="0" w:line="283" w:lineRule="exact"/>
        <w:rPr>
          <w:sz w:val="20"/>
          <w:szCs w:val="20"/>
          <w:color w:val="auto"/>
        </w:rPr>
      </w:pPr>
    </w:p>
    <w:p>
      <w:pPr>
        <w:ind w:left="720" w:right="7760" w:firstLine="139"/>
        <w:spacing w:after="0" w:line="297" w:lineRule="auto"/>
        <w:tabs>
          <w:tab w:leader="none" w:pos="1109" w:val="left"/>
        </w:tabs>
        <w:numPr>
          <w:ilvl w:val="0"/>
          <w:numId w:val="7"/>
        </w:numPr>
        <w:rPr>
          <w:rFonts w:ascii="Arial" w:cs="Arial" w:eastAsia="Arial" w:hAnsi="Arial"/>
          <w:sz w:val="15"/>
          <w:szCs w:val="15"/>
          <w:color w:val="auto"/>
        </w:rPr>
      </w:pPr>
      <w:r>
        <w:rPr>
          <w:rFonts w:ascii="Arial" w:cs="Arial" w:eastAsia="Arial" w:hAnsi="Arial"/>
          <w:sz w:val="18"/>
          <w:szCs w:val="18"/>
          <w:color w:val="auto"/>
        </w:rPr>
        <w:t xml:space="preserve">Introduction </w:t>
      </w:r>
      <w:r>
        <w:rPr>
          <w:rFonts w:ascii="Arial" w:cs="Arial" w:eastAsia="Arial" w:hAnsi="Arial"/>
          <w:sz w:val="14"/>
          <w:szCs w:val="14"/>
          <w:color w:val="auto"/>
        </w:rPr>
        <w:t xml:space="preserve">1.1 </w:t>
      </w:r>
      <w:r>
        <w:rPr>
          <w:rFonts w:ascii="Arial" w:cs="Arial" w:eastAsia="Arial" w:hAnsi="Arial"/>
          <w:sz w:val="17"/>
          <w:szCs w:val="17"/>
          <w:color w:val="auto"/>
        </w:rPr>
        <w:t>Preparation</w:t>
      </w:r>
    </w:p>
    <w:p>
      <w:pPr>
        <w:ind w:left="720"/>
        <w:spacing w:after="0"/>
        <w:rPr>
          <w:rFonts w:ascii="Arial" w:cs="Arial" w:eastAsia="Arial" w:hAnsi="Arial"/>
          <w:sz w:val="15"/>
          <w:szCs w:val="15"/>
          <w:color w:val="auto"/>
        </w:rPr>
      </w:pPr>
      <w:r>
        <w:rPr>
          <w:rFonts w:ascii="Arial" w:cs="Arial" w:eastAsia="Arial" w:hAnsi="Arial"/>
          <w:sz w:val="16"/>
          <w:szCs w:val="16"/>
          <w:color w:val="auto"/>
        </w:rPr>
        <w:t xml:space="preserve">1.2  </w:t>
      </w:r>
      <w:r>
        <w:rPr>
          <w:rFonts w:ascii="Arial" w:cs="Arial" w:eastAsia="Arial" w:hAnsi="Arial"/>
          <w:sz w:val="19"/>
          <w:szCs w:val="19"/>
          <w:color w:val="auto"/>
        </w:rPr>
        <w:t>Forward-looking statements</w:t>
      </w:r>
    </w:p>
    <w:p>
      <w:pPr>
        <w:spacing w:after="0" w:line="38"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 xml:space="preserve">2  </w:t>
      </w:r>
      <w:r>
        <w:rPr>
          <w:rFonts w:ascii="Arial" w:cs="Arial" w:eastAsia="Arial" w:hAnsi="Arial"/>
          <w:sz w:val="19"/>
          <w:szCs w:val="19"/>
          <w:color w:val="auto"/>
        </w:rPr>
        <w:t>Business</w:t>
      </w:r>
    </w:p>
    <w:p>
      <w:pPr>
        <w:spacing w:after="0" w:line="38"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2.1</w:t>
            </w:r>
          </w:p>
        </w:tc>
        <w:tc>
          <w:tcPr>
            <w:tcW w:w="3360" w:type="dxa"/>
            <w:vAlign w:val="bottom"/>
          </w:tcPr>
          <w:p>
            <w:pPr>
              <w:ind w:left="80"/>
              <w:spacing w:after="0"/>
              <w:rPr>
                <w:sz w:val="20"/>
                <w:szCs w:val="20"/>
                <w:color w:val="auto"/>
              </w:rPr>
            </w:pPr>
            <w:r>
              <w:rPr>
                <w:rFonts w:ascii="Arial" w:cs="Arial" w:eastAsia="Arial" w:hAnsi="Arial"/>
                <w:sz w:val="20"/>
                <w:szCs w:val="20"/>
                <w:color w:val="auto"/>
                <w:w w:val="89"/>
              </w:rPr>
              <w:t>History and development of the company</w:t>
            </w:r>
          </w:p>
        </w:tc>
      </w:tr>
      <w:tr>
        <w:trPr>
          <w:trHeight w:val="249"/>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2.2</w:t>
            </w:r>
          </w:p>
        </w:tc>
        <w:tc>
          <w:tcPr>
            <w:tcW w:w="3360" w:type="dxa"/>
            <w:vAlign w:val="bottom"/>
          </w:tcPr>
          <w:p>
            <w:pPr>
              <w:ind w:left="80"/>
              <w:spacing w:after="0"/>
              <w:rPr>
                <w:sz w:val="20"/>
                <w:szCs w:val="20"/>
                <w:color w:val="auto"/>
              </w:rPr>
            </w:pPr>
            <w:r>
              <w:rPr>
                <w:rFonts w:ascii="Arial" w:cs="Arial" w:eastAsia="Arial" w:hAnsi="Arial"/>
                <w:sz w:val="20"/>
                <w:szCs w:val="20"/>
                <w:color w:val="auto"/>
              </w:rPr>
              <w:t>Overview</w:t>
            </w:r>
          </w:p>
        </w:tc>
      </w:tr>
      <w:tr>
        <w:trPr>
          <w:trHeight w:val="250"/>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2.3</w:t>
            </w:r>
          </w:p>
        </w:tc>
        <w:tc>
          <w:tcPr>
            <w:tcW w:w="3360" w:type="dxa"/>
            <w:vAlign w:val="bottom"/>
          </w:tcPr>
          <w:p>
            <w:pPr>
              <w:ind w:left="80"/>
              <w:spacing w:after="0"/>
              <w:rPr>
                <w:sz w:val="20"/>
                <w:szCs w:val="20"/>
                <w:color w:val="auto"/>
              </w:rPr>
            </w:pPr>
            <w:r>
              <w:rPr>
                <w:rFonts w:ascii="Arial" w:cs="Arial" w:eastAsia="Arial" w:hAnsi="Arial"/>
                <w:sz w:val="20"/>
                <w:szCs w:val="20"/>
                <w:color w:val="auto"/>
              </w:rPr>
              <w:t>Organizational structure</w:t>
            </w:r>
          </w:p>
        </w:tc>
      </w:tr>
      <w:tr>
        <w:trPr>
          <w:trHeight w:val="256"/>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2.4</w:t>
            </w:r>
          </w:p>
        </w:tc>
        <w:tc>
          <w:tcPr>
            <w:tcW w:w="3360" w:type="dxa"/>
            <w:vAlign w:val="bottom"/>
          </w:tcPr>
          <w:p>
            <w:pPr>
              <w:ind w:left="80"/>
              <w:spacing w:after="0"/>
              <w:rPr>
                <w:sz w:val="20"/>
                <w:szCs w:val="20"/>
                <w:color w:val="auto"/>
              </w:rPr>
            </w:pPr>
            <w:r>
              <w:rPr>
                <w:rFonts w:ascii="Arial" w:cs="Arial" w:eastAsia="Arial" w:hAnsi="Arial"/>
                <w:sz w:val="20"/>
                <w:szCs w:val="20"/>
                <w:color w:val="auto"/>
              </w:rPr>
              <w:t>Property, plants and equipment</w:t>
            </w:r>
          </w:p>
        </w:tc>
      </w:tr>
      <w:tr>
        <w:trPr>
          <w:trHeight w:val="257"/>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2.5</w:t>
            </w:r>
          </w:p>
        </w:tc>
        <w:tc>
          <w:tcPr>
            <w:tcW w:w="3360" w:type="dxa"/>
            <w:vAlign w:val="bottom"/>
          </w:tcPr>
          <w:p>
            <w:pPr>
              <w:ind w:left="80"/>
              <w:spacing w:after="0"/>
              <w:rPr>
                <w:sz w:val="20"/>
                <w:szCs w:val="20"/>
                <w:color w:val="auto"/>
              </w:rPr>
            </w:pPr>
            <w:r>
              <w:rPr>
                <w:rFonts w:ascii="Arial" w:cs="Arial" w:eastAsia="Arial" w:hAnsi="Arial"/>
                <w:sz w:val="20"/>
                <w:szCs w:val="20"/>
                <w:color w:val="auto"/>
              </w:rPr>
              <w:t>Operating results</w:t>
            </w:r>
          </w:p>
        </w:tc>
      </w:tr>
      <w:tr>
        <w:trPr>
          <w:trHeight w:val="257"/>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2.6</w:t>
            </w:r>
          </w:p>
        </w:tc>
        <w:tc>
          <w:tcPr>
            <w:tcW w:w="3360" w:type="dxa"/>
            <w:vAlign w:val="bottom"/>
          </w:tcPr>
          <w:p>
            <w:pPr>
              <w:ind w:left="80"/>
              <w:spacing w:after="0"/>
              <w:rPr>
                <w:sz w:val="20"/>
                <w:szCs w:val="20"/>
                <w:color w:val="auto"/>
              </w:rPr>
            </w:pPr>
            <w:r>
              <w:rPr>
                <w:rFonts w:ascii="Arial" w:cs="Arial" w:eastAsia="Arial" w:hAnsi="Arial"/>
                <w:sz w:val="20"/>
                <w:szCs w:val="20"/>
                <w:color w:val="auto"/>
              </w:rPr>
              <w:t>Material subsequent events</w:t>
            </w:r>
          </w:p>
        </w:tc>
      </w:tr>
    </w:tbl>
    <w:p>
      <w:pPr>
        <w:spacing w:after="0" w:line="6" w:lineRule="exact"/>
        <w:rPr>
          <w:sz w:val="20"/>
          <w:szCs w:val="20"/>
          <w:color w:val="auto"/>
        </w:rPr>
      </w:pPr>
    </w:p>
    <w:p>
      <w:pPr>
        <w:ind w:left="1120" w:hanging="261"/>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20"/>
          <w:szCs w:val="20"/>
          <w:color w:val="auto"/>
        </w:rPr>
        <w:t>Risk factors</w:t>
      </w:r>
    </w:p>
    <w:p>
      <w:pPr>
        <w:spacing w:after="0" w:line="27"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3.1</w:t>
            </w:r>
          </w:p>
        </w:tc>
        <w:tc>
          <w:tcPr>
            <w:tcW w:w="2320" w:type="dxa"/>
            <w:vAlign w:val="bottom"/>
          </w:tcPr>
          <w:p>
            <w:pPr>
              <w:ind w:left="80"/>
              <w:spacing w:after="0"/>
              <w:rPr>
                <w:sz w:val="20"/>
                <w:szCs w:val="20"/>
                <w:color w:val="auto"/>
              </w:rPr>
            </w:pPr>
            <w:r>
              <w:rPr>
                <w:rFonts w:ascii="Arial" w:cs="Arial" w:eastAsia="Arial" w:hAnsi="Arial"/>
                <w:sz w:val="20"/>
                <w:szCs w:val="20"/>
                <w:color w:val="auto"/>
                <w:w w:val="89"/>
              </w:rPr>
              <w:t>Summary of key risk factors</w:t>
            </w:r>
          </w:p>
        </w:tc>
      </w:tr>
      <w:tr>
        <w:trPr>
          <w:trHeight w:val="256"/>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3.2</w:t>
            </w:r>
          </w:p>
        </w:tc>
        <w:tc>
          <w:tcPr>
            <w:tcW w:w="2320" w:type="dxa"/>
            <w:vAlign w:val="bottom"/>
          </w:tcPr>
          <w:p>
            <w:pPr>
              <w:ind w:left="80"/>
              <w:spacing w:after="0"/>
              <w:rPr>
                <w:sz w:val="20"/>
                <w:szCs w:val="20"/>
                <w:color w:val="auto"/>
              </w:rPr>
            </w:pPr>
            <w:r>
              <w:rPr>
                <w:rFonts w:ascii="Arial" w:cs="Arial" w:eastAsia="Arial" w:hAnsi="Arial"/>
                <w:sz w:val="20"/>
                <w:szCs w:val="20"/>
                <w:color w:val="auto"/>
              </w:rPr>
              <w:t>Risk factors</w:t>
            </w:r>
          </w:p>
        </w:tc>
      </w:tr>
    </w:tbl>
    <w:p>
      <w:pPr>
        <w:spacing w:after="0" w:line="6" w:lineRule="exact"/>
        <w:rPr>
          <w:sz w:val="20"/>
          <w:szCs w:val="20"/>
          <w:color w:val="auto"/>
        </w:rPr>
      </w:pPr>
    </w:p>
    <w:p>
      <w:pPr>
        <w:ind w:left="1120" w:hanging="261"/>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20"/>
          <w:szCs w:val="20"/>
          <w:color w:val="auto"/>
        </w:rPr>
        <w:t>Controls and procedures</w:t>
      </w:r>
    </w:p>
    <w:p>
      <w:pPr>
        <w:spacing w:after="0" w:line="27"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4.1</w:t>
            </w:r>
          </w:p>
        </w:tc>
        <w:tc>
          <w:tcPr>
            <w:tcW w:w="3120" w:type="dxa"/>
            <w:vAlign w:val="bottom"/>
          </w:tcPr>
          <w:p>
            <w:pPr>
              <w:ind w:left="80"/>
              <w:spacing w:after="0"/>
              <w:rPr>
                <w:sz w:val="20"/>
                <w:szCs w:val="20"/>
                <w:color w:val="auto"/>
              </w:rPr>
            </w:pPr>
            <w:r>
              <w:rPr>
                <w:rFonts w:ascii="Arial" w:cs="Arial" w:eastAsia="Arial" w:hAnsi="Arial"/>
                <w:sz w:val="20"/>
                <w:szCs w:val="20"/>
                <w:color w:val="auto"/>
                <w:w w:val="87"/>
              </w:rPr>
              <w:t>Risk management and control systems</w:t>
            </w:r>
          </w:p>
        </w:tc>
      </w:tr>
      <w:tr>
        <w:trPr>
          <w:trHeight w:val="257"/>
        </w:trPr>
        <w:tc>
          <w:tcPr>
            <w:tcW w:w="320" w:type="dxa"/>
            <w:vAlign w:val="bottom"/>
          </w:tcPr>
          <w:p>
            <w:pPr>
              <w:jc w:val="right"/>
              <w:ind w:right="19"/>
              <w:spacing w:after="0"/>
              <w:rPr>
                <w:sz w:val="20"/>
                <w:szCs w:val="20"/>
                <w:color w:val="auto"/>
              </w:rPr>
            </w:pPr>
            <w:r>
              <w:rPr>
                <w:rFonts w:ascii="Arial" w:cs="Arial" w:eastAsia="Arial" w:hAnsi="Arial"/>
                <w:sz w:val="16"/>
                <w:szCs w:val="16"/>
                <w:color w:val="auto"/>
                <w:w w:val="89"/>
              </w:rPr>
              <w:t>4.2</w:t>
            </w:r>
          </w:p>
        </w:tc>
        <w:tc>
          <w:tcPr>
            <w:tcW w:w="3120" w:type="dxa"/>
            <w:vAlign w:val="bottom"/>
          </w:tcPr>
          <w:p>
            <w:pPr>
              <w:ind w:left="80"/>
              <w:spacing w:after="0"/>
              <w:rPr>
                <w:sz w:val="20"/>
                <w:szCs w:val="20"/>
                <w:color w:val="auto"/>
              </w:rPr>
            </w:pPr>
            <w:r>
              <w:rPr>
                <w:rFonts w:ascii="Arial" w:cs="Arial" w:eastAsia="Arial" w:hAnsi="Arial"/>
                <w:sz w:val="20"/>
                <w:szCs w:val="20"/>
                <w:color w:val="auto"/>
              </w:rPr>
              <w:t>In control statement</w:t>
            </w:r>
          </w:p>
        </w:tc>
      </w:tr>
    </w:tbl>
    <w:p>
      <w:pPr>
        <w:spacing w:after="0" w:line="6" w:lineRule="exact"/>
        <w:rPr>
          <w:sz w:val="20"/>
          <w:szCs w:val="20"/>
          <w:color w:val="auto"/>
        </w:rPr>
      </w:pPr>
    </w:p>
    <w:p>
      <w:pPr>
        <w:ind w:left="1120" w:hanging="261"/>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20"/>
          <w:szCs w:val="20"/>
          <w:color w:val="auto"/>
        </w:rPr>
        <w:t>Corporate Governance</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6240" w:type="dxa"/>
            <w:vAlign w:val="bottom"/>
          </w:tcPr>
          <w:p>
            <w:pPr>
              <w:ind w:left="80"/>
              <w:spacing w:after="0"/>
              <w:rPr>
                <w:sz w:val="20"/>
                <w:szCs w:val="20"/>
                <w:color w:val="auto"/>
              </w:rPr>
            </w:pPr>
            <w:r>
              <w:rPr>
                <w:rFonts w:ascii="Arial" w:cs="Arial" w:eastAsia="Arial" w:hAnsi="Arial"/>
                <w:sz w:val="20"/>
                <w:szCs w:val="20"/>
                <w:color w:val="auto"/>
              </w:rPr>
              <w:t>Dutch Corporate Governance Code</w:t>
            </w:r>
          </w:p>
        </w:tc>
      </w:tr>
      <w:tr>
        <w:trPr>
          <w:trHeight w:val="256"/>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6240" w:type="dxa"/>
            <w:vAlign w:val="bottom"/>
          </w:tcPr>
          <w:p>
            <w:pPr>
              <w:ind w:left="80"/>
              <w:spacing w:after="0"/>
              <w:rPr>
                <w:sz w:val="20"/>
                <w:szCs w:val="20"/>
                <w:color w:val="auto"/>
              </w:rPr>
            </w:pPr>
            <w:r>
              <w:rPr>
                <w:rFonts w:ascii="Arial" w:cs="Arial" w:eastAsia="Arial" w:hAnsi="Arial"/>
                <w:sz w:val="20"/>
                <w:szCs w:val="20"/>
                <w:color w:val="auto"/>
                <w:w w:val="87"/>
              </w:rPr>
              <w:t>Code of business conduct and ethics and other corporate governance practices</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6240" w:type="dxa"/>
            <w:vAlign w:val="bottom"/>
          </w:tcPr>
          <w:p>
            <w:pPr>
              <w:ind w:left="80"/>
              <w:spacing w:after="0"/>
              <w:rPr>
                <w:sz w:val="20"/>
                <w:szCs w:val="20"/>
                <w:color w:val="auto"/>
              </w:rPr>
            </w:pPr>
            <w:r>
              <w:rPr>
                <w:rFonts w:ascii="Arial" w:cs="Arial" w:eastAsia="Arial" w:hAnsi="Arial"/>
                <w:sz w:val="20"/>
                <w:szCs w:val="20"/>
                <w:color w:val="auto"/>
              </w:rPr>
              <w:t>Risk management and control systems</w:t>
            </w:r>
          </w:p>
        </w:tc>
      </w:tr>
      <w:tr>
        <w:trPr>
          <w:trHeight w:val="256"/>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6240" w:type="dxa"/>
            <w:vAlign w:val="bottom"/>
          </w:tcPr>
          <w:p>
            <w:pPr>
              <w:ind w:left="80"/>
              <w:spacing w:after="0"/>
              <w:rPr>
                <w:sz w:val="20"/>
                <w:szCs w:val="20"/>
                <w:color w:val="auto"/>
              </w:rPr>
            </w:pPr>
            <w:r>
              <w:rPr>
                <w:rFonts w:ascii="Arial" w:cs="Arial" w:eastAsia="Arial" w:hAnsi="Arial"/>
                <w:sz w:val="20"/>
                <w:szCs w:val="20"/>
                <w:color w:val="auto"/>
              </w:rPr>
              <w:t>General Meeting</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5.4.1</w:t>
            </w:r>
          </w:p>
        </w:tc>
        <w:tc>
          <w:tcPr>
            <w:tcW w:w="6240" w:type="dxa"/>
            <w:vAlign w:val="bottom"/>
          </w:tcPr>
          <w:p>
            <w:pPr>
              <w:ind w:left="80"/>
              <w:spacing w:after="0"/>
              <w:rPr>
                <w:sz w:val="20"/>
                <w:szCs w:val="20"/>
                <w:color w:val="auto"/>
              </w:rPr>
            </w:pPr>
            <w:r>
              <w:rPr>
                <w:rFonts w:ascii="Arial" w:cs="Arial" w:eastAsia="Arial" w:hAnsi="Arial"/>
                <w:sz w:val="20"/>
                <w:szCs w:val="20"/>
                <w:color w:val="auto"/>
              </w:rPr>
              <w:t>Functioning of the General Meeting</w:t>
            </w:r>
          </w:p>
        </w:tc>
      </w:tr>
      <w:tr>
        <w:trPr>
          <w:trHeight w:val="256"/>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5.4.2</w:t>
            </w:r>
          </w:p>
        </w:tc>
        <w:tc>
          <w:tcPr>
            <w:tcW w:w="6240" w:type="dxa"/>
            <w:vAlign w:val="bottom"/>
          </w:tcPr>
          <w:p>
            <w:pPr>
              <w:ind w:left="80"/>
              <w:spacing w:after="0"/>
              <w:rPr>
                <w:sz w:val="20"/>
                <w:szCs w:val="20"/>
                <w:color w:val="auto"/>
              </w:rPr>
            </w:pPr>
            <w:r>
              <w:rPr>
                <w:rFonts w:ascii="Arial" w:cs="Arial" w:eastAsia="Arial" w:hAnsi="Arial"/>
                <w:sz w:val="20"/>
                <w:szCs w:val="20"/>
                <w:color w:val="auto"/>
              </w:rPr>
              <w:t>Powers of the General Meeting</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5.4.3</w:t>
            </w:r>
          </w:p>
        </w:tc>
        <w:tc>
          <w:tcPr>
            <w:tcW w:w="6240" w:type="dxa"/>
            <w:vAlign w:val="bottom"/>
          </w:tcPr>
          <w:p>
            <w:pPr>
              <w:ind w:left="80"/>
              <w:spacing w:after="0"/>
              <w:rPr>
                <w:sz w:val="20"/>
                <w:szCs w:val="20"/>
                <w:color w:val="auto"/>
              </w:rPr>
            </w:pPr>
            <w:r>
              <w:rPr>
                <w:rFonts w:ascii="Arial" w:cs="Arial" w:eastAsia="Arial" w:hAnsi="Arial"/>
                <w:sz w:val="20"/>
                <w:szCs w:val="20"/>
                <w:color w:val="auto"/>
              </w:rPr>
              <w:t>Shareholder rights</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6240" w:type="dxa"/>
            <w:vAlign w:val="bottom"/>
          </w:tcPr>
          <w:p>
            <w:pPr>
              <w:ind w:left="80"/>
              <w:spacing w:after="0"/>
              <w:rPr>
                <w:sz w:val="20"/>
                <w:szCs w:val="20"/>
                <w:color w:val="auto"/>
              </w:rPr>
            </w:pPr>
            <w:r>
              <w:rPr>
                <w:rFonts w:ascii="Arial" w:cs="Arial" w:eastAsia="Arial" w:hAnsi="Arial"/>
                <w:sz w:val="20"/>
                <w:szCs w:val="20"/>
                <w:color w:val="auto"/>
              </w:rPr>
              <w:t>Board</w:t>
            </w:r>
          </w:p>
        </w:tc>
      </w:tr>
      <w:tr>
        <w:trPr>
          <w:trHeight w:val="256"/>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6240" w:type="dxa"/>
            <w:vAlign w:val="bottom"/>
          </w:tcPr>
          <w:p>
            <w:pPr>
              <w:ind w:left="80"/>
              <w:spacing w:after="0"/>
              <w:rPr>
                <w:sz w:val="20"/>
                <w:szCs w:val="20"/>
                <w:color w:val="auto"/>
              </w:rPr>
            </w:pPr>
            <w:r>
              <w:rPr>
                <w:rFonts w:ascii="Arial" w:cs="Arial" w:eastAsia="Arial" w:hAnsi="Arial"/>
                <w:sz w:val="20"/>
                <w:szCs w:val="20"/>
                <w:color w:val="auto"/>
              </w:rPr>
              <w:t>Committees</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5.6.1</w:t>
            </w:r>
          </w:p>
        </w:tc>
        <w:tc>
          <w:tcPr>
            <w:tcW w:w="6240" w:type="dxa"/>
            <w:vAlign w:val="bottom"/>
          </w:tcPr>
          <w:p>
            <w:pPr>
              <w:ind w:left="80"/>
              <w:spacing w:after="0"/>
              <w:rPr>
                <w:sz w:val="20"/>
                <w:szCs w:val="20"/>
                <w:color w:val="auto"/>
              </w:rPr>
            </w:pPr>
            <w:r>
              <w:rPr>
                <w:rFonts w:ascii="Arial" w:cs="Arial" w:eastAsia="Arial" w:hAnsi="Arial"/>
                <w:sz w:val="20"/>
                <w:szCs w:val="20"/>
                <w:color w:val="auto"/>
              </w:rPr>
              <w:t>General</w:t>
            </w:r>
          </w:p>
        </w:tc>
      </w:tr>
      <w:tr>
        <w:trPr>
          <w:trHeight w:val="249"/>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5.6.2</w:t>
            </w:r>
          </w:p>
        </w:tc>
        <w:tc>
          <w:tcPr>
            <w:tcW w:w="6240" w:type="dxa"/>
            <w:vAlign w:val="bottom"/>
          </w:tcPr>
          <w:p>
            <w:pPr>
              <w:ind w:left="80"/>
              <w:spacing w:after="0"/>
              <w:rPr>
                <w:sz w:val="20"/>
                <w:szCs w:val="20"/>
                <w:color w:val="auto"/>
              </w:rPr>
            </w:pPr>
            <w:r>
              <w:rPr>
                <w:rFonts w:ascii="Arial" w:cs="Arial" w:eastAsia="Arial" w:hAnsi="Arial"/>
                <w:sz w:val="20"/>
                <w:szCs w:val="20"/>
                <w:color w:val="auto"/>
              </w:rPr>
              <w:t>Audit committee</w:t>
            </w:r>
          </w:p>
        </w:tc>
      </w:tr>
      <w:tr>
        <w:trPr>
          <w:trHeight w:val="250"/>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5.6.3</w:t>
            </w:r>
          </w:p>
        </w:tc>
        <w:tc>
          <w:tcPr>
            <w:tcW w:w="6240" w:type="dxa"/>
            <w:vAlign w:val="bottom"/>
          </w:tcPr>
          <w:p>
            <w:pPr>
              <w:ind w:left="80"/>
              <w:spacing w:after="0"/>
              <w:rPr>
                <w:sz w:val="20"/>
                <w:szCs w:val="20"/>
                <w:color w:val="auto"/>
              </w:rPr>
            </w:pPr>
            <w:r>
              <w:rPr>
                <w:rFonts w:ascii="Arial" w:cs="Arial" w:eastAsia="Arial" w:hAnsi="Arial"/>
                <w:sz w:val="20"/>
                <w:szCs w:val="20"/>
                <w:color w:val="auto"/>
              </w:rPr>
              <w:t>Compensation committee</w:t>
            </w:r>
          </w:p>
        </w:tc>
      </w:tr>
      <w:tr>
        <w:trPr>
          <w:trHeight w:val="256"/>
        </w:trPr>
        <w:tc>
          <w:tcPr>
            <w:tcW w:w="460" w:type="dxa"/>
            <w:vAlign w:val="bottom"/>
          </w:tcPr>
          <w:p>
            <w:pPr>
              <w:jc w:val="right"/>
              <w:ind w:right="19"/>
              <w:spacing w:after="0"/>
              <w:rPr>
                <w:sz w:val="20"/>
                <w:szCs w:val="20"/>
                <w:color w:val="auto"/>
              </w:rPr>
            </w:pPr>
            <w:r>
              <w:rPr>
                <w:rFonts w:ascii="Arial" w:cs="Arial" w:eastAsia="Arial" w:hAnsi="Arial"/>
                <w:sz w:val="16"/>
                <w:szCs w:val="16"/>
                <w:color w:val="auto"/>
                <w:w w:val="95"/>
              </w:rPr>
              <w:t>5.6.4</w:t>
            </w:r>
          </w:p>
        </w:tc>
        <w:tc>
          <w:tcPr>
            <w:tcW w:w="6240" w:type="dxa"/>
            <w:vAlign w:val="bottom"/>
          </w:tcPr>
          <w:p>
            <w:pPr>
              <w:ind w:left="80"/>
              <w:spacing w:after="0"/>
              <w:rPr>
                <w:sz w:val="20"/>
                <w:szCs w:val="20"/>
                <w:color w:val="auto"/>
              </w:rPr>
            </w:pPr>
            <w:r>
              <w:rPr>
                <w:rFonts w:ascii="Arial" w:cs="Arial" w:eastAsia="Arial" w:hAnsi="Arial"/>
                <w:sz w:val="20"/>
                <w:szCs w:val="20"/>
                <w:color w:val="auto"/>
              </w:rPr>
              <w:t>Nomination and corporate governance committee</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6240" w:type="dxa"/>
            <w:vAlign w:val="bottom"/>
          </w:tcPr>
          <w:p>
            <w:pPr>
              <w:ind w:left="80"/>
              <w:spacing w:after="0"/>
              <w:rPr>
                <w:sz w:val="20"/>
                <w:szCs w:val="20"/>
                <w:color w:val="auto"/>
              </w:rPr>
            </w:pPr>
            <w:r>
              <w:rPr>
                <w:rFonts w:ascii="Arial" w:cs="Arial" w:eastAsia="Arial" w:hAnsi="Arial"/>
                <w:sz w:val="20"/>
                <w:szCs w:val="20"/>
                <w:color w:val="auto"/>
              </w:rPr>
              <w:t>Evaluation</w:t>
            </w:r>
          </w:p>
        </w:tc>
      </w:tr>
      <w:tr>
        <w:trPr>
          <w:trHeight w:val="256"/>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6240" w:type="dxa"/>
            <w:vAlign w:val="bottom"/>
          </w:tcPr>
          <w:p>
            <w:pPr>
              <w:ind w:left="80"/>
              <w:spacing w:after="0"/>
              <w:rPr>
                <w:sz w:val="20"/>
                <w:szCs w:val="20"/>
                <w:color w:val="auto"/>
              </w:rPr>
            </w:pPr>
            <w:r>
              <w:rPr>
                <w:rFonts w:ascii="Arial" w:cs="Arial" w:eastAsia="Arial" w:hAnsi="Arial"/>
                <w:sz w:val="20"/>
                <w:szCs w:val="20"/>
                <w:color w:val="auto"/>
              </w:rPr>
              <w:t>Diversity</w:t>
            </w:r>
          </w:p>
        </w:tc>
      </w:tr>
      <w:tr>
        <w:trPr>
          <w:trHeight w:val="257"/>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6240" w:type="dxa"/>
            <w:vAlign w:val="bottom"/>
          </w:tcPr>
          <w:p>
            <w:pPr>
              <w:ind w:left="80"/>
              <w:spacing w:after="0"/>
              <w:rPr>
                <w:sz w:val="20"/>
                <w:szCs w:val="20"/>
                <w:color w:val="auto"/>
              </w:rPr>
            </w:pPr>
            <w:r>
              <w:rPr>
                <w:rFonts w:ascii="Arial" w:cs="Arial" w:eastAsia="Arial" w:hAnsi="Arial"/>
                <w:sz w:val="20"/>
                <w:szCs w:val="20"/>
                <w:color w:val="auto"/>
              </w:rPr>
              <w:t>Corporate values and code of business conduct and ethics</w:t>
            </w:r>
          </w:p>
        </w:tc>
      </w:tr>
    </w:tbl>
    <w:p>
      <w:pPr>
        <w:spacing w:after="0" w:line="6" w:lineRule="exact"/>
        <w:rPr>
          <w:sz w:val="20"/>
          <w:szCs w:val="20"/>
          <w:color w:val="auto"/>
        </w:rPr>
      </w:pPr>
    </w:p>
    <w:p>
      <w:pPr>
        <w:ind w:left="1120" w:hanging="261"/>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Compensation</w:t>
      </w:r>
    </w:p>
    <w:p>
      <w:pPr>
        <w:spacing w:after="0" w:line="27"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8"/>
          <w:szCs w:val="18"/>
          <w:color w:val="auto"/>
        </w:rPr>
        <w:t>Compensation policy</w:t>
      </w:r>
    </w:p>
    <w:p>
      <w:pPr>
        <w:spacing w:after="0" w:line="50"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Compensation of directors</w:t>
      </w:r>
    </w:p>
    <w:p>
      <w:pPr>
        <w:spacing w:after="0" w:line="73"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Pay ratio</w:t>
      </w:r>
    </w:p>
    <w:p>
      <w:pPr>
        <w:spacing w:after="0" w:line="73" w:lineRule="exact"/>
        <w:rPr>
          <w:sz w:val="20"/>
          <w:szCs w:val="20"/>
          <w:color w:val="auto"/>
        </w:rPr>
      </w:pPr>
    </w:p>
    <w:p>
      <w:pPr>
        <w:ind w:left="1120" w:hanging="261"/>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20"/>
          <w:szCs w:val="20"/>
          <w:color w:val="auto"/>
        </w:rPr>
        <w:t>Related party transactions</w:t>
      </w:r>
    </w:p>
    <w:p>
      <w:pPr>
        <w:spacing w:after="0" w:line="2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xml:space="preserve">8  </w:t>
      </w:r>
      <w:r>
        <w:rPr>
          <w:rFonts w:ascii="Arial" w:cs="Arial" w:eastAsia="Arial" w:hAnsi="Arial"/>
          <w:sz w:val="19"/>
          <w:szCs w:val="19"/>
          <w:color w:val="auto"/>
        </w:rPr>
        <w:t>Protective Measures</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Financial Statements</w:t>
      </w:r>
    </w:p>
    <w:p>
      <w:pPr>
        <w:spacing w:after="0" w:line="283"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Consolidated Financial Statements</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Company only Financial Statements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23495</wp:posOffset>
            </wp:positionV>
            <wp:extent cx="5918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118</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w:t>
      </w:r>
    </w:p>
    <w:p>
      <w:pPr>
        <w:spacing w:after="0" w:line="200" w:lineRule="exact"/>
        <w:rPr>
          <w:sz w:val="20"/>
          <w:szCs w:val="20"/>
          <w:color w:val="auto"/>
        </w:rPr>
      </w:pPr>
    </w:p>
    <w:p>
      <w:pPr>
        <w:sectPr>
          <w:pgSz w:w="11900" w:h="16838" w:orient="portrait"/>
          <w:cols w:equalWidth="0" w:num="2">
            <w:col w:w="9860" w:space="720"/>
            <w:col w:w="640"/>
          </w:cols>
          <w:pgMar w:left="320" w:top="121" w:right="35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254"/>
        </w:trPr>
        <w:tc>
          <w:tcPr>
            <w:tcW w:w="6720" w:type="dxa"/>
            <w:vAlign w:val="bottom"/>
          </w:tcPr>
          <w:p>
            <w:pPr>
              <w:spacing w:after="0"/>
              <w:rPr>
                <w:sz w:val="20"/>
                <w:szCs w:val="20"/>
                <w:color w:val="auto"/>
              </w:rPr>
            </w:pPr>
            <w:r>
              <w:rPr>
                <w:rFonts w:ascii="Arial" w:cs="Arial" w:eastAsia="Arial" w:hAnsi="Arial"/>
                <w:sz w:val="20"/>
                <w:szCs w:val="20"/>
                <w:color w:val="auto"/>
              </w:rPr>
              <w:t>Independent auditor's report</w:t>
            </w:r>
          </w:p>
        </w:tc>
        <w:tc>
          <w:tcPr>
            <w:tcW w:w="33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57"/>
        </w:trPr>
        <w:tc>
          <w:tcPr>
            <w:tcW w:w="6720" w:type="dxa"/>
            <w:vAlign w:val="bottom"/>
          </w:tcPr>
          <w:p>
            <w:pPr>
              <w:spacing w:after="0"/>
              <w:rPr>
                <w:sz w:val="20"/>
                <w:szCs w:val="20"/>
                <w:color w:val="auto"/>
              </w:rPr>
            </w:pPr>
            <w:r>
              <w:rPr>
                <w:rFonts w:ascii="Arial" w:cs="Arial" w:eastAsia="Arial" w:hAnsi="Arial"/>
                <w:sz w:val="20"/>
                <w:szCs w:val="20"/>
                <w:color w:val="auto"/>
              </w:rPr>
              <w:t>Profit appropriation provisions</w:t>
            </w:r>
          </w:p>
        </w:tc>
        <w:tc>
          <w:tcPr>
            <w:tcW w:w="33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57"/>
        </w:trPr>
        <w:tc>
          <w:tcPr>
            <w:tcW w:w="6720" w:type="dxa"/>
            <w:vAlign w:val="bottom"/>
          </w:tcPr>
          <w:p>
            <w:pPr>
              <w:spacing w:after="0"/>
              <w:rPr>
                <w:sz w:val="20"/>
                <w:szCs w:val="20"/>
                <w:color w:val="auto"/>
              </w:rPr>
            </w:pPr>
            <w:r>
              <w:rPr>
                <w:rFonts w:ascii="Arial" w:cs="Arial" w:eastAsia="Arial" w:hAnsi="Arial"/>
                <w:sz w:val="20"/>
                <w:szCs w:val="20"/>
                <w:color w:val="auto"/>
              </w:rPr>
              <w:t>Shares carrying limited economic entitlement</w:t>
            </w:r>
          </w:p>
        </w:tc>
        <w:tc>
          <w:tcPr>
            <w:tcW w:w="33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56"/>
        </w:trPr>
        <w:tc>
          <w:tcPr>
            <w:tcW w:w="6720" w:type="dxa"/>
            <w:vAlign w:val="bottom"/>
          </w:tcPr>
          <w:p>
            <w:pPr>
              <w:spacing w:after="0"/>
              <w:rPr>
                <w:sz w:val="20"/>
                <w:szCs w:val="20"/>
                <w:color w:val="auto"/>
              </w:rPr>
            </w:pPr>
            <w:r>
              <w:rPr>
                <w:rFonts w:ascii="Arial" w:cs="Arial" w:eastAsia="Arial" w:hAnsi="Arial"/>
                <w:sz w:val="20"/>
                <w:szCs w:val="20"/>
                <w:color w:val="auto"/>
              </w:rPr>
              <w:t>Branches</w:t>
            </w:r>
          </w:p>
        </w:tc>
        <w:tc>
          <w:tcPr>
            <w:tcW w:w="3380" w:type="dxa"/>
            <w:vAlign w:val="bottom"/>
          </w:tcPr>
          <w:p>
            <w:pPr>
              <w:jc w:val="right"/>
              <w:spacing w:after="0"/>
              <w:rPr>
                <w:sz w:val="20"/>
                <w:szCs w:val="20"/>
                <w:color w:val="auto"/>
              </w:rPr>
            </w:pPr>
            <w:r>
              <w:rPr>
                <w:rFonts w:ascii="Arial" w:cs="Arial" w:eastAsia="Arial" w:hAnsi="Arial"/>
                <w:sz w:val="16"/>
                <w:szCs w:val="16"/>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 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-1905</wp:posOffset>
            </wp:positionV>
            <wp:extent cx="714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1.1 Preparation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report, the terms "we", "us", "our" and "the Company" refer to Pharvaris N.V. and, where appropriate, its subsidiaries.</w:t>
      </w:r>
    </w:p>
    <w:p>
      <w:pPr>
        <w:spacing w:after="0" w:line="186"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This report has been prepared by the Company's board (the "</w:t>
      </w:r>
      <w:r>
        <w:rPr>
          <w:rFonts w:ascii="Arial" w:cs="Arial" w:eastAsia="Arial" w:hAnsi="Arial"/>
          <w:sz w:val="16"/>
          <w:szCs w:val="16"/>
          <w:b w:val="1"/>
          <w:bCs w:val="1"/>
          <w:color w:val="auto"/>
        </w:rPr>
        <w:t>Board</w:t>
      </w:r>
      <w:r>
        <w:rPr>
          <w:rFonts w:ascii="Arial" w:cs="Arial" w:eastAsia="Arial" w:hAnsi="Arial"/>
          <w:sz w:val="16"/>
          <w:szCs w:val="16"/>
          <w:color w:val="auto"/>
        </w:rPr>
        <w:t>") pursuant to Section 2:391 of the Dutch Civil Code ("</w:t>
      </w:r>
      <w:r>
        <w:rPr>
          <w:rFonts w:ascii="Arial" w:cs="Arial" w:eastAsia="Arial" w:hAnsi="Arial"/>
          <w:sz w:val="16"/>
          <w:szCs w:val="16"/>
          <w:b w:val="1"/>
          <w:bCs w:val="1"/>
          <w:color w:val="auto"/>
        </w:rPr>
        <w:t>DCC</w:t>
      </w:r>
      <w:r>
        <w:rPr>
          <w:rFonts w:ascii="Arial" w:cs="Arial" w:eastAsia="Arial" w:hAnsi="Arial"/>
          <w:sz w:val="16"/>
          <w:szCs w:val="16"/>
          <w:color w:val="auto"/>
        </w:rPr>
        <w:t>") and also contains (i) the Company's statutory annual accounts within the meaning of Section 2:361(1) DCC and (ii) to the extent applicable, the information to be added pursuant to Section 2:392 DCC. The 2022 consolidated financial statements are prepared according to the International Financial Reporting Standards ("IFRS") as issued by the European Union ("IFRS-EU") and the Company financial statements, including the accompanying notes, have been prepared in accordance with Part 9 of Book 2 of the Dutch Civil Code, Section 2:362 (8), which allows companies that apply IFRS-EU in their consolidated financial statements to use the same measurement principles in their Company financial statements. This report relates to the fiscal year ended December 31, 2022 and, unless explicitly stated otherwise, information presented in this report is as at December 31, 2022.</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1.2 Forward-looking statements</w:t>
      </w:r>
    </w:p>
    <w:p>
      <w:pPr>
        <w:spacing w:after="0" w:line="229"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This report contains certain statements that are or may be forward-looking statements with respect to us, our industry and our business that involve substantial risks and uncertainties. All statements other than statements of historical fact contained in this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84" w:lineRule="exact"/>
        <w:rPr>
          <w:sz w:val="20"/>
          <w:szCs w:val="20"/>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the clinical hold on PHA121, or deucrictibant, clinical trials in the U.S.;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expected timing, progress, or success of our clinical development programs, especially for PHVS416 and PHVS719, which are in mid-stage global clinical trials and are currently on hold in the U.S. as a result of the clinical hold;</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disruptions at the FDA and other government agencies;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raise capital when needed and on acceptable terms;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outcome and timing of price negotiations with governmental authorities;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compete in the pharmaceutical industry and with competitive generic products;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loss of any of our key personnel;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estimates of market sizes and anticipated uses of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estimates of future performance;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 and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w:t>
      </w:r>
    </w:p>
    <w:p>
      <w:pPr>
        <w:spacing w:after="0" w:line="14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You should refer to the risk factors included in chapter 3.2 of this report for a discussion of important factors that may cause our actual results to differ materially from those expressed or implied by our forward-looking statements.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Business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2.1 History and development of the company</w:t>
      </w:r>
    </w:p>
    <w:p>
      <w:pPr>
        <w:spacing w:after="0" w:line="229"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convenience that is superior to current standard-of-care HAE treatments, which are injectables. We believe deucrictibant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signal. By blocking the action of bradykinin, we can prevent its aberrant signaling regardless of the pathway that generates BK. In our completed Phase 1 trials to date, we have observed that deucrictibant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w:t>
      </w:r>
    </w:p>
    <w:p>
      <w:pPr>
        <w:spacing w:after="0" w:line="173"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prophylaxis in 2021 using twice-daily dosing of the PHVS416 softgel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and the potential for once-daily dosing. 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founded in 2015 in Leiden, The Netherlands. Our principal executive offices are located in Emmy Noetherweg 2, 2333 BK Leiden, The Netherlands, telephone: +31 (0)71 2036 410.</w:t>
      </w:r>
    </w:p>
    <w:p>
      <w:pPr>
        <w:spacing w:after="0" w:line="359"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report. To date, we have relied solely on the issuance of equity securities to finance our operations and internal growth. For more information, please see Liquidity and Capital Resources in chapter 2.5.</w:t>
      </w:r>
    </w:p>
    <w:p>
      <w:pPr>
        <w:spacing w:after="0" w:line="156"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report, and you should not consider information contained on our website to be a part of this report.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2.2 Overview</w:t>
      </w:r>
    </w:p>
    <w:p>
      <w:pPr>
        <w:spacing w:after="0" w:line="20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Deucrictibant (PHA121, PHA-022121) is a novel, highly potent inhibitor and selective small molecule bradykinin B2-receptor antagonist and, to our knowledge, the only orally available bradykinin B2-receptor antagonist currently in development. Deucrictibant has been observed to be a potent inhibitor in vitro as assessed using human recombinant bradykinin B2 receptors (150 pM);ex vivo as studied against endogenous bradykinin B2 receptors in a human umbilical vein model (350 pM); and in vivo in the human bradykinin-challenge model (170 pM). Potency as used in this report refers to the amount of drug required to produce a pharmacological effect of given intensity and is not a measure of therapeutic efficacy. We have released topline data demonstrating efficacy and tolerability in a Phase 2 clinical trial for treatment of attacks in our RAPIDe-1 study but have not completed assessment of efficacy for prevention of attacks in our CHAPTER-1 study. PHA121 demonstrated 5000-fold selectivity for the bradykinin B2 receptor when compared to approximately 170 other molecular targets, including the bradykinin B1 receptor. We designed deucrictibant as a new chemotype with properties compatible with oral delivery. We are developing deucrictibant for the on-demand indication as PHVS416, which is delivered in a softgel capsule designed to rapidly treat symptoms with a single dose. We are also developing deucrictibant for the prophylactic indication as PHVS719, which is a small daily dose tablet with an extended-release formulation designed for the patient to maintain therapeutic levels for at least 24 hours and to achieve a steady-state plasma concentration within 72 hours.</w:t>
      </w:r>
    </w:p>
    <w:p>
      <w:pPr>
        <w:spacing w:after="0" w:line="166"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or PK, with and without food. In addition, we observed deucrictibant to be a potent antagonist of the bradykinin B2 receptor, in vitro and in vivo with healthy volunteers. In our models based on PK data from our Phase 1 clinical trial of deucrictibant and published data for icatibant, both in the BK challenge assessment, deucrictibant was shown to be consistently 25-fold more potent at inhibiting the effects of administered bradykinin than icatibant on a molar basis. We have not conducted a head-to-head comparison of icatibant to deucrictibant in a clinical trial but have compared the published data for icatibant to data from our Phase 1 and Phase 2 clinical trials of deucrictibant. While we believe this comparison to icatibant to be useful and appropriate, the value of this and other comparisons to icatibant in this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357"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In our Phase 2 placebo-controlled trial evaluating the efficacy and tolerability of PHVS416 for on-demand treatment of attacks in patients with HAE type 1 and 2 (RAPIDe-1), a statistically significant and clinical meaningful reduction of the patient-reported symptoms of HAE was observed for the attacks treated with all doses of PHVS416 (10, 20, 30 mg) compared to placebo-treated attacks. The study’s primary endpoint—symptom relief at four hours after treatment with study drug—as well as all key secondary efficacy endpoints were met. Consistently with its pharmacokinetic profile, PHVS416 demonstrated rapid onset of action, symptom relief, and resolution of the manifestations of HAE attacks as well as sustained clinical effects, with consistent findings across outcome measures. In addition, PHVS416 substantially reduced the use of rescue medication compared to the placebo. PHVS416 was generally well tolerated at all dose levels with three treatment-related adverse events (TRAEs) reported for one PHVS416 30-mg-treated attack (2.8%) and one TRAE reported for one placebo-treated attack (1.9%); there were no treatment-related serious adverse events (SAEs), no treatment-related adverse events (AEs) of severe severity, and no AEs leading to treatment discontinuation. We believe these positive Phase 2 data support further development of PHVS416 as a potential oral on-demand therapy for HAE attacks.</w:t>
      </w:r>
    </w:p>
    <w:p>
      <w:pPr>
        <w:spacing w:after="0" w:line="170"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357"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Global sales of treatments for HAE in 2022 are estimated at approximately $2.7 billion based on publicly available information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2" w:lineRule="auto"/>
        <w:rPr>
          <w:sz w:val="20"/>
          <w:szCs w:val="20"/>
          <w:color w:val="auto"/>
        </w:rPr>
      </w:pPr>
      <w:r>
        <w:rPr>
          <w:rFonts w:ascii="Arial" w:cs="Arial" w:eastAsia="Arial" w:hAnsi="Arial"/>
          <w:sz w:val="16"/>
          <w:szCs w:val="16"/>
          <w:color w:val="auto"/>
        </w:rPr>
        <w:t>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357"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Based on results observed from our four completed clinical trials to-date, we believe our product candidates that contain deucrictibant will demonstrate advantages and differentiation relative to currently approved HAE therapies and other oral therapies in clinical development. Deucrictibant’s bradykinin-B2-receptor-inhibition mechanism has a well-established clinical therapeutic profile in a currently approved product in the rapid treatment of acute HAE attacks. We have observed greater potency for deucrictibant compared to icatibant using a surrogate endpoint in the bradykinin challenge study, potentially resulting in both a smaller therapeutic dose and a longer duration of effect. We evaluated the PD and PK of deucrictibant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deucrictibant on cardiovascular parameters affected by bradykinin such as blood pressure, heart rate and cardiac output in healthy volunteers. We observed that deucrictibant was more potent in blocking the effects of BK in humans than icatibant, when comparing the deucrictibant results of the trial to published data on icatibant.</w:t>
      </w:r>
    </w:p>
    <w:p>
      <w:pPr>
        <w:spacing w:after="0" w:line="16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The data from this trial allowed us to generate a PK/PD correlation model. Based on this model and published data on icatibant, we predict the duration of effect for a single oral dose of 12 mg deucrictibant to exceed that of 30 mg of icatibant and a single oral dose of 22 mg deucrictibant will cover the same duration of effect as two icatibant injections of 30 mg administered six hours apart. Furthermore, analysis based on the results from this trial suggest that therapeutic doses of deucrictibant may be at least 10-fold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The topline data from our deucrictibant Phase 2 RAPIDe-1 trial treating HAE attacks were consistent with the predictions of the BK challenge in both onset of symptom relief and duration of effect (use of rescue medication). However, we have not conducted a head-to-head comparison of icatibant to deucrictibant in a clinical trial but have compared the published data for icatibant to data from our Phase 1 clinical trial of deucrictibant. Potency as used in this report refers to the amount of drug required to produce a pharmacological effect of given intensity and is not a measure of therapeutic efficacy.</w:t>
      </w:r>
    </w:p>
    <w:p>
      <w:pPr>
        <w:spacing w:after="0" w:line="17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 protocol for a 26-week rodent toxicology study has been aligned with the FDA and the study has initiated. We expect to submit results for this study to the FDA by the end of 2023. However, we cannot provide any assurance that we will be able to resolve the clinical holds.</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FDA also agreed to partially lift the clinical hold on on-demand to allow two remaining U.S. participants in RAPIDe-1 to complete treatment of a final HAE attack per protocol. All other clinical studies of deucrictibant are currently on hold in the U.S.</w:t>
      </w:r>
    </w:p>
    <w:p>
      <w:pPr>
        <w:spacing w:after="0" w:line="14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Outside the U.S., the regulatory status remains unchanged for the CHAPTER-1 study and other studies, including an open-label, long-term extension study (RAPIDe-2). Pharvaris notified country-specific regulatory authorities in Canada, Europe, Israel, and the UK of the U.S. clinical holds. All active sites outside of the U.S. continue to recruit participants in the CHAPTER-1 clinical study. We anticipate announcing top-line data for CHAPTER-1 by the end of 2023.</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Additional trials may be required by the FDA, EMA or other regulators even with positive data from RAPIDe-1. We are also planning to conduct a registration-directed trial in the on-demand setting and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We believe that deucrictibant, as the active ingredient in underlying both PHVS416 and PHVS719, has the potential to be highly differentiated for both the on-demand and prophylactic settings with the key benefits below:</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PHVS416. We believe that PHVS416, an on-demand, rapid exposure softgel capsule, has the potential to be highly differentiated for patients suffering from acute HAE attacks with the following benefits: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Complete Symptom Resolution</w:t>
            </w:r>
          </w:p>
        </w:tc>
        <w:tc>
          <w:tcPr>
            <w:tcW w:w="1000" w:type="dxa"/>
            <w:vAlign w:val="bottom"/>
            <w:tcBorders>
              <w:top w:val="single" w:sz="8" w:color="auto"/>
            </w:tcBorders>
            <w:vMerge w:val="restart"/>
          </w:tcPr>
          <w:p>
            <w:pPr>
              <w:ind w:left="840"/>
              <w:spacing w:after="0"/>
              <w:rPr>
                <w:sz w:val="20"/>
                <w:szCs w:val="20"/>
                <w:color w:val="auto"/>
              </w:rPr>
            </w:pPr>
            <w:r>
              <w:rPr>
                <w:rFonts w:ascii="Arial" w:cs="Arial" w:eastAsia="Arial" w:hAnsi="Arial"/>
                <w:sz w:val="16"/>
                <w:szCs w:val="16"/>
                <w:color w:val="auto"/>
              </w:rPr>
              <w:t>•</w:t>
            </w:r>
          </w:p>
        </w:tc>
        <w:tc>
          <w:tcPr>
            <w:tcW w:w="5620" w:type="dxa"/>
            <w:vAlign w:val="bottom"/>
            <w:tcBorders>
              <w:top w:val="single" w:sz="8" w:color="auto"/>
            </w:tcBorders>
            <w:vMerge w:val="restart"/>
          </w:tcPr>
          <w:p>
            <w:pPr>
              <w:ind w:left="120"/>
              <w:spacing w:after="0"/>
              <w:rPr>
                <w:sz w:val="20"/>
                <w:szCs w:val="20"/>
                <w:color w:val="auto"/>
              </w:rPr>
            </w:pPr>
            <w:r>
              <w:rPr>
                <w:rFonts w:ascii="Arial" w:cs="Arial" w:eastAsia="Arial" w:hAnsi="Arial"/>
                <w:sz w:val="16"/>
                <w:szCs w:val="16"/>
                <w:color w:val="auto"/>
              </w:rPr>
              <w:t>Clinically validated mechanism of bradykinin-B2-receptor antagonism</w:t>
            </w:r>
          </w:p>
        </w:tc>
        <w:tc>
          <w:tcPr>
            <w:tcW w:w="0" w:type="dxa"/>
            <w:vAlign w:val="bottom"/>
          </w:tcPr>
          <w:p>
            <w:pPr>
              <w:spacing w:after="0"/>
              <w:rPr>
                <w:sz w:val="1"/>
                <w:szCs w:val="1"/>
                <w:color w:val="auto"/>
              </w:rPr>
            </w:pPr>
          </w:p>
        </w:tc>
      </w:tr>
      <w:tr>
        <w:trPr>
          <w:trHeight w:val="91"/>
        </w:trPr>
        <w:tc>
          <w:tcPr>
            <w:tcW w:w="46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4620" w:type="dxa"/>
            <w:vAlign w:val="bottom"/>
          </w:tcPr>
          <w:p>
            <w:pPr>
              <w:spacing w:after="0"/>
              <w:rPr>
                <w:sz w:val="24"/>
                <w:szCs w:val="24"/>
                <w:color w:val="auto"/>
              </w:rPr>
            </w:pPr>
          </w:p>
        </w:tc>
        <w:tc>
          <w:tcPr>
            <w:tcW w:w="6620" w:type="dxa"/>
            <w:vAlign w:val="bottom"/>
            <w:gridSpan w:val="2"/>
          </w:tcPr>
          <w:p>
            <w:pPr>
              <w:ind w:left="840"/>
              <w:spacing w:after="0"/>
              <w:rPr>
                <w:sz w:val="20"/>
                <w:szCs w:val="20"/>
                <w:color w:val="auto"/>
              </w:rPr>
            </w:pPr>
            <w:r>
              <w:rPr>
                <w:rFonts w:ascii="Arial" w:cs="Arial" w:eastAsia="Arial" w:hAnsi="Arial"/>
                <w:sz w:val="16"/>
                <w:szCs w:val="16"/>
                <w:color w:val="auto"/>
              </w:rPr>
              <w:t xml:space="preserve">•   Utilizing same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surrogate assessment for dose selection as the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20" w:type="dxa"/>
            <w:vAlign w:val="bottom"/>
          </w:tcPr>
          <w:p>
            <w:pPr>
              <w:ind w:left="120"/>
              <w:spacing w:after="0"/>
              <w:rPr>
                <w:sz w:val="20"/>
                <w:szCs w:val="20"/>
                <w:color w:val="auto"/>
              </w:rPr>
            </w:pPr>
            <w:r>
              <w:rPr>
                <w:rFonts w:ascii="Arial" w:cs="Arial" w:eastAsia="Arial" w:hAnsi="Arial"/>
                <w:sz w:val="16"/>
                <w:szCs w:val="16"/>
                <w:color w:val="auto"/>
              </w:rPr>
              <w:t>development program for icatibant (validity confirmed in the RAPIDe-1</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20" w:type="dxa"/>
            <w:vAlign w:val="bottom"/>
          </w:tcPr>
          <w:p>
            <w:pPr>
              <w:ind w:left="120"/>
              <w:spacing w:after="0"/>
              <w:rPr>
                <w:sz w:val="20"/>
                <w:szCs w:val="20"/>
                <w:color w:val="auto"/>
              </w:rPr>
            </w:pPr>
            <w:r>
              <w:rPr>
                <w:rFonts w:ascii="Arial" w:cs="Arial" w:eastAsia="Arial" w:hAnsi="Arial"/>
                <w:sz w:val="16"/>
                <w:szCs w:val="16"/>
                <w:color w:val="auto"/>
              </w:rPr>
              <w:t>Phase 2 trial)</w:t>
            </w: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6620" w:type="dxa"/>
            <w:vAlign w:val="bottom"/>
            <w:gridSpan w:val="2"/>
          </w:tcPr>
          <w:p>
            <w:pPr>
              <w:ind w:left="840"/>
              <w:spacing w:after="0"/>
              <w:rPr>
                <w:sz w:val="20"/>
                <w:szCs w:val="20"/>
                <w:color w:val="auto"/>
              </w:rPr>
            </w:pPr>
            <w:r>
              <w:rPr>
                <w:rFonts w:ascii="Arial" w:cs="Arial" w:eastAsia="Arial" w:hAnsi="Arial"/>
                <w:sz w:val="16"/>
                <w:szCs w:val="16"/>
                <w:color w:val="auto"/>
              </w:rPr>
              <w:t>•   More potent inhibitor than icatibant</w:t>
            </w:r>
          </w:p>
        </w:tc>
        <w:tc>
          <w:tcPr>
            <w:tcW w:w="0" w:type="dxa"/>
            <w:vAlign w:val="bottom"/>
          </w:tcPr>
          <w:p>
            <w:pPr>
              <w:spacing w:after="0"/>
              <w:rPr>
                <w:sz w:val="1"/>
                <w:szCs w:val="1"/>
                <w:color w:val="auto"/>
              </w:rPr>
            </w:pPr>
          </w:p>
        </w:tc>
      </w:tr>
      <w:tr>
        <w:trPr>
          <w:trHeight w:val="350"/>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   Longer half-life than icatibant</w:t>
            </w:r>
          </w:p>
        </w:tc>
        <w:tc>
          <w:tcPr>
            <w:tcW w:w="0" w:type="dxa"/>
            <w:vAlign w:val="bottom"/>
          </w:tcPr>
          <w:p>
            <w:pPr>
              <w:spacing w:after="0"/>
              <w:rPr>
                <w:sz w:val="1"/>
                <w:szCs w:val="1"/>
                <w:color w:val="auto"/>
              </w:rPr>
            </w:pPr>
          </w:p>
        </w:tc>
      </w:tr>
      <w:tr>
        <w:trPr>
          <w:trHeight w:val="22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Rapid Onset of Activity</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5620" w:type="dxa"/>
            <w:vAlign w:val="bottom"/>
            <w:vMerge w:val="restart"/>
          </w:tcPr>
          <w:p>
            <w:pPr>
              <w:ind w:left="120"/>
              <w:spacing w:after="0"/>
              <w:rPr>
                <w:sz w:val="20"/>
                <w:szCs w:val="20"/>
                <w:color w:val="auto"/>
              </w:rPr>
            </w:pPr>
            <w:r>
              <w:rPr>
                <w:rFonts w:ascii="Arial" w:cs="Arial" w:eastAsia="Arial" w:hAnsi="Arial"/>
                <w:sz w:val="16"/>
                <w:szCs w:val="16"/>
                <w:color w:val="auto"/>
              </w:rPr>
              <w:t>Exposure exceeds the anticipated threshold therapeutic plasma level (EC85)</w:t>
            </w:r>
          </w:p>
        </w:tc>
        <w:tc>
          <w:tcPr>
            <w:tcW w:w="0" w:type="dxa"/>
            <w:vAlign w:val="bottom"/>
          </w:tcPr>
          <w:p>
            <w:pPr>
              <w:spacing w:after="0"/>
              <w:rPr>
                <w:sz w:val="1"/>
                <w:szCs w:val="1"/>
                <w:color w:val="auto"/>
              </w:rPr>
            </w:pPr>
          </w:p>
        </w:tc>
      </w:tr>
      <w:tr>
        <w:trPr>
          <w:trHeight w:val="74"/>
        </w:trPr>
        <w:tc>
          <w:tcPr>
            <w:tcW w:w="46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5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 30 minutes, with or without food</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5620" w:type="dxa"/>
            <w:vAlign w:val="bottom"/>
            <w:vMerge w:val="restart"/>
          </w:tcPr>
          <w:p>
            <w:pPr>
              <w:ind w:left="12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r>
        <w:trPr>
          <w:trHeight w:val="104"/>
        </w:trPr>
        <w:tc>
          <w:tcPr>
            <w:tcW w:w="4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5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5620" w:type="dxa"/>
            <w:vAlign w:val="bottom"/>
            <w:vMerge w:val="restart"/>
          </w:tcPr>
          <w:p>
            <w:pPr>
              <w:ind w:left="120"/>
              <w:spacing w:after="0"/>
              <w:rPr>
                <w:sz w:val="20"/>
                <w:szCs w:val="20"/>
                <w:color w:val="auto"/>
              </w:rPr>
            </w:pPr>
            <w:r>
              <w:rPr>
                <w:rFonts w:ascii="Arial" w:cs="Arial" w:eastAsia="Arial" w:hAnsi="Arial"/>
                <w:sz w:val="16"/>
                <w:szCs w:val="16"/>
                <w:color w:val="auto"/>
              </w:rPr>
              <w:t>Convenient oral formulation removes barriers inherent in current injectable</w:t>
            </w:r>
          </w:p>
        </w:tc>
        <w:tc>
          <w:tcPr>
            <w:tcW w:w="0" w:type="dxa"/>
            <w:vAlign w:val="bottom"/>
          </w:tcPr>
          <w:p>
            <w:pPr>
              <w:spacing w:after="0"/>
              <w:rPr>
                <w:sz w:val="1"/>
                <w:szCs w:val="1"/>
                <w:color w:val="auto"/>
              </w:rPr>
            </w:pPr>
          </w:p>
        </w:tc>
      </w:tr>
      <w:tr>
        <w:trPr>
          <w:trHeight w:val="86"/>
        </w:trPr>
        <w:tc>
          <w:tcPr>
            <w:tcW w:w="46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5740"/>
        <w:spacing w:after="0"/>
        <w:rPr>
          <w:sz w:val="20"/>
          <w:szCs w:val="20"/>
          <w:color w:val="auto"/>
        </w:rPr>
      </w:pPr>
      <w:r>
        <w:rPr>
          <w:rFonts w:ascii="Arial" w:cs="Arial" w:eastAsia="Arial" w:hAnsi="Arial"/>
          <w:sz w:val="16"/>
          <w:szCs w:val="16"/>
          <w:color w:val="auto"/>
        </w:rPr>
        <w:t>treatments to facilitate early treatment of acute HAE attacks and overall</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treatment of more attacks than currently reported</w:t>
      </w:r>
    </w:p>
    <w:p>
      <w:pPr>
        <w:spacing w:after="0" w:line="128" w:lineRule="exact"/>
        <w:rPr>
          <w:sz w:val="20"/>
          <w:szCs w:val="20"/>
          <w:color w:val="auto"/>
        </w:rPr>
      </w:pPr>
    </w:p>
    <w:p>
      <w:pPr>
        <w:ind w:left="5460"/>
        <w:spacing w:after="0"/>
        <w:tabs>
          <w:tab w:leader="none" w:pos="5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Capsule reduces treatment burden</w:t>
      </w:r>
    </w:p>
    <w:p>
      <w:pPr>
        <w:spacing w:after="0" w:line="154" w:lineRule="exact"/>
        <w:rPr>
          <w:sz w:val="20"/>
          <w:szCs w:val="20"/>
          <w:color w:val="auto"/>
        </w:rPr>
      </w:pPr>
    </w:p>
    <w:p>
      <w:pPr>
        <w:ind w:left="5460"/>
        <w:spacing w:after="0"/>
        <w:tabs>
          <w:tab w:leader="none" w:pos="5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Potential lowest dosage of any oral HAE on-demand treatment</w:t>
      </w:r>
    </w:p>
    <w:p>
      <w:pPr>
        <w:spacing w:after="0" w:line="217"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PHVS719</w:t>
      </w:r>
      <w:r>
        <w:rPr>
          <w:rFonts w:ascii="Arial" w:cs="Arial" w:eastAsia="Arial" w:hAnsi="Arial"/>
          <w:sz w:val="16"/>
          <w:szCs w:val="16"/>
          <w:color w:val="auto"/>
        </w:rPr>
        <w:t>. We believe that PHVS719, a prophylactic extended-release tablet designed to be taken in small, daily doses, has the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HAE patients with the following benefits: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Protection From Attacks</w:t>
            </w:r>
          </w:p>
        </w:tc>
        <w:tc>
          <w:tcPr>
            <w:tcW w:w="1040" w:type="dxa"/>
            <w:vAlign w:val="bottom"/>
            <w:tcBorders>
              <w:top w:val="single" w:sz="8" w:color="auto"/>
            </w:tcBorders>
            <w:vMerge w:val="restart"/>
          </w:tcPr>
          <w:p>
            <w:pPr>
              <w:ind w:left="880"/>
              <w:spacing w:after="0"/>
              <w:rPr>
                <w:sz w:val="20"/>
                <w:szCs w:val="20"/>
                <w:color w:val="auto"/>
              </w:rPr>
            </w:pPr>
            <w:r>
              <w:rPr>
                <w:rFonts w:ascii="Arial" w:cs="Arial" w:eastAsia="Arial" w:hAnsi="Arial"/>
                <w:sz w:val="16"/>
                <w:szCs w:val="16"/>
                <w:color w:val="auto"/>
              </w:rPr>
              <w:t>•</w:t>
            </w:r>
          </w:p>
        </w:tc>
        <w:tc>
          <w:tcPr>
            <w:tcW w:w="556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Validated, proven mechanism to address all bradykinin, regardless of</w:t>
            </w:r>
          </w:p>
        </w:tc>
        <w:tc>
          <w:tcPr>
            <w:tcW w:w="0" w:type="dxa"/>
            <w:vAlign w:val="bottom"/>
          </w:tcPr>
          <w:p>
            <w:pPr>
              <w:spacing w:after="0"/>
              <w:rPr>
                <w:sz w:val="1"/>
                <w:szCs w:val="1"/>
                <w:color w:val="auto"/>
              </w:rPr>
            </w:pPr>
          </w:p>
        </w:tc>
      </w:tr>
      <w:tr>
        <w:trPr>
          <w:trHeight w:val="74"/>
        </w:trPr>
        <w:tc>
          <w:tcPr>
            <w:tcW w:w="46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pathway</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Ideal Release Profile for Prophylactic Use</w:t>
            </w:r>
          </w:p>
        </w:tc>
        <w:tc>
          <w:tcPr>
            <w:tcW w:w="104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5560" w:type="dxa"/>
            <w:vAlign w:val="bottom"/>
            <w:vMerge w:val="restart"/>
          </w:tcPr>
          <w:p>
            <w:pPr>
              <w:ind w:left="100"/>
              <w:spacing w:after="0"/>
              <w:rPr>
                <w:sz w:val="20"/>
                <w:szCs w:val="20"/>
                <w:color w:val="auto"/>
              </w:rPr>
            </w:pPr>
            <w:r>
              <w:rPr>
                <w:rFonts w:ascii="Arial" w:cs="Arial" w:eastAsia="Arial" w:hAnsi="Arial"/>
                <w:sz w:val="16"/>
                <w:szCs w:val="16"/>
                <w:color w:val="auto"/>
              </w:rPr>
              <w:t>Reaches and maintains steady-state concentration within 72 hours</w:t>
            </w:r>
          </w:p>
        </w:tc>
        <w:tc>
          <w:tcPr>
            <w:tcW w:w="0" w:type="dxa"/>
            <w:vAlign w:val="bottom"/>
          </w:tcPr>
          <w:p>
            <w:pPr>
              <w:spacing w:after="0"/>
              <w:rPr>
                <w:sz w:val="1"/>
                <w:szCs w:val="1"/>
                <w:color w:val="auto"/>
              </w:rPr>
            </w:pPr>
          </w:p>
        </w:tc>
      </w:tr>
      <w:tr>
        <w:trPr>
          <w:trHeight w:val="91"/>
        </w:trPr>
        <w:tc>
          <w:tcPr>
            <w:tcW w:w="4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5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4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color w:val="auto"/>
              </w:rPr>
              <w:t>•   Appropriate pharmacokinetic profile with or without food</w:t>
            </w:r>
          </w:p>
        </w:tc>
        <w:tc>
          <w:tcPr>
            <w:tcW w:w="0" w:type="dxa"/>
            <w:vAlign w:val="bottom"/>
          </w:tcPr>
          <w:p>
            <w:pPr>
              <w:spacing w:after="0"/>
              <w:rPr>
                <w:sz w:val="1"/>
                <w:szCs w:val="1"/>
                <w:color w:val="auto"/>
              </w:rPr>
            </w:pPr>
          </w:p>
        </w:tc>
      </w:tr>
      <w:tr>
        <w:trPr>
          <w:trHeight w:val="227"/>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104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5560" w:type="dxa"/>
            <w:vAlign w:val="bottom"/>
            <w:vMerge w:val="restart"/>
          </w:tcPr>
          <w:p>
            <w:pPr>
              <w:ind w:left="100"/>
              <w:spacing w:after="0"/>
              <w:rPr>
                <w:sz w:val="20"/>
                <w:szCs w:val="20"/>
                <w:color w:val="auto"/>
              </w:rPr>
            </w:pPr>
            <w:r>
              <w:rPr>
                <w:rFonts w:ascii="Arial" w:cs="Arial" w:eastAsia="Arial" w:hAnsi="Arial"/>
                <w:sz w:val="16"/>
                <w:szCs w:val="16"/>
                <w:color w:val="auto"/>
              </w:rPr>
              <w:t>Convenient oral daily dosing with extended-release tablet</w:t>
            </w:r>
          </w:p>
        </w:tc>
        <w:tc>
          <w:tcPr>
            <w:tcW w:w="0" w:type="dxa"/>
            <w:vAlign w:val="bottom"/>
          </w:tcPr>
          <w:p>
            <w:pPr>
              <w:spacing w:after="0"/>
              <w:rPr>
                <w:sz w:val="1"/>
                <w:szCs w:val="1"/>
                <w:color w:val="auto"/>
              </w:rPr>
            </w:pPr>
          </w:p>
        </w:tc>
      </w:tr>
      <w:tr>
        <w:trPr>
          <w:trHeight w:val="104"/>
        </w:trPr>
        <w:tc>
          <w:tcPr>
            <w:tcW w:w="46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55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104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5560" w:type="dxa"/>
            <w:vAlign w:val="bottom"/>
            <w:vMerge w:val="restart"/>
          </w:tcPr>
          <w:p>
            <w:pPr>
              <w:ind w:left="100"/>
              <w:spacing w:after="0"/>
              <w:rPr>
                <w:sz w:val="20"/>
                <w:szCs w:val="20"/>
                <w:color w:val="auto"/>
              </w:rPr>
            </w:pPr>
            <w:r>
              <w:rPr>
                <w:rFonts w:ascii="Arial" w:cs="Arial" w:eastAsia="Arial" w:hAnsi="Arial"/>
                <w:sz w:val="16"/>
                <w:szCs w:val="16"/>
                <w:color w:val="auto"/>
              </w:rPr>
              <w:t>Potential for once-a-day dosing</w:t>
            </w:r>
          </w:p>
        </w:tc>
        <w:tc>
          <w:tcPr>
            <w:tcW w:w="0" w:type="dxa"/>
            <w:vAlign w:val="bottom"/>
          </w:tcPr>
          <w:p>
            <w:pPr>
              <w:spacing w:after="0"/>
              <w:rPr>
                <w:sz w:val="1"/>
                <w:szCs w:val="1"/>
                <w:color w:val="auto"/>
              </w:rPr>
            </w:pPr>
          </w:p>
        </w:tc>
      </w:tr>
      <w:tr>
        <w:trPr>
          <w:trHeight w:val="91"/>
        </w:trPr>
        <w:tc>
          <w:tcPr>
            <w:tcW w:w="4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5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4640" w:type="dxa"/>
            <w:vAlign w:val="bottom"/>
          </w:tcPr>
          <w:p>
            <w:pPr>
              <w:spacing w:after="0"/>
              <w:rPr>
                <w:sz w:val="24"/>
                <w:szCs w:val="24"/>
                <w:color w:val="auto"/>
              </w:rPr>
            </w:pPr>
          </w:p>
        </w:tc>
        <w:tc>
          <w:tcPr>
            <w:tcW w:w="6600" w:type="dxa"/>
            <w:vAlign w:val="bottom"/>
            <w:gridSpan w:val="2"/>
          </w:tcPr>
          <w:p>
            <w:pPr>
              <w:ind w:left="880"/>
              <w:spacing w:after="0"/>
              <w:rPr>
                <w:sz w:val="20"/>
                <w:szCs w:val="20"/>
                <w:color w:val="auto"/>
              </w:rPr>
            </w:pPr>
            <w:r>
              <w:rPr>
                <w:rFonts w:ascii="Arial" w:cs="Arial" w:eastAsia="Arial" w:hAnsi="Arial"/>
                <w:sz w:val="16"/>
                <w:szCs w:val="16"/>
                <w:color w:val="auto"/>
              </w:rPr>
              <w:t>•   Potential lowest dosage of any oral HAE treatment; ease of administration</w:t>
            </w:r>
          </w:p>
        </w:tc>
        <w:tc>
          <w:tcPr>
            <w:tcW w:w="0" w:type="dxa"/>
            <w:vAlign w:val="bottom"/>
          </w:tcPr>
          <w:p>
            <w:pPr>
              <w:spacing w:after="0"/>
              <w:rPr>
                <w:sz w:val="1"/>
                <w:szCs w:val="1"/>
                <w:color w:val="auto"/>
              </w:rPr>
            </w:pPr>
          </w:p>
        </w:tc>
      </w:tr>
      <w:tr>
        <w:trPr>
          <w:trHeight w:val="320"/>
        </w:trPr>
        <w:tc>
          <w:tcPr>
            <w:tcW w:w="4640" w:type="dxa"/>
            <w:vAlign w:val="bottom"/>
          </w:tcPr>
          <w:p>
            <w:pPr>
              <w:spacing w:after="0"/>
              <w:rPr>
                <w:sz w:val="24"/>
                <w:szCs w:val="24"/>
                <w:color w:val="auto"/>
              </w:rPr>
            </w:pPr>
          </w:p>
        </w:tc>
        <w:tc>
          <w:tcPr>
            <w:tcW w:w="6600" w:type="dxa"/>
            <w:vAlign w:val="bottom"/>
            <w:gridSpan w:val="2"/>
          </w:tcPr>
          <w:p>
            <w:pPr>
              <w:ind w:left="880"/>
              <w:spacing w:after="0"/>
              <w:rPr>
                <w:sz w:val="20"/>
                <w:szCs w:val="20"/>
                <w:color w:val="auto"/>
              </w:rPr>
            </w:pPr>
            <w:r>
              <w:rPr>
                <w:rFonts w:ascii="Arial" w:cs="Arial" w:eastAsia="Arial" w:hAnsi="Arial"/>
                <w:sz w:val="16"/>
                <w:szCs w:val="16"/>
                <w:color w:val="auto"/>
              </w:rPr>
              <w:t>•   Well tolerated throughout therapeutic ranges as demonstrated by multiple</w:t>
            </w:r>
          </w:p>
        </w:tc>
        <w:tc>
          <w:tcPr>
            <w:tcW w:w="0" w:type="dxa"/>
            <w:vAlign w:val="bottom"/>
          </w:tcPr>
          <w:p>
            <w:pPr>
              <w:spacing w:after="0"/>
              <w:rPr>
                <w:sz w:val="1"/>
                <w:szCs w:val="1"/>
                <w:color w:val="auto"/>
              </w:rPr>
            </w:pPr>
          </w:p>
        </w:tc>
      </w:tr>
      <w:tr>
        <w:trPr>
          <w:trHeight w:val="207"/>
        </w:trPr>
        <w:tc>
          <w:tcPr>
            <w:tcW w:w="4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560" w:type="dxa"/>
            <w:vAlign w:val="bottom"/>
          </w:tcPr>
          <w:p>
            <w:pPr>
              <w:ind w:left="100"/>
              <w:spacing w:after="0"/>
              <w:rPr>
                <w:sz w:val="20"/>
                <w:szCs w:val="20"/>
                <w:color w:val="auto"/>
              </w:rPr>
            </w:pPr>
            <w:r>
              <w:rPr>
                <w:rFonts w:ascii="Arial" w:cs="Arial" w:eastAsia="Arial" w:hAnsi="Arial"/>
                <w:sz w:val="16"/>
                <w:szCs w:val="16"/>
                <w:color w:val="auto"/>
              </w:rPr>
              <w:t>clinical trials to-date</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1040" w:type="dxa"/>
            <w:vAlign w:val="bottom"/>
          </w:tcPr>
          <w:p>
            <w:pPr>
              <w:ind w:left="880"/>
              <w:spacing w:after="0"/>
              <w:rPr>
                <w:sz w:val="20"/>
                <w:szCs w:val="20"/>
                <w:color w:val="auto"/>
              </w:rPr>
            </w:pPr>
            <w:r>
              <w:rPr>
                <w:rFonts w:ascii="Arial" w:cs="Arial" w:eastAsia="Arial" w:hAnsi="Arial"/>
                <w:sz w:val="16"/>
                <w:szCs w:val="16"/>
                <w:color w:val="auto"/>
              </w:rPr>
              <w:t>•</w:t>
            </w:r>
          </w:p>
        </w:tc>
        <w:tc>
          <w:tcPr>
            <w:tcW w:w="5560" w:type="dxa"/>
            <w:vAlign w:val="bottom"/>
          </w:tcPr>
          <w:p>
            <w:pPr>
              <w:ind w:left="10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get treated on-demand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only and graduate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97790</wp:posOffset>
            </wp:positionV>
            <wp:extent cx="5546725" cy="1842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672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deucrictibant. PHVS416 will be a softgel capsule, and PHVS719 will be an extended-release tablet. We reported topline data from our RAPIDe-1 Phase 2 clinical trial of PHVS416 in December 2022. We also commenced a Phase 2 clinical trial for prophylaxis in 2021 using twice-daily dosing of the PHVS416 softgel capsules (CHAPTER-1). Our primary objective with this trial is to assess the effectiveness and safety profile for prophylaxis with bradykinin- B2-receptor-antagonism in HAE patients. We also reported data from a Phase 1 clinical trial with PHVS719 in 2022 showing once-daily pharmacokinetics and tolerability of the extended-release formulation.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Expansion of the Portfolio</w:t>
      </w:r>
    </w:p>
    <w:p>
      <w:pPr>
        <w:spacing w:after="0" w:line="220"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Our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Strengths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Company is built upon the following strengths:</w:t>
      </w:r>
    </w:p>
    <w:p>
      <w:pPr>
        <w:spacing w:after="0" w:line="113" w:lineRule="exact"/>
        <w:rPr>
          <w:sz w:val="20"/>
          <w:szCs w:val="20"/>
          <w:color w:val="auto"/>
        </w:rPr>
      </w:pPr>
    </w:p>
    <w:p>
      <w:pPr>
        <w:ind w:left="1020" w:hanging="503"/>
        <w:spacing w:after="0" w:line="27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FIRAZYR through European approval, and a key member from the TAKHZYRO development team;</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HAE;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Deucrictibant has demonstrated physicochemical properties suitable to formulations as both an on-demand product candidate, PHVS416, and a distinct prophylactic product candidate, PHVS719;</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Deucrictibant, compared to icatibant, the currently approved bradykinin B2-receptor inhibitor, demonstrated higher preclinical potency in blocking bradykinin signaling at the bradykinin B2-receptor, and good oral bioavailability and a longer half-life in humans, which has resulted in longer duration of the BK-blocking pharmacodynamic effect in humans;</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wholly own intellectual property – including allowed and in-process patent applications – covering deucrictibant and additional molecules; and</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scientific experience allows us to leverage deep insight and experience in the bradykinin- B2-receptor pathway to expand our portfolio into other BK-mediated angioedema and BK-mediated diseases beyond angioedema.</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29"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other BK-mediated angioedema and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 willing to accept significantly reduced efficacy or safety with a switch to oral therapy. A therapy for HAE, whether for on-demand or prophylaxis, needs to offer strong efficacy, high tolerability &amp; safety, and convenient administration. Our intention with PHVS416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60"/>
        <w:spacing w:after="0" w:line="276" w:lineRule="auto"/>
        <w:rPr>
          <w:sz w:val="20"/>
          <w:szCs w:val="20"/>
          <w:color w:val="auto"/>
        </w:rPr>
      </w:pPr>
      <w:r>
        <w:rPr>
          <w:rFonts w:ascii="Arial" w:cs="Arial" w:eastAsia="Arial" w:hAnsi="Arial"/>
          <w:sz w:val="16"/>
          <w:szCs w:val="16"/>
          <w:color w:val="auto"/>
        </w:rPr>
        <w:t>PHVS719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of our strategy include:</w:t>
      </w:r>
    </w:p>
    <w:p>
      <w:pPr>
        <w:spacing w:after="0" w:line="109" w:lineRule="exact"/>
        <w:rPr>
          <w:sz w:val="20"/>
          <w:szCs w:val="20"/>
          <w:color w:val="auto"/>
        </w:rPr>
      </w:pPr>
    </w:p>
    <w:p>
      <w:pPr>
        <w:jc w:val="both"/>
        <w:ind w:left="1020" w:hanging="503"/>
        <w:spacing w:after="0" w:line="26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Continue to advance deucrictibant through clinical development for on-demand treatment of HAE utilizing a fast-onset formulation, known as PHVS416. </w:t>
      </w:r>
      <w:r>
        <w:rPr>
          <w:rFonts w:ascii="Arial" w:cs="Arial" w:eastAsia="Arial" w:hAnsi="Arial"/>
          <w:sz w:val="16"/>
          <w:szCs w:val="16"/>
          <w:color w:val="auto"/>
        </w:rPr>
        <w:t>We intend to develop and commercialize PHVS416 as a fast- acting, orally available, potent inhibitor and selective treatment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acute HAE</w:t>
      </w:r>
    </w:p>
    <w:p>
      <w:pPr>
        <w:spacing w:after="0" w:line="70" w:lineRule="exact"/>
        <w:rPr>
          <w:rFonts w:ascii="Arial" w:cs="Arial" w:eastAsia="Arial" w:hAnsi="Arial"/>
          <w:sz w:val="16"/>
          <w:szCs w:val="16"/>
          <w:color w:val="auto"/>
        </w:rPr>
      </w:pPr>
    </w:p>
    <w:p>
      <w:pPr>
        <w:jc w:val="both"/>
        <w:ind w:left="1020" w:hanging="503"/>
        <w:spacing w:after="0" w:line="25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PHVS719</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efficacy, safety and PK data from our Phase 2 trials RAPIDe-1 and CHAPTER-1 of PHVS416 to help select and refine our prophylactic dose for the PHVS719 clinical trials.</w:t>
      </w:r>
    </w:p>
    <w:p>
      <w:pPr>
        <w:spacing w:after="0" w:line="75" w:lineRule="exact"/>
        <w:rPr>
          <w:rFonts w:ascii="Arial" w:cs="Arial" w:eastAsia="Arial" w:hAnsi="Arial"/>
          <w:sz w:val="16"/>
          <w:szCs w:val="16"/>
          <w:color w:val="auto"/>
        </w:rPr>
      </w:pPr>
    </w:p>
    <w:p>
      <w:pPr>
        <w:jc w:val="both"/>
        <w:ind w:left="1020" w:hanging="503"/>
        <w:spacing w:after="0" w:line="25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Expand the range of bradykinin-mediated angioedema indications to which PHVS416 and PHVS719 can be applied. </w:t>
      </w:r>
      <w:r>
        <w:rPr>
          <w:rFonts w:ascii="Arial" w:cs="Arial" w:eastAsia="Arial" w:hAnsi="Arial"/>
          <w:sz w:val="16"/>
          <w:szCs w:val="16"/>
          <w:color w:val="auto"/>
        </w:rPr>
        <w:t>In addition to Type 1 or</w:t>
      </w:r>
      <w:r>
        <w:rPr>
          <w:rFonts w:ascii="Arial" w:cs="Arial" w:eastAsia="Arial" w:hAnsi="Arial"/>
          <w:sz w:val="16"/>
          <w:szCs w:val="16"/>
          <w:i w:val="1"/>
          <w:iCs w:val="1"/>
          <w:color w:val="auto"/>
        </w:rPr>
        <w:t xml:space="preserve"> </w:t>
      </w:r>
      <w:r>
        <w:rPr>
          <w:rFonts w:ascii="Arial" w:cs="Arial" w:eastAsia="Arial" w:hAnsi="Arial"/>
          <w:sz w:val="16"/>
          <w:szCs w:val="16"/>
          <w:color w:val="auto"/>
        </w:rPr>
        <w:t>Type 2 HAE, bradykinin is also an important mediator for other types of non-histaminergic angioedema, such as: hereditary angioedema with normal C1-INH and acquired angioedema (AAE) due to C1-INH deficiency. Currently there are still no treatments approved for these angioedema patients who are unresponsive to conventional antihistamine/glucocorticoid treatment and have a high unmet medical need for effective therapies. Several clinical reports indicate that off-label use of icatibant has successfully treated acute attacks of these non-histaminergic angioedema patients, which provides a strong rationale to expand the development PHVS416 and PHVS719 to address such a high unmet medical need.</w:t>
      </w:r>
    </w:p>
    <w:p>
      <w:pPr>
        <w:spacing w:after="0" w:line="78" w:lineRule="exact"/>
        <w:rPr>
          <w:rFonts w:ascii="Arial" w:cs="Arial" w:eastAsia="Arial" w:hAnsi="Arial"/>
          <w:sz w:val="16"/>
          <w:szCs w:val="16"/>
          <w:color w:val="auto"/>
        </w:rPr>
      </w:pPr>
    </w:p>
    <w:p>
      <w:pPr>
        <w:jc w:val="both"/>
        <w:ind w:left="1020" w:hanging="503"/>
        <w:spacing w:after="0" w:line="25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Expand upon our expertise in the bradykinin-B2-receptor pathway</w:t>
      </w:r>
      <w:r>
        <w:rPr>
          <w:rFonts w:ascii="Arial" w:cs="Arial" w:eastAsia="Arial" w:hAnsi="Arial"/>
          <w:sz w:val="16"/>
          <w:szCs w:val="16"/>
          <w:color w:val="auto"/>
        </w:rPr>
        <w:t>. We intend to leverage the strategic strengths, insight, and deep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75" w:lineRule="exact"/>
        <w:rPr>
          <w:rFonts w:ascii="Arial" w:cs="Arial" w:eastAsia="Arial" w:hAnsi="Arial"/>
          <w:sz w:val="16"/>
          <w:szCs w:val="16"/>
          <w:color w:val="auto"/>
        </w:rPr>
      </w:pPr>
    </w:p>
    <w:p>
      <w:pPr>
        <w:jc w:val="both"/>
        <w:ind w:left="1020" w:hanging="503"/>
        <w:spacing w:after="0" w:line="25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Hereditary Angioedema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Disease Overview</w:t>
      </w:r>
    </w:p>
    <w:p>
      <w:pPr>
        <w:spacing w:after="0" w:line="25" w:lineRule="exact"/>
        <w:rPr>
          <w:sz w:val="20"/>
          <w:szCs w:val="20"/>
          <w:color w:val="auto"/>
        </w:rPr>
      </w:pPr>
    </w:p>
    <w:p>
      <w:pPr>
        <w:jc w:val="both"/>
        <w:ind w:left="160" w:firstLine="299"/>
        <w:spacing w:after="0" w:line="247"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173"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7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202" w:lineRule="exact"/>
        <w:rPr>
          <w:sz w:val="20"/>
          <w:szCs w:val="20"/>
          <w:color w:val="auto"/>
        </w:rPr>
      </w:pPr>
    </w:p>
    <w:p>
      <w:pPr>
        <w:ind w:left="160" w:firstLine="299"/>
        <w:spacing w:after="0" w:line="276"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 or long-term prophylactic therapy.</w:t>
      </w:r>
    </w:p>
    <w:p>
      <w:pPr>
        <w:spacing w:after="0" w:line="248" w:lineRule="exact"/>
        <w:rPr>
          <w:sz w:val="20"/>
          <w:szCs w:val="20"/>
          <w:color w:val="auto"/>
        </w:rPr>
      </w:pPr>
    </w:p>
    <w:p>
      <w:pPr>
        <w:jc w:val="both"/>
        <w:ind w:left="1020" w:hanging="503"/>
        <w:spacing w:after="0" w:line="250"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bradykinin-B2-receptor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 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84" w:lineRule="exact"/>
        <w:rPr>
          <w:rFonts w:ascii="Arial" w:cs="Arial" w:eastAsia="Arial" w:hAnsi="Arial"/>
          <w:sz w:val="16"/>
          <w:szCs w:val="16"/>
          <w:color w:val="auto"/>
        </w:rPr>
      </w:pPr>
    </w:p>
    <w:p>
      <w:pPr>
        <w:jc w:val="both"/>
        <w:ind w:left="1020" w:hanging="503"/>
        <w:spacing w:after="0" w:line="250"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recently approved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169"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To our knowledge, one other angioedema-specific oral medication for on-demand use is in clinical development, a kallikrein inhibitor, sebetralstat, developed by Kalvista and currently in phase 3.</w:t>
      </w:r>
    </w:p>
    <w:p>
      <w:pPr>
        <w:spacing w:after="0" w:line="14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We believe that the properties and mechanism of deucrictibant enable us to develop oral product candidates that will be generally more convenient for patients to take, without sacrificing efficacy for treatment or prevention of angioedema attacks. For example, the known oral kallikrein inhibitor tested in on-demand settings to date have utilized doses that are more than twenty-fold higher than the efficacious dose we observed for PHVS416 in the RAPIDe-1 study and have not yet demonstrated efficacy matching the approved injectable products. In the prophylactic setting, oral kallikrein inhibitors have not yet demonstrated efficacy similar to the approved injectable products and have used or are projected to use doses much higher than we project for PHVS719.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202"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hereditary angioedema with normal C1-INH and acquired angioedema (AAE) due to C1-INH deficiency. Unlike HAE Types 1 and 2, for other BK-mediated angioedema, an unclear pathophysiology and lack of consistent diagnostic criteria have limited the opportunity for the clinical investigation and new treatment development. While some products have been approved broadly for the treatment of HAE, actual coverage and reimbursement is limited due to the lack of positive clinical evidence included in labelling documents for normal C1-INH and acquired angioedema (AAE) due to C1-INH deficiency. Recently the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hereditary angioedema patients with normal C1-INH or AAE due to C1-INH deficiency patients. All these provide strong rationales to expand the development PHVS416 and PHVS719 to these types of BK-mediated angioedema and address the high unmet medical need.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 our knowledge, one kallikrein inhibitor (lanadelumab-flyo, injected subcutaneously) has been in development for hereditary angioedema with normal C1-INH. A Phase 3 study for prophylaxis did not meet its primary endpoint.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Since the 1990s, many companies have tried but failed to discover oral bradykinin-B2-receptor antagonists, as the bradykinin B2 receptor has proved to be a difficult target for the development of orally available antagonists. Historically, compounds targeting the bradykinin B2 receptor with adequate potency have had physicochemical properties inconsistent with oral bioavailability. The bradykinin B2 receptor is a G-protein-coupled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 binding pocket at the bradykinin B2 receptor, preventing or halting its signaling activity, while also possessing desirable physicochemical properties and other profiling characteristics.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 acting as a potent and selective agonist of the bradykinin B2 receptor.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w:t>
      </w:r>
    </w:p>
    <w:p>
      <w:pPr>
        <w:spacing w:after="0" w:line="156"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Excessive bradykinin generation, as in HAE, promotes vascular permeability by activating the bradykinin B2 receptor, leading to plasma extravasation and subcutaneous or submucosal tissue swelling typical of an angioedema attack.</w:t>
      </w:r>
    </w:p>
    <w:p>
      <w:pPr>
        <w:spacing w:after="0" w:line="1"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As the figure below illustrates, treatment with deucrictibant,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Deucrictibant therefore has the therapeutic potential for both acute on-demand treatment and long-term prevention of attacks in patients with bradykinin- 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247015</wp:posOffset>
            </wp:positionV>
            <wp:extent cx="5143500" cy="2889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Deucrictibant combines the preclinical selectivity of bradykinin-B2-receptor antagonism with oral bioavailability and extended exposure upon a single dose. Deucrictibant is being developed to become the first effective orally administered antagonist of BK activity with therapeutic potential for both acute on-demand treatment and long- term prevention of attacks in patients with HAE and other BK-mediated angioedema.</w:t>
      </w:r>
    </w:p>
    <w:p>
      <w:pPr>
        <w:spacing w:after="0" w:line="156"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Deucrictibant is an orally bioavailable competitive antagonist of the bradykinin B2 receptor with high affinity and high antagonist potency. Deucrictibant has been observed to be a potent inhibitor in vitro as assessed using human recombinant bradykinin B2 receptors (150 pM); ex vivo as studied against endogenous bradykinin B2 receptors in a human umbilical vein model (350 pM); and in vivo in the human bradykinin-challenge model (170 pM).</w:t>
      </w:r>
    </w:p>
    <w:p>
      <w:pPr>
        <w:spacing w:after="0" w:line="156"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Deucrictibant demonstrated 4000-fold selectivity for the bradykinin B2 receptor when compared to approximately 170 other molecular targets, including the bradykinin B1 receptor. As shown in the graphs below depicting mean arterial blood pressure (MABP) in a bradykinin challenge study in monkeys (back-translated from human), deucrictibant showed clear dose-dependent activity. While differences between human and monkey PK prevent direct extrapolation to human dose, deucrictibant demonstrated longer duration and faster onset of activity than injected icatibant in the same study. However, we have not conducted a head-to-head comparison of icatibant to deucrictibant in a clinical trial but have compared the published data for icatibant to data from our Phase 1 clinical trial of deucrictibant. While we believe this comparison to icatibant to be useful and appropriate, the value of this and other comparisons to icatibant in this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BK-Challenge in Pre-Clinical Animal Model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649595" cy="45605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9595"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In a published study conducted by the Company, a dose of 0.6 mg/kg sc icatibant was used in monkeys, as PK data indicated that this dose would provide an exposure (Cmax 1,044 ng/mL, AUC 2,155 ng*h/mL) similar to the exposures seen in humans at a therapeutic dose of 30 mg sc (Cmax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Deucrictibant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0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6 months in rats and up to 9 months in monkeys.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genotoxicity nor</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phototoxic potential. No findings considered relevant to humans were observed in GLP (Good Laboratory Practices)-compliant general toxicity studies in rats up to 3-months duration and in cynomolgus monkeys up to 9-months duration at doses up to the maximum tolerated in each species. Deucrictibant has not demonstrated any adverse effects on embryo-fetal survival and development in the humanized bradykinin-B2-receptor transgenic rat or in the rabbit. Furthermore, male and female fertility studies showed no adverse effects of deucrictibant on gonadal function, mating behavior, and reproductive performance.</w:t>
      </w:r>
    </w:p>
    <w:p>
      <w:pPr>
        <w:spacing w:after="0" w:line="165" w:lineRule="exact"/>
        <w:rPr>
          <w:sz w:val="20"/>
          <w:szCs w:val="20"/>
          <w:color w:val="auto"/>
        </w:rPr>
      </w:pPr>
    </w:p>
    <w:p>
      <w:pPr>
        <w:jc w:val="both"/>
        <w:ind w:left="160" w:firstLine="351"/>
        <w:spacing w:after="0" w:line="261"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bradykinin-B2-receptor antagonism. Based on review of these nonclinical findings, the FDA put a clinical hold on trials of deucrictibant in the U.S. Pharvaris aligned with the FDA on the protocol and has initiated a 6-month rat exploratory study to further investigate the findings and address the clinical holds.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358"/>
        </w:trPr>
        <w:tc>
          <w:tcPr>
            <w:tcW w:w="1360" w:type="dxa"/>
            <w:vAlign w:val="bottom"/>
            <w:tcBorders>
              <w:top w:val="single" w:sz="8" w:color="0000FF"/>
              <w:bottom w:val="single" w:sz="8" w:color="auto"/>
            </w:tcBorders>
          </w:tcPr>
          <w:p>
            <w:pPr>
              <w:ind w:left="20"/>
              <w:spacing w:after="0"/>
              <w:rPr>
                <w:sz w:val="20"/>
                <w:szCs w:val="20"/>
                <w:color w:val="auto"/>
              </w:rPr>
            </w:pPr>
            <w:r>
              <w:rPr>
                <w:rFonts w:ascii="Arial" w:cs="Arial" w:eastAsia="Arial" w:hAnsi="Arial"/>
                <w:sz w:val="16"/>
                <w:szCs w:val="16"/>
                <w:b w:val="1"/>
                <w:bCs w:val="1"/>
                <w:color w:val="auto"/>
              </w:rPr>
              <w:t>Study Number</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Short Description</w:t>
            </w:r>
          </w:p>
        </w:tc>
      </w:tr>
      <w:tr>
        <w:trPr>
          <w:trHeight w:val="213"/>
        </w:trPr>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89"/>
        </w:trPr>
        <w:tc>
          <w:tcPr>
            <w:tcW w:w="1380" w:type="dxa"/>
            <w:vAlign w:val="bottom"/>
            <w:gridSpan w:val="2"/>
          </w:tcPr>
          <w:p>
            <w:pPr>
              <w:ind w:left="20"/>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Single ascending dose (SAD)</w:t>
            </w:r>
          </w:p>
        </w:tc>
      </w:tr>
      <w:tr>
        <w:trPr>
          <w:trHeight w:val="189"/>
        </w:trPr>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and BK challenge/SAD-proof</w:t>
            </w:r>
          </w:p>
        </w:tc>
      </w:tr>
      <w:tr>
        <w:trPr>
          <w:trHeight w:val="207"/>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of mechanism (POM)</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b w:val="1"/>
          <w:bCs w:val="1"/>
          <w:color w:val="auto"/>
        </w:rPr>
        <w:t>Design</w:t>
      </w:r>
      <w:r>
        <w:rPr>
          <w:sz w:val="20"/>
          <w:szCs w:val="20"/>
          <w:color w:val="auto"/>
        </w:rPr>
        <w:tab/>
      </w:r>
      <w:r>
        <w:rPr>
          <w:rFonts w:ascii="Arial" w:cs="Arial" w:eastAsia="Arial" w:hAnsi="Arial"/>
          <w:sz w:val="16"/>
          <w:szCs w:val="16"/>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43719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50"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auto"/>
        </w:rPr>
        <w:t>Randomized, double-blind, placebo-controlled, single ascending dose to Completed assess safety and proof-of-mechanism through BK-challenge</w:t>
      </w:r>
    </w:p>
    <w:p>
      <w:pPr>
        <w:spacing w:after="0" w:line="170" w:lineRule="exact"/>
        <w:rPr>
          <w:sz w:val="20"/>
          <w:szCs w:val="20"/>
          <w:color w:val="auto"/>
        </w:rPr>
      </w:pPr>
    </w:p>
    <w:p>
      <w:pPr>
        <w:sectPr>
          <w:pgSz w:w="11900" w:h="16838" w:orient="portrait"/>
          <w:cols w:equalWidth="0" w:num="2">
            <w:col w:w="4220" w:space="140"/>
            <w:col w:w="6880"/>
          </w:cols>
          <w:pgMar w:left="320" w:top="118" w:right="339" w:bottom="1440" w:gutter="0" w:footer="0" w:header="0"/>
        </w:sectPr>
      </w:pPr>
    </w:p>
    <w:tbl>
      <w:tblPr>
        <w:tblLayout w:type="fixed"/>
        <w:tblInd w:w="20" w:type="dxa"/>
        <w:tblCellMar>
          <w:top w:w="0" w:type="dxa"/>
          <w:left w:w="0" w:type="dxa"/>
          <w:bottom w:w="0" w:type="dxa"/>
          <w:right w:w="0" w:type="dxa"/>
        </w:tblCellMar>
      </w:tblPr>
      <w:tr>
        <w:trPr>
          <w:trHeight w:val="189"/>
        </w:trPr>
        <w:tc>
          <w:tcPr>
            <w:tcW w:w="1220" w:type="dxa"/>
            <w:vAlign w:val="bottom"/>
          </w:tcPr>
          <w:p>
            <w:pPr>
              <w:spacing w:after="0"/>
              <w:rPr>
                <w:sz w:val="20"/>
                <w:szCs w:val="20"/>
                <w:color w:val="auto"/>
              </w:rPr>
            </w:pPr>
            <w:r>
              <w:rPr>
                <w:rFonts w:ascii="Arial" w:cs="Arial" w:eastAsia="Arial" w:hAnsi="Arial"/>
                <w:sz w:val="16"/>
                <w:szCs w:val="16"/>
                <w:color w:val="auto"/>
              </w:rPr>
              <w:t>C002</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SAD extension</w:t>
            </w: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Randomized, double-blind, placebo-controlled, single ascending dose to</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assess safety</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C003</w:t>
            </w:r>
          </w:p>
        </w:tc>
        <w:tc>
          <w:tcPr>
            <w:tcW w:w="1300" w:type="dxa"/>
            <w:vAlign w:val="bottom"/>
          </w:tcPr>
          <w:p>
            <w:pPr>
              <w:ind w:left="280"/>
              <w:spacing w:after="0"/>
              <w:rPr>
                <w:sz w:val="20"/>
                <w:szCs w:val="20"/>
                <w:color w:val="auto"/>
              </w:rPr>
            </w:pPr>
            <w:r>
              <w:rPr>
                <w:rFonts w:ascii="Arial" w:cs="Arial" w:eastAsia="Arial" w:hAnsi="Arial"/>
                <w:sz w:val="16"/>
                <w:szCs w:val="16"/>
                <w:color w:val="auto"/>
              </w:rPr>
              <w:t>Absorption,</w:t>
            </w:r>
          </w:p>
        </w:tc>
        <w:tc>
          <w:tcPr>
            <w:tcW w:w="1080" w:type="dxa"/>
            <w:vAlign w:val="bottom"/>
          </w:tcPr>
          <w:p>
            <w:pPr>
              <w:ind w:left="160"/>
              <w:spacing w:after="0"/>
              <w:rPr>
                <w:sz w:val="20"/>
                <w:szCs w:val="20"/>
                <w:color w:val="auto"/>
              </w:rPr>
            </w:pPr>
            <w:r>
              <w:rPr>
                <w:rFonts w:ascii="Arial" w:cs="Arial" w:eastAsia="Arial" w:hAnsi="Arial"/>
                <w:sz w:val="16"/>
                <w:szCs w:val="16"/>
                <w:color w:val="auto"/>
              </w:rPr>
              <w:t>metabolism,</w:t>
            </w:r>
          </w:p>
        </w:tc>
        <w:tc>
          <w:tcPr>
            <w:tcW w:w="660" w:type="dxa"/>
            <w:vAlign w:val="bottom"/>
          </w:tcPr>
          <w:p>
            <w:pPr>
              <w:jc w:val="right"/>
              <w:spacing w:after="0"/>
              <w:rPr>
                <w:sz w:val="20"/>
                <w:szCs w:val="20"/>
                <w:color w:val="auto"/>
              </w:rPr>
            </w:pPr>
            <w:r>
              <w:rPr>
                <w:rFonts w:ascii="Arial" w:cs="Arial" w:eastAsia="Arial" w:hAnsi="Arial"/>
                <w:sz w:val="16"/>
                <w:szCs w:val="16"/>
                <w:color w:val="auto"/>
              </w:rPr>
              <w:t>and</w:t>
            </w:r>
          </w:p>
        </w:tc>
        <w:tc>
          <w:tcPr>
            <w:tcW w:w="5640" w:type="dxa"/>
            <w:vAlign w:val="bottom"/>
          </w:tcPr>
          <w:p>
            <w:pPr>
              <w:ind w:left="80"/>
              <w:spacing w:after="0"/>
              <w:rPr>
                <w:sz w:val="20"/>
                <w:szCs w:val="20"/>
                <w:color w:val="auto"/>
              </w:rPr>
            </w:pPr>
            <w:r>
              <w:rPr>
                <w:rFonts w:ascii="Arial" w:cs="Arial" w:eastAsia="Arial" w:hAnsi="Arial"/>
                <w:sz w:val="16"/>
                <w:szCs w:val="16"/>
                <w:color w:val="auto"/>
              </w:rPr>
              <w:t>Open-label, single dose 14 C-deucrictibant to characterize the absorption,</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17"/>
                <w:szCs w:val="17"/>
                <w:color w:val="auto"/>
              </w:rPr>
            </w:pP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excretion (mass balance)</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metabolism, and excretion</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C004</w:t>
            </w:r>
          </w:p>
        </w:tc>
        <w:tc>
          <w:tcPr>
            <w:tcW w:w="1300" w:type="dxa"/>
            <w:vAlign w:val="bottom"/>
          </w:tcPr>
          <w:p>
            <w:pPr>
              <w:ind w:left="280"/>
              <w:spacing w:after="0"/>
              <w:rPr>
                <w:sz w:val="20"/>
                <w:szCs w:val="20"/>
                <w:color w:val="auto"/>
              </w:rPr>
            </w:pPr>
            <w:r>
              <w:rPr>
                <w:rFonts w:ascii="Arial" w:cs="Arial" w:eastAsia="Arial" w:hAnsi="Arial"/>
                <w:sz w:val="16"/>
                <w:szCs w:val="16"/>
                <w:color w:val="auto"/>
              </w:rPr>
              <w:t>Drug-drug</w:t>
            </w:r>
          </w:p>
        </w:tc>
        <w:tc>
          <w:tcPr>
            <w:tcW w:w="1080" w:type="dxa"/>
            <w:vAlign w:val="bottom"/>
          </w:tcPr>
          <w:p>
            <w:pPr>
              <w:ind w:left="40"/>
              <w:spacing w:after="0"/>
              <w:rPr>
                <w:sz w:val="20"/>
                <w:szCs w:val="20"/>
                <w:color w:val="auto"/>
              </w:rPr>
            </w:pPr>
            <w:r>
              <w:rPr>
                <w:rFonts w:ascii="Arial" w:cs="Arial" w:eastAsia="Arial" w:hAnsi="Arial"/>
                <w:sz w:val="16"/>
                <w:szCs w:val="16"/>
                <w:color w:val="auto"/>
              </w:rPr>
              <w:t>interaction</w:t>
            </w:r>
          </w:p>
        </w:tc>
        <w:tc>
          <w:tcPr>
            <w:tcW w:w="660" w:type="dxa"/>
            <w:vAlign w:val="bottom"/>
          </w:tcPr>
          <w:p>
            <w:pPr>
              <w:jc w:val="right"/>
              <w:spacing w:after="0"/>
              <w:rPr>
                <w:sz w:val="20"/>
                <w:szCs w:val="20"/>
                <w:color w:val="auto"/>
              </w:rPr>
            </w:pPr>
            <w:r>
              <w:rPr>
                <w:rFonts w:ascii="Arial" w:cs="Arial" w:eastAsia="Arial" w:hAnsi="Arial"/>
                <w:sz w:val="16"/>
                <w:szCs w:val="16"/>
                <w:color w:val="auto"/>
              </w:rPr>
              <w:t>(DDI)—</w:t>
            </w:r>
          </w:p>
        </w:tc>
        <w:tc>
          <w:tcPr>
            <w:tcW w:w="5640" w:type="dxa"/>
            <w:vAlign w:val="bottom"/>
          </w:tcPr>
          <w:p>
            <w:pPr>
              <w:ind w:left="80"/>
              <w:spacing w:after="0"/>
              <w:rPr>
                <w:sz w:val="20"/>
                <w:szCs w:val="20"/>
                <w:color w:val="auto"/>
              </w:rPr>
            </w:pPr>
            <w:r>
              <w:rPr>
                <w:rFonts w:ascii="Arial" w:cs="Arial" w:eastAsia="Arial" w:hAnsi="Arial"/>
                <w:sz w:val="16"/>
                <w:szCs w:val="16"/>
                <w:color w:val="auto"/>
              </w:rPr>
              <w:t>Open-label, single-sequence, crossover DDI study</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189"/>
        </w:trPr>
        <w:tc>
          <w:tcPr>
            <w:tcW w:w="1220" w:type="dxa"/>
            <w:vAlign w:val="bottom"/>
          </w:tcPr>
          <w:p>
            <w:pPr>
              <w:spacing w:after="0"/>
              <w:rPr>
                <w:sz w:val="16"/>
                <w:szCs w:val="16"/>
                <w:color w:val="auto"/>
              </w:rPr>
            </w:pPr>
          </w:p>
        </w:tc>
        <w:tc>
          <w:tcPr>
            <w:tcW w:w="3040" w:type="dxa"/>
            <w:vAlign w:val="bottom"/>
            <w:gridSpan w:val="3"/>
          </w:tcPr>
          <w:p>
            <w:pPr>
              <w:ind w:left="280"/>
              <w:spacing w:after="0"/>
              <w:rPr>
                <w:sz w:val="20"/>
                <w:szCs w:val="20"/>
                <w:color w:val="auto"/>
              </w:rPr>
            </w:pPr>
            <w:r>
              <w:rPr>
                <w:rFonts w:ascii="Arial" w:cs="Arial" w:eastAsia="Arial" w:hAnsi="Arial"/>
                <w:sz w:val="16"/>
                <w:szCs w:val="16"/>
                <w:color w:val="auto"/>
              </w:rPr>
              <w:t>CYP3A4 inhibitor (itraconazole)</w:t>
            </w:r>
          </w:p>
        </w:tc>
        <w:tc>
          <w:tcPr>
            <w:tcW w:w="5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1220" w:type="dxa"/>
            <w:vAlign w:val="bottom"/>
          </w:tcPr>
          <w:p>
            <w:pPr>
              <w:spacing w:after="0"/>
              <w:rPr>
                <w:sz w:val="17"/>
                <w:szCs w:val="17"/>
                <w:color w:val="auto"/>
              </w:rPr>
            </w:pPr>
          </w:p>
        </w:tc>
        <w:tc>
          <w:tcPr>
            <w:tcW w:w="1300" w:type="dxa"/>
            <w:vAlign w:val="bottom"/>
          </w:tcPr>
          <w:p>
            <w:pPr>
              <w:ind w:left="280"/>
              <w:spacing w:after="0"/>
              <w:rPr>
                <w:sz w:val="20"/>
                <w:szCs w:val="20"/>
                <w:color w:val="auto"/>
              </w:rPr>
            </w:pPr>
            <w:r>
              <w:rPr>
                <w:rFonts w:ascii="Arial" w:cs="Arial" w:eastAsia="Arial" w:hAnsi="Arial"/>
                <w:sz w:val="16"/>
                <w:szCs w:val="16"/>
                <w:color w:val="auto"/>
              </w:rPr>
              <w:t>interaction</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Arial" w:cs="Arial" w:eastAsia="Arial" w:hAnsi="Arial"/>
                <w:sz w:val="16"/>
                <w:szCs w:val="16"/>
                <w:color w:val="auto"/>
              </w:rPr>
              <w:t>C005</w:t>
            </w:r>
          </w:p>
        </w:tc>
        <w:tc>
          <w:tcPr>
            <w:tcW w:w="3040" w:type="dxa"/>
            <w:vAlign w:val="bottom"/>
            <w:gridSpan w:val="3"/>
          </w:tcPr>
          <w:p>
            <w:pPr>
              <w:ind w:left="280"/>
              <w:spacing w:after="0"/>
              <w:rPr>
                <w:sz w:val="20"/>
                <w:szCs w:val="20"/>
                <w:color w:val="auto"/>
              </w:rPr>
            </w:pPr>
            <w:r>
              <w:rPr>
                <w:rFonts w:ascii="Arial" w:cs="Arial" w:eastAsia="Arial" w:hAnsi="Arial"/>
                <w:sz w:val="16"/>
                <w:szCs w:val="16"/>
                <w:color w:val="auto"/>
              </w:rPr>
              <w:t>DDI—CYP interaction (cocktail)</w:t>
            </w:r>
          </w:p>
        </w:tc>
        <w:tc>
          <w:tcPr>
            <w:tcW w:w="5640" w:type="dxa"/>
            <w:vAlign w:val="bottom"/>
          </w:tcPr>
          <w:p>
            <w:pPr>
              <w:ind w:left="80"/>
              <w:spacing w:after="0"/>
              <w:rPr>
                <w:sz w:val="20"/>
                <w:szCs w:val="20"/>
                <w:color w:val="auto"/>
              </w:rPr>
            </w:pPr>
            <w:r>
              <w:rPr>
                <w:rFonts w:ascii="Arial" w:cs="Arial" w:eastAsia="Arial" w:hAnsi="Arial"/>
                <w:sz w:val="16"/>
                <w:szCs w:val="16"/>
                <w:color w:val="auto"/>
              </w:rPr>
              <w:t>Open-label, single-sequence, crossover DDI study</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387"/>
        </w:trPr>
        <w:tc>
          <w:tcPr>
            <w:tcW w:w="1220" w:type="dxa"/>
            <w:vAlign w:val="bottom"/>
          </w:tcPr>
          <w:p>
            <w:pPr>
              <w:spacing w:after="0"/>
              <w:rPr>
                <w:sz w:val="20"/>
                <w:szCs w:val="20"/>
                <w:color w:val="auto"/>
              </w:rPr>
            </w:pPr>
            <w:r>
              <w:rPr>
                <w:rFonts w:ascii="Arial" w:cs="Arial" w:eastAsia="Arial" w:hAnsi="Arial"/>
                <w:sz w:val="16"/>
                <w:szCs w:val="16"/>
                <w:color w:val="auto"/>
              </w:rPr>
              <w:t>C006</w:t>
            </w:r>
          </w:p>
        </w:tc>
        <w:tc>
          <w:tcPr>
            <w:tcW w:w="3040" w:type="dxa"/>
            <w:vAlign w:val="bottom"/>
            <w:gridSpan w:val="3"/>
          </w:tcPr>
          <w:p>
            <w:pPr>
              <w:ind w:left="280"/>
              <w:spacing w:after="0"/>
              <w:rPr>
                <w:sz w:val="20"/>
                <w:szCs w:val="20"/>
                <w:color w:val="auto"/>
              </w:rPr>
            </w:pPr>
            <w:r>
              <w:rPr>
                <w:rFonts w:ascii="Arial" w:cs="Arial" w:eastAsia="Arial" w:hAnsi="Arial"/>
                <w:sz w:val="16"/>
                <w:szCs w:val="16"/>
                <w:color w:val="auto"/>
              </w:rPr>
              <w:t>Multiple ascending dose (MAD)</w:t>
            </w:r>
          </w:p>
        </w:tc>
        <w:tc>
          <w:tcPr>
            <w:tcW w:w="5640" w:type="dxa"/>
            <w:vAlign w:val="bottom"/>
          </w:tcPr>
          <w:p>
            <w:pPr>
              <w:ind w:left="80"/>
              <w:spacing w:after="0"/>
              <w:rPr>
                <w:sz w:val="20"/>
                <w:szCs w:val="20"/>
                <w:color w:val="auto"/>
              </w:rPr>
            </w:pPr>
            <w:r>
              <w:rPr>
                <w:rFonts w:ascii="Arial" w:cs="Arial" w:eastAsia="Arial" w:hAnsi="Arial"/>
                <w:sz w:val="16"/>
                <w:szCs w:val="16"/>
                <w:color w:val="auto"/>
              </w:rPr>
              <w:t>Randomized, double-blind, placebo-controlled, multiple ascending dose to</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assess safety and different doses</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C009</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Japanese PK bridging</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Double-blind, randomized, single oral dose, two-period crossover comparing</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pharmacokinetics between Japanese and Caucasian volunteers</w:t>
            </w:r>
          </w:p>
        </w:tc>
        <w:tc>
          <w:tcPr>
            <w:tcW w:w="860" w:type="dxa"/>
            <w:vAlign w:val="bottom"/>
          </w:tcPr>
          <w:p>
            <w:pPr>
              <w:spacing w:after="0"/>
              <w:rPr>
                <w:sz w:val="17"/>
                <w:szCs w:val="17"/>
                <w:color w:val="auto"/>
              </w:rPr>
            </w:pPr>
          </w:p>
        </w:tc>
      </w:tr>
      <w:tr>
        <w:trPr>
          <w:trHeight w:val="576"/>
        </w:trPr>
        <w:tc>
          <w:tcPr>
            <w:tcW w:w="1220" w:type="dxa"/>
            <w:vAlign w:val="bottom"/>
          </w:tcPr>
          <w:p>
            <w:pPr>
              <w:spacing w:after="0"/>
              <w:rPr>
                <w:sz w:val="20"/>
                <w:szCs w:val="20"/>
                <w:color w:val="auto"/>
              </w:rPr>
            </w:pPr>
            <w:r>
              <w:rPr>
                <w:rFonts w:ascii="Arial" w:cs="Arial" w:eastAsia="Arial" w:hAnsi="Arial"/>
                <w:sz w:val="16"/>
                <w:szCs w:val="16"/>
                <w:color w:val="auto"/>
              </w:rPr>
              <w:t>C010</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Exploratory XR PK bridging</w:t>
            </w:r>
          </w:p>
        </w:tc>
        <w:tc>
          <w:tcPr>
            <w:tcW w:w="660" w:type="dxa"/>
            <w:vAlign w:val="bottom"/>
          </w:tcPr>
          <w:p>
            <w:pPr>
              <w:spacing w:after="0"/>
              <w:rPr>
                <w:sz w:val="24"/>
                <w:szCs w:val="24"/>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randomized  five-period  crossover  single-dose  to  assess</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189"/>
        </w:trPr>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bioavailability  of  two  different  extended-release  formulations  with  and</w:t>
            </w:r>
          </w:p>
        </w:tc>
        <w:tc>
          <w:tcPr>
            <w:tcW w:w="860" w:type="dxa"/>
            <w:vAlign w:val="bottom"/>
          </w:tcPr>
          <w:p>
            <w:pPr>
              <w:spacing w:after="0"/>
              <w:rPr>
                <w:sz w:val="16"/>
                <w:szCs w:val="16"/>
                <w:color w:val="auto"/>
              </w:rPr>
            </w:pPr>
          </w:p>
        </w:tc>
      </w:tr>
      <w:tr>
        <w:trPr>
          <w:trHeight w:val="203"/>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without food</w:t>
            </w:r>
          </w:p>
        </w:tc>
        <w:tc>
          <w:tcPr>
            <w:tcW w:w="860" w:type="dxa"/>
            <w:vAlign w:val="bottom"/>
          </w:tcPr>
          <w:p>
            <w:pPr>
              <w:spacing w:after="0"/>
              <w:rPr>
                <w:sz w:val="17"/>
                <w:szCs w:val="17"/>
                <w:color w:val="auto"/>
              </w:rPr>
            </w:pPr>
          </w:p>
        </w:tc>
      </w:tr>
      <w:tr>
        <w:trPr>
          <w:trHeight w:val="189"/>
        </w:trPr>
        <w:tc>
          <w:tcPr>
            <w:tcW w:w="1220" w:type="dxa"/>
            <w:vAlign w:val="bottom"/>
          </w:tcPr>
          <w:p>
            <w:pPr>
              <w:spacing w:after="0"/>
              <w:rPr>
                <w:sz w:val="20"/>
                <w:szCs w:val="20"/>
                <w:color w:val="auto"/>
              </w:rPr>
            </w:pPr>
            <w:r>
              <w:rPr>
                <w:rFonts w:ascii="Arial" w:cs="Arial" w:eastAsia="Arial" w:hAnsi="Arial"/>
                <w:sz w:val="16"/>
                <w:szCs w:val="16"/>
                <w:color w:val="auto"/>
              </w:rPr>
              <w:t>C012</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Hepatic impairment</w:t>
            </w: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single dose to assess the effect of hepatic impairment on</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pharmacokinetics</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C013</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Renal impairment</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single dose to assess the effect of renal impairment on</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pharmacokinetics</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C015</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Confirmatory XR PK</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multiple doses to assess PK and safety of extended-release</w:t>
            </w:r>
          </w:p>
        </w:tc>
        <w:tc>
          <w:tcPr>
            <w:tcW w:w="860" w:type="dxa"/>
            <w:vAlign w:val="bottom"/>
          </w:tcPr>
          <w:p>
            <w:pPr>
              <w:ind w:left="80"/>
              <w:spacing w:after="0"/>
              <w:rPr>
                <w:sz w:val="20"/>
                <w:szCs w:val="20"/>
                <w:color w:val="auto"/>
              </w:rPr>
            </w:pPr>
            <w:r>
              <w:rPr>
                <w:rFonts w:ascii="Arial" w:cs="Arial" w:eastAsia="Arial" w:hAnsi="Arial"/>
                <w:sz w:val="16"/>
                <w:szCs w:val="16"/>
                <w:color w:val="auto"/>
              </w:rPr>
              <w:t>Ongoing</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formulation</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C016</w:t>
            </w:r>
          </w:p>
        </w:tc>
        <w:tc>
          <w:tcPr>
            <w:tcW w:w="1300" w:type="dxa"/>
            <w:vAlign w:val="bottom"/>
          </w:tcPr>
          <w:p>
            <w:pPr>
              <w:ind w:left="340"/>
              <w:spacing w:after="0"/>
              <w:rPr>
                <w:sz w:val="20"/>
                <w:szCs w:val="20"/>
                <w:color w:val="auto"/>
              </w:rPr>
            </w:pPr>
            <w:r>
              <w:rPr>
                <w:rFonts w:ascii="Arial" w:cs="Arial" w:eastAsia="Arial" w:hAnsi="Arial"/>
                <w:sz w:val="16"/>
                <w:szCs w:val="16"/>
                <w:color w:val="auto"/>
              </w:rPr>
              <w:t>DDI CYP3A4</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single-sequence, drug-drug interaction study to evaluate the</w:t>
            </w:r>
          </w:p>
        </w:tc>
        <w:tc>
          <w:tcPr>
            <w:tcW w:w="860" w:type="dxa"/>
            <w:vAlign w:val="bottom"/>
          </w:tcPr>
          <w:p>
            <w:pPr>
              <w:ind w:left="80"/>
              <w:spacing w:after="0"/>
              <w:rPr>
                <w:sz w:val="20"/>
                <w:szCs w:val="20"/>
                <w:color w:val="auto"/>
              </w:rPr>
            </w:pPr>
            <w:r>
              <w:rPr>
                <w:rFonts w:ascii="Arial" w:cs="Arial" w:eastAsia="Arial" w:hAnsi="Arial"/>
                <w:sz w:val="16"/>
                <w:szCs w:val="16"/>
                <w:color w:val="auto"/>
              </w:rPr>
              <w:t>Ongoing</w:t>
            </w:r>
          </w:p>
        </w:tc>
      </w:tr>
      <w:tr>
        <w:trPr>
          <w:trHeight w:val="189"/>
        </w:trPr>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effect of multiple oral doses of the moderate CYP3A4 inhibitor verapamil on</w:t>
            </w:r>
          </w:p>
        </w:tc>
        <w:tc>
          <w:tcPr>
            <w:tcW w:w="860" w:type="dxa"/>
            <w:vAlign w:val="bottom"/>
          </w:tcPr>
          <w:p>
            <w:pPr>
              <w:spacing w:after="0"/>
              <w:rPr>
                <w:sz w:val="16"/>
                <w:szCs w:val="16"/>
                <w:color w:val="auto"/>
              </w:rPr>
            </w:pP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the single dose PK of PHA-022121</w:t>
            </w:r>
          </w:p>
        </w:tc>
        <w:tc>
          <w:tcPr>
            <w:tcW w:w="860" w:type="dxa"/>
            <w:vAlign w:val="bottom"/>
          </w:tcPr>
          <w:p>
            <w:pPr>
              <w:spacing w:after="0"/>
              <w:rPr>
                <w:sz w:val="17"/>
                <w:szCs w:val="17"/>
                <w:color w:val="auto"/>
              </w:rPr>
            </w:pPr>
          </w:p>
        </w:tc>
      </w:tr>
      <w:tr>
        <w:trPr>
          <w:trHeight w:val="387"/>
        </w:trPr>
        <w:tc>
          <w:tcPr>
            <w:tcW w:w="1220" w:type="dxa"/>
            <w:vAlign w:val="bottom"/>
          </w:tcPr>
          <w:p>
            <w:pPr>
              <w:spacing w:after="0"/>
              <w:rPr>
                <w:sz w:val="20"/>
                <w:szCs w:val="20"/>
                <w:color w:val="auto"/>
              </w:rPr>
            </w:pPr>
            <w:r>
              <w:rPr>
                <w:rFonts w:ascii="Arial" w:cs="Arial" w:eastAsia="Arial" w:hAnsi="Arial"/>
                <w:sz w:val="16"/>
                <w:szCs w:val="16"/>
                <w:color w:val="auto"/>
              </w:rPr>
              <w:t>C018</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XR Food Effect</w:t>
            </w:r>
          </w:p>
        </w:tc>
        <w:tc>
          <w:tcPr>
            <w:tcW w:w="660" w:type="dxa"/>
            <w:vAlign w:val="bottom"/>
          </w:tcPr>
          <w:p>
            <w:pPr>
              <w:spacing w:after="0"/>
              <w:rPr>
                <w:sz w:val="24"/>
                <w:szCs w:val="24"/>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randomized, two-period, two-way</w:t>
            </w:r>
          </w:p>
        </w:tc>
        <w:tc>
          <w:tcPr>
            <w:tcW w:w="860" w:type="dxa"/>
            <w:vAlign w:val="bottom"/>
          </w:tcPr>
          <w:p>
            <w:pPr>
              <w:ind w:left="80"/>
              <w:spacing w:after="0"/>
              <w:rPr>
                <w:sz w:val="20"/>
                <w:szCs w:val="20"/>
                <w:color w:val="auto"/>
              </w:rPr>
            </w:pPr>
            <w:r>
              <w:rPr>
                <w:rFonts w:ascii="Arial" w:cs="Arial" w:eastAsia="Arial" w:hAnsi="Arial"/>
                <w:sz w:val="16"/>
                <w:szCs w:val="16"/>
                <w:color w:val="auto"/>
              </w:rPr>
              <w:t>Ongoing</w:t>
            </w:r>
          </w:p>
        </w:tc>
      </w:tr>
      <w:tr>
        <w:trPr>
          <w:trHeight w:val="189"/>
        </w:trPr>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cross-over study to assess the influence of a high-calorie, high-fat meal on</w:t>
            </w:r>
          </w:p>
        </w:tc>
        <w:tc>
          <w:tcPr>
            <w:tcW w:w="860" w:type="dxa"/>
            <w:vAlign w:val="bottom"/>
          </w:tcPr>
          <w:p>
            <w:pPr>
              <w:spacing w:after="0"/>
              <w:rPr>
                <w:sz w:val="16"/>
                <w:szCs w:val="16"/>
                <w:color w:val="auto"/>
              </w:rPr>
            </w:pP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the bioavailability of extended-release formulation</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C019</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XR multi-ethnicity study</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Open-label,  multiple  dose  study  to  compare  PK  of  extended-release</w:t>
            </w:r>
          </w:p>
        </w:tc>
        <w:tc>
          <w:tcPr>
            <w:tcW w:w="860" w:type="dxa"/>
            <w:vAlign w:val="bottom"/>
          </w:tcPr>
          <w:p>
            <w:pPr>
              <w:ind w:left="80"/>
              <w:spacing w:after="0"/>
              <w:rPr>
                <w:sz w:val="20"/>
                <w:szCs w:val="20"/>
                <w:color w:val="auto"/>
              </w:rPr>
            </w:pPr>
            <w:r>
              <w:rPr>
                <w:rFonts w:ascii="Arial" w:cs="Arial" w:eastAsia="Arial" w:hAnsi="Arial"/>
                <w:sz w:val="16"/>
                <w:szCs w:val="16"/>
                <w:color w:val="auto"/>
              </w:rPr>
              <w:t>Planned</w:t>
            </w: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formulation between healthy Japanese, Chinese, and Caucasian volunteers</w:t>
            </w:r>
          </w:p>
        </w:tc>
        <w:tc>
          <w:tcPr>
            <w:tcW w:w="860" w:type="dxa"/>
            <w:vAlign w:val="bottom"/>
          </w:tcPr>
          <w:p>
            <w:pPr>
              <w:spacing w:after="0"/>
              <w:rPr>
                <w:sz w:val="17"/>
                <w:szCs w:val="17"/>
                <w:color w:val="auto"/>
              </w:rPr>
            </w:pPr>
          </w:p>
        </w:tc>
      </w:tr>
      <w:tr>
        <w:trPr>
          <w:trHeight w:val="630"/>
        </w:trPr>
        <w:tc>
          <w:tcPr>
            <w:tcW w:w="1220" w:type="dxa"/>
            <w:vAlign w:val="bottom"/>
          </w:tcPr>
          <w:p>
            <w:pPr>
              <w:spacing w:after="0"/>
              <w:rPr>
                <w:sz w:val="20"/>
                <w:szCs w:val="20"/>
                <w:color w:val="auto"/>
              </w:rPr>
            </w:pPr>
            <w:r>
              <w:rPr>
                <w:rFonts w:ascii="Arial" w:cs="Arial" w:eastAsia="Arial" w:hAnsi="Arial"/>
                <w:sz w:val="16"/>
                <w:szCs w:val="16"/>
                <w:b w:val="1"/>
                <w:bCs w:val="1"/>
                <w:color w:val="auto"/>
              </w:rPr>
              <w:t>Phase 2</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1220" w:type="dxa"/>
            <w:vAlign w:val="bottom"/>
          </w:tcPr>
          <w:p>
            <w:pPr>
              <w:spacing w:after="0"/>
              <w:rPr>
                <w:sz w:val="20"/>
                <w:szCs w:val="20"/>
                <w:color w:val="auto"/>
              </w:rPr>
            </w:pPr>
            <w:r>
              <w:rPr>
                <w:rFonts w:ascii="Arial" w:cs="Arial" w:eastAsia="Arial" w:hAnsi="Arial"/>
                <w:sz w:val="16"/>
                <w:szCs w:val="16"/>
                <w:color w:val="auto"/>
              </w:rPr>
              <w:t>C201</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PHVS416 on-demand</w:t>
            </w: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Phase 2, randomized, double blind, placebo-controlled,</w:t>
            </w:r>
          </w:p>
        </w:tc>
        <w:tc>
          <w:tcPr>
            <w:tcW w:w="860" w:type="dxa"/>
            <w:vAlign w:val="bottom"/>
          </w:tcPr>
          <w:p>
            <w:pPr>
              <w:ind w:left="80"/>
              <w:spacing w:after="0"/>
              <w:rPr>
                <w:sz w:val="20"/>
                <w:szCs w:val="20"/>
                <w:color w:val="auto"/>
              </w:rPr>
            </w:pPr>
            <w:r>
              <w:rPr>
                <w:rFonts w:ascii="Arial" w:cs="Arial" w:eastAsia="Arial" w:hAnsi="Arial"/>
                <w:sz w:val="16"/>
                <w:szCs w:val="16"/>
                <w:color w:val="auto"/>
                <w:w w:val="98"/>
              </w:rPr>
              <w:t>Completed</w:t>
            </w:r>
          </w:p>
        </w:tc>
      </w:tr>
      <w:tr>
        <w:trPr>
          <w:trHeight w:val="207"/>
        </w:trPr>
        <w:tc>
          <w:tcPr>
            <w:tcW w:w="1220" w:type="dxa"/>
            <w:vAlign w:val="bottom"/>
          </w:tcPr>
          <w:p>
            <w:pPr>
              <w:spacing w:after="0"/>
              <w:rPr>
                <w:sz w:val="20"/>
                <w:szCs w:val="20"/>
                <w:color w:val="auto"/>
              </w:rPr>
            </w:pPr>
            <w:r>
              <w:rPr>
                <w:rFonts w:ascii="Arial" w:cs="Arial" w:eastAsia="Arial" w:hAnsi="Arial"/>
                <w:sz w:val="16"/>
                <w:szCs w:val="16"/>
                <w:color w:val="auto"/>
              </w:rPr>
              <w:t>RAPIDe-1</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dose ranging study to assess safety and efficacy</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C303</w:t>
            </w:r>
          </w:p>
        </w:tc>
        <w:tc>
          <w:tcPr>
            <w:tcW w:w="3040" w:type="dxa"/>
            <w:vAlign w:val="bottom"/>
            <w:gridSpan w:val="3"/>
          </w:tcPr>
          <w:p>
            <w:pPr>
              <w:ind w:left="280"/>
              <w:spacing w:after="0"/>
              <w:rPr>
                <w:sz w:val="20"/>
                <w:szCs w:val="20"/>
                <w:color w:val="auto"/>
              </w:rPr>
            </w:pPr>
            <w:r>
              <w:rPr>
                <w:rFonts w:ascii="Arial" w:cs="Arial" w:eastAsia="Arial" w:hAnsi="Arial"/>
                <w:sz w:val="16"/>
                <w:szCs w:val="16"/>
                <w:color w:val="auto"/>
              </w:rPr>
              <w:t>PHVS416  on-demand  open-label</w:t>
            </w:r>
          </w:p>
        </w:tc>
        <w:tc>
          <w:tcPr>
            <w:tcW w:w="5640" w:type="dxa"/>
            <w:vAlign w:val="bottom"/>
          </w:tcPr>
          <w:p>
            <w:pPr>
              <w:ind w:left="80"/>
              <w:spacing w:after="0"/>
              <w:rPr>
                <w:sz w:val="20"/>
                <w:szCs w:val="20"/>
                <w:color w:val="auto"/>
              </w:rPr>
            </w:pPr>
            <w:r>
              <w:rPr>
                <w:rFonts w:ascii="Arial" w:cs="Arial" w:eastAsia="Arial" w:hAnsi="Arial"/>
                <w:sz w:val="16"/>
                <w:szCs w:val="16"/>
                <w:color w:val="auto"/>
              </w:rPr>
              <w:t>Phase II/III, Extension Study to evaluate the safety of long-term on-demand</w:t>
            </w:r>
          </w:p>
        </w:tc>
        <w:tc>
          <w:tcPr>
            <w:tcW w:w="860" w:type="dxa"/>
            <w:vAlign w:val="bottom"/>
          </w:tcPr>
          <w:p>
            <w:pPr>
              <w:ind w:left="120"/>
              <w:spacing w:after="0"/>
              <w:rPr>
                <w:sz w:val="20"/>
                <w:szCs w:val="20"/>
                <w:color w:val="auto"/>
              </w:rPr>
            </w:pPr>
            <w:r>
              <w:rPr>
                <w:rFonts w:ascii="Arial" w:cs="Arial" w:eastAsia="Arial" w:hAnsi="Arial"/>
                <w:sz w:val="16"/>
                <w:szCs w:val="16"/>
                <w:color w:val="auto"/>
              </w:rPr>
              <w:t>Ongoing</w:t>
            </w:r>
          </w:p>
        </w:tc>
      </w:tr>
      <w:tr>
        <w:trPr>
          <w:trHeight w:val="207"/>
        </w:trPr>
        <w:tc>
          <w:tcPr>
            <w:tcW w:w="1220" w:type="dxa"/>
            <w:vAlign w:val="bottom"/>
          </w:tcPr>
          <w:p>
            <w:pPr>
              <w:spacing w:after="0"/>
              <w:rPr>
                <w:sz w:val="20"/>
                <w:szCs w:val="20"/>
                <w:color w:val="auto"/>
              </w:rPr>
            </w:pPr>
            <w:r>
              <w:rPr>
                <w:rFonts w:ascii="Arial" w:cs="Arial" w:eastAsia="Arial" w:hAnsi="Arial"/>
                <w:sz w:val="16"/>
                <w:szCs w:val="16"/>
                <w:color w:val="auto"/>
              </w:rPr>
              <w:t>RAPIDe-2</w:t>
            </w:r>
          </w:p>
        </w:tc>
        <w:tc>
          <w:tcPr>
            <w:tcW w:w="1300" w:type="dxa"/>
            <w:vAlign w:val="bottom"/>
          </w:tcPr>
          <w:p>
            <w:pPr>
              <w:ind w:left="280"/>
              <w:spacing w:after="0"/>
              <w:rPr>
                <w:sz w:val="20"/>
                <w:szCs w:val="20"/>
                <w:color w:val="auto"/>
              </w:rPr>
            </w:pPr>
            <w:r>
              <w:rPr>
                <w:rFonts w:ascii="Arial" w:cs="Arial" w:eastAsia="Arial" w:hAnsi="Arial"/>
                <w:sz w:val="16"/>
                <w:szCs w:val="16"/>
                <w:color w:val="auto"/>
              </w:rPr>
              <w:t>extension</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treatment with PHA-022121 for acute HAE attacks</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C301</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PHVS416 prophylaxis</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Phase 2, randomized, double blind, placebo-controlled,</w:t>
            </w:r>
          </w:p>
        </w:tc>
        <w:tc>
          <w:tcPr>
            <w:tcW w:w="860" w:type="dxa"/>
            <w:vAlign w:val="bottom"/>
          </w:tcPr>
          <w:p>
            <w:pPr>
              <w:ind w:left="80"/>
              <w:spacing w:after="0"/>
              <w:rPr>
                <w:sz w:val="20"/>
                <w:szCs w:val="20"/>
                <w:color w:val="auto"/>
              </w:rPr>
            </w:pPr>
            <w:r>
              <w:rPr>
                <w:rFonts w:ascii="Arial" w:cs="Arial" w:eastAsia="Arial" w:hAnsi="Arial"/>
                <w:sz w:val="16"/>
                <w:szCs w:val="16"/>
                <w:color w:val="auto"/>
              </w:rPr>
              <w:t>Ongoing</w:t>
            </w:r>
          </w:p>
        </w:tc>
      </w:tr>
      <w:tr>
        <w:trPr>
          <w:trHeight w:val="207"/>
        </w:trPr>
        <w:tc>
          <w:tcPr>
            <w:tcW w:w="1220" w:type="dxa"/>
            <w:vAlign w:val="bottom"/>
          </w:tcPr>
          <w:p>
            <w:pPr>
              <w:spacing w:after="0"/>
              <w:rPr>
                <w:sz w:val="20"/>
                <w:szCs w:val="20"/>
                <w:color w:val="auto"/>
              </w:rPr>
            </w:pPr>
            <w:r>
              <w:rPr>
                <w:rFonts w:ascii="Arial" w:cs="Arial" w:eastAsia="Arial" w:hAnsi="Arial"/>
                <w:sz w:val="16"/>
                <w:szCs w:val="16"/>
                <w:color w:val="auto"/>
              </w:rPr>
              <w:t>CHAPTER-1</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dose ranging study to assess safety and efficacy</w:t>
            </w:r>
          </w:p>
        </w:tc>
        <w:tc>
          <w:tcPr>
            <w:tcW w:w="860" w:type="dxa"/>
            <w:vAlign w:val="bottom"/>
          </w:tcPr>
          <w:p>
            <w:pPr>
              <w:spacing w:after="0"/>
              <w:rPr>
                <w:sz w:val="17"/>
                <w:szCs w:val="17"/>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6"/>
                <w:szCs w:val="16"/>
                <w:color w:val="auto"/>
              </w:rPr>
              <w:t>C306</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PHVS416 on demand</w:t>
            </w: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Phase III, randomized, placebo-controlled study to evaluate the efficacy of</w:t>
            </w:r>
          </w:p>
        </w:tc>
        <w:tc>
          <w:tcPr>
            <w:tcW w:w="860" w:type="dxa"/>
            <w:vAlign w:val="bottom"/>
          </w:tcPr>
          <w:p>
            <w:pPr>
              <w:ind w:left="80"/>
              <w:spacing w:after="0"/>
              <w:rPr>
                <w:sz w:val="20"/>
                <w:szCs w:val="20"/>
                <w:color w:val="auto"/>
              </w:rPr>
            </w:pPr>
            <w:r>
              <w:rPr>
                <w:rFonts w:ascii="Arial" w:cs="Arial" w:eastAsia="Arial" w:hAnsi="Arial"/>
                <w:sz w:val="16"/>
                <w:szCs w:val="16"/>
                <w:color w:val="auto"/>
              </w:rPr>
              <w:t>Planned</w:t>
            </w:r>
          </w:p>
        </w:tc>
      </w:tr>
      <w:tr>
        <w:trPr>
          <w:trHeight w:val="189"/>
        </w:trPr>
        <w:tc>
          <w:tcPr>
            <w:tcW w:w="1220" w:type="dxa"/>
            <w:vAlign w:val="bottom"/>
          </w:tcPr>
          <w:p>
            <w:pPr>
              <w:spacing w:after="0"/>
              <w:rPr>
                <w:sz w:val="20"/>
                <w:szCs w:val="20"/>
                <w:color w:val="auto"/>
              </w:rPr>
            </w:pPr>
            <w:r>
              <w:rPr>
                <w:rFonts w:ascii="Arial" w:cs="Arial" w:eastAsia="Arial" w:hAnsi="Arial"/>
                <w:sz w:val="16"/>
                <w:szCs w:val="16"/>
                <w:color w:val="auto"/>
              </w:rPr>
              <w:t>RAPIDe-3</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PHVS416 compared with placebo as on demand treatment for achieving</w:t>
            </w:r>
          </w:p>
        </w:tc>
        <w:tc>
          <w:tcPr>
            <w:tcW w:w="860" w:type="dxa"/>
            <w:vAlign w:val="bottom"/>
          </w:tcPr>
          <w:p>
            <w:pPr>
              <w:spacing w:after="0"/>
              <w:rPr>
                <w:sz w:val="16"/>
                <w:szCs w:val="16"/>
                <w:color w:val="auto"/>
              </w:rPr>
            </w:pPr>
          </w:p>
        </w:tc>
      </w:tr>
      <w:tr>
        <w:trPr>
          <w:trHeight w:val="207"/>
        </w:trPr>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symptom relief of hereditary angioedema (HAE) attacks</w:t>
            </w:r>
          </w:p>
        </w:tc>
        <w:tc>
          <w:tcPr>
            <w:tcW w:w="860" w:type="dxa"/>
            <w:vAlign w:val="bottom"/>
          </w:tcPr>
          <w:p>
            <w:pPr>
              <w:spacing w:after="0"/>
              <w:rPr>
                <w:sz w:val="17"/>
                <w:szCs w:val="17"/>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 BK challenge / SAD-POM)</w:t>
      </w:r>
    </w:p>
    <w:p>
      <w:pPr>
        <w:spacing w:after="0" w:line="17"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Deucrictibant-C001 was a randomized, double-blind, placebo-controlled, single ascending dose and proof-of-mechanism study to examine the safety, tolerability, PK and PD of orally administered deucrictibant in healthy subjects. A total of 52 subjects received single ascending oral doses of deucrictibant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deucrictibant groups occurred. The overall incidence of AEs was similar between the placebo and deucrictibant. Treatment-related AEs were reported for three subjects who received deucrictibant (12 or 22 mg), all within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the gastrointestinal system and of mild severity: upper abdominal pain, vomiting, and nausea. There were no apparent trends or dose-related changes in hematology, clinical chemistry, vital signs, or ECG.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Pharmacokinetics Analysis</w:t>
      </w:r>
    </w:p>
    <w:p>
      <w:pPr>
        <w:spacing w:after="0" w:line="19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Dose proportional PK was observed after single oral administration under fasting condition of deucrictibant in the dose range of 1 mg to 22 mg for Cmax, AUClast and AUCinf.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215"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Dose (mg)</w:t>
            </w:r>
          </w:p>
        </w:tc>
        <w:tc>
          <w:tcPr>
            <w:tcW w:w="1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Cmax</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C0.25h</w:t>
            </w:r>
          </w:p>
        </w:tc>
        <w:tc>
          <w:tcPr>
            <w:tcW w:w="24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C12h</w:t>
            </w:r>
          </w:p>
        </w:tc>
        <w:tc>
          <w:tcPr>
            <w:tcW w:w="24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Tmax (h)</w:t>
            </w:r>
          </w:p>
        </w:tc>
        <w:tc>
          <w:tcPr>
            <w:tcW w:w="22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t1/2 (h)</w:t>
            </w:r>
          </w:p>
        </w:tc>
        <w:tc>
          <w:tcPr>
            <w:tcW w:w="120" w:type="dxa"/>
            <w:vAlign w:val="bottom"/>
          </w:tcPr>
          <w:p>
            <w:pPr>
              <w:spacing w:after="0"/>
              <w:rPr>
                <w:sz w:val="16"/>
                <w:szCs w:val="16"/>
                <w:color w:val="auto"/>
              </w:rPr>
            </w:pPr>
          </w:p>
        </w:tc>
      </w:tr>
      <w:tr>
        <w:trPr>
          <w:trHeight w:val="241"/>
        </w:trPr>
        <w:tc>
          <w:tcPr>
            <w:tcW w:w="3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(ng/mL)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(ng/mL)</w:t>
            </w:r>
          </w:p>
        </w:tc>
        <w:tc>
          <w:tcPr>
            <w:tcW w:w="240" w:type="dxa"/>
            <w:vAlign w:val="bottom"/>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(ng/mL)</w:t>
            </w: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2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1</w:t>
            </w:r>
          </w:p>
        </w:tc>
        <w:tc>
          <w:tcPr>
            <w:tcW w:w="11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1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6</w:t>
            </w:r>
          </w:p>
        </w:tc>
        <w:tc>
          <w:tcPr>
            <w:tcW w:w="120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0.5</w:t>
            </w:r>
          </w:p>
        </w:tc>
        <w:tc>
          <w:tcPr>
            <w:tcW w:w="122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0.5</w:t>
            </w:r>
          </w:p>
        </w:tc>
        <w:tc>
          <w:tcPr>
            <w:tcW w:w="1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2</w:t>
            </w:r>
          </w:p>
        </w:tc>
        <w:tc>
          <w:tcPr>
            <w:tcW w:w="1180" w:type="dxa"/>
            <w:vAlign w:val="bottom"/>
            <w:gridSpan w:val="2"/>
          </w:tcPr>
          <w:p>
            <w:pPr>
              <w:ind w:left="240"/>
              <w:spacing w:after="0"/>
              <w:rPr>
                <w:sz w:val="20"/>
                <w:szCs w:val="20"/>
                <w:color w:val="auto"/>
              </w:rPr>
            </w:pPr>
            <w:r>
              <w:rPr>
                <w:rFonts w:ascii="Arial" w:cs="Arial" w:eastAsia="Arial" w:hAnsi="Arial"/>
                <w:sz w:val="16"/>
                <w:szCs w:val="16"/>
                <w:color w:val="auto"/>
              </w:rPr>
              <w:t>20</w:t>
            </w:r>
          </w:p>
        </w:tc>
        <w:tc>
          <w:tcPr>
            <w:tcW w:w="1380" w:type="dxa"/>
            <w:vAlign w:val="bottom"/>
            <w:gridSpan w:val="3"/>
          </w:tcPr>
          <w:p>
            <w:pPr>
              <w:ind w:left="360"/>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ind w:left="380"/>
              <w:spacing w:after="0"/>
              <w:rPr>
                <w:sz w:val="20"/>
                <w:szCs w:val="20"/>
                <w:color w:val="auto"/>
              </w:rPr>
            </w:pPr>
            <w:r>
              <w:rPr>
                <w:rFonts w:ascii="Arial" w:cs="Arial" w:eastAsia="Arial" w:hAnsi="Arial"/>
                <w:sz w:val="16"/>
                <w:szCs w:val="16"/>
                <w:color w:val="auto"/>
              </w:rPr>
              <w:t>0.8</w:t>
            </w:r>
          </w:p>
        </w:tc>
        <w:tc>
          <w:tcPr>
            <w:tcW w:w="1220" w:type="dxa"/>
            <w:vAlign w:val="bottom"/>
            <w:gridSpan w:val="2"/>
          </w:tcPr>
          <w:p>
            <w:pPr>
              <w:ind w:left="380"/>
              <w:spacing w:after="0"/>
              <w:rPr>
                <w:sz w:val="20"/>
                <w:szCs w:val="20"/>
                <w:color w:val="auto"/>
              </w:rPr>
            </w:pPr>
            <w:r>
              <w:rPr>
                <w:rFonts w:ascii="Arial" w:cs="Arial" w:eastAsia="Arial" w:hAnsi="Arial"/>
                <w:sz w:val="16"/>
                <w:szCs w:val="16"/>
                <w:color w:val="auto"/>
              </w:rPr>
              <w:t>0.75</w:t>
            </w:r>
          </w:p>
        </w:tc>
        <w:tc>
          <w:tcPr>
            <w:tcW w:w="1200" w:type="dxa"/>
            <w:vAlign w:val="bottom"/>
            <w:gridSpan w:val="2"/>
          </w:tcPr>
          <w:p>
            <w:pPr>
              <w:jc w:val="right"/>
              <w:ind w:right="5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r>
      <w:tr>
        <w:trPr>
          <w:trHeight w:val="47"/>
        </w:trPr>
        <w:tc>
          <w:tcPr>
            <w:tcW w:w="326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1380" w:type="dxa"/>
            <w:vAlign w:val="bottom"/>
            <w:gridSpan w:val="3"/>
          </w:tcPr>
          <w:p>
            <w:pPr>
              <w:spacing w:after="0"/>
              <w:rPr>
                <w:sz w:val="4"/>
                <w:szCs w:val="4"/>
                <w:color w:val="auto"/>
              </w:rPr>
            </w:pPr>
          </w:p>
        </w:tc>
        <w:tc>
          <w:tcPr>
            <w:tcW w:w="1200" w:type="dxa"/>
            <w:vAlign w:val="bottom"/>
            <w:gridSpan w:val="2"/>
          </w:tcPr>
          <w:p>
            <w:pPr>
              <w:spacing w:after="0"/>
              <w:rPr>
                <w:sz w:val="4"/>
                <w:szCs w:val="4"/>
                <w:color w:val="auto"/>
              </w:rPr>
            </w:pPr>
          </w:p>
        </w:tc>
        <w:tc>
          <w:tcPr>
            <w:tcW w:w="122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r>
      <w:tr>
        <w:trPr>
          <w:trHeight w:val="23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4.5</w:t>
            </w:r>
          </w:p>
        </w:tc>
        <w:tc>
          <w:tcPr>
            <w:tcW w:w="1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6"/>
                <w:szCs w:val="16"/>
                <w:color w:val="auto"/>
              </w:rPr>
              <w:t>33</w:t>
            </w:r>
          </w:p>
        </w:tc>
        <w:tc>
          <w:tcPr>
            <w:tcW w:w="138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6"/>
                <w:szCs w:val="16"/>
                <w:color w:val="auto"/>
              </w:rPr>
              <w:t>13</w:t>
            </w:r>
          </w:p>
        </w:tc>
        <w:tc>
          <w:tcPr>
            <w:tcW w:w="12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1.9</w:t>
            </w:r>
          </w:p>
        </w:tc>
        <w:tc>
          <w:tcPr>
            <w:tcW w:w="12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1.0</w:t>
            </w:r>
          </w:p>
        </w:tc>
        <w:tc>
          <w:tcPr>
            <w:tcW w:w="1200" w:type="dxa"/>
            <w:vAlign w:val="bottom"/>
            <w:tcBorders>
              <w:bottom w:val="single" w:sz="8" w:color="CFF0FC"/>
            </w:tcBorders>
            <w:gridSpan w:val="2"/>
            <w:shd w:val="clear" w:color="auto" w:fill="CFF0FC"/>
          </w:tcPr>
          <w:p>
            <w:pPr>
              <w:jc w:val="right"/>
              <w:ind w:right="5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12</w:t>
            </w:r>
          </w:p>
        </w:tc>
        <w:tc>
          <w:tcPr>
            <w:tcW w:w="1180" w:type="dxa"/>
            <w:vAlign w:val="bottom"/>
            <w:gridSpan w:val="2"/>
          </w:tcPr>
          <w:p>
            <w:pPr>
              <w:ind w:left="240"/>
              <w:spacing w:after="0"/>
              <w:rPr>
                <w:sz w:val="20"/>
                <w:szCs w:val="20"/>
                <w:color w:val="auto"/>
              </w:rPr>
            </w:pPr>
            <w:r>
              <w:rPr>
                <w:rFonts w:ascii="Arial" w:cs="Arial" w:eastAsia="Arial" w:hAnsi="Arial"/>
                <w:sz w:val="16"/>
                <w:szCs w:val="16"/>
                <w:color w:val="auto"/>
              </w:rPr>
              <w:t>97</w:t>
            </w:r>
          </w:p>
        </w:tc>
        <w:tc>
          <w:tcPr>
            <w:tcW w:w="1380" w:type="dxa"/>
            <w:vAlign w:val="bottom"/>
            <w:gridSpan w:val="3"/>
          </w:tcPr>
          <w:p>
            <w:pPr>
              <w:ind w:left="360"/>
              <w:spacing w:after="0"/>
              <w:rPr>
                <w:sz w:val="20"/>
                <w:szCs w:val="20"/>
                <w:color w:val="auto"/>
              </w:rPr>
            </w:pPr>
            <w:r>
              <w:rPr>
                <w:rFonts w:ascii="Arial" w:cs="Arial" w:eastAsia="Arial" w:hAnsi="Arial"/>
                <w:sz w:val="16"/>
                <w:szCs w:val="16"/>
                <w:color w:val="auto"/>
              </w:rPr>
              <w:t>60</w:t>
            </w:r>
          </w:p>
        </w:tc>
        <w:tc>
          <w:tcPr>
            <w:tcW w:w="1200" w:type="dxa"/>
            <w:vAlign w:val="bottom"/>
            <w:gridSpan w:val="2"/>
          </w:tcPr>
          <w:p>
            <w:pPr>
              <w:ind w:left="380"/>
              <w:spacing w:after="0"/>
              <w:rPr>
                <w:sz w:val="20"/>
                <w:szCs w:val="20"/>
                <w:color w:val="auto"/>
              </w:rPr>
            </w:pPr>
            <w:r>
              <w:rPr>
                <w:rFonts w:ascii="Arial" w:cs="Arial" w:eastAsia="Arial" w:hAnsi="Arial"/>
                <w:sz w:val="16"/>
                <w:szCs w:val="16"/>
                <w:color w:val="auto"/>
              </w:rPr>
              <w:t>5.6</w:t>
            </w:r>
          </w:p>
        </w:tc>
        <w:tc>
          <w:tcPr>
            <w:tcW w:w="1220" w:type="dxa"/>
            <w:vAlign w:val="bottom"/>
            <w:gridSpan w:val="2"/>
          </w:tcPr>
          <w:p>
            <w:pPr>
              <w:ind w:left="380"/>
              <w:spacing w:after="0"/>
              <w:rPr>
                <w:sz w:val="20"/>
                <w:szCs w:val="20"/>
                <w:color w:val="auto"/>
              </w:rPr>
            </w:pPr>
            <w:r>
              <w:rPr>
                <w:rFonts w:ascii="Arial" w:cs="Arial" w:eastAsia="Arial" w:hAnsi="Arial"/>
                <w:sz w:val="16"/>
                <w:szCs w:val="16"/>
                <w:color w:val="auto"/>
              </w:rPr>
              <w:t>0.5</w:t>
            </w:r>
          </w:p>
        </w:tc>
        <w:tc>
          <w:tcPr>
            <w:tcW w:w="1200" w:type="dxa"/>
            <w:vAlign w:val="bottom"/>
            <w:gridSpan w:val="2"/>
          </w:tcPr>
          <w:p>
            <w:pPr>
              <w:jc w:val="right"/>
              <w:ind w:right="5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r>
      <w:tr>
        <w:trPr>
          <w:trHeight w:val="46"/>
        </w:trPr>
        <w:tc>
          <w:tcPr>
            <w:tcW w:w="326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1380" w:type="dxa"/>
            <w:vAlign w:val="bottom"/>
            <w:gridSpan w:val="3"/>
          </w:tcPr>
          <w:p>
            <w:pPr>
              <w:spacing w:after="0"/>
              <w:rPr>
                <w:sz w:val="4"/>
                <w:szCs w:val="4"/>
                <w:color w:val="auto"/>
              </w:rPr>
            </w:pPr>
          </w:p>
        </w:tc>
        <w:tc>
          <w:tcPr>
            <w:tcW w:w="1200" w:type="dxa"/>
            <w:vAlign w:val="bottom"/>
            <w:gridSpan w:val="2"/>
          </w:tcPr>
          <w:p>
            <w:pPr>
              <w:spacing w:after="0"/>
              <w:rPr>
                <w:sz w:val="4"/>
                <w:szCs w:val="4"/>
                <w:color w:val="auto"/>
              </w:rPr>
            </w:pPr>
          </w:p>
        </w:tc>
        <w:tc>
          <w:tcPr>
            <w:tcW w:w="122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r>
      <w:tr>
        <w:trPr>
          <w:trHeight w:val="237"/>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22</w:t>
            </w:r>
          </w:p>
        </w:tc>
        <w:tc>
          <w:tcPr>
            <w:tcW w:w="1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6"/>
                <w:szCs w:val="16"/>
                <w:color w:val="auto"/>
              </w:rPr>
              <w:t>213</w:t>
            </w:r>
          </w:p>
        </w:tc>
        <w:tc>
          <w:tcPr>
            <w:tcW w:w="138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6"/>
                <w:szCs w:val="16"/>
                <w:color w:val="auto"/>
              </w:rPr>
              <w:t>143</w:t>
            </w:r>
          </w:p>
        </w:tc>
        <w:tc>
          <w:tcPr>
            <w:tcW w:w="12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8.3</w:t>
            </w:r>
          </w:p>
        </w:tc>
        <w:tc>
          <w:tcPr>
            <w:tcW w:w="12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0.75</w:t>
            </w:r>
          </w:p>
        </w:tc>
        <w:tc>
          <w:tcPr>
            <w:tcW w:w="1200" w:type="dxa"/>
            <w:vAlign w:val="bottom"/>
            <w:tcBorders>
              <w:bottom w:val="single" w:sz="8" w:color="CFF0FC"/>
            </w:tcBorders>
            <w:gridSpan w:val="2"/>
            <w:shd w:val="clear" w:color="auto" w:fill="CFF0FC"/>
          </w:tcPr>
          <w:p>
            <w:pPr>
              <w:jc w:val="right"/>
              <w:ind w:right="5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7"/>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22 (high calorie, high-fat meal)</w:t>
            </w:r>
          </w:p>
        </w:tc>
        <w:tc>
          <w:tcPr>
            <w:tcW w:w="1180" w:type="dxa"/>
            <w:vAlign w:val="bottom"/>
            <w:gridSpan w:val="2"/>
          </w:tcPr>
          <w:p>
            <w:pPr>
              <w:ind w:left="240"/>
              <w:spacing w:after="0"/>
              <w:rPr>
                <w:sz w:val="20"/>
                <w:szCs w:val="20"/>
                <w:color w:val="auto"/>
              </w:rPr>
            </w:pPr>
            <w:r>
              <w:rPr>
                <w:rFonts w:ascii="Arial" w:cs="Arial" w:eastAsia="Arial" w:hAnsi="Arial"/>
                <w:sz w:val="16"/>
                <w:szCs w:val="16"/>
                <w:color w:val="auto"/>
              </w:rPr>
              <w:t>145</w:t>
            </w:r>
          </w:p>
        </w:tc>
        <w:tc>
          <w:tcPr>
            <w:tcW w:w="1380" w:type="dxa"/>
            <w:vAlign w:val="bottom"/>
            <w:gridSpan w:val="3"/>
          </w:tcPr>
          <w:p>
            <w:pPr>
              <w:ind w:left="360"/>
              <w:spacing w:after="0"/>
              <w:rPr>
                <w:sz w:val="20"/>
                <w:szCs w:val="20"/>
                <w:color w:val="auto"/>
              </w:rPr>
            </w:pPr>
            <w:r>
              <w:rPr>
                <w:rFonts w:ascii="Arial" w:cs="Arial" w:eastAsia="Arial" w:hAnsi="Arial"/>
                <w:sz w:val="16"/>
                <w:szCs w:val="16"/>
                <w:color w:val="auto"/>
              </w:rPr>
              <w:t>48</w:t>
            </w:r>
          </w:p>
        </w:tc>
        <w:tc>
          <w:tcPr>
            <w:tcW w:w="1200" w:type="dxa"/>
            <w:vAlign w:val="bottom"/>
            <w:gridSpan w:val="2"/>
          </w:tcPr>
          <w:p>
            <w:pPr>
              <w:ind w:left="380"/>
              <w:spacing w:after="0"/>
              <w:rPr>
                <w:sz w:val="20"/>
                <w:szCs w:val="20"/>
                <w:color w:val="auto"/>
              </w:rPr>
            </w:pPr>
            <w:r>
              <w:rPr>
                <w:rFonts w:ascii="Arial" w:cs="Arial" w:eastAsia="Arial" w:hAnsi="Arial"/>
                <w:sz w:val="16"/>
                <w:szCs w:val="16"/>
                <w:color w:val="auto"/>
              </w:rPr>
              <w:t>19.6</w:t>
            </w:r>
          </w:p>
        </w:tc>
        <w:tc>
          <w:tcPr>
            <w:tcW w:w="1220" w:type="dxa"/>
            <w:vAlign w:val="bottom"/>
            <w:gridSpan w:val="2"/>
          </w:tcPr>
          <w:p>
            <w:pPr>
              <w:ind w:left="380"/>
              <w:spacing w:after="0"/>
              <w:rPr>
                <w:sz w:val="20"/>
                <w:szCs w:val="20"/>
                <w:color w:val="auto"/>
              </w:rPr>
            </w:pPr>
            <w:r>
              <w:rPr>
                <w:rFonts w:ascii="Arial" w:cs="Arial" w:eastAsia="Arial" w:hAnsi="Arial"/>
                <w:sz w:val="16"/>
                <w:szCs w:val="16"/>
                <w:color w:val="auto"/>
              </w:rPr>
              <w:t>3.0</w:t>
            </w:r>
          </w:p>
        </w:tc>
        <w:tc>
          <w:tcPr>
            <w:tcW w:w="1200" w:type="dxa"/>
            <w:vAlign w:val="bottom"/>
            <w:gridSpan w:val="2"/>
          </w:tcPr>
          <w:p>
            <w:pPr>
              <w:jc w:val="right"/>
              <w:ind w:right="5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-957580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9"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this study, a high-calorie, high-fat (HCHF) meal reduced peak exposure and slightly increased overall exposure of deucrictibant: after a 22 mg dose, the mean Cmax of deucrictibant was lower (~32%) while AUCinf was higher (~ 42%) when deucrictibant was administered after a high calorie, high-fat breakfast (fed conditions) compared to administration under fasted conditions. While the median Tmax of deucrictibant was delayed by approximately two hours after administration under fed conditions, the plasma concentration for deucrictibant still reached the projected therapeutic levels (EC85, as determined in the bradykinin challenge described below) within 15 minutes. As shown in the table, the concentration of deucrictibant twelve hours post-dosing at 12 mg or 22 mg remained above projected therapeutic levels under both fed and fasted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132080</wp:posOffset>
            </wp:positionV>
            <wp:extent cx="3840480" cy="985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4048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we also evaluated the PD of deucrictibant in a bradykinin challenge model, which was designed to demonstrate deucrictibant-mediated inhibition of the drop in blood pressure and increase in heart rate resulting from injection of a bradykinin bolus in healthy subjects. The bradykinin challenge is administered at specific intervals after the deucrictibant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 approval.</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deucrictibant. Bradykinin was injected intravenously before deucrictibant to calibrate each subject’s response, and then at 1, 4, 8, 12 and 24 hours after dosing with deucrictibant. We monitored cardiovascular responses at each time point (see figure above). At the same time, blood samples were drawn for PK assessment. Bradykinin injection induced a short-term change in mean arterial blood pressure, or MABP, heart rate, or HR, and cardiac output. In the presence of deucrictibant, this cardiovascular response was dampened to an extent depending on the concentration of deucrictibant.</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BK challenge are provided in the table below. Deucrictibant demonstrated higher PD potency based on plasma concentrations (roughly four-fold) than icatibant relative to published data for icatibant. Adjusting for the differences between molecular weight and plasma protein binding, we found that deucrictibant is 24-fold more potent (170 pM) in the bradykinin challenge than icatibant (4.1 nM) on a molecule-by-molecule basis, consistent with our preclinical </w:t>
      </w:r>
      <w:r>
        <w:rPr>
          <w:rFonts w:ascii="Arial" w:cs="Arial" w:eastAsia="Arial" w:hAnsi="Arial"/>
          <w:sz w:val="16"/>
          <w:szCs w:val="16"/>
          <w:i w:val="1"/>
          <w:iCs w:val="1"/>
          <w:color w:val="auto"/>
        </w:rPr>
        <w:t>in vitro measurements.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Composite average</w:t>
            </w:r>
          </w:p>
        </w:tc>
        <w:tc>
          <w:tcPr>
            <w:tcW w:w="2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deucrictibant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icatibant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3"/>
        </w:trPr>
        <w:tc>
          <w:tcPr>
            <w:tcW w:w="1700" w:type="dxa"/>
            <w:vAlign w:val="bottom"/>
          </w:tcPr>
          <w:p>
            <w:pPr>
              <w:spacing w:after="0"/>
              <w:rPr>
                <w:sz w:val="17"/>
                <w:szCs w:val="17"/>
                <w:color w:val="auto"/>
              </w:rPr>
            </w:pPr>
          </w:p>
        </w:tc>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EC50 (ng/mL)</w:t>
            </w:r>
          </w:p>
        </w:tc>
        <w:tc>
          <w:tcPr>
            <w:tcW w:w="3820" w:type="dxa"/>
            <w:vAlign w:val="bottom"/>
            <w:tcBorders>
              <w:top w:val="single" w:sz="8" w:color="CFF0FC"/>
            </w:tcBorders>
            <w:gridSpan w:val="3"/>
            <w:shd w:val="clear" w:color="auto" w:fill="CFF0FC"/>
          </w:tcPr>
          <w:p>
            <w:pPr>
              <w:ind w:left="2900"/>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17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EC85 (ng/mL)</w:t>
            </w:r>
          </w:p>
        </w:tc>
        <w:tc>
          <w:tcPr>
            <w:tcW w:w="3820" w:type="dxa"/>
            <w:vAlign w:val="bottom"/>
            <w:gridSpan w:val="3"/>
          </w:tcPr>
          <w:p>
            <w:pPr>
              <w:ind w:left="2900"/>
              <w:spacing w:after="0"/>
              <w:rPr>
                <w:sz w:val="20"/>
                <w:szCs w:val="20"/>
                <w:color w:val="auto"/>
              </w:rPr>
            </w:pPr>
            <w:r>
              <w:rPr>
                <w:rFonts w:ascii="Arial" w:cs="Arial" w:eastAsia="Arial" w:hAnsi="Arial"/>
                <w:sz w:val="16"/>
                <w:szCs w:val="16"/>
                <w:color w:val="auto"/>
              </w:rPr>
              <w:t>13.8</w:t>
            </w:r>
          </w:p>
        </w:tc>
        <w:tc>
          <w:tcPr>
            <w:tcW w:w="1260" w:type="dxa"/>
            <w:vAlign w:val="bottom"/>
            <w:gridSpan w:val="3"/>
          </w:tcPr>
          <w:p>
            <w:pPr>
              <w:ind w:left="340"/>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08"/>
        </w:trPr>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60" w:type="dxa"/>
            <w:vAlign w:val="bottom"/>
          </w:tcPr>
          <w:p>
            <w:pPr>
              <w:jc w:val="right"/>
              <w:ind w:right="12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8"/>
        </w:trPr>
        <w:tc>
          <w:tcPr>
            <w:tcW w:w="17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4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The data also allowed us to compare the projected therapeutic performance of deucrictibant with that of the icatibant study. However, we have not conducted a head-to-head comparison of icatibant to deucrictibant in a clinical trial but have compared the published data for icatibant to data from our Phase 1 and Phase 2 clinical trial of deucrictibant. While we believe this comparison to icatibant to be useful and appropriate, the value of this and other comparisons to icatibant in this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to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65"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Applying these criteria as exposure targets for deucrictibant leads us to project that due to deucrictibant’s longer half-life, we believe deucrictibant will stay above these therapeutic targets for much longer than icatibant. The 12 mg dose of deucrictibant showed rapid absorption and then stayed above EC50 for 10-12 hours and above the EC85 for 7 hours, suggesting that this dose may be at least as effective as a 30 mg s.c. injection of icatibant. A 30 mg s.c. icatibant dose has been documented to effectively treat 93% of acute HAE attacks (Icatibant Outcome Survey, or IOS, Maurer et al 2020: Long-term effectiveness and safety of icatibant for the on-demand treatment of hereditary angioedema attacks: 10 years of the icatibant outcome survey; EAACI Poster #1118, June 6-8, 2020).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deucrictibant based on BK-challenge modeling and simulation.</w:t>
      </w:r>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89"/>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Response</w:t>
            </w:r>
          </w:p>
        </w:tc>
        <w:tc>
          <w:tcPr>
            <w:tcW w:w="1620" w:type="dxa"/>
            <w:vAlign w:val="bottom"/>
          </w:tcPr>
          <w:p>
            <w:pPr>
              <w:spacing w:after="0"/>
              <w:rPr>
                <w:sz w:val="20"/>
                <w:szCs w:val="20"/>
                <w:color w:val="auto"/>
              </w:rPr>
            </w:pPr>
            <w:r>
              <w:rPr>
                <w:rFonts w:ascii="Arial" w:cs="Arial" w:eastAsia="Arial" w:hAnsi="Arial"/>
                <w:sz w:val="16"/>
                <w:szCs w:val="16"/>
                <w:b w:val="1"/>
                <w:bCs w:val="1"/>
                <w:color w:val="auto"/>
              </w:rPr>
              <w:t>icatibant 30 mg</w:t>
            </w:r>
          </w:p>
        </w:tc>
        <w:tc>
          <w:tcPr>
            <w:tcW w:w="140" w:type="dxa"/>
            <w:vAlign w:val="bottom"/>
          </w:tcPr>
          <w:p>
            <w:pPr>
              <w:spacing w:after="0"/>
              <w:rPr>
                <w:sz w:val="16"/>
                <w:szCs w:val="16"/>
                <w:color w:val="auto"/>
              </w:rPr>
            </w:pPr>
          </w:p>
        </w:tc>
        <w:tc>
          <w:tcPr>
            <w:tcW w:w="2060" w:type="dxa"/>
            <w:vAlign w:val="bottom"/>
          </w:tcPr>
          <w:p>
            <w:pPr>
              <w:ind w:left="140"/>
              <w:spacing w:after="0"/>
              <w:rPr>
                <w:sz w:val="20"/>
                <w:szCs w:val="20"/>
                <w:color w:val="auto"/>
              </w:rPr>
            </w:pPr>
            <w:r>
              <w:rPr>
                <w:rFonts w:ascii="Arial" w:cs="Arial" w:eastAsia="Arial" w:hAnsi="Arial"/>
                <w:sz w:val="16"/>
                <w:szCs w:val="16"/>
                <w:b w:val="1"/>
                <w:bCs w:val="1"/>
                <w:color w:val="auto"/>
              </w:rPr>
              <w:t>deucrictibant   12   mg</w:t>
            </w:r>
          </w:p>
        </w:tc>
        <w:tc>
          <w:tcPr>
            <w:tcW w:w="120" w:type="dxa"/>
            <w:vAlign w:val="bottom"/>
          </w:tcPr>
          <w:p>
            <w:pPr>
              <w:spacing w:after="0"/>
              <w:rPr>
                <w:sz w:val="16"/>
                <w:szCs w:val="16"/>
                <w:color w:val="auto"/>
              </w:rPr>
            </w:pPr>
          </w:p>
        </w:tc>
        <w:tc>
          <w:tcPr>
            <w:tcW w:w="1320" w:type="dxa"/>
            <w:vAlign w:val="bottom"/>
          </w:tcPr>
          <w:p>
            <w:pPr>
              <w:ind w:left="140"/>
              <w:spacing w:after="0"/>
              <w:rPr>
                <w:sz w:val="20"/>
                <w:szCs w:val="20"/>
                <w:color w:val="auto"/>
              </w:rPr>
            </w:pPr>
            <w:r>
              <w:rPr>
                <w:rFonts w:ascii="Arial" w:cs="Arial" w:eastAsia="Arial" w:hAnsi="Arial"/>
                <w:sz w:val="16"/>
                <w:szCs w:val="16"/>
                <w:b w:val="1"/>
                <w:bCs w:val="1"/>
                <w:color w:val="auto"/>
              </w:rPr>
              <w:t>deucrictibant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6"/>
                <w:szCs w:val="16"/>
                <w:color w:val="auto"/>
              </w:rPr>
            </w:pPr>
          </w:p>
        </w:tc>
      </w:tr>
      <w:tr>
        <w:trPr>
          <w:trHeight w:val="221"/>
        </w:trPr>
        <w:tc>
          <w:tcPr>
            <w:tcW w:w="414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(oral)</w:t>
            </w:r>
          </w:p>
        </w:tc>
        <w:tc>
          <w:tcPr>
            <w:tcW w:w="120" w:type="dxa"/>
            <w:vAlign w:val="bottom"/>
          </w:tcPr>
          <w:p>
            <w:pPr>
              <w:spacing w:after="0"/>
              <w:rPr>
                <w:sz w:val="19"/>
                <w:szCs w:val="19"/>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mg (oral)</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414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Time (h) plasma level</w:t>
            </w:r>
          </w:p>
        </w:tc>
        <w:tc>
          <w:tcPr>
            <w:tcW w:w="1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above EC50 at a 75% confidence level</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Diastolic blood pressure (DBP)</w:t>
            </w:r>
          </w:p>
        </w:tc>
        <w:tc>
          <w:tcPr>
            <w:tcW w:w="16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6.0</w:t>
            </w:r>
          </w:p>
        </w:tc>
        <w:tc>
          <w:tcPr>
            <w:tcW w:w="220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11.5</w:t>
            </w:r>
          </w:p>
        </w:tc>
        <w:tc>
          <w:tcPr>
            <w:tcW w:w="14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14</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MABP</w:t>
            </w:r>
          </w:p>
        </w:tc>
        <w:tc>
          <w:tcPr>
            <w:tcW w:w="1620" w:type="dxa"/>
            <w:vAlign w:val="bottom"/>
          </w:tcPr>
          <w:p>
            <w:pPr>
              <w:jc w:val="right"/>
              <w:ind w:right="1179"/>
              <w:spacing w:after="0"/>
              <w:rPr>
                <w:sz w:val="20"/>
                <w:szCs w:val="20"/>
                <w:color w:val="auto"/>
              </w:rPr>
            </w:pPr>
            <w:r>
              <w:rPr>
                <w:rFonts w:ascii="Arial" w:cs="Arial" w:eastAsia="Arial" w:hAnsi="Arial"/>
                <w:sz w:val="16"/>
                <w:szCs w:val="16"/>
                <w:color w:val="auto"/>
              </w:rPr>
              <w:t>6.0</w:t>
            </w:r>
          </w:p>
        </w:tc>
        <w:tc>
          <w:tcPr>
            <w:tcW w:w="2200" w:type="dxa"/>
            <w:vAlign w:val="bottom"/>
            <w:gridSpan w:val="2"/>
          </w:tcPr>
          <w:p>
            <w:pPr>
              <w:ind w:left="400"/>
              <w:spacing w:after="0"/>
              <w:rPr>
                <w:sz w:val="20"/>
                <w:szCs w:val="20"/>
                <w:color w:val="auto"/>
              </w:rPr>
            </w:pPr>
            <w:r>
              <w:rPr>
                <w:rFonts w:ascii="Arial" w:cs="Arial" w:eastAsia="Arial" w:hAnsi="Arial"/>
                <w:sz w:val="16"/>
                <w:szCs w:val="16"/>
                <w:color w:val="auto"/>
              </w:rPr>
              <w:t>12</w:t>
            </w: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15.5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Heart rate</w:t>
            </w:r>
          </w:p>
        </w:tc>
        <w:tc>
          <w:tcPr>
            <w:tcW w:w="16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6.5</w:t>
            </w:r>
          </w:p>
        </w:tc>
        <w:tc>
          <w:tcPr>
            <w:tcW w:w="220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10</w:t>
            </w:r>
          </w:p>
        </w:tc>
        <w:tc>
          <w:tcPr>
            <w:tcW w:w="14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4140" w:type="dxa"/>
            <w:vAlign w:val="bottom"/>
          </w:tcPr>
          <w:p>
            <w:pPr>
              <w:spacing w:after="0"/>
              <w:rPr>
                <w:sz w:val="18"/>
                <w:szCs w:val="18"/>
                <w:color w:val="auto"/>
              </w:rPr>
            </w:pPr>
          </w:p>
        </w:tc>
        <w:tc>
          <w:tcPr>
            <w:tcW w:w="526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Time (h) plasma level above EC85 at a 50% confidence level</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DBP</w:t>
            </w:r>
          </w:p>
        </w:tc>
        <w:tc>
          <w:tcPr>
            <w:tcW w:w="1620" w:type="dxa"/>
            <w:vAlign w:val="bottom"/>
          </w:tcPr>
          <w:p>
            <w:pPr>
              <w:jc w:val="right"/>
              <w:ind w:right="1179"/>
              <w:spacing w:after="0"/>
              <w:rPr>
                <w:sz w:val="20"/>
                <w:szCs w:val="20"/>
                <w:color w:val="auto"/>
              </w:rPr>
            </w:pPr>
            <w:r>
              <w:rPr>
                <w:rFonts w:ascii="Arial" w:cs="Arial" w:eastAsia="Arial" w:hAnsi="Arial"/>
                <w:sz w:val="16"/>
                <w:szCs w:val="16"/>
                <w:color w:val="auto"/>
              </w:rPr>
              <w:t>5.5</w:t>
            </w:r>
          </w:p>
        </w:tc>
        <w:tc>
          <w:tcPr>
            <w:tcW w:w="2200" w:type="dxa"/>
            <w:vAlign w:val="bottom"/>
            <w:gridSpan w:val="2"/>
          </w:tcPr>
          <w:p>
            <w:pPr>
              <w:ind w:left="400"/>
              <w:spacing w:after="0"/>
              <w:rPr>
                <w:sz w:val="20"/>
                <w:szCs w:val="20"/>
                <w:color w:val="auto"/>
              </w:rPr>
            </w:pPr>
            <w:r>
              <w:rPr>
                <w:rFonts w:ascii="Arial" w:cs="Arial" w:eastAsia="Arial" w:hAnsi="Arial"/>
                <w:sz w:val="16"/>
                <w:szCs w:val="16"/>
                <w:color w:val="auto"/>
              </w:rPr>
              <w:t>7.5</w:t>
            </w: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MABP</w:t>
            </w:r>
          </w:p>
        </w:tc>
        <w:tc>
          <w:tcPr>
            <w:tcW w:w="16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5.5</w:t>
            </w:r>
          </w:p>
        </w:tc>
        <w:tc>
          <w:tcPr>
            <w:tcW w:w="220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7.0</w:t>
            </w:r>
          </w:p>
        </w:tc>
        <w:tc>
          <w:tcPr>
            <w:tcW w:w="14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Heart rate</w:t>
            </w:r>
          </w:p>
        </w:tc>
        <w:tc>
          <w:tcPr>
            <w:tcW w:w="1620" w:type="dxa"/>
            <w:vAlign w:val="bottom"/>
          </w:tcPr>
          <w:p>
            <w:pPr>
              <w:jc w:val="right"/>
              <w:ind w:right="1179"/>
              <w:spacing w:after="0"/>
              <w:rPr>
                <w:sz w:val="20"/>
                <w:szCs w:val="20"/>
                <w:color w:val="auto"/>
              </w:rPr>
            </w:pPr>
            <w:r>
              <w:rPr>
                <w:rFonts w:ascii="Arial" w:cs="Arial" w:eastAsia="Arial" w:hAnsi="Arial"/>
                <w:sz w:val="16"/>
                <w:szCs w:val="16"/>
                <w:color w:val="auto"/>
              </w:rPr>
              <w:t>5.5</w:t>
            </w:r>
          </w:p>
        </w:tc>
        <w:tc>
          <w:tcPr>
            <w:tcW w:w="2200" w:type="dxa"/>
            <w:vAlign w:val="bottom"/>
            <w:gridSpan w:val="2"/>
          </w:tcPr>
          <w:p>
            <w:pPr>
              <w:ind w:left="400"/>
              <w:spacing w:after="0"/>
              <w:rPr>
                <w:sz w:val="20"/>
                <w:szCs w:val="20"/>
                <w:color w:val="auto"/>
              </w:rPr>
            </w:pPr>
            <w:r>
              <w:rPr>
                <w:rFonts w:ascii="Arial" w:cs="Arial" w:eastAsia="Arial" w:hAnsi="Arial"/>
                <w:sz w:val="16"/>
                <w:szCs w:val="16"/>
                <w:color w:val="auto"/>
              </w:rPr>
              <w:t>6.5</w:t>
            </w: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9.5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85"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deucrictibant at 12 mg (left) or 22 mg (right), using a non-linear mixed-effect model built from published data of icatibant and our bradykinin challenge study. As shown in the bottom row, the modeled PD effect of deucrictibant surpasses that of icatibant at less than half the dose, and equals two 30 mg injections of icatibant with a single oral dose of 22 mg. As demonstrated in a post-commercialization observational study (Maurer et al 2020: Long-term effectiveness and safety of icatibant for the on-demand treatment of hereditary angioedema attacks: 10 years of the icatibant outcome survey; EAACI Poster #1118, June 6-8, 2020),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233680</wp:posOffset>
            </wp:positionV>
            <wp:extent cx="3857625" cy="213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5762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In conclusion, deucrictibant was well tolerated when administered orally at the doses tested without any dose- limiting toxicity in Phase 1 clinical studies. Deucrictibant was rapidly absorbed in either fasting or fed conditions and showed dose proportional PK for deucrictibant. The BK challenge demonstrated that deucrictibant potently blocks the effects of bradykinin-induced hemodynamic changes and provided the robust rationale for dose selection in future on-demand and prophylactic HAE trials.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PHA121-C002 (SAD extension)</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deucrictibant after a standard caloric meal and 40 mg in fasting conditions. A total of 32 subjects received either deucrictibant, with respect to 24 subjects, or placebo, with respect to 8 subjects.</w:t>
      </w:r>
    </w:p>
    <w:p>
      <w:pPr>
        <w:spacing w:after="0" w:line="156"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trial results showed that deucrictibant was well tolerated at doses up to 40 mg under fasting and 50 mg under fed conditions. There were no SAEs reported. Treatment-related AEs that were reported as possibly related to deucrictibant were mild nausea (22 mg) (one subject), mild headache (50 mg) (one subject), and moderate headache associated with vomiting (50 mg) (one subject). There were no clinically significant changes in vital signs, laboratory or ECG parameters.</w:t>
      </w:r>
    </w:p>
    <w:p>
      <w:pPr>
        <w:spacing w:after="0" w:line="160"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deucrictibant showed dose-proportional PK with a 2.4-fold increase for mean Cmax and AUC0-24h. Administration of deucrictibant after a standardized breakfast resulted in 40-50% decrease in Cmax without a change in AUCinf as compared to administration under fasting conditions. As a result, C12h and C24h plasma concentration for deucrictibant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231775</wp:posOffset>
            </wp:positionV>
            <wp:extent cx="3660775" cy="1739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6077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b w:val="1"/>
                <w:bCs w:val="1"/>
                <w:color w:val="auto"/>
              </w:rPr>
              <w:t>22 mg of deucrictibant</w:t>
            </w:r>
          </w:p>
        </w:tc>
        <w:tc>
          <w:tcPr>
            <w:tcW w:w="12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22 mg of deucrictibant</w:t>
            </w:r>
          </w:p>
        </w:tc>
        <w:tc>
          <w:tcPr>
            <w:tcW w:w="1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6"/>
                <w:szCs w:val="16"/>
                <w:b w:val="1"/>
                <w:bCs w:val="1"/>
                <w:color w:val="auto"/>
              </w:rPr>
              <w:t>22 mg of deucrictibant</w:t>
            </w:r>
          </w:p>
        </w:tc>
        <w:tc>
          <w:tcPr>
            <w:tcW w:w="120" w:type="dxa"/>
            <w:vAlign w:val="bottom"/>
          </w:tcPr>
          <w:p>
            <w:pPr>
              <w:spacing w:after="0"/>
              <w:rPr>
                <w:sz w:val="18"/>
                <w:szCs w:val="18"/>
                <w:color w:val="auto"/>
              </w:rPr>
            </w:pPr>
          </w:p>
        </w:tc>
      </w:tr>
      <w:tr>
        <w:trPr>
          <w:trHeight w:val="221"/>
        </w:trPr>
        <w:tc>
          <w:tcPr>
            <w:tcW w:w="2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Fasted</w:t>
            </w:r>
          </w:p>
        </w:tc>
        <w:tc>
          <w:tcPr>
            <w:tcW w:w="120" w:type="dxa"/>
            <w:vAlign w:val="bottom"/>
          </w:tcPr>
          <w:p>
            <w:pPr>
              <w:spacing w:after="0"/>
              <w:rPr>
                <w:sz w:val="19"/>
                <w:szCs w:val="19"/>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HCHF</w:t>
            </w:r>
          </w:p>
        </w:tc>
        <w:tc>
          <w:tcPr>
            <w:tcW w:w="14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Standard Meal</w:t>
            </w:r>
          </w:p>
        </w:tc>
        <w:tc>
          <w:tcPr>
            <w:tcW w:w="120" w:type="dxa"/>
            <w:vAlign w:val="bottom"/>
          </w:tcPr>
          <w:p>
            <w:pPr>
              <w:spacing w:after="0"/>
              <w:rPr>
                <w:sz w:val="19"/>
                <w:szCs w:val="19"/>
                <w:color w:val="auto"/>
              </w:rPr>
            </w:pPr>
          </w:p>
        </w:tc>
      </w:tr>
      <w:tr>
        <w:trPr>
          <w:trHeight w:val="210"/>
        </w:trPr>
        <w:tc>
          <w:tcPr>
            <w:tcW w:w="2080" w:type="dxa"/>
            <w:vAlign w:val="bottom"/>
            <w:shd w:val="clear" w:color="auto" w:fill="CFF0FC"/>
          </w:tcPr>
          <w:p>
            <w:pPr>
              <w:spacing w:after="0"/>
              <w:rPr>
                <w:sz w:val="20"/>
                <w:szCs w:val="20"/>
                <w:color w:val="auto"/>
              </w:rPr>
            </w:pPr>
            <w:r>
              <w:rPr>
                <w:rFonts w:ascii="Arial" w:cs="Arial" w:eastAsia="Arial" w:hAnsi="Arial"/>
                <w:sz w:val="16"/>
                <w:szCs w:val="16"/>
                <w:color w:val="auto"/>
              </w:rPr>
              <w:t>C12h, ng/mL</w:t>
            </w:r>
          </w:p>
        </w:tc>
        <w:tc>
          <w:tcPr>
            <w:tcW w:w="20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8.3</w:t>
            </w:r>
          </w:p>
        </w:tc>
        <w:tc>
          <w:tcPr>
            <w:tcW w:w="19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19.6</w:t>
            </w:r>
          </w:p>
        </w:tc>
        <w:tc>
          <w:tcPr>
            <w:tcW w:w="2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FF0FC"/>
          </w:tcPr>
          <w:p>
            <w:pPr>
              <w:spacing w:after="0"/>
              <w:rPr>
                <w:sz w:val="18"/>
                <w:szCs w:val="18"/>
                <w:color w:val="auto"/>
              </w:rPr>
            </w:pPr>
          </w:p>
        </w:tc>
      </w:tr>
      <w:tr>
        <w:trPr>
          <w:trHeight w:val="213"/>
        </w:trPr>
        <w:tc>
          <w:tcPr>
            <w:tcW w:w="2080" w:type="dxa"/>
            <w:vAlign w:val="bottom"/>
          </w:tcPr>
          <w:p>
            <w:pPr>
              <w:spacing w:after="0"/>
              <w:rPr>
                <w:sz w:val="20"/>
                <w:szCs w:val="20"/>
                <w:color w:val="auto"/>
              </w:rPr>
            </w:pPr>
            <w:r>
              <w:rPr>
                <w:rFonts w:ascii="Arial" w:cs="Arial" w:eastAsia="Arial" w:hAnsi="Arial"/>
                <w:sz w:val="16"/>
                <w:szCs w:val="16"/>
                <w:color w:val="auto"/>
              </w:rPr>
              <w:t>C24h, ng/mL</w:t>
            </w:r>
          </w:p>
        </w:tc>
        <w:tc>
          <w:tcPr>
            <w:tcW w:w="2060" w:type="dxa"/>
            <w:vAlign w:val="bottom"/>
            <w:gridSpan w:val="2"/>
          </w:tcPr>
          <w:p>
            <w:pPr>
              <w:ind w:left="260"/>
              <w:spacing w:after="0"/>
              <w:rPr>
                <w:sz w:val="20"/>
                <w:szCs w:val="20"/>
                <w:color w:val="auto"/>
              </w:rPr>
            </w:pPr>
            <w:r>
              <w:rPr>
                <w:rFonts w:ascii="Arial" w:cs="Arial" w:eastAsia="Arial" w:hAnsi="Arial"/>
                <w:sz w:val="16"/>
                <w:szCs w:val="16"/>
                <w:color w:val="auto"/>
              </w:rPr>
              <w:t>1.1</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5.4</w:t>
            </w:r>
          </w:p>
        </w:tc>
        <w:tc>
          <w:tcPr>
            <w:tcW w:w="2880" w:type="dxa"/>
            <w:vAlign w:val="bottom"/>
            <w:gridSpan w:val="2"/>
          </w:tcPr>
          <w:p>
            <w:pPr>
              <w:ind w:left="26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r>
      <w:tr>
        <w:trPr>
          <w:trHeight w:val="219"/>
        </w:trPr>
        <w:tc>
          <w:tcPr>
            <w:tcW w:w="2080" w:type="dxa"/>
            <w:vAlign w:val="bottom"/>
            <w:shd w:val="clear" w:color="auto" w:fill="CFF0FC"/>
          </w:tcPr>
          <w:p>
            <w:pPr>
              <w:spacing w:after="0"/>
              <w:rPr>
                <w:sz w:val="20"/>
                <w:szCs w:val="20"/>
                <w:color w:val="auto"/>
              </w:rPr>
            </w:pPr>
            <w:r>
              <w:rPr>
                <w:rFonts w:ascii="Arial" w:cs="Arial" w:eastAsia="Arial" w:hAnsi="Arial"/>
                <w:sz w:val="16"/>
                <w:szCs w:val="16"/>
                <w:color w:val="auto"/>
              </w:rPr>
              <w:t>Cmax, ng/mL</w:t>
            </w:r>
          </w:p>
        </w:tc>
        <w:tc>
          <w:tcPr>
            <w:tcW w:w="20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213</w:t>
            </w:r>
          </w:p>
        </w:tc>
        <w:tc>
          <w:tcPr>
            <w:tcW w:w="19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145</w:t>
            </w:r>
          </w:p>
        </w:tc>
        <w:tc>
          <w:tcPr>
            <w:tcW w:w="2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FF0FC"/>
          </w:tcPr>
          <w:p>
            <w:pPr>
              <w:spacing w:after="0"/>
              <w:rPr>
                <w:sz w:val="19"/>
                <w:szCs w:val="19"/>
                <w:color w:val="auto"/>
              </w:rPr>
            </w:pPr>
          </w:p>
        </w:tc>
      </w:tr>
      <w:tr>
        <w:trPr>
          <w:trHeight w:val="213"/>
        </w:trPr>
        <w:tc>
          <w:tcPr>
            <w:tcW w:w="2080" w:type="dxa"/>
            <w:vAlign w:val="bottom"/>
          </w:tcPr>
          <w:p>
            <w:pPr>
              <w:spacing w:after="0"/>
              <w:rPr>
                <w:sz w:val="20"/>
                <w:szCs w:val="20"/>
                <w:color w:val="auto"/>
              </w:rPr>
            </w:pPr>
            <w:r>
              <w:rPr>
                <w:rFonts w:ascii="Arial" w:cs="Arial" w:eastAsia="Arial" w:hAnsi="Arial"/>
                <w:sz w:val="16"/>
                <w:szCs w:val="16"/>
                <w:color w:val="auto"/>
              </w:rPr>
              <w:t>AUC0-24h, ng.h/mL</w:t>
            </w:r>
          </w:p>
        </w:tc>
        <w:tc>
          <w:tcPr>
            <w:tcW w:w="2060" w:type="dxa"/>
            <w:vAlign w:val="bottom"/>
            <w:gridSpan w:val="2"/>
          </w:tcPr>
          <w:p>
            <w:pPr>
              <w:ind w:left="260"/>
              <w:spacing w:after="0"/>
              <w:rPr>
                <w:sz w:val="20"/>
                <w:szCs w:val="20"/>
                <w:color w:val="auto"/>
              </w:rPr>
            </w:pPr>
            <w:r>
              <w:rPr>
                <w:rFonts w:ascii="Arial" w:cs="Arial" w:eastAsia="Arial" w:hAnsi="Arial"/>
                <w:sz w:val="16"/>
                <w:szCs w:val="16"/>
                <w:color w:val="auto"/>
              </w:rPr>
              <w:t>671</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966</w:t>
            </w:r>
          </w:p>
        </w:tc>
        <w:tc>
          <w:tcPr>
            <w:tcW w:w="2880" w:type="dxa"/>
            <w:vAlign w:val="bottom"/>
            <w:gridSpan w:val="2"/>
          </w:tcPr>
          <w:p>
            <w:pPr>
              <w:ind w:left="260"/>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r>
      <w:tr>
        <w:trPr>
          <w:trHeight w:val="219"/>
        </w:trPr>
        <w:tc>
          <w:tcPr>
            <w:tcW w:w="2080" w:type="dxa"/>
            <w:vAlign w:val="bottom"/>
            <w:shd w:val="clear" w:color="auto" w:fill="CFF0FC"/>
          </w:tcPr>
          <w:p>
            <w:pPr>
              <w:spacing w:after="0"/>
              <w:rPr>
                <w:sz w:val="20"/>
                <w:szCs w:val="20"/>
                <w:color w:val="auto"/>
              </w:rPr>
            </w:pPr>
            <w:r>
              <w:rPr>
                <w:rFonts w:ascii="Arial" w:cs="Arial" w:eastAsia="Arial" w:hAnsi="Arial"/>
                <w:sz w:val="16"/>
                <w:szCs w:val="16"/>
                <w:color w:val="auto"/>
              </w:rPr>
              <w:t>tmax, h</w:t>
            </w:r>
          </w:p>
        </w:tc>
        <w:tc>
          <w:tcPr>
            <w:tcW w:w="2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0.25-1.02</w:t>
            </w:r>
          </w:p>
        </w:tc>
        <w:tc>
          <w:tcPr>
            <w:tcW w:w="19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2.00-3.00</w:t>
            </w:r>
          </w:p>
        </w:tc>
        <w:tc>
          <w:tcPr>
            <w:tcW w:w="28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0.50-4.00</w:t>
            </w:r>
          </w:p>
        </w:tc>
        <w:tc>
          <w:tcPr>
            <w:tcW w:w="120" w:type="dxa"/>
            <w:vAlign w:val="bottom"/>
            <w:shd w:val="clear" w:color="auto" w:fill="CFF0FC"/>
          </w:tcPr>
          <w:p>
            <w:pPr>
              <w:spacing w:after="0"/>
              <w:rPr>
                <w:sz w:val="19"/>
                <w:szCs w:val="19"/>
                <w:color w:val="auto"/>
              </w:rPr>
            </w:pPr>
          </w:p>
        </w:tc>
      </w:tr>
      <w:tr>
        <w:trPr>
          <w:trHeight w:val="210"/>
        </w:trPr>
        <w:tc>
          <w:tcPr>
            <w:tcW w:w="2080" w:type="dxa"/>
            <w:vAlign w:val="bottom"/>
          </w:tcPr>
          <w:p>
            <w:pPr>
              <w:spacing w:after="0"/>
              <w:rPr>
                <w:sz w:val="20"/>
                <w:szCs w:val="20"/>
                <w:color w:val="auto"/>
              </w:rPr>
            </w:pPr>
            <w:r>
              <w:rPr>
                <w:rFonts w:ascii="Arial" w:cs="Arial" w:eastAsia="Arial" w:hAnsi="Arial"/>
                <w:sz w:val="16"/>
                <w:szCs w:val="16"/>
                <w:color w:val="auto"/>
              </w:rPr>
              <w:t>t1/2, h</w:t>
            </w:r>
          </w:p>
        </w:tc>
        <w:tc>
          <w:tcPr>
            <w:tcW w:w="2060" w:type="dxa"/>
            <w:vAlign w:val="bottom"/>
            <w:gridSpan w:val="2"/>
          </w:tcPr>
          <w:p>
            <w:pPr>
              <w:ind w:left="260"/>
              <w:spacing w:after="0"/>
              <w:rPr>
                <w:sz w:val="20"/>
                <w:szCs w:val="20"/>
                <w:color w:val="auto"/>
              </w:rPr>
            </w:pPr>
            <w:r>
              <w:rPr>
                <w:rFonts w:ascii="Arial" w:cs="Arial" w:eastAsia="Arial" w:hAnsi="Arial"/>
                <w:sz w:val="16"/>
                <w:szCs w:val="16"/>
                <w:color w:val="auto"/>
              </w:rPr>
              <w:t>5.6</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5.3</w:t>
            </w:r>
          </w:p>
        </w:tc>
        <w:tc>
          <w:tcPr>
            <w:tcW w:w="2880" w:type="dxa"/>
            <w:vAlign w:val="bottom"/>
            <w:gridSpan w:val="2"/>
          </w:tcPr>
          <w:p>
            <w:pPr>
              <w:ind w:left="26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9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 xml:space="preserve">Cytochrome P450 3A4 (CYP3A4) plays an important role in the metabolism of deucrictibant. Deucrictibant-C004 was designed as an open-label, single sequence crossover drug-drug interaction trial to evaluate the effect of multiple doses of itraconazole, a potent CYP3A4 inhibitor, at steady-state on the PK of a single dose of deucrictibant in healthy subjects. The primary objective of this study was to determine the effect of multiple doses of the strong CYP3A4 inhibitor itraconazole on the PK of deucrictibant in healthy adult subjects. The secondary objective of this study was to evaluate the safety and tolerability of deucrictibant alone and in combination with multiple doses of the CYP3A4 inhibitor itraconazole in healthy adult subjects. The study has been completed in 13 subjects and deucrictibant was well tolerated with no drug-related adverse events reported. Preliminary analyses show that the exposure of deucrictibant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deucrictibant is a substrate of CYP3A4. Other potential drug-drug interactions will be further assessed by the deucrictibant-C005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9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deucrictibant in healthy subjects, which demonstrated deucrictibant’s pharmacokinetics and tolerability. The trial included 38 subjects and four cohorts, ranging from 12 to 50 mg of healthy subjects who were studied sequentially. Within each cohort, eight subjects received deucrictibant and two subjects received placebo, except for the final cohort with six subjects receiving deucrictibant and two subjects receiving placebo. The trial evaluated multiple ascending doses of twice daily for 10 days to establish safety and tolerability and to assess the PK characteristics of deucrictibant after standard caloric meals. Deucrictibant was supplied as an oral solution.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 study showed deucrictibant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deucrictibant were achieved in day 1 and steady-state plasma concentrations were reached within 72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247650</wp:posOffset>
            </wp:positionV>
            <wp:extent cx="4972050" cy="7029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9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PHVS416 without food. The study included 8 healthy volunteers who received in randomized order a single dose of PHVS416 (20 mg, as two 10-mg softgel capsules) without food, a single tablet of PHVS719 XR1 (20 mg) without food; a single tablet of PHVS719 XR1 (20 mg) with a high-calorie, high-fat meal; a single tablet of PHVS719 XR2 (40 mg) without food; and a single tablet of PHVS719 XR2 (40 mg) with a high-calorie, high-fat meal.</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study showed PHVS416 and PHVS719 were well tolerated. During the study, there were no SAEs or severe treatment-emergent adverse events (TEAEs) reported.</w:t>
      </w:r>
    </w:p>
    <w:p>
      <w:pPr>
        <w:spacing w:after="0" w:line="144" w:lineRule="exact"/>
        <w:rPr>
          <w:sz w:val="20"/>
          <w:szCs w:val="20"/>
          <w:color w:val="auto"/>
        </w:rPr>
      </w:pPr>
    </w:p>
    <w:p>
      <w:pPr>
        <w:jc w:val="both"/>
        <w:ind w:left="160" w:firstLine="299"/>
        <w:spacing w:after="0" w:line="243" w:lineRule="auto"/>
        <w:rPr>
          <w:sz w:val="20"/>
          <w:szCs w:val="20"/>
          <w:color w:val="auto"/>
        </w:rPr>
      </w:pPr>
      <w:r>
        <w:rPr>
          <w:rFonts w:ascii="Arial" w:cs="Arial" w:eastAsia="Arial" w:hAnsi="Arial"/>
          <w:sz w:val="16"/>
          <w:szCs w:val="16"/>
          <w:color w:val="auto"/>
        </w:rPr>
        <w:t>The pharmacokinetic profile observed for PHVS416 confirmed that the softgel capsule formulation under fasting conditions achieved rapid exposure of the deucrictibant active ingredient consistent with previous pharmacokinetic studies using deucrictibant in a solution formulation, rising above clinically relevant exposure (in particular, the EC</w:t>
      </w:r>
      <w:r>
        <w:rPr>
          <w:rFonts w:ascii="Arial" w:cs="Arial" w:eastAsia="Arial" w:hAnsi="Arial"/>
          <w:sz w:val="21"/>
          <w:szCs w:val="21"/>
          <w:color w:val="auto"/>
          <w:vertAlign w:val="subscript"/>
        </w:rPr>
        <w:t>85</w:t>
      </w:r>
      <w:r>
        <w:rPr>
          <w:rFonts w:ascii="Arial" w:cs="Arial" w:eastAsia="Arial" w:hAnsi="Arial"/>
          <w:sz w:val="16"/>
          <w:szCs w:val="16"/>
          <w:color w:val="auto"/>
        </w:rPr>
        <w:t xml:space="preserve"> determined from the bradykinin challenge, 13.8 ng/mL) within 15 minutes. A single dose of PHVS719 (40 mg)</w:t>
      </w:r>
    </w:p>
    <w:p>
      <w:pPr>
        <w:spacing w:after="0" w:line="1" w:lineRule="exact"/>
        <w:rPr>
          <w:sz w:val="20"/>
          <w:szCs w:val="20"/>
          <w:color w:val="auto"/>
        </w:rPr>
      </w:pPr>
    </w:p>
    <w:p>
      <w:pPr>
        <w:jc w:val="both"/>
        <w:ind w:left="160"/>
        <w:spacing w:after="0" w:line="229" w:lineRule="auto"/>
        <w:rPr>
          <w:sz w:val="20"/>
          <w:szCs w:val="20"/>
          <w:color w:val="auto"/>
        </w:rPr>
      </w:pPr>
      <w:r>
        <w:rPr>
          <w:rFonts w:ascii="Arial" w:cs="Arial" w:eastAsia="Arial" w:hAnsi="Arial"/>
          <w:sz w:val="16"/>
          <w:szCs w:val="16"/>
          <w:color w:val="auto"/>
        </w:rPr>
        <w:t>under 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21"/>
          <w:szCs w:val="21"/>
          <w:color w:val="auto"/>
          <w:vertAlign w:val="subscript"/>
        </w:rPr>
        <w:t>24h</w:t>
      </w:r>
      <w:r>
        <w:rPr>
          <w:rFonts w:ascii="Arial" w:cs="Arial" w:eastAsia="Arial" w:hAnsi="Arial"/>
          <w:sz w:val="16"/>
          <w:szCs w:val="16"/>
          <w:color w:val="auto"/>
        </w:rPr>
        <w:t>) exposure of deucrictibant using PHVS719 (40 mg) is similar to</w:t>
      </w:r>
    </w:p>
    <w:p>
      <w:pPr>
        <w:spacing w:after="0" w:line="1" w:lineRule="exact"/>
        <w:rPr>
          <w:sz w:val="20"/>
          <w:szCs w:val="20"/>
          <w:color w:val="auto"/>
        </w:rPr>
      </w:pPr>
    </w:p>
    <w:p>
      <w:pPr>
        <w:jc w:val="both"/>
        <w:ind w:left="160"/>
        <w:spacing w:after="0" w:line="260" w:lineRule="auto"/>
        <w:rPr>
          <w:sz w:val="20"/>
          <w:szCs w:val="20"/>
          <w:color w:val="auto"/>
        </w:rPr>
      </w:pPr>
      <w:r>
        <w:rPr>
          <w:rFonts w:ascii="Arial" w:cs="Arial" w:eastAsia="Arial" w:hAnsi="Arial"/>
          <w:sz w:val="16"/>
          <w:szCs w:val="16"/>
          <w:color w:val="auto"/>
        </w:rPr>
        <w:t>that observed in Phase 1 studies with PHVS416 softgel capsules dosed 20 mg twice a day with food (one of the doses used in the CHAPTER-1 prophylactic proof-of-concept study).</w:t>
      </w:r>
    </w:p>
    <w:p>
      <w:pPr>
        <w:spacing w:after="0" w:line="156"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observed pharmacokinetic profile of PHVS719 is consistent with a true extended-release formulation designed to provide long-term exposure to deucrictibant. In particular, PHVS719 appears to be suitable for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234950</wp:posOffset>
            </wp:positionV>
            <wp:extent cx="6360795" cy="27514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6079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PHA121-C201 (RAPIDe-1 On-Demand).</w:t>
      </w:r>
    </w:p>
    <w:p>
      <w:pPr>
        <w:spacing w:after="0" w:line="19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similar pharmacokinetic profile as the solution formulation we used in Phase 1 trials and have now seen this also in humans from the C010 Phase 1 study.</w:t>
      </w:r>
    </w:p>
    <w:p>
      <w:pPr>
        <w:spacing w:after="0" w:line="160" w:lineRule="exact"/>
        <w:rPr>
          <w:sz w:val="20"/>
          <w:szCs w:val="20"/>
          <w:color w:val="auto"/>
        </w:rPr>
      </w:pPr>
    </w:p>
    <w:p>
      <w:pPr>
        <w:jc w:val="both"/>
        <w:ind w:left="160" w:firstLine="354"/>
        <w:spacing w:after="0" w:line="252"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PHVS416 softgel capsule for the acute treatment of HAE type 1 and type 2 (HAE-1/2) attacks. The study, initiated in February 2021, enrolled 74 patients across 13 countries who were randomized into one of three single dose levels of PHVS416 and placebo. The study compared symptom relief during HAE attacks and the safety of each dose of PHVS416 with placebo. In Part I of the study, participants in a non-attack state received the assigned single dose of PHVS416 at the study center to assess its pharmacokinetics and safety. In Part II, participants self-administered blinded study drug at home to treat three physician-confirmed HAE attacks with PHVS416 or placebo.</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w:t>
      </w:r>
    </w:p>
    <w:p>
      <w:pPr>
        <w:spacing w:after="0" w:line="17" w:lineRule="exact"/>
        <w:rPr>
          <w:sz w:val="20"/>
          <w:szCs w:val="20"/>
          <w:color w:val="auto"/>
        </w:rPr>
      </w:pPr>
    </w:p>
    <w:p>
      <w:pPr>
        <w:ind w:left="160" w:hanging="2"/>
        <w:spacing w:after="0" w:line="260" w:lineRule="auto"/>
        <w:tabs>
          <w:tab w:leader="none" w:pos="3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score from pre-treatment to four hours post-treatment, as captured electronically using numerically assisted input. The top-line data from 147 attacks collected by 62 participants show that all three dose levels of PHVS416 significantly reduce attack symptoms.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2" w:lineRule="auto"/>
        <w:rPr>
          <w:sz w:val="20"/>
          <w:szCs w:val="20"/>
          <w:color w:val="auto"/>
        </w:rPr>
      </w:pPr>
      <w:r>
        <w:rPr>
          <w:rFonts w:ascii="Arial" w:cs="Arial" w:eastAsia="Arial" w:hAnsi="Arial"/>
          <w:sz w:val="16"/>
          <w:szCs w:val="16"/>
          <w:color w:val="auto"/>
        </w:rPr>
        <w:t>Composite and individual VAS-3, mean symptom complex severity, or MSCS, and treatment outcome score, or TOS, were assessed up to 48-hours post-dose. All key secondary endpoints in the study were met, demonstrating that PHVS416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PHVS416 also used substantially less rescue medication compared to placebo.</w:t>
      </w:r>
    </w:p>
    <w:p>
      <w:pPr>
        <w:spacing w:after="0" w:line="16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PHVS416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PHVS416 30mg (2.8%) and one treatment-related adverse event was reported for one attack treated with placebo (1.9%).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We intend to develop deucrictibant for on-demand and prophylactic indications in parallel using two different product formulations, with clinical trials in the on-demand setting commencing first in order to provide critical data for further development for the prophylaxis indication.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98"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the same pharmacokinetic profile as the solution formulation we used in Phase 1 trials and have now seen this also in humans from the C010 Phase 1 study and in patients from the C201 Phase 2 study.</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Based on the positive results of the primary analysis of RAPIDe-1, we are actively planning a confirmatory global Phase 3 trial of PHVS416 in acute treatment of HAE attacks.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98"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Currently there is no bradykinin 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14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 to icatibant, the short half-life of ecallantide makes it generally unsuitable for use in prophylaxis.</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deucrictibant in the bradykinin challenge, we believe we can utilize a similar concentration-above-EC50 approach to predict the required exposure of deucrictibant to control attacks prophylactically.</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believe we can achieve the concentrations desired for prophylactic activity with twice-daily dosing of the PHVS416 softgel capsules. Therefore, in addition to the RAPIDe-1 on-demand trial, we are also planning clinical trials of PHVS416 to evaluate the effectiveness and safety profile for prophylaxis with bradykinin- B2-receptor-inhibition. These include an evaluation of patients randomized to placebo or active doses for a treatment period with the primary objective to assess the efficacy and safety profile of PHVS416 dose regimens for prophylactic treatments in HAE patients.</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also intend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We also expect that the data from RAPIDe-1 and CHAPTER-1 will support the final dose selection for the prophylactic trials. Additional trials may be required by the FDA, EMA or other regulators even if we receive positive data from RAPIDe-1.</w:t>
      </w:r>
    </w:p>
    <w:p>
      <w:pPr>
        <w:spacing w:after="0" w:line="160"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are developing an extended-release, or XR, formulation (PHVS719) that will feature continuous slow release maintaining deucrictibant concentrations above the levels we predict to provide protection against attacks. Deucrictibant has demonstrated properties favorable to the development of XR formulations, and we initiated human pharmacokinetics trials with PHVS719 in 2021 to enable use of this product candidate in the pivotal prophylactic trial. With the results of the C010 study, which were described above, we believe we have identified an extended-release formulation that enables once-daily dosing in a prophylactic setting.</w:t>
      </w:r>
    </w:p>
    <w:p>
      <w:pPr>
        <w:spacing w:after="0" w:line="357" w:lineRule="exact"/>
        <w:rPr>
          <w:sz w:val="20"/>
          <w:szCs w:val="20"/>
          <w:color w:val="auto"/>
        </w:rPr>
      </w:pPr>
    </w:p>
    <w:p>
      <w:pPr>
        <w:jc w:val="both"/>
        <w:ind w:left="160" w:firstLine="352"/>
        <w:spacing w:after="0" w:line="276" w:lineRule="auto"/>
        <w:rPr>
          <w:sz w:val="20"/>
          <w:szCs w:val="20"/>
          <w:color w:val="auto"/>
        </w:rPr>
      </w:pPr>
      <w:r>
        <w:rPr>
          <w:rFonts w:ascii="Arial" w:cs="Arial" w:eastAsia="Arial" w:hAnsi="Arial"/>
          <w:sz w:val="16"/>
          <w:szCs w:val="16"/>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164"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As of March 1, 2023, we own two U.S. patents and 50 national patents, including in Australia, India, Indonesia, Japan, Mexico, South Korea, France, Germany, Italy, Netherlands, Spain and United Kingdom, that expire on November 23, 2038, and 48 pending patent applications worldwide, including two pending U.S. applications, one pending U.S. continuation application, 45 pending non-U.S. applications, including applications in Europe and Japan, and three pending PCT applications. The U.S. and national patents and 41 of our pending patent applications contain composition-of-matter claims to the deucrictibant small molecule and derivatives thereof; deucrictibant is the active pharmaceutical ingredient (API) in, and therefore extends our patent applications to, our PHVS416 and PHVS719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One pending PCT application contains claims directed to the use of deucrictibant in on- demand treatment of HAE and in prophylaxis for HAE, and accordingly extends the patent applications to methods of use of the PHVS416 and PHVS719 product candidates. A second pending PCT application contains claims directed to the formulation of our PHVS416 product candidate, and another one contains claims directed to the crystal form of the API. Three pending EP applications are directly or indirectly directed to the formulation of our PHVS719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171"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169"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chapter 3.2 of this report.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License Agreement</w:t>
      </w:r>
    </w:p>
    <w:p>
      <w:pPr>
        <w:spacing w:after="0" w:line="20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On March 31, 2016, we entered into a license agreement (the "AnalytiCon License"), and a research agreement with AnalytiCon to collaborate for the development of an orally available bradykinin B2 receptor antagonist. Pursuant to the AnalytiCon License, we acquired a worldwide, exclusive license from AnalytiCon to use (i) a certain proprietary substance class of bradykinin B2 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 In consideration for the license, we paid AnalytiCon a non-refundable up-front payment of €250,000.</w:t>
      </w:r>
    </w:p>
    <w:p>
      <w:pPr>
        <w:spacing w:after="0" w:line="165"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Under the AnalytiCon License, we are required to pay AnalytiCon one-time payments in an aggregate amount of up to €11.4 million upon the achievement of certain development, regulatory, and sales milestones. To date, we have paid AnalytiCon an aggregate amount of €1,150,000 (€250,000 up-front plus €900,000 in milestone payments). 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Our agreement with AnalytiCon will expire upon the expiry of the last patent of the licensed intellectual property.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currently have two contract CDMOs for the production of deucrictibant API. A robust and scalable synthetic route has been established. All raw materials can be purchased from multiple suppliers. We also collaborate with a leading CDMO for the manufacturing of the on-demand treatment product PHVS416. Another well-established CDMO produces the prophylactic treatment product PHVS719. The two CDMOs that manufacture both PHVS416 and PHVS719 are responsible for packaging and worldwide distribution of other commercial drug products.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PHVS416 or PHVS719.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09" w:lineRule="exact"/>
        <w:rPr>
          <w:sz w:val="20"/>
          <w:szCs w:val="20"/>
          <w:color w:val="auto"/>
        </w:rPr>
      </w:pPr>
    </w:p>
    <w:p>
      <w:pPr>
        <w:jc w:val="both"/>
        <w:ind w:left="1020" w:hanging="503"/>
        <w:spacing w:after="0" w:line="263"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70"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70" w:lineRule="exact"/>
        <w:rPr>
          <w:rFonts w:ascii="Arial" w:cs="Arial" w:eastAsia="Arial" w:hAnsi="Arial"/>
          <w:sz w:val="16"/>
          <w:szCs w:val="16"/>
          <w:color w:val="auto"/>
        </w:rPr>
      </w:pPr>
    </w:p>
    <w:p>
      <w:pPr>
        <w:jc w:val="both"/>
        <w:ind w:left="1020" w:hanging="503"/>
        <w:spacing w:after="0" w:line="258"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 daily for the prevention of HAE attacks.</w:t>
      </w:r>
    </w:p>
    <w:p>
      <w:pPr>
        <w:spacing w:after="0" w:line="72" w:lineRule="exact"/>
        <w:rPr>
          <w:rFonts w:ascii="Arial" w:cs="Arial" w:eastAsia="Arial" w:hAnsi="Arial"/>
          <w:sz w:val="16"/>
          <w:szCs w:val="16"/>
          <w:color w:val="auto"/>
        </w:rPr>
      </w:pPr>
    </w:p>
    <w:p>
      <w:pPr>
        <w:jc w:val="both"/>
        <w:ind w:left="1020" w:hanging="503"/>
        <w:spacing w:after="0" w:line="258"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5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are also aware of a number of HAE therapies in clinical development. Currently, there is one orally delivered plasma kallikrein inhibitor being developed clinically: Kalvista’s sebetralstat (KVD900) for acute treatment. In prophylaxis, CSL is developing garadacimab, an anti-factor XIIa mAb for prophylactic treatment, which is delivered subcutaneously or intravenously, and Ionis is developing donidalorsen, an antisense oligonucleotide inhibitor of prekallikrein for prophylactic treatment, which is delivered subcutaneously. Earlier stage products in development are STAR-0215 from Astria, a long-lived monoclonal antibody inhibitor of plasma kallikrein dosed subcutaneously, and two gene therapies – NTLA-2002 from Intellia, using CRISPR technology to knock out the gene for kallikrein, and BMN331 from Biomarin using AAV gene therapy technology to deliver C1-INH protein.</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our competitors may be more successful than we may be in developing, manufacturing, commercializing their products and in achieving widespread market acceptance.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20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6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and safety pharmacology and general toxicology studies.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tests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I, Phase II and Phase III clinical trials.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Pharmaceutical development</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Laboratory tests are conducted to develop a suitable formulation for clinical use and marketing. Product development includes formulation and stability testing, and a robust product manufacturing process. The conduct of pharmaceutical development must comply with regulations and requirements set by the Competent Authorities, including compliance with GLP.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Studies</w:t>
      </w:r>
    </w:p>
    <w:p>
      <w:pPr>
        <w:spacing w:after="0" w:line="20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359"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56"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Food and Drug Administration</w:t>
      </w:r>
    </w:p>
    <w:p>
      <w:pPr>
        <w:spacing w:after="0" w:line="19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FDA Approval Process</w:t>
      </w:r>
    </w:p>
    <w:p>
      <w:pPr>
        <w:spacing w:after="0" w:line="19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65"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6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7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56"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late-submitted information is typically requested by the FDA.</w:t>
      </w:r>
    </w:p>
    <w:p>
      <w:pPr>
        <w:spacing w:after="0" w:line="16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56"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6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Expedited Approval in the U.S.</w:t>
      </w:r>
    </w:p>
    <w:p>
      <w:pPr>
        <w:spacing w:after="0" w:line="19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56"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65"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70"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68"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conditions of use, the applicant fails to conduct the post- approval trials with due diligence or the applicant disseminates false or misleading promotional materials related to the product.</w:t>
      </w:r>
    </w:p>
    <w:p>
      <w:pPr>
        <w:spacing w:after="0" w:line="14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Designation</w:t>
      </w:r>
    </w:p>
    <w:p>
      <w:pPr>
        <w:spacing w:after="0" w:line="19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FDCA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6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65"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Post-Marketing Requirements</w:t>
      </w:r>
    </w:p>
    <w:p>
      <w:pPr>
        <w:spacing w:after="0" w:line="19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56"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6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63"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record-keeping requirements;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reporting of adverse experiences associated with the product;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providing the FDA with updated safety and efficacy information;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distribution of drug samples;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drug establishment registration and drug listing requirements; and</w:t>
      </w:r>
    </w:p>
    <w:p>
      <w:pPr>
        <w:spacing w:after="0" w:line="126"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56" w:lineRule="exact"/>
        <w:rPr>
          <w:sz w:val="20"/>
          <w:szCs w:val="20"/>
          <w:color w:val="auto"/>
        </w:rPr>
      </w:pPr>
    </w:p>
    <w:p>
      <w:pPr>
        <w:ind w:left="160" w:firstLine="299"/>
        <w:spacing w:after="0" w:line="276"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101"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auto"/>
        </w:rPr>
        <w:t>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8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fines, warning letters or holds on post-approval clinical studies;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refusal to approve pending NDAs or supplements to approved NDAs;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08"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Patent Term Restoration</w:t>
      </w:r>
    </w:p>
    <w:p>
      <w:pPr>
        <w:spacing w:after="0" w:line="19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 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98"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w:t>
      </w:r>
      <w:r>
        <w:rPr>
          <w:rFonts w:ascii="Arial" w:cs="Arial" w:eastAsia="Arial" w:hAnsi="Arial"/>
          <w:sz w:val="16"/>
          <w:szCs w:val="16"/>
          <w:color w:val="auto"/>
        </w:rPr>
        <w:t xml:space="preserve"> </w:t>
      </w:r>
      <w:r>
        <w:rPr>
          <w:rFonts w:ascii="Arial" w:cs="Arial" w:eastAsia="Arial" w:hAnsi="Arial"/>
          <w:sz w:val="16"/>
          <w:szCs w:val="16"/>
          <w:i w:val="1"/>
          <w:iCs w:val="1"/>
          <w:color w:val="auto"/>
        </w:rPr>
        <w:t>the 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97" w:lineRule="exact"/>
        <w:rPr>
          <w:sz w:val="20"/>
          <w:szCs w:val="20"/>
          <w:color w:val="auto"/>
        </w:rPr>
      </w:pPr>
    </w:p>
    <w:p>
      <w:pPr>
        <w:jc w:val="both"/>
        <w:ind w:left="1020" w:hanging="503"/>
        <w:spacing w:after="0" w:line="250"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consulting/speaking arrangements, discount and rebate offers,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101" w:lineRule="exact"/>
        <w:rPr>
          <w:sz w:val="20"/>
          <w:szCs w:val="20"/>
          <w:color w:val="auto"/>
        </w:rPr>
      </w:pPr>
    </w:p>
    <w:p>
      <w:pPr>
        <w:jc w:val="both"/>
        <w:ind w:left="1020"/>
        <w:spacing w:after="0" w:line="250" w:lineRule="auto"/>
        <w:rPr>
          <w:sz w:val="20"/>
          <w:szCs w:val="20"/>
          <w:color w:val="auto"/>
        </w:rPr>
      </w:pPr>
      <w:r>
        <w:rPr>
          <w:rFonts w:ascii="Arial" w:cs="Arial" w:eastAsia="Arial" w:hAnsi="Arial"/>
          <w:sz w:val="16"/>
          <w:szCs w:val="16"/>
          <w:color w:val="auto"/>
        </w:rPr>
        <w:t>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80" w:lineRule="exact"/>
        <w:rPr>
          <w:sz w:val="20"/>
          <w:szCs w:val="20"/>
          <w:color w:val="auto"/>
        </w:rPr>
      </w:pPr>
    </w:p>
    <w:p>
      <w:pPr>
        <w:jc w:val="both"/>
        <w:ind w:left="1020" w:hanging="503"/>
        <w:spacing w:after="0" w:line="24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90" w:lineRule="exact"/>
        <w:rPr>
          <w:rFonts w:ascii="Arial" w:cs="Arial" w:eastAsia="Arial" w:hAnsi="Arial"/>
          <w:sz w:val="16"/>
          <w:szCs w:val="16"/>
          <w:color w:val="auto"/>
        </w:rPr>
      </w:pPr>
    </w:p>
    <w:p>
      <w:pPr>
        <w:jc w:val="both"/>
        <w:ind w:left="1020" w:hanging="503"/>
        <w:spacing w:after="0" w:line="25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72" w:lineRule="exact"/>
        <w:rPr>
          <w:rFonts w:ascii="Arial" w:cs="Arial" w:eastAsia="Arial" w:hAnsi="Arial"/>
          <w:sz w:val="16"/>
          <w:szCs w:val="16"/>
          <w:color w:val="auto"/>
        </w:rPr>
      </w:pPr>
    </w:p>
    <w:p>
      <w:pPr>
        <w:jc w:val="both"/>
        <w:ind w:left="1020" w:hanging="503"/>
        <w:spacing w:after="0" w:line="25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w:t>
      </w:r>
      <w:r>
        <w:rPr>
          <w:rFonts w:ascii="Arial" w:cs="Arial" w:eastAsia="Arial" w:hAnsi="Arial"/>
          <w:sz w:val="16"/>
          <w:szCs w:val="16"/>
          <w:i w:val="1"/>
          <w:iCs w:val="1"/>
          <w:color w:val="auto"/>
        </w:rPr>
        <w:t xml:space="preserve"> </w:t>
      </w:r>
      <w:r>
        <w:rPr>
          <w:rFonts w:ascii="Arial" w:cs="Arial" w:eastAsia="Arial" w:hAnsi="Arial"/>
          <w:sz w:val="16"/>
          <w:szCs w:val="16"/>
          <w:color w:val="auto"/>
        </w:rPr>
        <w:t>a 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72" w:lineRule="exact"/>
        <w:rPr>
          <w:rFonts w:ascii="Arial" w:cs="Arial" w:eastAsia="Arial" w:hAnsi="Arial"/>
          <w:sz w:val="16"/>
          <w:szCs w:val="16"/>
          <w:color w:val="auto"/>
        </w:rPr>
      </w:pPr>
    </w:p>
    <w:p>
      <w:pPr>
        <w:jc w:val="both"/>
        <w:ind w:left="1020" w:hanging="503"/>
        <w:spacing w:after="0" w:line="255"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5" w:lineRule="exact"/>
        <w:rPr>
          <w:rFonts w:ascii="Arial" w:cs="Arial" w:eastAsia="Arial" w:hAnsi="Arial"/>
          <w:sz w:val="16"/>
          <w:szCs w:val="16"/>
          <w:color w:val="auto"/>
        </w:rPr>
      </w:pPr>
    </w:p>
    <w:p>
      <w:pPr>
        <w:jc w:val="both"/>
        <w:ind w:left="1020" w:hanging="503"/>
        <w:spacing w:after="0" w:line="250"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270"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8"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 Kickback Statute and the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Act, 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97" w:lineRule="exact"/>
        <w:rPr>
          <w:sz w:val="20"/>
          <w:szCs w:val="20"/>
          <w:color w:val="auto"/>
        </w:rPr>
      </w:pPr>
    </w:p>
    <w:p>
      <w:pPr>
        <w:jc w:val="both"/>
        <w:ind w:left="1020" w:hanging="503"/>
        <w:spacing w:after="0" w:line="250"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82"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0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65"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-1104900</wp:posOffset>
            </wp:positionV>
            <wp:extent cx="355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56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Healthcare Reform</w:t>
      </w:r>
    </w:p>
    <w:p>
      <w:pPr>
        <w:spacing w:after="0" w:line="19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84" w:lineRule="exact"/>
        <w:rPr>
          <w:sz w:val="20"/>
          <w:szCs w:val="20"/>
          <w:color w:val="auto"/>
        </w:rPr>
      </w:pPr>
    </w:p>
    <w:p>
      <w:pPr>
        <w:ind w:left="102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97" w:lineRule="exact"/>
        <w:rPr>
          <w:sz w:val="20"/>
          <w:szCs w:val="20"/>
          <w:color w:val="auto"/>
        </w:rPr>
      </w:pPr>
    </w:p>
    <w:p>
      <w:pPr>
        <w:ind w:left="1020" w:hanging="503"/>
        <w:spacing w:after="0" w:line="260"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290"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44" w:lineRule="exact"/>
        <w:rPr>
          <w:sz w:val="20"/>
          <w:szCs w:val="20"/>
          <w:color w:val="auto"/>
        </w:rPr>
      </w:pPr>
    </w:p>
    <w:p>
      <w:pPr>
        <w:ind w:left="160" w:firstLine="299"/>
        <w:spacing w:after="0" w:line="27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4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65"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357"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8"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 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101" w:lineRule="exact"/>
        <w:rPr>
          <w:sz w:val="20"/>
          <w:szCs w:val="20"/>
          <w:color w:val="auto"/>
        </w:rPr>
      </w:pPr>
    </w:p>
    <w:p>
      <w:pPr>
        <w:jc w:val="both"/>
        <w:ind w:left="160" w:firstLine="368"/>
        <w:spacing w:after="0" w:line="256"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Privacy and Information Security</w:t>
      </w:r>
    </w:p>
    <w:p>
      <w:pPr>
        <w:spacing w:after="0" w:line="19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7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6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6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6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60"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355"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CJEU declared the Privacy Shield to be invalid. The CJEU upheld the validity of the standard contractual clauses, or SCCs, as a legal mechanism to transfer personal data but companies relying on SCCs will— subject to additional guidance from regulators in the EEA—need to evaluate and implement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60"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Foreign Corrupt Practices Act</w:t>
      </w:r>
    </w:p>
    <w:p>
      <w:pPr>
        <w:spacing w:after="0" w:line="19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Regulation</w:t>
      </w:r>
    </w:p>
    <w:p>
      <w:pPr>
        <w:spacing w:after="0" w:line="19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In addition, given that Pharvaris is a clinical stage biopharma company there is no direct impact of the upcoming Environmental, Social and Governance (ESG) regulation and we have not disclosed our ambitions in this regard.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cannot predict, however, how changes in these laws may affect our future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European Medicines Agency</w:t>
      </w:r>
    </w:p>
    <w:p>
      <w:pPr>
        <w:spacing w:after="0" w:line="19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6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65"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101" w:lineRule="exact"/>
        <w:rPr>
          <w:sz w:val="20"/>
          <w:szCs w:val="20"/>
          <w:color w:val="auto"/>
        </w:rPr>
      </w:pPr>
    </w:p>
    <w:p>
      <w:pPr>
        <w:ind w:left="160"/>
        <w:spacing w:after="0" w:line="254" w:lineRule="auto"/>
        <w:rPr>
          <w:sz w:val="20"/>
          <w:szCs w:val="20"/>
          <w:color w:val="auto"/>
        </w:rPr>
      </w:pPr>
      <w:r>
        <w:rPr>
          <w:rFonts w:ascii="Arial" w:cs="Arial" w:eastAsia="Arial" w:hAnsi="Arial"/>
          <w:sz w:val="16"/>
          <w:szCs w:val="16"/>
          <w:color w:val="auto"/>
        </w:rPr>
        <w:t>lasts up to 60 active days, the CHMP adopts a final opinion. The European Commission usually takes its decision to grant a legally binding authorization within 67 days after obtaining the CHMP decision.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Accelerated Assessment Procedures</w:t>
      </w:r>
    </w:p>
    <w:p>
      <w:pPr>
        <w:spacing w:after="0" w:line="19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98"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6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 w:lineRule="exact"/>
        <w:rPr>
          <w:sz w:val="20"/>
          <w:szCs w:val="20"/>
          <w:color w:val="auto"/>
        </w:rPr>
      </w:pPr>
    </w:p>
    <w:p>
      <w:pPr>
        <w:ind w:left="160" w:firstLine="299"/>
        <w:spacing w:after="0" w:line="270"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68"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legal basis for a conditional marketing authorization is Article 14-a of Regulation (EC) No. 726/2004, as amended.</w:t>
      </w:r>
    </w:p>
    <w:p>
      <w:pPr>
        <w:spacing w:after="0" w:line="190" w:lineRule="exact"/>
        <w:rPr>
          <w:sz w:val="20"/>
          <w:szCs w:val="20"/>
          <w:color w:val="auto"/>
        </w:rPr>
      </w:pPr>
    </w:p>
    <w:p>
      <w:pPr>
        <w:jc w:val="both"/>
        <w:ind w:left="160" w:firstLine="299"/>
        <w:spacing w:after="0" w:line="263" w:lineRule="auto"/>
        <w:rPr>
          <w:sz w:val="20"/>
          <w:szCs w:val="20"/>
          <w:color w:val="auto"/>
        </w:rPr>
      </w:pPr>
      <w:r>
        <w:rPr>
          <w:rFonts w:ascii="Arial" w:cs="Arial" w:eastAsia="Arial" w:hAnsi="Arial"/>
          <w:sz w:val="16"/>
          <w:szCs w:val="16"/>
          <w:color w:val="auto"/>
        </w:rPr>
        <w:t>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5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63" w:lineRule="exact"/>
        <w:rPr>
          <w:sz w:val="20"/>
          <w:szCs w:val="20"/>
          <w:color w:val="auto"/>
        </w:rPr>
      </w:pPr>
    </w:p>
    <w:p>
      <w:pPr>
        <w:ind w:left="1020" w:hanging="503"/>
        <w:spacing w:after="0" w:line="27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0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9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Commercialization and Promotion</w:t>
      </w:r>
    </w:p>
    <w:p>
      <w:pPr>
        <w:spacing w:after="0" w:line="19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9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Designation</w:t>
      </w:r>
    </w:p>
    <w:p>
      <w:pPr>
        <w:spacing w:after="0" w:line="19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65"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194" w:lineRule="exact"/>
        <w:rPr>
          <w:sz w:val="20"/>
          <w:szCs w:val="20"/>
          <w:color w:val="auto"/>
        </w:rPr>
      </w:pPr>
    </w:p>
    <w:p>
      <w:pPr>
        <w:ind w:left="160" w:firstLine="299"/>
        <w:spacing w:after="0" w:line="276"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60"/>
        <w:spacing w:after="0" w:line="276" w:lineRule="auto"/>
        <w:rPr>
          <w:sz w:val="20"/>
          <w:szCs w:val="20"/>
          <w:color w:val="auto"/>
        </w:rPr>
      </w:pPr>
      <w:r>
        <w:rPr>
          <w:rFonts w:ascii="Arial" w:cs="Arial" w:eastAsia="Arial" w:hAnsi="Arial"/>
          <w:sz w:val="16"/>
          <w:szCs w:val="16"/>
          <w:color w:val="auto"/>
        </w:rPr>
        <w:t>(EC)No. 141/2000, as amended. Regulation (EC) No. 141/2000, as amended, states that a medicinal product shall be designated as an orphan medicinal product if its manufacturer can establish:</w:t>
      </w:r>
    </w:p>
    <w:p>
      <w:pPr>
        <w:spacing w:after="0" w:line="63" w:lineRule="exact"/>
        <w:rPr>
          <w:sz w:val="20"/>
          <w:szCs w:val="20"/>
          <w:color w:val="auto"/>
        </w:rPr>
      </w:pPr>
    </w:p>
    <w:p>
      <w:pPr>
        <w:jc w:val="both"/>
        <w:ind w:left="1020" w:hanging="503"/>
        <w:spacing w:after="0" w:line="256"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78"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Small- or Medium-Sized Enterprise Status</w:t>
      </w:r>
    </w:p>
    <w:p>
      <w:pPr>
        <w:spacing w:after="0" w:line="19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 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fee exemptions and reductions for pre- and post-authorization regulatory procedures, including scientific advice, inspections and pharmaco-vigilance;</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guidance on clinical data publication and a free redaction tool license;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workshops and training sessions.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1020" w:hanging="503"/>
        <w:spacing w:after="0" w:line="276"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Pediatric Regulation</w:t>
      </w:r>
    </w:p>
    <w:p>
      <w:pPr>
        <w:spacing w:after="0" w:line="19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60"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5"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66"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65"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355"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56"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2.3 Organizational structure</w:t>
      </w:r>
    </w:p>
    <w:p>
      <w:pPr>
        <w:spacing w:after="0" w:line="198" w:lineRule="exact"/>
        <w:rPr>
          <w:sz w:val="20"/>
          <w:szCs w:val="20"/>
          <w:color w:val="auto"/>
        </w:rPr>
      </w:pPr>
    </w:p>
    <w:p>
      <w:pPr>
        <w:jc w:val="both"/>
        <w:ind w:left="160" w:firstLine="299"/>
        <w:spacing w:after="0" w:line="263"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xml:space="preserve"> )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129540</wp:posOffset>
            </wp:positionV>
            <wp:extent cx="4800600" cy="1894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0060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2.4 Property, plants and equipment</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475 square meters is rented through May 31, 2024 and our office space in Zug measuring approximately 58 square meters is rented on a monthly basis.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2.5 Operating results</w:t>
      </w:r>
    </w:p>
    <w:p>
      <w:pPr>
        <w:spacing w:after="0" w:line="198" w:lineRule="exact"/>
        <w:rPr>
          <w:sz w:val="20"/>
          <w:szCs w:val="20"/>
          <w:color w:val="auto"/>
        </w:rPr>
      </w:pPr>
    </w:p>
    <w:p>
      <w:pPr>
        <w:jc w:val="both"/>
        <w:ind w:left="160" w:firstLine="299"/>
        <w:spacing w:after="0" w:line="258"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report, particularly under chapter 3.2.</w:t>
      </w:r>
    </w:p>
    <w:p>
      <w:pPr>
        <w:spacing w:after="0" w:line="154" w:lineRule="exact"/>
        <w:rPr>
          <w:sz w:val="20"/>
          <w:szCs w:val="20"/>
          <w:color w:val="auto"/>
        </w:rPr>
      </w:pPr>
    </w:p>
    <w:p>
      <w:pPr>
        <w:jc w:val="both"/>
        <w:ind w:left="160" w:firstLine="299"/>
        <w:spacing w:after="0" w:line="281" w:lineRule="auto"/>
        <w:rPr>
          <w:sz w:val="20"/>
          <w:szCs w:val="20"/>
          <w:color w:val="auto"/>
        </w:rPr>
      </w:pPr>
      <w:r>
        <w:rPr>
          <w:rFonts w:ascii="Arial" w:cs="Arial" w:eastAsia="Arial" w:hAnsi="Arial"/>
          <w:sz w:val="16"/>
          <w:szCs w:val="16"/>
          <w:i w:val="1"/>
          <w:iCs w:val="1"/>
          <w:color w:val="auto"/>
        </w:rPr>
        <w:t>Our audited consolidated financial statements are included elsewhere in this report. These consolidated financial statements are prepared pursuant to Part 9 of Book 2 of the Dutch Civil Code and IFRS as adopted by the European Union.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convenience that is superior to current standard-of-care HAE treatments, which are injectables. We believe deucrictibant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deucrictibant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w:t>
      </w:r>
    </w:p>
    <w:p>
      <w:pPr>
        <w:spacing w:after="0" w:line="173"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but we do not have data from head-to-head studies. We plan to efficiently progress deucrictibant through clinical development for on-demand and prophylactic use with our on-demand product candidate, PHVS416, and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softgel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16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2" w:lineRule="auto"/>
        <w:rPr>
          <w:sz w:val="20"/>
          <w:szCs w:val="20"/>
          <w:color w:val="auto"/>
        </w:rPr>
      </w:pPr>
      <w:r>
        <w:rPr>
          <w:rFonts w:ascii="Arial" w:cs="Arial" w:eastAsia="Arial" w:hAnsi="Arial"/>
          <w:sz w:val="16"/>
          <w:szCs w:val="16"/>
          <w:color w:val="auto"/>
        </w:rPr>
        <w:t>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156"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Furthermore, 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 protocol for a 26-week rodent toxicology study has been aligned with the FDA and the study has initiated. We expect to submit results for this study to the FDA by the end of 2023. However, we cannot provide any assurance that we will be able to resolve the clinical holds.</w:t>
      </w:r>
    </w:p>
    <w:p>
      <w:pPr>
        <w:spacing w:after="0" w:line="164" w:lineRule="exact"/>
        <w:rPr>
          <w:sz w:val="20"/>
          <w:szCs w:val="20"/>
          <w:color w:val="auto"/>
        </w:rPr>
      </w:pPr>
    </w:p>
    <w:p>
      <w:pPr>
        <w:jc w:val="both"/>
        <w:ind w:left="160" w:firstLine="348"/>
        <w:spacing w:after="0" w:line="254"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2021 can be found in our annual report on form 20-F, filed with the SEC on March 29, 2022.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special events that should be taken into account for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1020" w:hanging="503"/>
        <w:spacing w:after="0" w:line="27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pre-clinical expenses, which include costs of our outsourced discovery, preclinical and nonclinical development studies;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advisers’ fees, including discovery, nonclinical, clinical, chemistry, manufacturing, and controls- related and other consulting services;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license costs.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expect that our total research and development expenses will increase in 2023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56"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56"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chapter 3.2.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101" w:lineRule="exact"/>
        <w:rPr>
          <w:sz w:val="20"/>
          <w:szCs w:val="20"/>
          <w:color w:val="auto"/>
        </w:rPr>
      </w:pPr>
    </w:p>
    <w:p>
      <w:pPr>
        <w:ind w:left="1020" w:hanging="503"/>
        <w:spacing w:after="0" w:line="276"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rental expenses, facilities and IT expenses and other general expenses relating to our operations; and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4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0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16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and expenses or general and administrative expenses.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share-based payment expense recorded for the years ended December 31, 2022 and 2021 were €11,349,200 and €8,196,387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2021 and 2020</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A discussion of the financial results for the year ended December 31, 2021 as compared to the year ended December 31, 2020 can be found in the section entitled “Item 5. Operating and Financial Review and Prospects—A. Operating Results— Financial operations overview—Comparison of the years ended December 31, 2021 and 2020” in our annual report on form 20-F, filed with the SEC on March 29, 2022.</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2022 and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940" w:type="dxa"/>
            <w:vAlign w:val="bottom"/>
            <w:gridSpan w:val="6"/>
          </w:tcPr>
          <w:p>
            <w:pPr>
              <w:ind w:left="84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940" w:type="dxa"/>
            <w:vAlign w:val="bottom"/>
            <w:tcBorders>
              <w:bottom w:val="single" w:sz="8" w:color="auto"/>
            </w:tcBorders>
            <w:gridSpan w:val="6"/>
          </w:tcPr>
          <w:p>
            <w:pPr>
              <w:ind w:left="10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b w:val="1"/>
                <w:bCs w:val="1"/>
                <w:color w:val="auto"/>
              </w:rPr>
              <w:t>2022</w:t>
            </w:r>
          </w:p>
        </w:tc>
        <w:tc>
          <w:tcPr>
            <w:tcW w:w="182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38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71"/>
              </w:rPr>
              <w:t>(in</w:t>
            </w:r>
          </w:p>
        </w:tc>
        <w:tc>
          <w:tcPr>
            <w:tcW w:w="6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(57,375,574)</w:t>
            </w:r>
          </w:p>
        </w:tc>
        <w:tc>
          <w:tcPr>
            <w:tcW w:w="1820" w:type="dxa"/>
            <w:vAlign w:val="bottom"/>
            <w:gridSpan w:val="5"/>
            <w:shd w:val="clear" w:color="auto" w:fill="CFF0FC"/>
          </w:tcPr>
          <w:p>
            <w:pPr>
              <w:ind w:left="780"/>
              <w:spacing w:after="0"/>
              <w:rPr>
                <w:sz w:val="20"/>
                <w:szCs w:val="20"/>
                <w:color w:val="auto"/>
              </w:rPr>
            </w:pPr>
            <w:r>
              <w:rPr>
                <w:rFonts w:ascii="Arial" w:cs="Arial" w:eastAsia="Arial" w:hAnsi="Arial"/>
                <w:sz w:val="16"/>
                <w:szCs w:val="16"/>
                <w:color w:val="auto"/>
              </w:rPr>
              <w:t>(35,789,166)</w:t>
            </w:r>
          </w:p>
        </w:tc>
        <w:tc>
          <w:tcPr>
            <w:tcW w:w="2160" w:type="dxa"/>
            <w:vAlign w:val="bottom"/>
            <w:gridSpan w:val="5"/>
            <w:shd w:val="clear" w:color="auto" w:fill="CFF0FC"/>
          </w:tcPr>
          <w:p>
            <w:pPr>
              <w:ind w:left="940"/>
              <w:spacing w:after="0"/>
              <w:rPr>
                <w:sz w:val="20"/>
                <w:szCs w:val="20"/>
                <w:color w:val="auto"/>
              </w:rPr>
            </w:pPr>
            <w:r>
              <w:rPr>
                <w:rFonts w:ascii="Arial" w:cs="Arial" w:eastAsia="Arial" w:hAnsi="Arial"/>
                <w:sz w:val="16"/>
                <w:szCs w:val="16"/>
                <w:color w:val="auto"/>
              </w:rPr>
              <w:t>(21,586,408)</w:t>
            </w:r>
          </w:p>
        </w:tc>
        <w:tc>
          <w:tcPr>
            <w:tcW w:w="120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120" w:type="dxa"/>
            <w:vAlign w:val="bottom"/>
          </w:tcPr>
          <w:p>
            <w:pPr>
              <w:ind w:left="160"/>
              <w:spacing w:after="0"/>
              <w:rPr>
                <w:sz w:val="20"/>
                <w:szCs w:val="20"/>
                <w:color w:val="auto"/>
              </w:rPr>
            </w:pPr>
            <w:r>
              <w:rPr>
                <w:rFonts w:ascii="Arial" w:cs="Arial" w:eastAsia="Arial" w:hAnsi="Arial"/>
                <w:sz w:val="16"/>
                <w:szCs w:val="16"/>
                <w:color w:val="auto"/>
              </w:rPr>
              <w:t>(29,339,034)</w:t>
            </w:r>
          </w:p>
        </w:tc>
        <w:tc>
          <w:tcPr>
            <w:tcW w:w="1820" w:type="dxa"/>
            <w:vAlign w:val="bottom"/>
            <w:gridSpan w:val="5"/>
          </w:tcPr>
          <w:p>
            <w:pPr>
              <w:ind w:left="780"/>
              <w:spacing w:after="0"/>
              <w:rPr>
                <w:sz w:val="20"/>
                <w:szCs w:val="20"/>
                <w:color w:val="auto"/>
              </w:rPr>
            </w:pPr>
            <w:r>
              <w:rPr>
                <w:rFonts w:ascii="Arial" w:cs="Arial" w:eastAsia="Arial" w:hAnsi="Arial"/>
                <w:sz w:val="16"/>
                <w:szCs w:val="16"/>
                <w:color w:val="auto"/>
              </w:rPr>
              <w:t>(18,349,460)</w:t>
            </w:r>
          </w:p>
        </w:tc>
        <w:tc>
          <w:tcPr>
            <w:tcW w:w="2160" w:type="dxa"/>
            <w:vAlign w:val="bottom"/>
            <w:gridSpan w:val="5"/>
          </w:tcPr>
          <w:p>
            <w:pPr>
              <w:ind w:left="940"/>
              <w:spacing w:after="0"/>
              <w:rPr>
                <w:sz w:val="20"/>
                <w:szCs w:val="20"/>
                <w:color w:val="auto"/>
              </w:rPr>
            </w:pPr>
            <w:r>
              <w:rPr>
                <w:rFonts w:ascii="Arial" w:cs="Arial" w:eastAsia="Arial" w:hAnsi="Arial"/>
                <w:sz w:val="16"/>
                <w:szCs w:val="16"/>
                <w:color w:val="auto"/>
              </w:rPr>
              <w:t>(10,989,574)</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120" w:type="dxa"/>
            <w:vAlign w:val="bottom"/>
            <w:shd w:val="clear" w:color="auto" w:fill="CFF0FC"/>
          </w:tcPr>
          <w:p>
            <w:pPr>
              <w:ind w:left="160"/>
              <w:spacing w:after="0"/>
              <w:rPr>
                <w:sz w:val="20"/>
                <w:szCs w:val="20"/>
                <w:color w:val="auto"/>
              </w:rPr>
            </w:pPr>
            <w:r>
              <w:rPr>
                <w:rFonts w:ascii="Arial" w:cs="Arial" w:eastAsia="Arial" w:hAnsi="Arial"/>
                <w:sz w:val="16"/>
                <w:szCs w:val="16"/>
                <w:b w:val="1"/>
                <w:bCs w:val="1"/>
                <w:color w:val="auto"/>
              </w:rPr>
              <w:t>(86,714,608)</w:t>
            </w:r>
          </w:p>
        </w:tc>
        <w:tc>
          <w:tcPr>
            <w:tcW w:w="1820" w:type="dxa"/>
            <w:vAlign w:val="bottom"/>
            <w:gridSpan w:val="5"/>
            <w:shd w:val="clear" w:color="auto" w:fill="CFF0FC"/>
          </w:tcPr>
          <w:p>
            <w:pPr>
              <w:ind w:left="780"/>
              <w:spacing w:after="0"/>
              <w:rPr>
                <w:sz w:val="20"/>
                <w:szCs w:val="20"/>
                <w:color w:val="auto"/>
              </w:rPr>
            </w:pPr>
            <w:r>
              <w:rPr>
                <w:rFonts w:ascii="Arial" w:cs="Arial" w:eastAsia="Arial" w:hAnsi="Arial"/>
                <w:sz w:val="16"/>
                <w:szCs w:val="16"/>
                <w:b w:val="1"/>
                <w:bCs w:val="1"/>
                <w:color w:val="auto"/>
              </w:rPr>
              <w:t>(54,138,626)</w:t>
            </w:r>
          </w:p>
        </w:tc>
        <w:tc>
          <w:tcPr>
            <w:tcW w:w="2160" w:type="dxa"/>
            <w:vAlign w:val="bottom"/>
            <w:gridSpan w:val="5"/>
            <w:shd w:val="clear" w:color="auto" w:fill="CFF0FC"/>
          </w:tcPr>
          <w:p>
            <w:pPr>
              <w:ind w:left="940"/>
              <w:spacing w:after="0"/>
              <w:rPr>
                <w:sz w:val="20"/>
                <w:szCs w:val="20"/>
                <w:color w:val="auto"/>
              </w:rPr>
            </w:pPr>
            <w:r>
              <w:rPr>
                <w:rFonts w:ascii="Arial" w:cs="Arial" w:eastAsia="Arial" w:hAnsi="Arial"/>
                <w:sz w:val="16"/>
                <w:szCs w:val="16"/>
                <w:b w:val="1"/>
                <w:bCs w:val="1"/>
                <w:color w:val="auto"/>
              </w:rPr>
              <w:t>(32,575,982)</w:t>
            </w:r>
          </w:p>
        </w:tc>
        <w:tc>
          <w:tcPr>
            <w:tcW w:w="1200" w:type="dxa"/>
            <w:vAlign w:val="bottom"/>
            <w:gridSpan w:val="2"/>
            <w:shd w:val="clear" w:color="auto" w:fill="CFF0FC"/>
          </w:tcPr>
          <w:p>
            <w:pPr>
              <w:ind w:left="420"/>
              <w:spacing w:after="0"/>
              <w:rPr>
                <w:sz w:val="20"/>
                <w:szCs w:val="20"/>
                <w:color w:val="auto"/>
              </w:rPr>
            </w:pPr>
            <w:r>
              <w:rPr>
                <w:rFonts w:ascii="Arial" w:cs="Arial" w:eastAsia="Arial" w:hAnsi="Arial"/>
                <w:sz w:val="16"/>
                <w:szCs w:val="16"/>
                <w:b w:val="1"/>
                <w:bCs w:val="1"/>
                <w:color w:val="auto"/>
              </w:rPr>
              <w:t>60%</w:t>
            </w:r>
          </w:p>
        </w:tc>
        <w:tc>
          <w:tcPr>
            <w:tcW w:w="140" w:type="dxa"/>
            <w:vAlign w:val="bottom"/>
            <w:shd w:val="clear" w:color="auto" w:fill="CFF0FC"/>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Finance income - net</w:t>
            </w:r>
          </w:p>
        </w:tc>
        <w:tc>
          <w:tcPr>
            <w:tcW w:w="1120" w:type="dxa"/>
            <w:vAlign w:val="bottom"/>
          </w:tcPr>
          <w:p>
            <w:pPr>
              <w:ind w:left="160"/>
              <w:spacing w:after="0"/>
              <w:rPr>
                <w:sz w:val="20"/>
                <w:szCs w:val="20"/>
                <w:color w:val="auto"/>
              </w:rPr>
            </w:pPr>
            <w:r>
              <w:rPr>
                <w:rFonts w:ascii="Arial" w:cs="Arial" w:eastAsia="Arial" w:hAnsi="Arial"/>
                <w:sz w:val="16"/>
                <w:szCs w:val="16"/>
                <w:color w:val="auto"/>
              </w:rPr>
              <w:t>11,061,138</w:t>
            </w:r>
          </w:p>
        </w:tc>
        <w:tc>
          <w:tcPr>
            <w:tcW w:w="1820" w:type="dxa"/>
            <w:vAlign w:val="bottom"/>
            <w:gridSpan w:val="5"/>
          </w:tcPr>
          <w:p>
            <w:pPr>
              <w:ind w:left="780"/>
              <w:spacing w:after="0"/>
              <w:rPr>
                <w:sz w:val="20"/>
                <w:szCs w:val="20"/>
                <w:color w:val="auto"/>
              </w:rPr>
            </w:pPr>
            <w:r>
              <w:rPr>
                <w:rFonts w:ascii="Arial" w:cs="Arial" w:eastAsia="Arial" w:hAnsi="Arial"/>
                <w:sz w:val="16"/>
                <w:szCs w:val="16"/>
                <w:color w:val="auto"/>
              </w:rPr>
              <w:t>11,477,964</w:t>
            </w:r>
          </w:p>
        </w:tc>
        <w:tc>
          <w:tcPr>
            <w:tcW w:w="2160" w:type="dxa"/>
            <w:vAlign w:val="bottom"/>
            <w:gridSpan w:val="5"/>
          </w:tcPr>
          <w:p>
            <w:pPr>
              <w:ind w:left="940"/>
              <w:spacing w:after="0"/>
              <w:rPr>
                <w:sz w:val="20"/>
                <w:szCs w:val="20"/>
                <w:color w:val="auto"/>
              </w:rPr>
            </w:pPr>
            <w:r>
              <w:rPr>
                <w:rFonts w:ascii="Arial" w:cs="Arial" w:eastAsia="Arial" w:hAnsi="Arial"/>
                <w:sz w:val="16"/>
                <w:szCs w:val="16"/>
                <w:color w:val="auto"/>
              </w:rPr>
              <w:t>(416,826)</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120" w:type="dxa"/>
            <w:vAlign w:val="bottom"/>
            <w:shd w:val="clear" w:color="auto" w:fill="CFF0FC"/>
          </w:tcPr>
          <w:p>
            <w:pPr>
              <w:ind w:left="160"/>
              <w:spacing w:after="0"/>
              <w:rPr>
                <w:sz w:val="20"/>
                <w:szCs w:val="20"/>
                <w:color w:val="auto"/>
              </w:rPr>
            </w:pPr>
            <w:r>
              <w:rPr>
                <w:rFonts w:ascii="Arial" w:cs="Arial" w:eastAsia="Arial" w:hAnsi="Arial"/>
                <w:sz w:val="16"/>
                <w:szCs w:val="16"/>
                <w:b w:val="1"/>
                <w:bCs w:val="1"/>
                <w:color w:val="auto"/>
              </w:rPr>
              <w:t>(75,653,470)</w:t>
            </w:r>
          </w:p>
        </w:tc>
        <w:tc>
          <w:tcPr>
            <w:tcW w:w="1820" w:type="dxa"/>
            <w:vAlign w:val="bottom"/>
            <w:gridSpan w:val="5"/>
            <w:shd w:val="clear" w:color="auto" w:fill="CFF0FC"/>
          </w:tcPr>
          <w:p>
            <w:pPr>
              <w:ind w:left="780"/>
              <w:spacing w:after="0"/>
              <w:rPr>
                <w:sz w:val="20"/>
                <w:szCs w:val="20"/>
                <w:color w:val="auto"/>
              </w:rPr>
            </w:pPr>
            <w:r>
              <w:rPr>
                <w:rFonts w:ascii="Arial" w:cs="Arial" w:eastAsia="Arial" w:hAnsi="Arial"/>
                <w:sz w:val="16"/>
                <w:szCs w:val="16"/>
                <w:b w:val="1"/>
                <w:bCs w:val="1"/>
                <w:color w:val="auto"/>
              </w:rPr>
              <w:t>(42,660,662)</w:t>
            </w:r>
          </w:p>
        </w:tc>
        <w:tc>
          <w:tcPr>
            <w:tcW w:w="2160" w:type="dxa"/>
            <w:vAlign w:val="bottom"/>
            <w:gridSpan w:val="5"/>
            <w:shd w:val="clear" w:color="auto" w:fill="CFF0FC"/>
          </w:tcPr>
          <w:p>
            <w:pPr>
              <w:ind w:left="940"/>
              <w:spacing w:after="0"/>
              <w:rPr>
                <w:sz w:val="20"/>
                <w:szCs w:val="20"/>
                <w:color w:val="auto"/>
              </w:rPr>
            </w:pPr>
            <w:r>
              <w:rPr>
                <w:rFonts w:ascii="Arial" w:cs="Arial" w:eastAsia="Arial" w:hAnsi="Arial"/>
                <w:sz w:val="16"/>
                <w:szCs w:val="16"/>
                <w:b w:val="1"/>
                <w:bCs w:val="1"/>
                <w:color w:val="auto"/>
              </w:rPr>
              <w:t>(32,992,808)</w:t>
            </w:r>
          </w:p>
        </w:tc>
        <w:tc>
          <w:tcPr>
            <w:tcW w:w="1200" w:type="dxa"/>
            <w:vAlign w:val="bottom"/>
            <w:gridSpan w:val="2"/>
            <w:shd w:val="clear" w:color="auto" w:fill="CFF0FC"/>
          </w:tcPr>
          <w:p>
            <w:pPr>
              <w:ind w:left="420"/>
              <w:spacing w:after="0"/>
              <w:rPr>
                <w:sz w:val="20"/>
                <w:szCs w:val="20"/>
                <w:color w:val="auto"/>
              </w:rPr>
            </w:pPr>
            <w:r>
              <w:rPr>
                <w:rFonts w:ascii="Arial" w:cs="Arial" w:eastAsia="Arial" w:hAnsi="Arial"/>
                <w:sz w:val="16"/>
                <w:szCs w:val="16"/>
                <w:b w:val="1"/>
                <w:bCs w:val="1"/>
                <w:color w:val="auto"/>
              </w:rPr>
              <w:t>77%</w:t>
            </w:r>
          </w:p>
        </w:tc>
        <w:tc>
          <w:tcPr>
            <w:tcW w:w="140" w:type="dxa"/>
            <w:vAlign w:val="bottom"/>
            <w:shd w:val="clear" w:color="auto" w:fill="CFF0FC"/>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Income taxes</w:t>
            </w:r>
          </w:p>
        </w:tc>
        <w:tc>
          <w:tcPr>
            <w:tcW w:w="1120" w:type="dxa"/>
            <w:vAlign w:val="bottom"/>
          </w:tcPr>
          <w:p>
            <w:pPr>
              <w:ind w:left="160"/>
              <w:spacing w:after="0"/>
              <w:rPr>
                <w:sz w:val="20"/>
                <w:szCs w:val="20"/>
                <w:color w:val="auto"/>
              </w:rPr>
            </w:pPr>
            <w:r>
              <w:rPr>
                <w:rFonts w:ascii="Arial" w:cs="Arial" w:eastAsia="Arial" w:hAnsi="Arial"/>
                <w:sz w:val="16"/>
                <w:szCs w:val="16"/>
                <w:color w:val="auto"/>
              </w:rPr>
              <w:t>(679,087)</w:t>
            </w:r>
          </w:p>
        </w:tc>
        <w:tc>
          <w:tcPr>
            <w:tcW w:w="1820" w:type="dxa"/>
            <w:vAlign w:val="bottom"/>
            <w:gridSpan w:val="5"/>
          </w:tcPr>
          <w:p>
            <w:pPr>
              <w:ind w:left="780"/>
              <w:spacing w:after="0"/>
              <w:rPr>
                <w:sz w:val="20"/>
                <w:szCs w:val="20"/>
                <w:color w:val="auto"/>
              </w:rPr>
            </w:pPr>
            <w:r>
              <w:rPr>
                <w:rFonts w:ascii="Arial" w:cs="Arial" w:eastAsia="Arial" w:hAnsi="Arial"/>
                <w:sz w:val="16"/>
                <w:szCs w:val="16"/>
                <w:color w:val="auto"/>
              </w:rPr>
              <w:t>(70,117)</w:t>
            </w:r>
          </w:p>
        </w:tc>
        <w:tc>
          <w:tcPr>
            <w:tcW w:w="2160" w:type="dxa"/>
            <w:vAlign w:val="bottom"/>
            <w:gridSpan w:val="5"/>
          </w:tcPr>
          <w:p>
            <w:pPr>
              <w:ind w:left="940"/>
              <w:spacing w:after="0"/>
              <w:rPr>
                <w:sz w:val="20"/>
                <w:szCs w:val="20"/>
                <w:color w:val="auto"/>
              </w:rPr>
            </w:pPr>
            <w:r>
              <w:rPr>
                <w:rFonts w:ascii="Arial" w:cs="Arial" w:eastAsia="Arial" w:hAnsi="Arial"/>
                <w:sz w:val="16"/>
                <w:szCs w:val="16"/>
                <w:color w:val="auto"/>
              </w:rPr>
              <w:t>(608,970)</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869%</w:t>
            </w:r>
          </w:p>
        </w:tc>
        <w:tc>
          <w:tcPr>
            <w:tcW w:w="14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for the period</w:t>
            </w:r>
          </w:p>
        </w:tc>
        <w:tc>
          <w:tcPr>
            <w:tcW w:w="1120" w:type="dxa"/>
            <w:vAlign w:val="bottom"/>
            <w:shd w:val="clear" w:color="auto" w:fill="CFF0FC"/>
          </w:tcPr>
          <w:p>
            <w:pPr>
              <w:ind w:left="160"/>
              <w:spacing w:after="0"/>
              <w:rPr>
                <w:sz w:val="20"/>
                <w:szCs w:val="20"/>
                <w:color w:val="auto"/>
              </w:rPr>
            </w:pPr>
            <w:r>
              <w:rPr>
                <w:rFonts w:ascii="Arial" w:cs="Arial" w:eastAsia="Arial" w:hAnsi="Arial"/>
                <w:sz w:val="16"/>
                <w:szCs w:val="16"/>
                <w:b w:val="1"/>
                <w:bCs w:val="1"/>
                <w:color w:val="auto"/>
              </w:rPr>
              <w:t>(76,332,557)</w:t>
            </w:r>
          </w:p>
        </w:tc>
        <w:tc>
          <w:tcPr>
            <w:tcW w:w="1820" w:type="dxa"/>
            <w:vAlign w:val="bottom"/>
            <w:gridSpan w:val="5"/>
            <w:shd w:val="clear" w:color="auto" w:fill="CFF0FC"/>
          </w:tcPr>
          <w:p>
            <w:pPr>
              <w:ind w:left="780"/>
              <w:spacing w:after="0"/>
              <w:rPr>
                <w:sz w:val="20"/>
                <w:szCs w:val="20"/>
                <w:color w:val="auto"/>
              </w:rPr>
            </w:pPr>
            <w:r>
              <w:rPr>
                <w:rFonts w:ascii="Arial" w:cs="Arial" w:eastAsia="Arial" w:hAnsi="Arial"/>
                <w:sz w:val="16"/>
                <w:szCs w:val="16"/>
                <w:b w:val="1"/>
                <w:bCs w:val="1"/>
                <w:color w:val="auto"/>
              </w:rPr>
              <w:t>(42,730,779)</w:t>
            </w:r>
          </w:p>
        </w:tc>
        <w:tc>
          <w:tcPr>
            <w:tcW w:w="2160" w:type="dxa"/>
            <w:vAlign w:val="bottom"/>
            <w:gridSpan w:val="5"/>
            <w:shd w:val="clear" w:color="auto" w:fill="CFF0FC"/>
          </w:tcPr>
          <w:p>
            <w:pPr>
              <w:ind w:left="940"/>
              <w:spacing w:after="0"/>
              <w:rPr>
                <w:sz w:val="20"/>
                <w:szCs w:val="20"/>
                <w:color w:val="auto"/>
              </w:rPr>
            </w:pPr>
            <w:r>
              <w:rPr>
                <w:rFonts w:ascii="Arial" w:cs="Arial" w:eastAsia="Arial" w:hAnsi="Arial"/>
                <w:sz w:val="16"/>
                <w:szCs w:val="16"/>
                <w:b w:val="1"/>
                <w:bCs w:val="1"/>
                <w:color w:val="auto"/>
              </w:rPr>
              <w:t>(33,601,778)</w:t>
            </w:r>
          </w:p>
        </w:tc>
        <w:tc>
          <w:tcPr>
            <w:tcW w:w="1200" w:type="dxa"/>
            <w:vAlign w:val="bottom"/>
            <w:gridSpan w:val="2"/>
            <w:shd w:val="clear" w:color="auto" w:fill="CFF0FC"/>
          </w:tcPr>
          <w:p>
            <w:pPr>
              <w:ind w:left="420"/>
              <w:spacing w:after="0"/>
              <w:rPr>
                <w:sz w:val="20"/>
                <w:szCs w:val="20"/>
                <w:color w:val="auto"/>
              </w:rPr>
            </w:pPr>
            <w:r>
              <w:rPr>
                <w:rFonts w:ascii="Arial" w:cs="Arial" w:eastAsia="Arial" w:hAnsi="Arial"/>
                <w:sz w:val="16"/>
                <w:szCs w:val="16"/>
                <w:b w:val="1"/>
                <w:bCs w:val="1"/>
                <w:color w:val="auto"/>
              </w:rPr>
              <w:t>79%</w:t>
            </w:r>
          </w:p>
        </w:tc>
        <w:tc>
          <w:tcPr>
            <w:tcW w:w="140" w:type="dxa"/>
            <w:vAlign w:val="bottom"/>
            <w:shd w:val="clear" w:color="auto" w:fill="CFF0FC"/>
          </w:tcPr>
          <w:p>
            <w:pPr>
              <w:spacing w:after="0"/>
              <w:rPr>
                <w:sz w:val="19"/>
                <w:szCs w:val="19"/>
                <w:color w:val="auto"/>
              </w:rPr>
            </w:pPr>
          </w:p>
        </w:tc>
      </w:tr>
      <w:tr>
        <w:trPr>
          <w:trHeight w:val="386"/>
        </w:trPr>
        <w:tc>
          <w:tcPr>
            <w:tcW w:w="4240" w:type="dxa"/>
            <w:vAlign w:val="bottom"/>
            <w:gridSpan w:val="2"/>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40" w:type="dxa"/>
            <w:vAlign w:val="bottom"/>
            <w:gridSpan w:val="6"/>
          </w:tcPr>
          <w:p>
            <w:pPr>
              <w:jc w:val="center"/>
              <w:ind w:left="339"/>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jc w:val="center"/>
              <w:ind w:right="63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6"/>
                <w:szCs w:val="16"/>
                <w:b w:val="1"/>
                <w:bCs w:val="1"/>
                <w:color w:val="auto"/>
              </w:rPr>
              <w:t>2022</w:t>
            </w:r>
          </w:p>
        </w:tc>
        <w:tc>
          <w:tcPr>
            <w:tcW w:w="182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(in €)</w:t>
            </w:r>
          </w:p>
        </w:tc>
        <w:tc>
          <w:tcPr>
            <w:tcW w:w="28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Personnel expenses</w:t>
            </w:r>
          </w:p>
        </w:tc>
        <w:tc>
          <w:tcPr>
            <w:tcW w:w="1120" w:type="dxa"/>
            <w:vAlign w:val="bottom"/>
          </w:tcPr>
          <w:p>
            <w:pPr>
              <w:ind w:left="160"/>
              <w:spacing w:after="0"/>
              <w:rPr>
                <w:sz w:val="20"/>
                <w:szCs w:val="20"/>
                <w:color w:val="auto"/>
              </w:rPr>
            </w:pPr>
            <w:r>
              <w:rPr>
                <w:rFonts w:ascii="Arial" w:cs="Arial" w:eastAsia="Arial" w:hAnsi="Arial"/>
                <w:sz w:val="16"/>
                <w:szCs w:val="16"/>
                <w:color w:val="auto"/>
              </w:rPr>
              <w:t>(13,334,350)</w:t>
            </w:r>
          </w:p>
        </w:tc>
        <w:tc>
          <w:tcPr>
            <w:tcW w:w="1820" w:type="dxa"/>
            <w:vAlign w:val="bottom"/>
            <w:gridSpan w:val="5"/>
          </w:tcPr>
          <w:p>
            <w:pPr>
              <w:ind w:left="900"/>
              <w:spacing w:after="0"/>
              <w:rPr>
                <w:sz w:val="20"/>
                <w:szCs w:val="20"/>
                <w:color w:val="auto"/>
              </w:rPr>
            </w:pPr>
            <w:r>
              <w:rPr>
                <w:rFonts w:ascii="Arial" w:cs="Arial" w:eastAsia="Arial" w:hAnsi="Arial"/>
                <w:sz w:val="16"/>
                <w:szCs w:val="16"/>
                <w:color w:val="auto"/>
              </w:rPr>
              <w:t>(7,988,097)</w:t>
            </w:r>
          </w:p>
        </w:tc>
        <w:tc>
          <w:tcPr>
            <w:tcW w:w="2160" w:type="dxa"/>
            <w:vAlign w:val="bottom"/>
            <w:gridSpan w:val="5"/>
          </w:tcPr>
          <w:p>
            <w:pPr>
              <w:ind w:left="820"/>
              <w:spacing w:after="0"/>
              <w:rPr>
                <w:sz w:val="20"/>
                <w:szCs w:val="20"/>
                <w:color w:val="auto"/>
              </w:rPr>
            </w:pPr>
            <w:r>
              <w:rPr>
                <w:rFonts w:ascii="Arial" w:cs="Arial" w:eastAsia="Arial" w:hAnsi="Arial"/>
                <w:sz w:val="16"/>
                <w:szCs w:val="16"/>
                <w:color w:val="auto"/>
              </w:rPr>
              <w:t>(5,346,253)</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1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(27,653,658)</w:t>
            </w:r>
          </w:p>
        </w:tc>
        <w:tc>
          <w:tcPr>
            <w:tcW w:w="1820" w:type="dxa"/>
            <w:vAlign w:val="bottom"/>
            <w:gridSpan w:val="5"/>
            <w:shd w:val="clear" w:color="auto" w:fill="CFF0FC"/>
          </w:tcPr>
          <w:p>
            <w:pPr>
              <w:ind w:left="900"/>
              <w:spacing w:after="0"/>
              <w:rPr>
                <w:sz w:val="20"/>
                <w:szCs w:val="20"/>
                <w:color w:val="auto"/>
              </w:rPr>
            </w:pPr>
            <w:r>
              <w:rPr>
                <w:rFonts w:ascii="Arial" w:cs="Arial" w:eastAsia="Arial" w:hAnsi="Arial"/>
                <w:sz w:val="16"/>
                <w:szCs w:val="16"/>
                <w:color w:val="auto"/>
                <w:w w:val="99"/>
              </w:rPr>
              <w:t>(16,944,557)</w:t>
            </w:r>
          </w:p>
        </w:tc>
        <w:tc>
          <w:tcPr>
            <w:tcW w:w="2160" w:type="dxa"/>
            <w:vAlign w:val="bottom"/>
            <w:gridSpan w:val="5"/>
            <w:shd w:val="clear" w:color="auto" w:fill="CFF0FC"/>
          </w:tcPr>
          <w:p>
            <w:pPr>
              <w:ind w:left="820"/>
              <w:spacing w:after="0"/>
              <w:rPr>
                <w:sz w:val="20"/>
                <w:szCs w:val="20"/>
                <w:color w:val="auto"/>
              </w:rPr>
            </w:pPr>
            <w:r>
              <w:rPr>
                <w:rFonts w:ascii="Arial" w:cs="Arial" w:eastAsia="Arial" w:hAnsi="Arial"/>
                <w:sz w:val="16"/>
                <w:szCs w:val="16"/>
                <w:color w:val="auto"/>
              </w:rPr>
              <w:t>(10,709,101)</w:t>
            </w:r>
          </w:p>
        </w:tc>
        <w:tc>
          <w:tcPr>
            <w:tcW w:w="120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FF0FC"/>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Nonclinical expenses</w:t>
            </w:r>
          </w:p>
        </w:tc>
        <w:tc>
          <w:tcPr>
            <w:tcW w:w="1120" w:type="dxa"/>
            <w:vAlign w:val="bottom"/>
          </w:tcPr>
          <w:p>
            <w:pPr>
              <w:ind w:left="160"/>
              <w:spacing w:after="0"/>
              <w:rPr>
                <w:sz w:val="20"/>
                <w:szCs w:val="20"/>
                <w:color w:val="auto"/>
              </w:rPr>
            </w:pPr>
            <w:r>
              <w:rPr>
                <w:rFonts w:ascii="Arial" w:cs="Arial" w:eastAsia="Arial" w:hAnsi="Arial"/>
                <w:sz w:val="16"/>
                <w:szCs w:val="16"/>
                <w:color w:val="auto"/>
              </w:rPr>
              <w:t>(4,853,822)</w:t>
            </w:r>
          </w:p>
        </w:tc>
        <w:tc>
          <w:tcPr>
            <w:tcW w:w="1820" w:type="dxa"/>
            <w:vAlign w:val="bottom"/>
            <w:gridSpan w:val="5"/>
          </w:tcPr>
          <w:p>
            <w:pPr>
              <w:ind w:left="900"/>
              <w:spacing w:after="0"/>
              <w:rPr>
                <w:sz w:val="20"/>
                <w:szCs w:val="20"/>
                <w:color w:val="auto"/>
              </w:rPr>
            </w:pPr>
            <w:r>
              <w:rPr>
                <w:rFonts w:ascii="Arial" w:cs="Arial" w:eastAsia="Arial" w:hAnsi="Arial"/>
                <w:sz w:val="16"/>
                <w:szCs w:val="16"/>
                <w:color w:val="auto"/>
              </w:rPr>
              <w:t>(3,891,479)</w:t>
            </w:r>
          </w:p>
        </w:tc>
        <w:tc>
          <w:tcPr>
            <w:tcW w:w="2160" w:type="dxa"/>
            <w:vAlign w:val="bottom"/>
            <w:gridSpan w:val="5"/>
          </w:tcPr>
          <w:p>
            <w:pPr>
              <w:ind w:left="820"/>
              <w:spacing w:after="0"/>
              <w:rPr>
                <w:sz w:val="20"/>
                <w:szCs w:val="20"/>
                <w:color w:val="auto"/>
              </w:rPr>
            </w:pPr>
            <w:r>
              <w:rPr>
                <w:rFonts w:ascii="Arial" w:cs="Arial" w:eastAsia="Arial" w:hAnsi="Arial"/>
                <w:sz w:val="16"/>
                <w:szCs w:val="16"/>
                <w:color w:val="auto"/>
              </w:rPr>
              <w:t>(962,343)</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(11,181,355)</w:t>
            </w:r>
          </w:p>
        </w:tc>
        <w:tc>
          <w:tcPr>
            <w:tcW w:w="1820" w:type="dxa"/>
            <w:vAlign w:val="bottom"/>
            <w:gridSpan w:val="5"/>
            <w:shd w:val="clear" w:color="auto" w:fill="CFF0FC"/>
          </w:tcPr>
          <w:p>
            <w:pPr>
              <w:ind w:left="900"/>
              <w:spacing w:after="0"/>
              <w:rPr>
                <w:sz w:val="20"/>
                <w:szCs w:val="20"/>
                <w:color w:val="auto"/>
              </w:rPr>
            </w:pPr>
            <w:r>
              <w:rPr>
                <w:rFonts w:ascii="Arial" w:cs="Arial" w:eastAsia="Arial" w:hAnsi="Arial"/>
                <w:sz w:val="16"/>
                <w:szCs w:val="16"/>
                <w:color w:val="auto"/>
              </w:rPr>
              <w:t>(6,325,068)</w:t>
            </w:r>
          </w:p>
        </w:tc>
        <w:tc>
          <w:tcPr>
            <w:tcW w:w="2160" w:type="dxa"/>
            <w:vAlign w:val="bottom"/>
            <w:gridSpan w:val="5"/>
            <w:shd w:val="clear" w:color="auto" w:fill="CFF0FC"/>
          </w:tcPr>
          <w:p>
            <w:pPr>
              <w:ind w:left="820"/>
              <w:spacing w:after="0"/>
              <w:rPr>
                <w:sz w:val="20"/>
                <w:szCs w:val="20"/>
                <w:color w:val="auto"/>
              </w:rPr>
            </w:pPr>
            <w:r>
              <w:rPr>
                <w:rFonts w:ascii="Arial" w:cs="Arial" w:eastAsia="Arial" w:hAnsi="Arial"/>
                <w:sz w:val="16"/>
                <w:szCs w:val="16"/>
                <w:color w:val="auto"/>
              </w:rPr>
              <w:t>(4,856,287)</w:t>
            </w:r>
          </w:p>
        </w:tc>
        <w:tc>
          <w:tcPr>
            <w:tcW w:w="120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FF0FC"/>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License costs</w:t>
            </w:r>
          </w:p>
        </w:tc>
        <w:tc>
          <w:tcPr>
            <w:tcW w:w="1120" w:type="dxa"/>
            <w:vAlign w:val="bottom"/>
          </w:tcPr>
          <w:p>
            <w:pPr>
              <w:ind w:left="160"/>
              <w:spacing w:after="0"/>
              <w:rPr>
                <w:sz w:val="20"/>
                <w:szCs w:val="20"/>
                <w:color w:val="auto"/>
              </w:rPr>
            </w:pPr>
            <w:r>
              <w:rPr>
                <w:rFonts w:ascii="Arial" w:cs="Arial" w:eastAsia="Arial" w:hAnsi="Arial"/>
                <w:sz w:val="16"/>
                <w:szCs w:val="16"/>
                <w:color w:val="auto"/>
              </w:rPr>
              <w:t>—</w:t>
            </w:r>
          </w:p>
        </w:tc>
        <w:tc>
          <w:tcPr>
            <w:tcW w:w="1820" w:type="dxa"/>
            <w:vAlign w:val="bottom"/>
            <w:gridSpan w:val="5"/>
          </w:tcPr>
          <w:p>
            <w:pPr>
              <w:ind w:left="900"/>
              <w:spacing w:after="0"/>
              <w:rPr>
                <w:sz w:val="20"/>
                <w:szCs w:val="20"/>
                <w:color w:val="auto"/>
              </w:rPr>
            </w:pPr>
            <w:r>
              <w:rPr>
                <w:rFonts w:ascii="Arial" w:cs="Arial" w:eastAsia="Arial" w:hAnsi="Arial"/>
                <w:sz w:val="16"/>
                <w:szCs w:val="16"/>
                <w:color w:val="auto"/>
              </w:rPr>
              <w:t>(500,000)</w:t>
            </w:r>
          </w:p>
        </w:tc>
        <w:tc>
          <w:tcPr>
            <w:tcW w:w="2160" w:type="dxa"/>
            <w:vAlign w:val="bottom"/>
            <w:gridSpan w:val="5"/>
          </w:tcPr>
          <w:p>
            <w:pPr>
              <w:ind w:left="820"/>
              <w:spacing w:after="0"/>
              <w:rPr>
                <w:sz w:val="20"/>
                <w:szCs w:val="20"/>
                <w:color w:val="auto"/>
              </w:rPr>
            </w:pPr>
            <w:r>
              <w:rPr>
                <w:rFonts w:ascii="Arial" w:cs="Arial" w:eastAsia="Arial" w:hAnsi="Arial"/>
                <w:sz w:val="16"/>
                <w:szCs w:val="16"/>
                <w:color w:val="auto"/>
              </w:rPr>
              <w:t>500,000</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Intellectual property costs</w:t>
            </w:r>
          </w:p>
        </w:tc>
        <w:tc>
          <w:tcPr>
            <w:tcW w:w="11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(352,389)</w:t>
            </w:r>
          </w:p>
        </w:tc>
        <w:tc>
          <w:tcPr>
            <w:tcW w:w="480" w:type="dxa"/>
            <w:vAlign w:val="bottom"/>
            <w:tcBorders>
              <w:bottom w:val="single" w:sz="8" w:color="auto"/>
            </w:tcBorders>
            <w:gridSpan w:val="2"/>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(139,966)</w:t>
            </w:r>
          </w:p>
        </w:tc>
        <w:tc>
          <w:tcPr>
            <w:tcW w:w="400" w:type="dxa"/>
            <w:vAlign w:val="bottom"/>
            <w:tcBorders>
              <w:bottom w:val="single" w:sz="8" w:color="auto"/>
            </w:tcBorders>
            <w:gridSpan w:val="2"/>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ind w:left="140"/>
              <w:spacing w:after="0"/>
              <w:rPr>
                <w:sz w:val="20"/>
                <w:szCs w:val="20"/>
                <w:color w:val="auto"/>
              </w:rPr>
            </w:pPr>
            <w:r>
              <w:rPr>
                <w:rFonts w:ascii="Arial" w:cs="Arial" w:eastAsia="Arial" w:hAnsi="Arial"/>
                <w:sz w:val="16"/>
                <w:szCs w:val="16"/>
                <w:color w:val="auto"/>
              </w:rPr>
              <w:t>(212,423)</w:t>
            </w: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152%</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b w:val="1"/>
                <w:bCs w:val="1"/>
                <w:color w:val="auto"/>
              </w:rPr>
              <w:t>Total research and development expenses</w:t>
            </w:r>
          </w:p>
        </w:tc>
        <w:tc>
          <w:tcPr>
            <w:tcW w:w="1120" w:type="dxa"/>
            <w:vAlign w:val="bottom"/>
          </w:tcPr>
          <w:p>
            <w:pPr>
              <w:ind w:left="160"/>
              <w:spacing w:after="0"/>
              <w:rPr>
                <w:sz w:val="20"/>
                <w:szCs w:val="20"/>
                <w:color w:val="auto"/>
              </w:rPr>
            </w:pPr>
            <w:r>
              <w:rPr>
                <w:rFonts w:ascii="Arial" w:cs="Arial" w:eastAsia="Arial" w:hAnsi="Arial"/>
                <w:sz w:val="16"/>
                <w:szCs w:val="16"/>
                <w:b w:val="1"/>
                <w:bCs w:val="1"/>
                <w:color w:val="auto"/>
              </w:rPr>
              <w:t>(57,375,574)</w:t>
            </w:r>
          </w:p>
        </w:tc>
        <w:tc>
          <w:tcPr>
            <w:tcW w:w="1820" w:type="dxa"/>
            <w:vAlign w:val="bottom"/>
            <w:gridSpan w:val="5"/>
          </w:tcPr>
          <w:p>
            <w:pPr>
              <w:ind w:left="900"/>
              <w:spacing w:after="0"/>
              <w:rPr>
                <w:sz w:val="20"/>
                <w:szCs w:val="20"/>
                <w:color w:val="auto"/>
              </w:rPr>
            </w:pPr>
            <w:r>
              <w:rPr>
                <w:rFonts w:ascii="Arial" w:cs="Arial" w:eastAsia="Arial" w:hAnsi="Arial"/>
                <w:sz w:val="16"/>
                <w:szCs w:val="16"/>
                <w:b w:val="1"/>
                <w:bCs w:val="1"/>
                <w:color w:val="auto"/>
                <w:w w:val="99"/>
              </w:rPr>
              <w:t>(35,789,166)</w:t>
            </w:r>
          </w:p>
        </w:tc>
        <w:tc>
          <w:tcPr>
            <w:tcW w:w="2160" w:type="dxa"/>
            <w:vAlign w:val="bottom"/>
            <w:gridSpan w:val="5"/>
          </w:tcPr>
          <w:p>
            <w:pPr>
              <w:ind w:left="820"/>
              <w:spacing w:after="0"/>
              <w:rPr>
                <w:sz w:val="20"/>
                <w:szCs w:val="20"/>
                <w:color w:val="auto"/>
              </w:rPr>
            </w:pPr>
            <w:r>
              <w:rPr>
                <w:rFonts w:ascii="Arial" w:cs="Arial" w:eastAsia="Arial" w:hAnsi="Arial"/>
                <w:sz w:val="16"/>
                <w:szCs w:val="16"/>
                <w:b w:val="1"/>
                <w:bCs w:val="1"/>
                <w:color w:val="auto"/>
              </w:rPr>
              <w:t>(21,586,408)</w:t>
            </w:r>
          </w:p>
        </w:tc>
        <w:tc>
          <w:tcPr>
            <w:tcW w:w="1200" w:type="dxa"/>
            <w:vAlign w:val="bottom"/>
            <w:gridSpan w:val="2"/>
          </w:tcPr>
          <w:p>
            <w:pPr>
              <w:ind w:left="420"/>
              <w:spacing w:after="0"/>
              <w:rPr>
                <w:sz w:val="20"/>
                <w:szCs w:val="20"/>
                <w:color w:val="auto"/>
              </w:rPr>
            </w:pPr>
            <w:r>
              <w:rPr>
                <w:rFonts w:ascii="Arial" w:cs="Arial" w:eastAsia="Arial" w:hAnsi="Arial"/>
                <w:sz w:val="16"/>
                <w:szCs w:val="16"/>
                <w:b w:val="1"/>
                <w:bCs w:val="1"/>
                <w:color w:val="auto"/>
              </w:rPr>
              <w:t>60%</w:t>
            </w:r>
          </w:p>
        </w:tc>
        <w:tc>
          <w:tcPr>
            <w:tcW w:w="14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857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8572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857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-170815</wp:posOffset>
            </wp:positionV>
            <wp:extent cx="857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59"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Research and development expenses increased by €21,586,408 in 2022, or 60% from €35,789,166 for the year ended December 31, 2021 to €57,375,574 for the year ended December 31, 2022. The increase in research and development expenses was primarily due to the expansion from the Phase 1 clinical program to our Phase 2 clinical program. The Phase 2 program involves 2 global, placebo-controlled clinical studies with dosing over multiple months. In addition, Open Label Extension studies have been initiated and have been running for the two programs. Manufacturing costs increased mainly due to softgel capsules being manufactured as supplies for Phase 2 as well as the open label extension studies. Furthermore, manufacturing extended-release for Phase 1 clinical studies as well as up-scaling and other activities including packaging and labeling contributed to the increase in costs. In 2022, no license fees were owed to AnalytiCon following a milestone payment of €500,000 paid to AnalytiCon in 2021 upon commencement of Phase 2 development. In personnel expenses, an amount of €4,232,835 for 2022 and €4,107,605 for 2021 is related to our share-based compensation arrangements. The increase in the share-based payments for the year ended December 31, 2022, relates to the new grants awarded in the period after December 31, 2021 up to and including December 31, 2022. The remaining increase in personnel expenses is driven by the growth of our organization and yearly merit adjustments.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gridSpan w:val="2"/>
          </w:tcPr>
          <w:p>
            <w:pPr>
              <w:spacing w:after="0"/>
              <w:rPr>
                <w:sz w:val="20"/>
                <w:szCs w:val="20"/>
                <w:color w:val="auto"/>
              </w:rPr>
            </w:pPr>
            <w:r>
              <w:rPr>
                <w:rFonts w:ascii="Arial" w:cs="Arial" w:eastAsia="Arial" w:hAnsi="Arial"/>
                <w:sz w:val="16"/>
                <w:szCs w:val="16"/>
                <w:i w:val="1"/>
                <w:iCs w:val="1"/>
                <w:color w:val="auto"/>
              </w:rPr>
              <w:t>General and Administrative Expenses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0"/>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Change</w:t>
            </w:r>
          </w:p>
        </w:tc>
        <w:tc>
          <w:tcPr>
            <w:tcW w:w="8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w:t>
            </w: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(13,484,996)</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(7,033,913)</w:t>
            </w:r>
          </w:p>
        </w:tc>
        <w:tc>
          <w:tcPr>
            <w:tcW w:w="176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(6,451,083)</w:t>
            </w:r>
          </w:p>
        </w:tc>
        <w:tc>
          <w:tcPr>
            <w:tcW w:w="8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Consulting fees</w:t>
            </w:r>
          </w:p>
        </w:tc>
        <w:tc>
          <w:tcPr>
            <w:tcW w:w="1380" w:type="dxa"/>
            <w:vAlign w:val="bottom"/>
          </w:tcPr>
          <w:p>
            <w:pPr>
              <w:ind w:left="160"/>
              <w:spacing w:after="0"/>
              <w:rPr>
                <w:sz w:val="20"/>
                <w:szCs w:val="20"/>
                <w:color w:val="auto"/>
              </w:rPr>
            </w:pPr>
            <w:r>
              <w:rPr>
                <w:rFonts w:ascii="Arial" w:cs="Arial" w:eastAsia="Arial" w:hAnsi="Arial"/>
                <w:sz w:val="16"/>
                <w:szCs w:val="16"/>
                <w:color w:val="auto"/>
              </w:rPr>
              <w:t>(898,435)</w:t>
            </w:r>
          </w:p>
        </w:tc>
        <w:tc>
          <w:tcPr>
            <w:tcW w:w="26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6"/>
                <w:szCs w:val="16"/>
                <w:color w:val="auto"/>
              </w:rPr>
              <w:t>(757,233)</w:t>
            </w:r>
          </w:p>
        </w:tc>
        <w:tc>
          <w:tcPr>
            <w:tcW w:w="1760" w:type="dxa"/>
            <w:vAlign w:val="bottom"/>
            <w:gridSpan w:val="2"/>
          </w:tcPr>
          <w:p>
            <w:pPr>
              <w:ind w:left="420"/>
              <w:spacing w:after="0"/>
              <w:rPr>
                <w:sz w:val="20"/>
                <w:szCs w:val="20"/>
                <w:color w:val="auto"/>
              </w:rPr>
            </w:pPr>
            <w:r>
              <w:rPr>
                <w:rFonts w:ascii="Arial" w:cs="Arial" w:eastAsia="Arial" w:hAnsi="Arial"/>
                <w:sz w:val="16"/>
                <w:szCs w:val="16"/>
                <w:color w:val="auto"/>
              </w:rPr>
              <w:t>(141,202)</w:t>
            </w:r>
          </w:p>
        </w:tc>
        <w:tc>
          <w:tcPr>
            <w:tcW w:w="860" w:type="dxa"/>
            <w:vAlign w:val="bottom"/>
            <w:gridSpan w:val="2"/>
          </w:tcPr>
          <w:p>
            <w:pPr>
              <w:ind w:left="400"/>
              <w:spacing w:after="0"/>
              <w:rPr>
                <w:sz w:val="20"/>
                <w:szCs w:val="20"/>
                <w:color w:val="auto"/>
              </w:rPr>
            </w:pPr>
            <w:r>
              <w:rPr>
                <w:rFonts w:ascii="Arial" w:cs="Arial" w:eastAsia="Arial" w:hAnsi="Arial"/>
                <w:sz w:val="16"/>
                <w:szCs w:val="16"/>
                <w:color w:val="auto"/>
              </w:rPr>
              <w:t>19</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w w:val="84"/>
              </w:rPr>
              <w:t>%</w:t>
            </w:r>
          </w:p>
        </w:tc>
      </w:tr>
      <w:tr>
        <w:trPr>
          <w:trHeight w:val="219"/>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(3,972,771)</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(2,868,684)</w:t>
            </w:r>
          </w:p>
        </w:tc>
        <w:tc>
          <w:tcPr>
            <w:tcW w:w="176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(1,104,087)</w:t>
            </w:r>
          </w:p>
        </w:tc>
        <w:tc>
          <w:tcPr>
            <w:tcW w:w="8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380" w:type="dxa"/>
            <w:vAlign w:val="bottom"/>
          </w:tcPr>
          <w:p>
            <w:pPr>
              <w:ind w:left="160"/>
              <w:spacing w:after="0"/>
              <w:rPr>
                <w:sz w:val="20"/>
                <w:szCs w:val="20"/>
                <w:color w:val="auto"/>
              </w:rPr>
            </w:pPr>
            <w:r>
              <w:rPr>
                <w:rFonts w:ascii="Arial" w:cs="Arial" w:eastAsia="Arial" w:hAnsi="Arial"/>
                <w:sz w:val="16"/>
                <w:szCs w:val="16"/>
                <w:color w:val="auto"/>
              </w:rPr>
              <w:t>(1,652,995)</w:t>
            </w:r>
          </w:p>
        </w:tc>
        <w:tc>
          <w:tcPr>
            <w:tcW w:w="26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6"/>
                <w:szCs w:val="16"/>
                <w:color w:val="auto"/>
              </w:rPr>
              <w:t>(1,306,714)</w:t>
            </w:r>
          </w:p>
        </w:tc>
        <w:tc>
          <w:tcPr>
            <w:tcW w:w="1760" w:type="dxa"/>
            <w:vAlign w:val="bottom"/>
            <w:gridSpan w:val="2"/>
          </w:tcPr>
          <w:p>
            <w:pPr>
              <w:ind w:left="420"/>
              <w:spacing w:after="0"/>
              <w:rPr>
                <w:sz w:val="20"/>
                <w:szCs w:val="20"/>
                <w:color w:val="auto"/>
              </w:rPr>
            </w:pPr>
            <w:r>
              <w:rPr>
                <w:rFonts w:ascii="Arial" w:cs="Arial" w:eastAsia="Arial" w:hAnsi="Arial"/>
                <w:sz w:val="16"/>
                <w:szCs w:val="16"/>
                <w:color w:val="auto"/>
              </w:rPr>
              <w:t>(346,281)</w:t>
            </w:r>
          </w:p>
        </w:tc>
        <w:tc>
          <w:tcPr>
            <w:tcW w:w="860" w:type="dxa"/>
            <w:vAlign w:val="bottom"/>
            <w:gridSpan w:val="2"/>
          </w:tcPr>
          <w:p>
            <w:pPr>
              <w:ind w:left="400"/>
              <w:spacing w:after="0"/>
              <w:rPr>
                <w:sz w:val="20"/>
                <w:szCs w:val="20"/>
                <w:color w:val="auto"/>
              </w:rPr>
            </w:pPr>
            <w:r>
              <w:rPr>
                <w:rFonts w:ascii="Arial" w:cs="Arial" w:eastAsia="Arial" w:hAnsi="Arial"/>
                <w:sz w:val="16"/>
                <w:szCs w:val="16"/>
                <w:color w:val="auto"/>
              </w:rPr>
              <w:t>27</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w w:val="84"/>
              </w:rPr>
              <w:t>%</w:t>
            </w:r>
          </w:p>
        </w:tc>
      </w:tr>
      <w:tr>
        <w:trPr>
          <w:trHeight w:val="219"/>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(6,443,709)</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(5,648,763)</w:t>
            </w:r>
          </w:p>
        </w:tc>
        <w:tc>
          <w:tcPr>
            <w:tcW w:w="176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(794,946)</w:t>
            </w:r>
          </w:p>
        </w:tc>
        <w:tc>
          <w:tcPr>
            <w:tcW w:w="8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Travel expenses</w:t>
            </w:r>
          </w:p>
        </w:tc>
        <w:tc>
          <w:tcPr>
            <w:tcW w:w="1380" w:type="dxa"/>
            <w:vAlign w:val="bottom"/>
          </w:tcPr>
          <w:p>
            <w:pPr>
              <w:ind w:left="160"/>
              <w:spacing w:after="0"/>
              <w:rPr>
                <w:sz w:val="20"/>
                <w:szCs w:val="20"/>
                <w:color w:val="auto"/>
              </w:rPr>
            </w:pPr>
            <w:r>
              <w:rPr>
                <w:rFonts w:ascii="Arial" w:cs="Arial" w:eastAsia="Arial" w:hAnsi="Arial"/>
                <w:sz w:val="16"/>
                <w:szCs w:val="16"/>
                <w:color w:val="auto"/>
              </w:rPr>
              <w:t>(1,105,961)</w:t>
            </w:r>
          </w:p>
        </w:tc>
        <w:tc>
          <w:tcPr>
            <w:tcW w:w="26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6"/>
                <w:szCs w:val="16"/>
                <w:color w:val="auto"/>
              </w:rPr>
              <w:t>(143,582)</w:t>
            </w:r>
          </w:p>
        </w:tc>
        <w:tc>
          <w:tcPr>
            <w:tcW w:w="1760" w:type="dxa"/>
            <w:vAlign w:val="bottom"/>
            <w:gridSpan w:val="2"/>
          </w:tcPr>
          <w:p>
            <w:pPr>
              <w:ind w:left="420"/>
              <w:spacing w:after="0"/>
              <w:rPr>
                <w:sz w:val="20"/>
                <w:szCs w:val="20"/>
                <w:color w:val="auto"/>
              </w:rPr>
            </w:pPr>
            <w:r>
              <w:rPr>
                <w:rFonts w:ascii="Arial" w:cs="Arial" w:eastAsia="Arial" w:hAnsi="Arial"/>
                <w:sz w:val="16"/>
                <w:szCs w:val="16"/>
                <w:color w:val="auto"/>
              </w:rPr>
              <w:t>(962,379)</w:t>
            </w:r>
          </w:p>
        </w:tc>
        <w:tc>
          <w:tcPr>
            <w:tcW w:w="860" w:type="dxa"/>
            <w:vAlign w:val="bottom"/>
            <w:gridSpan w:val="2"/>
          </w:tcPr>
          <w:p>
            <w:pPr>
              <w:ind w:left="400"/>
              <w:spacing w:after="0"/>
              <w:rPr>
                <w:sz w:val="20"/>
                <w:szCs w:val="20"/>
                <w:color w:val="auto"/>
              </w:rPr>
            </w:pPr>
            <w:r>
              <w:rPr>
                <w:rFonts w:ascii="Arial" w:cs="Arial" w:eastAsia="Arial" w:hAnsi="Arial"/>
                <w:sz w:val="16"/>
                <w:szCs w:val="16"/>
                <w:color w:val="auto"/>
              </w:rPr>
              <w:t>670</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w w:val="84"/>
              </w:rPr>
              <w:t>%</w:t>
            </w:r>
          </w:p>
        </w:tc>
      </w:tr>
      <w:tr>
        <w:trPr>
          <w:trHeight w:val="216"/>
        </w:trPr>
        <w:tc>
          <w:tcPr>
            <w:tcW w:w="58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3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(1,780,167)</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(590,571)</w:t>
            </w:r>
          </w:p>
        </w:tc>
        <w:tc>
          <w:tcPr>
            <w:tcW w:w="2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(1,189,596)</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201</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6"/>
                <w:szCs w:val="16"/>
                <w:b w:val="1"/>
                <w:bCs w:val="1"/>
                <w:color w:val="auto"/>
              </w:rPr>
              <w:t>General and administrative expenses</w:t>
            </w:r>
          </w:p>
        </w:tc>
        <w:tc>
          <w:tcPr>
            <w:tcW w:w="1380" w:type="dxa"/>
            <w:vAlign w:val="bottom"/>
          </w:tcPr>
          <w:p>
            <w:pPr>
              <w:ind w:left="160"/>
              <w:spacing w:after="0"/>
              <w:rPr>
                <w:sz w:val="20"/>
                <w:szCs w:val="20"/>
                <w:color w:val="auto"/>
              </w:rPr>
            </w:pPr>
            <w:r>
              <w:rPr>
                <w:rFonts w:ascii="Arial" w:cs="Arial" w:eastAsia="Arial" w:hAnsi="Arial"/>
                <w:sz w:val="16"/>
                <w:szCs w:val="16"/>
                <w:b w:val="1"/>
                <w:bCs w:val="1"/>
                <w:color w:val="auto"/>
              </w:rPr>
              <w:t>(29,339,034)</w:t>
            </w:r>
          </w:p>
        </w:tc>
        <w:tc>
          <w:tcPr>
            <w:tcW w:w="26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6"/>
                <w:szCs w:val="16"/>
                <w:b w:val="1"/>
                <w:bCs w:val="1"/>
                <w:color w:val="auto"/>
              </w:rPr>
              <w:t>(18,349,460)</w:t>
            </w:r>
          </w:p>
        </w:tc>
        <w:tc>
          <w:tcPr>
            <w:tcW w:w="1760" w:type="dxa"/>
            <w:vAlign w:val="bottom"/>
            <w:gridSpan w:val="2"/>
          </w:tcPr>
          <w:p>
            <w:pPr>
              <w:ind w:left="420"/>
              <w:spacing w:after="0"/>
              <w:rPr>
                <w:sz w:val="20"/>
                <w:szCs w:val="20"/>
                <w:color w:val="auto"/>
              </w:rPr>
            </w:pPr>
            <w:r>
              <w:rPr>
                <w:rFonts w:ascii="Arial" w:cs="Arial" w:eastAsia="Arial" w:hAnsi="Arial"/>
                <w:sz w:val="16"/>
                <w:szCs w:val="16"/>
                <w:b w:val="1"/>
                <w:bCs w:val="1"/>
                <w:color w:val="auto"/>
              </w:rPr>
              <w:t>(10,989,574)</w:t>
            </w:r>
          </w:p>
        </w:tc>
        <w:tc>
          <w:tcPr>
            <w:tcW w:w="860" w:type="dxa"/>
            <w:vAlign w:val="bottom"/>
            <w:gridSpan w:val="2"/>
          </w:tcPr>
          <w:p>
            <w:pPr>
              <w:ind w:left="400"/>
              <w:spacing w:after="0"/>
              <w:rPr>
                <w:sz w:val="20"/>
                <w:szCs w:val="20"/>
                <w:color w:val="auto"/>
              </w:rPr>
            </w:pPr>
            <w:r>
              <w:rPr>
                <w:rFonts w:ascii="Arial" w:cs="Arial" w:eastAsia="Arial" w:hAnsi="Arial"/>
                <w:sz w:val="16"/>
                <w:szCs w:val="16"/>
                <w:b w:val="1"/>
                <w:bCs w:val="1"/>
                <w:color w:val="auto"/>
              </w:rPr>
              <w:t>60</w:t>
            </w:r>
          </w:p>
        </w:tc>
        <w:tc>
          <w:tcPr>
            <w:tcW w:w="140" w:type="dxa"/>
            <w:vAlign w:val="bottom"/>
          </w:tcPr>
          <w:p>
            <w:pPr>
              <w:ind w:left="20"/>
              <w:spacing w:after="0"/>
              <w:rPr>
                <w:sz w:val="20"/>
                <w:szCs w:val="20"/>
                <w:color w:val="auto"/>
              </w:rPr>
            </w:pPr>
            <w:r>
              <w:rPr>
                <w:rFonts w:ascii="Arial" w:cs="Arial" w:eastAsia="Arial" w:hAnsi="Arial"/>
                <w:sz w:val="15"/>
                <w:szCs w:val="15"/>
                <w:b w:val="1"/>
                <w:bCs w:val="1"/>
                <w:color w:val="auto"/>
                <w:highlight w:val="white"/>
                <w:w w:val="74"/>
              </w:rPr>
              <w:t>%</w:t>
            </w:r>
          </w:p>
        </w:tc>
        <w:tc>
          <w:tcPr>
            <w:tcW w:w="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857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857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857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59"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General and administrative expenses increased by €10,989,574, or 60% from €18,349,460 for the year ended December 31, 2021 to €29,339,034 for the year ended December 31, 2022. The increase in general and administrative expenses was mainly driven by the growth of our organization and increasing costs related to our commercial buildout. In the personnel expenses for the year ended December 31,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61" w:lineRule="auto"/>
        <w:rPr>
          <w:sz w:val="20"/>
          <w:szCs w:val="20"/>
          <w:color w:val="auto"/>
        </w:rPr>
      </w:pPr>
      <w:r>
        <w:rPr>
          <w:rFonts w:ascii="Arial" w:cs="Arial" w:eastAsia="Arial" w:hAnsi="Arial"/>
          <w:sz w:val="16"/>
          <w:szCs w:val="16"/>
          <w:color w:val="auto"/>
        </w:rPr>
        <w:t>2022 and 2021 an amount of €7,116,365 and €4,088,782, respectively, was included which related to share-based payments arrangements. The increase in the share-based payments for the year ended December 31, 2022, relates to the new grants awarded in the period after December 31, 2021 up to and including December 31, 2022. The remaining increase in personnel expenses is driven by the growth of our organization and yearly merit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 net</w:t>
      </w:r>
    </w:p>
    <w:p>
      <w:pPr>
        <w:spacing w:after="0" w:line="19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Finance income - net for the year ended December 31, 2022 and 2021 were €11,061,138 and €11,477,964 respectively, a change of €416,826. The amount mainly relates to unrealized foreign exchange income, which is mostly the result of translating the Company’s bank balances held in USD to EUR. The foreign exchange rates developed in favor of the Company in 2022.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98"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carry forward losses of the Dutch fiscal unity that are lower than estimated in the previous year. The Company did not recognize the tax benefit of the losses incurred in previous years.</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Company and its subsidiaries (collectively, "The Group") has tax loss carry-forwards as of December 31, 2022 of approximately €182.3 million (2021: €95.7 million; 2020: €43.3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 million). Under Swiss law, losses can be offset against future income or capital gains for seven years.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2.19 to our consolidated financial statements included elsewhere in this report for a description of our other significant accounting policies. The preparation of our consolidated financial statements in conformity with IFRS-EU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Arrangements</w:t>
      </w:r>
    </w:p>
    <w:p>
      <w:pPr>
        <w:spacing w:after="0" w:line="20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report. The total amount to be expensed is determined by reference to the fair value of the options or restricted stock units granted. The fair value of the options is measured at the date of grant using the Black-Scholes formula.</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Prior to the IPO, numerous objective and subjective factors were considered to determine the best estimate of the fair value of the ordinary shares as of each grant date, including:</w:t>
      </w:r>
    </w:p>
    <w:p>
      <w:pPr>
        <w:spacing w:after="0" w:line="6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progress of the research and development programs;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contemporaneous third-party valuations of the ordinary shares for the share issuances in 2016, 2019 and 2020;</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rights and preferences of the preferred shares relative to the ordinary shares;</w:t>
      </w:r>
    </w:p>
    <w:p>
      <w:pPr>
        <w:spacing w:after="0" w:line="113"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likelihood of achieving a discrete liquidity event, such as a sale of the company or an initial public offering given prevailing market conditions; and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external market and economic conditions impacting the industry sector.</w:t>
      </w:r>
    </w:p>
    <w:p>
      <w:pPr>
        <w:spacing w:after="0" w:line="19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fair value of an option or an RSU was measured based on the estimated fair value of an ordinary share at grant date. An external valuation expert has estimated the fair value of the Company’s ordinary shares, on a minority basis, as of the grant dates based on the pricing of the most recent financing round of the Company at the time. As we were a private company and the equity instruments were not marketable, an Option Pricing Model, with estimated probabilities of two different exit scenarios (IPO and Trade Sale), was applied to back-solve the Company’s total equity value such that the value per Series B preferred share and Series C preferred shares is equal to the investment price per share paid in the investment round.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right="20" w:firstLine="299"/>
        <w:spacing w:after="0" w:line="261" w:lineRule="auto"/>
        <w:rPr>
          <w:sz w:val="20"/>
          <w:szCs w:val="20"/>
          <w:color w:val="auto"/>
        </w:rPr>
      </w:pPr>
      <w:r>
        <w:rPr>
          <w:rFonts w:ascii="Arial" w:cs="Arial" w:eastAsia="Arial" w:hAnsi="Arial"/>
          <w:sz w:val="16"/>
          <w:szCs w:val="16"/>
          <w:color w:val="auto"/>
        </w:rPr>
        <w:t>This estimated total equity value has been used as input to the Option Pricing Model when determining the fair value of the Company’s ordinary shares at the grant/measurement dates. The Option Pricing Model uses the Black-Scholes Option-Pricing Model to determine the fair value of the Company’s different share classes based upon the Company’s total equity value.</w:t>
      </w:r>
    </w:p>
    <w:p>
      <w:pPr>
        <w:spacing w:after="0" w:line="156" w:lineRule="exact"/>
        <w:rPr>
          <w:sz w:val="20"/>
          <w:szCs w:val="20"/>
          <w:color w:val="auto"/>
        </w:rPr>
      </w:pPr>
    </w:p>
    <w:p>
      <w:pPr>
        <w:jc w:val="both"/>
        <w:ind w:left="160" w:right="20" w:firstLine="299"/>
        <w:spacing w:after="0" w:line="276" w:lineRule="auto"/>
        <w:rPr>
          <w:sz w:val="20"/>
          <w:szCs w:val="20"/>
          <w:color w:val="auto"/>
        </w:rPr>
      </w:pPr>
      <w:r>
        <w:rPr>
          <w:rFonts w:ascii="Arial" w:cs="Arial" w:eastAsia="Arial" w:hAnsi="Arial"/>
          <w:sz w:val="16"/>
          <w:szCs w:val="16"/>
          <w:color w:val="auto"/>
        </w:rPr>
        <w:t>The inputs used in the measurement of the fair value per ordinary share pre-IPO at the grant/ measurement date based upon the total equity value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January 1,</w:t>
            </w:r>
          </w:p>
        </w:tc>
        <w:tc>
          <w:tcPr>
            <w:tcW w:w="260" w:type="dxa"/>
            <w:vAlign w:val="bottom"/>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r>
      <w:tr>
        <w:trPr>
          <w:trHeight w:val="209"/>
        </w:trPr>
        <w:tc>
          <w:tcPr>
            <w:tcW w:w="9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volatility (%)</w:t>
            </w:r>
          </w:p>
        </w:tc>
        <w:tc>
          <w:tcPr>
            <w:tcW w:w="18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85</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r>
      <w:tr>
        <w:trPr>
          <w:trHeight w:val="213"/>
        </w:trPr>
        <w:tc>
          <w:tcPr>
            <w:tcW w:w="91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860" w:type="dxa"/>
            <w:vAlign w:val="bottom"/>
          </w:tcPr>
          <w:p>
            <w:pPr>
              <w:ind w:left="16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8"/>
                <w:szCs w:val="18"/>
                <w:color w:val="auto"/>
              </w:rPr>
            </w:pPr>
          </w:p>
        </w:tc>
      </w:tr>
      <w:tr>
        <w:trPr>
          <w:trHeight w:val="219"/>
        </w:trPr>
        <w:tc>
          <w:tcPr>
            <w:tcW w:w="9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 (%)</w:t>
            </w:r>
          </w:p>
        </w:tc>
        <w:tc>
          <w:tcPr>
            <w:tcW w:w="18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r>
      <w:tr>
        <w:trPr>
          <w:trHeight w:val="210"/>
        </w:trPr>
        <w:tc>
          <w:tcPr>
            <w:tcW w:w="91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6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r>
    </w:tbl>
    <w:p>
      <w:pPr>
        <w:spacing w:after="0" w:line="185" w:lineRule="exact"/>
        <w:rPr>
          <w:sz w:val="20"/>
          <w:szCs w:val="20"/>
          <w:color w:val="auto"/>
        </w:rPr>
      </w:pPr>
    </w:p>
    <w:p>
      <w:pPr>
        <w:jc w:val="both"/>
        <w:ind w:left="160" w:right="20" w:firstLine="299"/>
        <w:spacing w:after="0" w:line="27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June 1,</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April 1,</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January 1,</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July 1,</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June 25,</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June 25,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February 4,</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January 1,</w:t>
            </w:r>
          </w:p>
        </w:tc>
        <w:tc>
          <w:tcPr>
            <w:tcW w:w="140" w:type="dxa"/>
            <w:vAlign w:val="bottom"/>
          </w:tcPr>
          <w:p>
            <w:pPr>
              <w:spacing w:after="0"/>
              <w:rPr>
                <w:sz w:val="18"/>
                <w:szCs w:val="18"/>
                <w:color w:val="auto"/>
              </w:rPr>
            </w:pPr>
          </w:p>
        </w:tc>
      </w:tr>
      <w:tr>
        <w:trPr>
          <w:trHeight w:val="221"/>
        </w:trPr>
        <w:tc>
          <w:tcPr>
            <w:tcW w:w="29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2022</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2022</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2021</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2021</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2021</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2021</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Option 1</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Option 2</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options</w:t>
            </w:r>
          </w:p>
        </w:tc>
        <w:tc>
          <w:tcPr>
            <w:tcW w:w="9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120,000</w:t>
            </w: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552,500</w:t>
            </w: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70,000</w:t>
            </w: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150,000</w:t>
            </w: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14,000</w:t>
            </w: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88,000</w:t>
            </w: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873,000</w:t>
            </w: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107,000</w:t>
            </w:r>
          </w:p>
        </w:tc>
        <w:tc>
          <w:tcPr>
            <w:tcW w:w="140" w:type="dxa"/>
            <w:vAlign w:val="bottom"/>
            <w:shd w:val="clear" w:color="auto" w:fill="CFF0FC"/>
          </w:tcPr>
          <w:p>
            <w:pPr>
              <w:spacing w:after="0"/>
              <w:rPr>
                <w:sz w:val="18"/>
                <w:szCs w:val="18"/>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Fair value of the options</w:t>
            </w:r>
          </w:p>
        </w:tc>
        <w:tc>
          <w:tcPr>
            <w:tcW w:w="900" w:type="dxa"/>
            <w:vAlign w:val="bottom"/>
          </w:tcPr>
          <w:p>
            <w:pPr>
              <w:ind w:left="20"/>
              <w:spacing w:after="0"/>
              <w:rPr>
                <w:sz w:val="20"/>
                <w:szCs w:val="20"/>
                <w:color w:val="auto"/>
              </w:rPr>
            </w:pPr>
            <w:r>
              <w:rPr>
                <w:rFonts w:ascii="Arial" w:cs="Arial" w:eastAsia="Arial" w:hAnsi="Arial"/>
                <w:sz w:val="16"/>
                <w:szCs w:val="16"/>
                <w:color w:val="auto"/>
              </w:rPr>
              <w:t>€ 11.89</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€ 11.50</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€ 9.08</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€ 10.50</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€ 10.90</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€ 13.73</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€ 11.88</w:t>
            </w:r>
          </w:p>
        </w:tc>
        <w:tc>
          <w:tcPr>
            <w:tcW w:w="1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€ 5.06</w:t>
            </w:r>
          </w:p>
        </w:tc>
        <w:tc>
          <w:tcPr>
            <w:tcW w:w="140" w:type="dxa"/>
            <w:vAlign w:val="bottom"/>
          </w:tcPr>
          <w:p>
            <w:pPr>
              <w:spacing w:after="0"/>
              <w:rPr>
                <w:sz w:val="18"/>
                <w:szCs w:val="18"/>
                <w:color w:val="auto"/>
              </w:rPr>
            </w:pPr>
          </w:p>
        </w:tc>
      </w:tr>
      <w:tr>
        <w:trPr>
          <w:trHeight w:val="21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the ordinary shares</w:t>
            </w: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€ 16.88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€ 16.42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€ 12.65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€ 14.67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€ 15.46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€ 15.46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€ 16.69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€ 7.25</w:t>
            </w:r>
          </w:p>
        </w:tc>
        <w:tc>
          <w:tcPr>
            <w:tcW w:w="140" w:type="dxa"/>
            <w:vAlign w:val="bottom"/>
            <w:shd w:val="clear" w:color="auto" w:fill="CFF0FC"/>
          </w:tcPr>
          <w:p>
            <w:pPr>
              <w:spacing w:after="0"/>
              <w:rPr>
                <w:sz w:val="19"/>
                <w:szCs w:val="19"/>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June 1,</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1,</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1,</w:t>
            </w:r>
          </w:p>
        </w:tc>
        <w:tc>
          <w:tcPr>
            <w:tcW w:w="14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25,</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25,</w:t>
            </w:r>
          </w:p>
        </w:tc>
        <w:tc>
          <w:tcPr>
            <w:tcW w:w="3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4,</w:t>
            </w:r>
          </w:p>
        </w:tc>
        <w:tc>
          <w:tcPr>
            <w:tcW w:w="1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January 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78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960" w:type="dxa"/>
            <w:vAlign w:val="bottom"/>
            <w:gridSpan w:val="3"/>
          </w:tcPr>
          <w:p>
            <w:pPr>
              <w:ind w:left="140"/>
              <w:spacing w:after="0"/>
              <w:rPr>
                <w:sz w:val="20"/>
                <w:szCs w:val="20"/>
                <w:color w:val="auto"/>
              </w:rPr>
            </w:pPr>
            <w:r>
              <w:rPr>
                <w:rFonts w:ascii="Arial" w:cs="Arial" w:eastAsia="Arial" w:hAnsi="Arial"/>
                <w:sz w:val="16"/>
                <w:szCs w:val="16"/>
                <w:b w:val="1"/>
                <w:bCs w:val="1"/>
                <w:color w:val="auto"/>
              </w:rPr>
              <w:t>2022</w:t>
            </w:r>
          </w:p>
        </w:tc>
        <w:tc>
          <w:tcPr>
            <w:tcW w:w="1080" w:type="dxa"/>
            <w:vAlign w:val="bottom"/>
            <w:gridSpan w:val="3"/>
          </w:tcPr>
          <w:p>
            <w:pPr>
              <w:ind w:left="140"/>
              <w:spacing w:after="0"/>
              <w:rPr>
                <w:sz w:val="20"/>
                <w:szCs w:val="20"/>
                <w:color w:val="auto"/>
              </w:rPr>
            </w:pPr>
            <w:r>
              <w:rPr>
                <w:rFonts w:ascii="Arial" w:cs="Arial" w:eastAsia="Arial" w:hAnsi="Arial"/>
                <w:sz w:val="16"/>
                <w:szCs w:val="16"/>
                <w:b w:val="1"/>
                <w:bCs w:val="1"/>
                <w:color w:val="auto"/>
              </w:rPr>
              <w:t>2022</w:t>
            </w:r>
          </w:p>
        </w:tc>
        <w:tc>
          <w:tcPr>
            <w:tcW w:w="940" w:type="dxa"/>
            <w:vAlign w:val="bottom"/>
            <w:gridSpan w:val="3"/>
          </w:tcPr>
          <w:p>
            <w:pPr>
              <w:ind w:left="140"/>
              <w:spacing w:after="0"/>
              <w:rPr>
                <w:sz w:val="20"/>
                <w:szCs w:val="20"/>
                <w:color w:val="auto"/>
              </w:rPr>
            </w:pPr>
            <w:r>
              <w:rPr>
                <w:rFonts w:ascii="Arial" w:cs="Arial" w:eastAsia="Arial" w:hAnsi="Arial"/>
                <w:sz w:val="16"/>
                <w:szCs w:val="16"/>
                <w:b w:val="1"/>
                <w:bCs w:val="1"/>
                <w:color w:val="auto"/>
              </w:rPr>
              <w:t>2021</w:t>
            </w:r>
          </w:p>
        </w:tc>
        <w:tc>
          <w:tcPr>
            <w:tcW w:w="960" w:type="dxa"/>
            <w:vAlign w:val="bottom"/>
            <w:gridSpan w:val="3"/>
          </w:tcPr>
          <w:p>
            <w:pPr>
              <w:ind w:left="160"/>
              <w:spacing w:after="0"/>
              <w:rPr>
                <w:sz w:val="20"/>
                <w:szCs w:val="20"/>
                <w:color w:val="auto"/>
              </w:rPr>
            </w:pPr>
            <w:r>
              <w:rPr>
                <w:rFonts w:ascii="Arial" w:cs="Arial" w:eastAsia="Arial" w:hAnsi="Arial"/>
                <w:sz w:val="16"/>
                <w:szCs w:val="16"/>
                <w:b w:val="1"/>
                <w:bCs w:val="1"/>
                <w:color w:val="auto"/>
              </w:rPr>
              <w:t>2021</w:t>
            </w:r>
          </w:p>
        </w:tc>
        <w:tc>
          <w:tcPr>
            <w:tcW w:w="1080" w:type="dxa"/>
            <w:vAlign w:val="bottom"/>
            <w:gridSpan w:val="3"/>
          </w:tcPr>
          <w:p>
            <w:pPr>
              <w:ind w:left="160"/>
              <w:spacing w:after="0"/>
              <w:rPr>
                <w:sz w:val="20"/>
                <w:szCs w:val="20"/>
                <w:color w:val="auto"/>
              </w:rPr>
            </w:pPr>
            <w:r>
              <w:rPr>
                <w:rFonts w:ascii="Arial" w:cs="Arial" w:eastAsia="Arial" w:hAnsi="Arial"/>
                <w:sz w:val="16"/>
                <w:szCs w:val="16"/>
                <w:b w:val="1"/>
                <w:bCs w:val="1"/>
                <w:color w:val="auto"/>
              </w:rPr>
              <w:t>2021</w:t>
            </w:r>
          </w:p>
        </w:tc>
        <w:tc>
          <w:tcPr>
            <w:tcW w:w="1400" w:type="dxa"/>
            <w:vAlign w:val="bottom"/>
            <w:gridSpan w:val="3"/>
          </w:tcPr>
          <w:p>
            <w:pPr>
              <w:ind w:left="360"/>
              <w:spacing w:after="0"/>
              <w:rPr>
                <w:sz w:val="20"/>
                <w:szCs w:val="20"/>
                <w:color w:val="auto"/>
              </w:rPr>
            </w:pPr>
            <w:r>
              <w:rPr>
                <w:rFonts w:ascii="Arial" w:cs="Arial" w:eastAsia="Arial" w:hAnsi="Arial"/>
                <w:sz w:val="16"/>
                <w:szCs w:val="16"/>
                <w:b w:val="1"/>
                <w:bCs w:val="1"/>
                <w:color w:val="auto"/>
              </w:rPr>
              <w:t>2021</w:t>
            </w:r>
          </w:p>
        </w:tc>
        <w:tc>
          <w:tcPr>
            <w:tcW w:w="1060" w:type="dxa"/>
            <w:vAlign w:val="bottom"/>
            <w:gridSpan w:val="3"/>
          </w:tcPr>
          <w:p>
            <w:pPr>
              <w:ind w:left="14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78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Option 1</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Option 2</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price</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€ 16.88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14.67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16.74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2.38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80"/>
              <w:spacing w:after="0"/>
              <w:rPr>
                <w:sz w:val="20"/>
                <w:szCs w:val="20"/>
                <w:color w:val="auto"/>
              </w:rPr>
            </w:pPr>
            <w:r>
              <w:rPr>
                <w:rFonts w:ascii="Arial" w:cs="Arial" w:eastAsia="Arial" w:hAnsi="Arial"/>
                <w:sz w:val="16"/>
                <w:szCs w:val="16"/>
                <w:color w:val="auto"/>
              </w:rPr>
              <w:t>16.69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7.25</w:t>
            </w: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840" w:type="dxa"/>
            <w:vAlign w:val="bottom"/>
          </w:tcPr>
          <w:p>
            <w:pPr>
              <w:ind w:left="160"/>
              <w:spacing w:after="0"/>
              <w:rPr>
                <w:sz w:val="20"/>
                <w:szCs w:val="20"/>
                <w:color w:val="auto"/>
              </w:rPr>
            </w:pPr>
            <w:r>
              <w:rPr>
                <w:rFonts w:ascii="Arial" w:cs="Arial" w:eastAsia="Arial" w:hAnsi="Arial"/>
                <w:sz w:val="16"/>
                <w:szCs w:val="16"/>
                <w:color w:val="auto"/>
              </w:rPr>
              <w:t>80</w:t>
            </w:r>
          </w:p>
        </w:tc>
        <w:tc>
          <w:tcPr>
            <w:tcW w:w="26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w:t>
            </w:r>
          </w:p>
        </w:tc>
        <w:tc>
          <w:tcPr>
            <w:tcW w:w="700" w:type="dxa"/>
            <w:vAlign w:val="bottom"/>
          </w:tcPr>
          <w:p>
            <w:pPr>
              <w:ind w:left="20"/>
              <w:spacing w:after="0"/>
              <w:rPr>
                <w:sz w:val="20"/>
                <w:szCs w:val="20"/>
                <w:color w:val="auto"/>
              </w:rPr>
            </w:pPr>
            <w:r>
              <w:rPr>
                <w:rFonts w:ascii="Arial" w:cs="Arial" w:eastAsia="Arial" w:hAnsi="Arial"/>
                <w:sz w:val="16"/>
                <w:szCs w:val="16"/>
                <w:color w:val="auto"/>
              </w:rPr>
              <w:t>80</w:t>
            </w:r>
          </w:p>
        </w:tc>
        <w:tc>
          <w:tcPr>
            <w:tcW w:w="26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w:t>
            </w:r>
          </w:p>
        </w:tc>
        <w:tc>
          <w:tcPr>
            <w:tcW w:w="820" w:type="dxa"/>
            <w:vAlign w:val="bottom"/>
          </w:tcPr>
          <w:p>
            <w:pPr>
              <w:ind w:left="20"/>
              <w:spacing w:after="0"/>
              <w:rPr>
                <w:sz w:val="20"/>
                <w:szCs w:val="20"/>
                <w:color w:val="auto"/>
              </w:rPr>
            </w:pPr>
            <w:r>
              <w:rPr>
                <w:rFonts w:ascii="Arial" w:cs="Arial" w:eastAsia="Arial" w:hAnsi="Arial"/>
                <w:sz w:val="16"/>
                <w:szCs w:val="16"/>
                <w:color w:val="auto"/>
              </w:rPr>
              <w:t>85</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color w:val="auto"/>
                <w:w w:val="84"/>
              </w:rPr>
              <w:t>%</w:t>
            </w:r>
          </w:p>
        </w:tc>
        <w:tc>
          <w:tcPr>
            <w:tcW w:w="700" w:type="dxa"/>
            <w:vAlign w:val="bottom"/>
          </w:tcPr>
          <w:p>
            <w:pPr>
              <w:ind w:left="20"/>
              <w:spacing w:after="0"/>
              <w:rPr>
                <w:sz w:val="20"/>
                <w:szCs w:val="20"/>
                <w:color w:val="auto"/>
              </w:rPr>
            </w:pPr>
            <w:r>
              <w:rPr>
                <w:rFonts w:ascii="Arial" w:cs="Arial" w:eastAsia="Arial" w:hAnsi="Arial"/>
                <w:sz w:val="16"/>
                <w:szCs w:val="16"/>
                <w:color w:val="auto"/>
              </w:rPr>
              <w:t>85</w:t>
            </w:r>
          </w:p>
        </w:tc>
        <w:tc>
          <w:tcPr>
            <w:tcW w:w="26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w:t>
            </w:r>
          </w:p>
        </w:tc>
        <w:tc>
          <w:tcPr>
            <w:tcW w:w="700" w:type="dxa"/>
            <w:vAlign w:val="bottom"/>
          </w:tcPr>
          <w:p>
            <w:pPr>
              <w:ind w:left="20"/>
              <w:spacing w:after="0"/>
              <w:rPr>
                <w:sz w:val="20"/>
                <w:szCs w:val="20"/>
                <w:color w:val="auto"/>
              </w:rPr>
            </w:pPr>
            <w:r>
              <w:rPr>
                <w:rFonts w:ascii="Arial" w:cs="Arial" w:eastAsia="Arial" w:hAnsi="Arial"/>
                <w:sz w:val="16"/>
                <w:szCs w:val="16"/>
                <w:color w:val="auto"/>
              </w:rPr>
              <w:t>85</w:t>
            </w:r>
          </w:p>
        </w:tc>
        <w:tc>
          <w:tcPr>
            <w:tcW w:w="320" w:type="dxa"/>
            <w:vAlign w:val="bottom"/>
            <w:gridSpan w:val="2"/>
          </w:tcPr>
          <w:p>
            <w:pPr>
              <w:jc w:val="right"/>
              <w:ind w:right="79"/>
              <w:spacing w:after="0"/>
              <w:rPr>
                <w:sz w:val="20"/>
                <w:szCs w:val="20"/>
                <w:color w:val="auto"/>
              </w:rPr>
            </w:pPr>
            <w:r>
              <w:rPr>
                <w:rFonts w:ascii="Arial" w:cs="Arial" w:eastAsia="Arial" w:hAnsi="Arial"/>
                <w:sz w:val="16"/>
                <w:szCs w:val="16"/>
                <w:color w:val="auto"/>
                <w:w w:val="98"/>
              </w:rPr>
              <w:t>%</w:t>
            </w:r>
          </w:p>
        </w:tc>
        <w:tc>
          <w:tcPr>
            <w:tcW w:w="760" w:type="dxa"/>
            <w:vAlign w:val="bottom"/>
          </w:tcPr>
          <w:p>
            <w:pPr>
              <w:ind w:left="80"/>
              <w:spacing w:after="0"/>
              <w:rPr>
                <w:sz w:val="20"/>
                <w:szCs w:val="20"/>
                <w:color w:val="auto"/>
              </w:rPr>
            </w:pPr>
            <w:r>
              <w:rPr>
                <w:rFonts w:ascii="Arial" w:cs="Arial" w:eastAsia="Arial" w:hAnsi="Arial"/>
                <w:sz w:val="16"/>
                <w:szCs w:val="16"/>
                <w:color w:val="auto"/>
              </w:rPr>
              <w:t>85</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6"/>
                <w:szCs w:val="16"/>
                <w:color w:val="auto"/>
              </w:rPr>
              <w:t>85</w:t>
            </w: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w w:val="84"/>
              </w:rPr>
              <w:t>%</w:t>
            </w:r>
          </w:p>
        </w:tc>
        <w:tc>
          <w:tcPr>
            <w:tcW w:w="800" w:type="dxa"/>
            <w:vAlign w:val="bottom"/>
          </w:tcPr>
          <w:p>
            <w:pPr>
              <w:ind w:left="20"/>
              <w:spacing w:after="0"/>
              <w:rPr>
                <w:sz w:val="20"/>
                <w:szCs w:val="20"/>
                <w:color w:val="auto"/>
              </w:rPr>
            </w:pPr>
            <w:r>
              <w:rPr>
                <w:rFonts w:ascii="Arial" w:cs="Arial" w:eastAsia="Arial" w:hAnsi="Arial"/>
                <w:sz w:val="16"/>
                <w:szCs w:val="16"/>
                <w:color w:val="auto"/>
              </w:rPr>
              <w:t>85</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w w:val="84"/>
              </w:rPr>
              <w:t>%</w:t>
            </w:r>
          </w:p>
        </w:tc>
      </w:tr>
      <w:tr>
        <w:trPr>
          <w:trHeight w:val="21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life (years)</w:t>
            </w:r>
          </w:p>
        </w:tc>
        <w:tc>
          <w:tcPr>
            <w:tcW w:w="8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4.6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ind w:left="80"/>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6"/>
                <w:szCs w:val="16"/>
                <w:color w:val="auto"/>
              </w:rPr>
              <w:t>Risk-free interest rate (%)</w:t>
            </w:r>
          </w:p>
        </w:tc>
        <w:tc>
          <w:tcPr>
            <w:tcW w:w="840" w:type="dxa"/>
            <w:vAlign w:val="bottom"/>
          </w:tcPr>
          <w:p>
            <w:pPr>
              <w:ind w:left="160"/>
              <w:spacing w:after="0"/>
              <w:rPr>
                <w:sz w:val="20"/>
                <w:szCs w:val="20"/>
                <w:color w:val="auto"/>
              </w:rPr>
            </w:pPr>
            <w:r>
              <w:rPr>
                <w:rFonts w:ascii="Arial" w:cs="Arial" w:eastAsia="Arial" w:hAnsi="Arial"/>
                <w:sz w:val="16"/>
                <w:szCs w:val="16"/>
                <w:color w:val="auto"/>
              </w:rPr>
              <w:t>3.0</w:t>
            </w:r>
          </w:p>
        </w:tc>
        <w:tc>
          <w:tcPr>
            <w:tcW w:w="26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w:t>
            </w:r>
          </w:p>
        </w:tc>
        <w:tc>
          <w:tcPr>
            <w:tcW w:w="700" w:type="dxa"/>
            <w:vAlign w:val="bottom"/>
          </w:tcPr>
          <w:p>
            <w:pPr>
              <w:ind w:left="20"/>
              <w:spacing w:after="0"/>
              <w:rPr>
                <w:sz w:val="20"/>
                <w:szCs w:val="20"/>
                <w:color w:val="auto"/>
              </w:rPr>
            </w:pPr>
            <w:r>
              <w:rPr>
                <w:rFonts w:ascii="Arial" w:cs="Arial" w:eastAsia="Arial" w:hAnsi="Arial"/>
                <w:sz w:val="16"/>
                <w:szCs w:val="16"/>
                <w:color w:val="auto"/>
              </w:rPr>
              <w:t>2.6</w:t>
            </w:r>
          </w:p>
        </w:tc>
        <w:tc>
          <w:tcPr>
            <w:tcW w:w="26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w:t>
            </w:r>
          </w:p>
        </w:tc>
        <w:tc>
          <w:tcPr>
            <w:tcW w:w="820" w:type="dxa"/>
            <w:vAlign w:val="bottom"/>
          </w:tcPr>
          <w:p>
            <w:pPr>
              <w:ind w:left="20"/>
              <w:spacing w:after="0"/>
              <w:rPr>
                <w:sz w:val="20"/>
                <w:szCs w:val="20"/>
                <w:color w:val="auto"/>
              </w:rPr>
            </w:pPr>
            <w:r>
              <w:rPr>
                <w:rFonts w:ascii="Arial" w:cs="Arial" w:eastAsia="Arial" w:hAnsi="Arial"/>
                <w:sz w:val="16"/>
                <w:szCs w:val="16"/>
                <w:color w:val="auto"/>
              </w:rPr>
              <w:t>1.4</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color w:val="auto"/>
                <w:w w:val="84"/>
              </w:rPr>
              <w:t>%</w:t>
            </w:r>
          </w:p>
        </w:tc>
        <w:tc>
          <w:tcPr>
            <w:tcW w:w="700" w:type="dxa"/>
            <w:vAlign w:val="bottom"/>
          </w:tcPr>
          <w:p>
            <w:pPr>
              <w:ind w:left="20"/>
              <w:spacing w:after="0"/>
              <w:rPr>
                <w:sz w:val="20"/>
                <w:szCs w:val="20"/>
                <w:color w:val="auto"/>
              </w:rPr>
            </w:pPr>
            <w:r>
              <w:rPr>
                <w:rFonts w:ascii="Arial" w:cs="Arial" w:eastAsia="Arial" w:hAnsi="Arial"/>
                <w:sz w:val="16"/>
                <w:szCs w:val="16"/>
                <w:color w:val="auto"/>
              </w:rPr>
              <w:t>1.2</w:t>
            </w:r>
          </w:p>
        </w:tc>
        <w:tc>
          <w:tcPr>
            <w:tcW w:w="26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w:t>
            </w:r>
          </w:p>
        </w:tc>
        <w:tc>
          <w:tcPr>
            <w:tcW w:w="700" w:type="dxa"/>
            <w:vAlign w:val="bottom"/>
          </w:tcPr>
          <w:p>
            <w:pPr>
              <w:ind w:left="20"/>
              <w:spacing w:after="0"/>
              <w:rPr>
                <w:sz w:val="20"/>
                <w:szCs w:val="20"/>
                <w:color w:val="auto"/>
              </w:rPr>
            </w:pPr>
            <w:r>
              <w:rPr>
                <w:rFonts w:ascii="Arial" w:cs="Arial" w:eastAsia="Arial" w:hAnsi="Arial"/>
                <w:sz w:val="16"/>
                <w:szCs w:val="16"/>
                <w:color w:val="auto"/>
              </w:rPr>
              <w:t>1.2</w:t>
            </w:r>
          </w:p>
        </w:tc>
        <w:tc>
          <w:tcPr>
            <w:tcW w:w="320" w:type="dxa"/>
            <w:vAlign w:val="bottom"/>
            <w:gridSpan w:val="2"/>
          </w:tcPr>
          <w:p>
            <w:pPr>
              <w:jc w:val="right"/>
              <w:ind w:right="79"/>
              <w:spacing w:after="0"/>
              <w:rPr>
                <w:sz w:val="20"/>
                <w:szCs w:val="20"/>
                <w:color w:val="auto"/>
              </w:rPr>
            </w:pPr>
            <w:r>
              <w:rPr>
                <w:rFonts w:ascii="Arial" w:cs="Arial" w:eastAsia="Arial" w:hAnsi="Arial"/>
                <w:sz w:val="16"/>
                <w:szCs w:val="16"/>
                <w:color w:val="auto"/>
                <w:w w:val="98"/>
              </w:rPr>
              <w:t>%</w:t>
            </w:r>
          </w:p>
        </w:tc>
        <w:tc>
          <w:tcPr>
            <w:tcW w:w="760" w:type="dxa"/>
            <w:vAlign w:val="bottom"/>
          </w:tcPr>
          <w:p>
            <w:pPr>
              <w:ind w:left="80"/>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6"/>
                <w:szCs w:val="16"/>
                <w:color w:val="auto"/>
              </w:rPr>
              <w:t>0.8</w:t>
            </w: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w w:val="84"/>
              </w:rPr>
              <w:t>%</w:t>
            </w:r>
          </w:p>
        </w:tc>
        <w:tc>
          <w:tcPr>
            <w:tcW w:w="800" w:type="dxa"/>
            <w:vAlign w:val="bottom"/>
          </w:tcPr>
          <w:p>
            <w:pPr>
              <w:ind w:left="20"/>
              <w:spacing w:after="0"/>
              <w:rPr>
                <w:sz w:val="20"/>
                <w:szCs w:val="20"/>
                <w:color w:val="auto"/>
              </w:rPr>
            </w:pPr>
            <w:r>
              <w:rPr>
                <w:rFonts w:ascii="Arial" w:cs="Arial" w:eastAsia="Arial" w:hAnsi="Arial"/>
                <w:sz w:val="16"/>
                <w:szCs w:val="16"/>
                <w:color w:val="auto"/>
              </w:rPr>
              <w:t>(0.6</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210"/>
        </w:trPr>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w w:val="84"/>
              </w:rPr>
              <w:t>%</w:t>
            </w:r>
          </w:p>
        </w:tc>
      </w:tr>
      <w:tr>
        <w:trPr>
          <w:trHeight w:val="21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dividend yield</w:t>
            </w:r>
          </w:p>
        </w:tc>
        <w:tc>
          <w:tcPr>
            <w:tcW w:w="8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bl>
    <w:p>
      <w:pPr>
        <w:spacing w:after="0" w:line="179" w:lineRule="exact"/>
        <w:rPr>
          <w:sz w:val="20"/>
          <w:szCs w:val="20"/>
          <w:color w:val="auto"/>
        </w:rPr>
      </w:pPr>
    </w:p>
    <w:p>
      <w:pPr>
        <w:jc w:val="both"/>
        <w:ind w:left="160" w:right="20" w:firstLine="299"/>
        <w:spacing w:after="0" w:line="256" w:lineRule="auto"/>
        <w:rPr>
          <w:sz w:val="20"/>
          <w:szCs w:val="20"/>
          <w:color w:val="auto"/>
        </w:rPr>
      </w:pPr>
      <w:r>
        <w:rPr>
          <w:rFonts w:ascii="Arial" w:cs="Arial" w:eastAsia="Arial" w:hAnsi="Arial"/>
          <w:sz w:val="16"/>
          <w:szCs w:val="16"/>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160" w:lineRule="exact"/>
        <w:rPr>
          <w:sz w:val="20"/>
          <w:szCs w:val="20"/>
          <w:color w:val="auto"/>
        </w:rPr>
      </w:pPr>
    </w:p>
    <w:p>
      <w:pPr>
        <w:jc w:val="both"/>
        <w:ind w:left="160" w:right="20" w:firstLine="299"/>
        <w:spacing w:after="0" w:line="276" w:lineRule="auto"/>
        <w:rPr>
          <w:sz w:val="20"/>
          <w:szCs w:val="20"/>
          <w:color w:val="auto"/>
        </w:rPr>
      </w:pPr>
      <w:r>
        <w:rPr>
          <w:rFonts w:ascii="Arial" w:cs="Arial" w:eastAsia="Arial" w:hAnsi="Arial"/>
          <w:sz w:val="16"/>
          <w:szCs w:val="16"/>
          <w:color w:val="auto"/>
        </w:rPr>
        <w:t>On January 1, 2021 the Company granted a total of 107,000 stock options to members of key management with an exercise price of €7.25 per share with a final exercise date of December 31, 2030 unless forfeited or exercised on an earlier date.</w:t>
      </w:r>
    </w:p>
    <w:p>
      <w:pPr>
        <w:spacing w:after="0" w:line="144" w:lineRule="exact"/>
        <w:rPr>
          <w:sz w:val="20"/>
          <w:szCs w:val="20"/>
          <w:color w:val="auto"/>
        </w:rPr>
      </w:pPr>
    </w:p>
    <w:p>
      <w:pPr>
        <w:jc w:val="both"/>
        <w:ind w:left="160" w:right="20" w:firstLine="299"/>
        <w:spacing w:after="0" w:line="256" w:lineRule="auto"/>
        <w:rPr>
          <w:sz w:val="20"/>
          <w:szCs w:val="20"/>
          <w:color w:val="auto"/>
        </w:rPr>
      </w:pPr>
      <w:r>
        <w:rPr>
          <w:rFonts w:ascii="Arial" w:cs="Arial" w:eastAsia="Arial" w:hAnsi="Arial"/>
          <w:sz w:val="16"/>
          <w:szCs w:val="16"/>
          <w:color w:val="auto"/>
        </w:rPr>
        <w:t>On February 4, 2021, a total of 873,000 stock options were granted to members of key management with an exercise price of $20 per share with a final exercise date of February 4, 2031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60" w:lineRule="exact"/>
        <w:rPr>
          <w:sz w:val="20"/>
          <w:szCs w:val="20"/>
          <w:color w:val="auto"/>
        </w:rPr>
      </w:pPr>
    </w:p>
    <w:p>
      <w:pPr>
        <w:jc w:val="both"/>
        <w:ind w:left="160" w:right="20" w:firstLine="299"/>
        <w:spacing w:after="0" w:line="261" w:lineRule="auto"/>
        <w:rPr>
          <w:sz w:val="20"/>
          <w:szCs w:val="20"/>
          <w:color w:val="auto"/>
        </w:rPr>
      </w:pPr>
      <w:r>
        <w:rPr>
          <w:rFonts w:ascii="Arial" w:cs="Arial" w:eastAsia="Arial" w:hAnsi="Arial"/>
          <w:sz w:val="16"/>
          <w:szCs w:val="16"/>
          <w:color w:val="auto"/>
        </w:rPr>
        <w:t>On June 25, 2021, the grant date fair value was determined for 88,000 stock options granted to a member of key management with an exercise price of €2.38 per share with a final exercise date of February 2, 2030 unless forfeited or exercised on an earlier date. Each month, 1/48 of the options will vest, with final vesting on February 4, 2024.</w:t>
      </w:r>
    </w:p>
    <w:p>
      <w:pPr>
        <w:spacing w:after="0" w:line="156" w:lineRule="exact"/>
        <w:rPr>
          <w:sz w:val="20"/>
          <w:szCs w:val="20"/>
          <w:color w:val="auto"/>
        </w:rPr>
      </w:pPr>
    </w:p>
    <w:p>
      <w:pPr>
        <w:jc w:val="both"/>
        <w:ind w:left="160" w:right="20" w:firstLine="299"/>
        <w:spacing w:after="0" w:line="256"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4, 2031 unless forfeited or exercised on an earlier date. 25% of the aggregate number of share options shall vest on February 3,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60" w:lineRule="exact"/>
        <w:rPr>
          <w:sz w:val="20"/>
          <w:szCs w:val="20"/>
          <w:color w:val="auto"/>
        </w:rPr>
      </w:pPr>
    </w:p>
    <w:p>
      <w:pPr>
        <w:jc w:val="both"/>
        <w:ind w:left="160" w:right="20" w:firstLine="299"/>
        <w:spacing w:after="0" w:line="256"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6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6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On June 1, 2022, a total of 120,000 stock options were granted to a member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60" w:lineRule="exact"/>
        <w:rPr>
          <w:sz w:val="20"/>
          <w:szCs w:val="20"/>
          <w:color w:val="auto"/>
        </w:rPr>
      </w:pPr>
    </w:p>
    <w:p>
      <w:pPr>
        <w:jc w:val="both"/>
        <w:ind w:left="160" w:firstLine="357"/>
        <w:spacing w:after="0" w:line="256" w:lineRule="auto"/>
        <w:rPr>
          <w:sz w:val="20"/>
          <w:szCs w:val="20"/>
          <w:color w:val="auto"/>
        </w:rPr>
      </w:pPr>
      <w:r>
        <w:rPr>
          <w:rFonts w:ascii="Arial" w:cs="Arial" w:eastAsia="Arial" w:hAnsi="Arial"/>
          <w:sz w:val="16"/>
          <w:szCs w:val="16"/>
          <w:color w:val="auto"/>
        </w:rPr>
        <w:t>During 2022 and 2021, the Company granted a total of 681,588 and 175,991 RSUs, respectively,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expenses are recognized over the service period in the consolidated statements of loss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20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305"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Since inception, we have incurred significant operating losses. We incurred losses of €76,332,557 during the year ended December 31, 2022 and €42,730,779 during the year ended December 31, 2021. Since inception, we have not generated any revenues or net cash flows from sales. We will not receive any revenues or net cash flows from sales until we successful develop a product candidate, obtain regulatory approval and successfully commercialize it. There is no assurance that we will be able to do so.</w:t>
      </w:r>
    </w:p>
    <w:p>
      <w:pPr>
        <w:spacing w:after="0" w:line="160"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From inception through December 31, 2022, we have raised the following capital:</w:t>
      </w:r>
    </w:p>
    <w:p>
      <w:pPr>
        <w:spacing w:after="0" w:line="63"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4,850,000 Common shares raising €225,000;</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5,242,850 Series A preferred shares raising €14,899,133 (net of transaction costs);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3,003,391 Series B-1 preferred shares raising €21,631,526 (net of transaction costs);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4,646,756 Series B-2 preferred shares raising €34,246,281 (net of transaction costs);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5,826,279 Series C preferred shares raising €67,183,593 (net of transaction costs);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9,511,075 ordinary shares raising €146,154,986 (net of transaction costs);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588,100 ordinary shares raising €9,237,864 (net of transaction costs).</w:t>
      </w:r>
    </w:p>
    <w:p>
      <w:pPr>
        <w:spacing w:after="0" w:line="20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56"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On March 1, 2022, we entered into a sales agreement with SVB Securities LLC, or SVB Securities, pursuant to which we may sell ordinary shares having an aggregate offering price of up to $75 million from time to time through SVB Securities. During 2022, we sold a total of 588,100 ordinary shares in two different transactions under the sales agreement generating total net proceeds of $9,698,504, after deducting $299,954 which was payable to SVB Securities as commission in respect of such sales. Our understanding is that SVB Securities is not impacted by the Silicon Valley Bank ("SVB") receivership proceedings.</w:t>
      </w:r>
    </w:p>
    <w:p>
      <w:pPr>
        <w:spacing w:after="0" w:line="16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As of December 31, 2022 we held cash and cash equivalents of €161,837,429. Of the cash on hand, €65,567 relates to guarantees.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liabilities for at least twelve months from the issuance date of the consolidated statements of loss and comprehensive loss. Accordingly, the consolidated statements of loss and comprehensive loss have been prepared on a going concern basis.</w:t>
      </w:r>
    </w:p>
    <w:p>
      <w:pPr>
        <w:spacing w:after="0" w:line="144"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27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duration and impact of the clinical holds on deucrictibant clinical trials in the U.S.;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progress and cost of our discovery and nonclinical development;</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associated with any future investigator-sponsored clinical trials;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delays caused by the COVID-19 pandemic and associated restrictions;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operating as a public company in the United States.</w:t>
      </w:r>
    </w:p>
    <w:p>
      <w:pPr>
        <w:spacing w:after="0" w:line="20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56"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to other technologies or our clinical product candidate that we would prefer to develop and commercialize ourselves.</w:t>
      </w:r>
    </w:p>
    <w:p>
      <w:pPr>
        <w:spacing w:after="0" w:line="16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SVB. As of April 5, 2023,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for the years ended December 31, 2022 and December 31, 2021</w:t>
      </w:r>
    </w:p>
    <w:p>
      <w:pPr>
        <w:spacing w:after="0" w:line="202" w:lineRule="exact"/>
        <w:rPr>
          <w:sz w:val="20"/>
          <w:szCs w:val="20"/>
          <w:color w:val="auto"/>
        </w:rPr>
      </w:pPr>
    </w:p>
    <w:p>
      <w:pPr>
        <w:jc w:val="both"/>
        <w:ind w:left="160" w:firstLine="484"/>
        <w:spacing w:after="0" w:line="261" w:lineRule="auto"/>
        <w:rPr>
          <w:sz w:val="20"/>
          <w:szCs w:val="20"/>
          <w:color w:val="auto"/>
        </w:rPr>
      </w:pPr>
      <w:r>
        <w:rPr>
          <w:rFonts w:ascii="Arial" w:cs="Arial" w:eastAsia="Arial" w:hAnsi="Arial"/>
          <w:sz w:val="16"/>
          <w:szCs w:val="16"/>
          <w:color w:val="auto"/>
        </w:rPr>
        <w:t>A discussion of our cash flows for the year ended December 31, 2021 as compared to the year ended December 31, 2020 can be found in the section entitled “Item 5. Operating and Financial Review and Prospects—B. Liquidity and Capital Resources—Cash Flows—Comparison of the years ended December 31, 2021 and 2020” in our annual report on form 20-F, filed with the SEC on March 29, 2022.</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00" w:type="dxa"/>
            <w:vAlign w:val="bottom"/>
            <w:gridSpan w:val="3"/>
          </w:tcPr>
          <w:p>
            <w:pPr>
              <w:ind w:left="860"/>
              <w:spacing w:after="0"/>
              <w:rPr>
                <w:sz w:val="20"/>
                <w:szCs w:val="20"/>
                <w:color w:val="auto"/>
              </w:rPr>
            </w:pPr>
            <w:r>
              <w:rPr>
                <w:rFonts w:ascii="Arial" w:cs="Arial" w:eastAsia="Arial" w:hAnsi="Arial"/>
                <w:sz w:val="16"/>
                <w:szCs w:val="16"/>
                <w:b w:val="1"/>
                <w:bCs w:val="1"/>
                <w:color w:val="auto"/>
              </w:rPr>
              <w:t>For the year ended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4140" w:type="dxa"/>
            <w:vAlign w:val="bottom"/>
          </w:tcPr>
          <w:p>
            <w:pPr>
              <w:spacing w:after="0"/>
              <w:rPr>
                <w:sz w:val="19"/>
                <w:szCs w:val="19"/>
                <w:color w:val="auto"/>
              </w:rPr>
            </w:pPr>
          </w:p>
        </w:tc>
        <w:tc>
          <w:tcPr>
            <w:tcW w:w="280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414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6"/>
                <w:szCs w:val="16"/>
                <w:b w:val="1"/>
                <w:bCs w:val="1"/>
                <w:color w:val="auto"/>
              </w:rPr>
              <w:t>2022</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ind w:left="500"/>
              <w:spacing w:after="0"/>
              <w:rPr>
                <w:sz w:val="20"/>
                <w:szCs w:val="20"/>
                <w:color w:val="auto"/>
              </w:rPr>
            </w:pPr>
            <w:r>
              <w:rPr>
                <w:rFonts w:ascii="Arial" w:cs="Arial" w:eastAsia="Arial" w:hAnsi="Arial"/>
                <w:sz w:val="16"/>
                <w:szCs w:val="16"/>
                <w:b w:val="1"/>
                <w:bCs w:val="1"/>
                <w:color w:val="auto"/>
              </w:rPr>
              <w:t>Change</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1"/>
              </w:rPr>
              <w:t>(in €</w:t>
            </w:r>
          </w:p>
        </w:tc>
        <w:tc>
          <w:tcPr>
            <w:tcW w:w="260" w:type="dxa"/>
            <w:vAlign w:val="bottom"/>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flows used in operating activities</w:t>
            </w:r>
          </w:p>
        </w:tc>
        <w:tc>
          <w:tcPr>
            <w:tcW w:w="1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(67,162,634)</w:t>
            </w:r>
          </w:p>
        </w:tc>
        <w:tc>
          <w:tcPr>
            <w:tcW w:w="136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(44,599,684)</w:t>
            </w:r>
          </w:p>
        </w:tc>
        <w:tc>
          <w:tcPr>
            <w:tcW w:w="2200" w:type="dxa"/>
            <w:vAlign w:val="bottom"/>
            <w:gridSpan w:val="3"/>
            <w:shd w:val="clear" w:color="auto" w:fill="CFF0FC"/>
          </w:tcPr>
          <w:p>
            <w:pPr>
              <w:ind w:left="780"/>
              <w:spacing w:after="0"/>
              <w:rPr>
                <w:sz w:val="20"/>
                <w:szCs w:val="20"/>
                <w:color w:val="auto"/>
              </w:rPr>
            </w:pPr>
            <w:r>
              <w:rPr>
                <w:rFonts w:ascii="Arial" w:cs="Arial" w:eastAsia="Arial" w:hAnsi="Arial"/>
                <w:sz w:val="16"/>
                <w:szCs w:val="16"/>
                <w:color w:val="auto"/>
              </w:rPr>
              <w:t>(22,562,950)</w:t>
            </w:r>
          </w:p>
        </w:tc>
        <w:tc>
          <w:tcPr>
            <w:tcW w:w="10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440" w:type="dxa"/>
            <w:vAlign w:val="bottom"/>
          </w:tcPr>
          <w:p>
            <w:pPr>
              <w:ind w:left="140"/>
              <w:spacing w:after="0"/>
              <w:rPr>
                <w:sz w:val="20"/>
                <w:szCs w:val="20"/>
                <w:color w:val="auto"/>
              </w:rPr>
            </w:pPr>
            <w:r>
              <w:rPr>
                <w:rFonts w:ascii="Arial" w:cs="Arial" w:eastAsia="Arial" w:hAnsi="Arial"/>
                <w:sz w:val="16"/>
                <w:szCs w:val="16"/>
                <w:color w:val="auto"/>
              </w:rPr>
              <w:t>(124,296)</w:t>
            </w:r>
          </w:p>
        </w:tc>
        <w:tc>
          <w:tcPr>
            <w:tcW w:w="1360" w:type="dxa"/>
            <w:vAlign w:val="bottom"/>
            <w:gridSpan w:val="2"/>
          </w:tcPr>
          <w:p>
            <w:pPr>
              <w:ind w:left="420"/>
              <w:spacing w:after="0"/>
              <w:rPr>
                <w:sz w:val="20"/>
                <w:szCs w:val="20"/>
                <w:color w:val="auto"/>
              </w:rPr>
            </w:pPr>
            <w:r>
              <w:rPr>
                <w:rFonts w:ascii="Arial" w:cs="Arial" w:eastAsia="Arial" w:hAnsi="Arial"/>
                <w:sz w:val="16"/>
                <w:szCs w:val="16"/>
                <w:color w:val="auto"/>
              </w:rPr>
              <w:t>(130,032)</w:t>
            </w:r>
          </w:p>
        </w:tc>
        <w:tc>
          <w:tcPr>
            <w:tcW w:w="2200" w:type="dxa"/>
            <w:vAlign w:val="bottom"/>
            <w:gridSpan w:val="3"/>
          </w:tcPr>
          <w:p>
            <w:pPr>
              <w:ind w:left="780"/>
              <w:spacing w:after="0"/>
              <w:rPr>
                <w:sz w:val="20"/>
                <w:szCs w:val="20"/>
                <w:color w:val="auto"/>
              </w:rPr>
            </w:pPr>
            <w:r>
              <w:rPr>
                <w:rFonts w:ascii="Arial" w:cs="Arial" w:eastAsia="Arial" w:hAnsi="Arial"/>
                <w:sz w:val="16"/>
                <w:szCs w:val="16"/>
                <w:color w:val="auto"/>
              </w:rPr>
              <w:t>5,736</w:t>
            </w:r>
          </w:p>
        </w:tc>
        <w:tc>
          <w:tcPr>
            <w:tcW w:w="1060" w:type="dxa"/>
            <w:vAlign w:val="bottom"/>
            <w:gridSpan w:val="2"/>
          </w:tcPr>
          <w:p>
            <w:pPr>
              <w:ind w:left="40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flows provided by financing activities</w:t>
            </w:r>
          </w:p>
        </w:tc>
        <w:tc>
          <w:tcPr>
            <w:tcW w:w="1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8,650,368</w:t>
            </w:r>
          </w:p>
        </w:tc>
        <w:tc>
          <w:tcPr>
            <w:tcW w:w="136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143,671,339</w:t>
            </w:r>
          </w:p>
        </w:tc>
        <w:tc>
          <w:tcPr>
            <w:tcW w:w="2200" w:type="dxa"/>
            <w:vAlign w:val="bottom"/>
            <w:gridSpan w:val="3"/>
            <w:shd w:val="clear" w:color="auto" w:fill="CFF0FC"/>
          </w:tcPr>
          <w:p>
            <w:pPr>
              <w:ind w:left="780"/>
              <w:spacing w:after="0"/>
              <w:rPr>
                <w:sz w:val="20"/>
                <w:szCs w:val="20"/>
                <w:color w:val="auto"/>
              </w:rPr>
            </w:pPr>
            <w:r>
              <w:rPr>
                <w:rFonts w:ascii="Arial" w:cs="Arial" w:eastAsia="Arial" w:hAnsi="Arial"/>
                <w:sz w:val="16"/>
                <w:szCs w:val="16"/>
                <w:color w:val="auto"/>
              </w:rPr>
              <w:t>(135,020,971)</w:t>
            </w:r>
          </w:p>
        </w:tc>
        <w:tc>
          <w:tcPr>
            <w:tcW w:w="10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FF0FC"/>
          </w:tcPr>
          <w:p>
            <w:pPr>
              <w:spacing w:after="0"/>
              <w:rPr>
                <w:sz w:val="19"/>
                <w:szCs w:val="19"/>
                <w:color w:val="auto"/>
              </w:rPr>
            </w:pPr>
          </w:p>
        </w:tc>
      </w:tr>
      <w:tr>
        <w:trPr>
          <w:trHeight w:val="184"/>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w:t>
            </w:r>
          </w:p>
        </w:tc>
        <w:tc>
          <w:tcPr>
            <w:tcW w:w="1440" w:type="dxa"/>
            <w:vAlign w:val="bottom"/>
          </w:tcPr>
          <w:p>
            <w:pPr>
              <w:ind w:left="140"/>
              <w:spacing w:after="0"/>
              <w:rPr>
                <w:sz w:val="20"/>
                <w:szCs w:val="20"/>
                <w:color w:val="auto"/>
              </w:rPr>
            </w:pPr>
            <w:r>
              <w:rPr>
                <w:rFonts w:ascii="Arial" w:cs="Arial" w:eastAsia="Arial" w:hAnsi="Arial"/>
                <w:sz w:val="16"/>
                <w:szCs w:val="16"/>
                <w:b w:val="1"/>
                <w:bCs w:val="1"/>
                <w:color w:val="auto"/>
              </w:rPr>
              <w:t>(58,636,562)</w:t>
            </w:r>
          </w:p>
        </w:tc>
        <w:tc>
          <w:tcPr>
            <w:tcW w:w="1360" w:type="dxa"/>
            <w:vAlign w:val="bottom"/>
            <w:gridSpan w:val="2"/>
          </w:tcPr>
          <w:p>
            <w:pPr>
              <w:ind w:left="420"/>
              <w:spacing w:after="0"/>
              <w:rPr>
                <w:sz w:val="20"/>
                <w:szCs w:val="20"/>
                <w:color w:val="auto"/>
              </w:rPr>
            </w:pPr>
            <w:r>
              <w:rPr>
                <w:rFonts w:ascii="Arial" w:cs="Arial" w:eastAsia="Arial" w:hAnsi="Arial"/>
                <w:sz w:val="16"/>
                <w:szCs w:val="16"/>
                <w:b w:val="1"/>
                <w:bCs w:val="1"/>
                <w:color w:val="auto"/>
              </w:rPr>
              <w:t>98,941,623</w:t>
            </w:r>
          </w:p>
        </w:tc>
        <w:tc>
          <w:tcPr>
            <w:tcW w:w="2200" w:type="dxa"/>
            <w:vAlign w:val="bottom"/>
            <w:gridSpan w:val="3"/>
          </w:tcPr>
          <w:p>
            <w:pPr>
              <w:ind w:left="780"/>
              <w:spacing w:after="0"/>
              <w:rPr>
                <w:sz w:val="20"/>
                <w:szCs w:val="20"/>
                <w:color w:val="auto"/>
              </w:rPr>
            </w:pPr>
            <w:r>
              <w:rPr>
                <w:rFonts w:ascii="Arial" w:cs="Arial" w:eastAsia="Arial" w:hAnsi="Arial"/>
                <w:sz w:val="16"/>
                <w:szCs w:val="16"/>
                <w:b w:val="1"/>
                <w:bCs w:val="1"/>
                <w:color w:val="auto"/>
              </w:rPr>
              <w:t>(157,578,185)</w:t>
            </w:r>
          </w:p>
        </w:tc>
        <w:tc>
          <w:tcPr>
            <w:tcW w:w="1060" w:type="dxa"/>
            <w:vAlign w:val="bottom"/>
            <w:gridSpan w:val="2"/>
          </w:tcPr>
          <w:p>
            <w:pPr>
              <w:ind w:left="400"/>
              <w:spacing w:after="0"/>
              <w:rPr>
                <w:sz w:val="20"/>
                <w:szCs w:val="20"/>
                <w:color w:val="auto"/>
              </w:rPr>
            </w:pPr>
            <w:r>
              <w:rPr>
                <w:rFonts w:ascii="Arial" w:cs="Arial" w:eastAsia="Arial" w:hAnsi="Arial"/>
                <w:sz w:val="16"/>
                <w:szCs w:val="16"/>
                <w:b w:val="1"/>
                <w:bCs w:val="1"/>
                <w:color w:val="auto"/>
              </w:rPr>
              <w:t>(159)%</w:t>
            </w:r>
          </w:p>
        </w:tc>
        <w:tc>
          <w:tcPr>
            <w:tcW w:w="140" w:type="dxa"/>
            <w:vAlign w:val="bottom"/>
          </w:tcPr>
          <w:p>
            <w:pPr>
              <w:spacing w:after="0"/>
              <w:rPr>
                <w:sz w:val="16"/>
                <w:szCs w:val="16"/>
                <w:color w:val="auto"/>
              </w:rPr>
            </w:pPr>
          </w:p>
        </w:tc>
      </w:tr>
      <w:tr>
        <w:trPr>
          <w:trHeight w:val="221"/>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equivalents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4"/>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beginning  of</w:t>
            </w:r>
          </w:p>
        </w:tc>
        <w:tc>
          <w:tcPr>
            <w:tcW w:w="1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(209,353,132)</w:t>
            </w:r>
          </w:p>
        </w:tc>
        <w:tc>
          <w:tcPr>
            <w:tcW w:w="1360" w:type="dxa"/>
            <w:vAlign w:val="bottom"/>
            <w:gridSpan w:val="2"/>
            <w:shd w:val="clear" w:color="auto" w:fill="CFF0FC"/>
          </w:tcPr>
          <w:p>
            <w:pPr>
              <w:ind w:left="420"/>
              <w:spacing w:after="0"/>
              <w:rPr>
                <w:sz w:val="20"/>
                <w:szCs w:val="20"/>
                <w:color w:val="auto"/>
              </w:rPr>
            </w:pPr>
            <w:r>
              <w:rPr>
                <w:rFonts w:ascii="Arial" w:cs="Arial" w:eastAsia="Arial" w:hAnsi="Arial"/>
                <w:sz w:val="16"/>
                <w:szCs w:val="16"/>
                <w:b w:val="1"/>
                <w:bCs w:val="1"/>
                <w:color w:val="auto"/>
              </w:rPr>
              <w:t>98,628,871</w:t>
            </w:r>
          </w:p>
        </w:tc>
        <w:tc>
          <w:tcPr>
            <w:tcW w:w="2200" w:type="dxa"/>
            <w:vAlign w:val="bottom"/>
            <w:gridSpan w:val="3"/>
            <w:shd w:val="clear" w:color="auto" w:fill="CFF0FC"/>
          </w:tcPr>
          <w:p>
            <w:pPr>
              <w:ind w:left="780"/>
              <w:spacing w:after="0"/>
              <w:rPr>
                <w:sz w:val="20"/>
                <w:szCs w:val="20"/>
                <w:color w:val="auto"/>
              </w:rPr>
            </w:pPr>
            <w:r>
              <w:rPr>
                <w:rFonts w:ascii="Arial" w:cs="Arial" w:eastAsia="Arial" w:hAnsi="Arial"/>
                <w:sz w:val="16"/>
                <w:szCs w:val="16"/>
                <w:b w:val="1"/>
                <w:bCs w:val="1"/>
                <w:color w:val="auto"/>
              </w:rPr>
              <w:t>110,724,261</w:t>
            </w:r>
          </w:p>
        </w:tc>
        <w:tc>
          <w:tcPr>
            <w:tcW w:w="1060" w:type="dxa"/>
            <w:vAlign w:val="bottom"/>
            <w:gridSpan w:val="2"/>
            <w:shd w:val="clear" w:color="auto" w:fill="CFF0FC"/>
          </w:tcPr>
          <w:p>
            <w:pPr>
              <w:ind w:left="400"/>
              <w:spacing w:after="0"/>
              <w:rPr>
                <w:sz w:val="20"/>
                <w:szCs w:val="20"/>
                <w:color w:val="auto"/>
              </w:rPr>
            </w:pPr>
            <w:r>
              <w:rPr>
                <w:rFonts w:ascii="Arial" w:cs="Arial" w:eastAsia="Arial" w:hAnsi="Arial"/>
                <w:sz w:val="16"/>
                <w:szCs w:val="16"/>
                <w:b w:val="1"/>
                <w:bCs w:val="1"/>
                <w:color w:val="auto"/>
              </w:rPr>
              <w:t>112%</w:t>
            </w:r>
          </w:p>
        </w:tc>
        <w:tc>
          <w:tcPr>
            <w:tcW w:w="140" w:type="dxa"/>
            <w:vAlign w:val="bottom"/>
            <w:shd w:val="clear" w:color="auto" w:fill="CFF0FC"/>
          </w:tcPr>
          <w:p>
            <w:pPr>
              <w:spacing w:after="0"/>
              <w:rPr>
                <w:sz w:val="16"/>
                <w:szCs w:val="16"/>
                <w:color w:val="auto"/>
              </w:rPr>
            </w:pPr>
          </w:p>
        </w:tc>
      </w:tr>
      <w:tr>
        <w:trPr>
          <w:trHeight w:val="22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period</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440" w:type="dxa"/>
            <w:vAlign w:val="bottom"/>
          </w:tcPr>
          <w:p>
            <w:pPr>
              <w:ind w:left="140"/>
              <w:spacing w:after="0"/>
              <w:rPr>
                <w:sz w:val="20"/>
                <w:szCs w:val="20"/>
                <w:color w:val="auto"/>
              </w:rPr>
            </w:pPr>
            <w:r>
              <w:rPr>
                <w:rFonts w:ascii="Arial" w:cs="Arial" w:eastAsia="Arial" w:hAnsi="Arial"/>
                <w:sz w:val="16"/>
                <w:szCs w:val="16"/>
                <w:color w:val="auto"/>
              </w:rPr>
              <w:t>11,120,859</w:t>
            </w:r>
          </w:p>
        </w:tc>
        <w:tc>
          <w:tcPr>
            <w:tcW w:w="1360" w:type="dxa"/>
            <w:vAlign w:val="bottom"/>
            <w:gridSpan w:val="2"/>
          </w:tcPr>
          <w:p>
            <w:pPr>
              <w:ind w:left="420"/>
              <w:spacing w:after="0"/>
              <w:rPr>
                <w:sz w:val="20"/>
                <w:szCs w:val="20"/>
                <w:color w:val="auto"/>
              </w:rPr>
            </w:pPr>
            <w:r>
              <w:rPr>
                <w:rFonts w:ascii="Arial" w:cs="Arial" w:eastAsia="Arial" w:hAnsi="Arial"/>
                <w:sz w:val="16"/>
                <w:szCs w:val="16"/>
                <w:color w:val="auto"/>
              </w:rPr>
              <w:t>11,782,638</w:t>
            </w:r>
          </w:p>
        </w:tc>
        <w:tc>
          <w:tcPr>
            <w:tcW w:w="2200" w:type="dxa"/>
            <w:vAlign w:val="bottom"/>
            <w:gridSpan w:val="3"/>
          </w:tcPr>
          <w:p>
            <w:pPr>
              <w:ind w:left="780"/>
              <w:spacing w:after="0"/>
              <w:rPr>
                <w:sz w:val="20"/>
                <w:szCs w:val="20"/>
                <w:color w:val="auto"/>
              </w:rPr>
            </w:pPr>
            <w:r>
              <w:rPr>
                <w:rFonts w:ascii="Arial" w:cs="Arial" w:eastAsia="Arial" w:hAnsi="Arial"/>
                <w:sz w:val="16"/>
                <w:szCs w:val="16"/>
                <w:color w:val="auto"/>
              </w:rPr>
              <w:t>(661,779)</w:t>
            </w:r>
          </w:p>
        </w:tc>
        <w:tc>
          <w:tcPr>
            <w:tcW w:w="1060" w:type="dxa"/>
            <w:vAlign w:val="bottom"/>
            <w:gridSpan w:val="2"/>
          </w:tcPr>
          <w:p>
            <w:pPr>
              <w:ind w:left="40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161,837,429</w:t>
            </w:r>
          </w:p>
        </w:tc>
        <w:tc>
          <w:tcPr>
            <w:tcW w:w="1360" w:type="dxa"/>
            <w:vAlign w:val="bottom"/>
            <w:gridSpan w:val="2"/>
            <w:shd w:val="clear" w:color="auto" w:fill="CFF0FC"/>
          </w:tcPr>
          <w:p>
            <w:pPr>
              <w:ind w:left="420"/>
              <w:spacing w:after="0"/>
              <w:rPr>
                <w:sz w:val="20"/>
                <w:szCs w:val="20"/>
                <w:color w:val="auto"/>
              </w:rPr>
            </w:pPr>
            <w:r>
              <w:rPr>
                <w:rFonts w:ascii="Arial" w:cs="Arial" w:eastAsia="Arial" w:hAnsi="Arial"/>
                <w:sz w:val="16"/>
                <w:szCs w:val="16"/>
                <w:b w:val="1"/>
                <w:bCs w:val="1"/>
                <w:color w:val="auto"/>
              </w:rPr>
              <w:t>209,353,132</w:t>
            </w:r>
          </w:p>
        </w:tc>
        <w:tc>
          <w:tcPr>
            <w:tcW w:w="2200" w:type="dxa"/>
            <w:vAlign w:val="bottom"/>
            <w:gridSpan w:val="3"/>
            <w:shd w:val="clear" w:color="auto" w:fill="CFF0FC"/>
          </w:tcPr>
          <w:p>
            <w:pPr>
              <w:ind w:left="780"/>
              <w:spacing w:after="0"/>
              <w:rPr>
                <w:sz w:val="20"/>
                <w:szCs w:val="20"/>
                <w:color w:val="auto"/>
              </w:rPr>
            </w:pPr>
            <w:r>
              <w:rPr>
                <w:rFonts w:ascii="Arial" w:cs="Arial" w:eastAsia="Arial" w:hAnsi="Arial"/>
                <w:sz w:val="16"/>
                <w:szCs w:val="16"/>
                <w:b w:val="1"/>
                <w:bCs w:val="1"/>
                <w:color w:val="auto"/>
              </w:rPr>
              <w:t>(47,515,703)</w:t>
            </w:r>
          </w:p>
        </w:tc>
        <w:tc>
          <w:tcPr>
            <w:tcW w:w="1060" w:type="dxa"/>
            <w:vAlign w:val="bottom"/>
            <w:gridSpan w:val="2"/>
            <w:shd w:val="clear" w:color="auto" w:fill="CFF0FC"/>
          </w:tcPr>
          <w:p>
            <w:pPr>
              <w:ind w:left="400"/>
              <w:spacing w:after="0"/>
              <w:rPr>
                <w:sz w:val="20"/>
                <w:szCs w:val="20"/>
                <w:color w:val="auto"/>
              </w:rPr>
            </w:pPr>
            <w:r>
              <w:rPr>
                <w:rFonts w:ascii="Arial" w:cs="Arial" w:eastAsia="Arial" w:hAnsi="Arial"/>
                <w:sz w:val="16"/>
                <w:szCs w:val="16"/>
                <w:b w:val="1"/>
                <w:bCs w:val="1"/>
                <w:color w:val="auto"/>
              </w:rPr>
              <w:t>(23)%</w:t>
            </w:r>
          </w:p>
        </w:tc>
        <w:tc>
          <w:tcPr>
            <w:tcW w:w="140" w:type="dxa"/>
            <w:vAlign w:val="bottom"/>
            <w:shd w:val="clear" w:color="auto" w:fill="CFF0FC"/>
          </w:tcPr>
          <w:p>
            <w:pPr>
              <w:spacing w:after="0"/>
              <w:rPr>
                <w:sz w:val="19"/>
                <w:szCs w:val="19"/>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4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Net cash flows used in operating activities increased by €22.6 million or 51%, from €44.6 million for the year ended December 31, 2021 to €67.2 million for the year ended December 31, 2022. The change is due primarily due to the increase in research and development expenses and other operating expenses, due to progression made in the development programs and the growth of our organization.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Net cash flows used in investing activities decreased by €0.01 million or 4%, from €0.13 million for the year ended December 31, 2021 to €0.12 million for the year ended December 31, 2022, primarily as a result of decreased capital expenditures on office equipment.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Net cash flows provided by financing activities decreased by €135.0 million, or 94%, from €143.7 million for the year ended December 31, 2021 to €8.7 million for the year ended December 31, 2022 . Net cash provided by financing activities in the year ended December 31, 2022 consisted primarily of the receipt of €9,2 million received from the sale of ordinary shares, offset by transaction costs of €0.8 million and the increase in lease liabilities of €0.1 million. The IPO proceeds in 2021 was €146,2 million net of underwriting discount and other transaction costs.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Group has entered into research and development commitments in relation to the development of the Group’s oral bradykinin B2 receptor antagonist.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relating to our contractual obligations and commitments as of December 31, 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8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Arial" w:cs="Arial" w:eastAsia="Arial" w:hAnsi="Arial"/>
                <w:sz w:val="16"/>
                <w:szCs w:val="16"/>
                <w:b w:val="1"/>
                <w:bCs w:val="1"/>
                <w:color w:val="auto"/>
              </w:rPr>
              <w:t>Less than 1</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Between 1</w:t>
            </w:r>
          </w:p>
        </w:tc>
        <w:tc>
          <w:tcPr>
            <w:tcW w:w="28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rPr>
              <w:t>More than</w:t>
            </w:r>
          </w:p>
        </w:tc>
        <w:tc>
          <w:tcPr>
            <w:tcW w:w="140" w:type="dxa"/>
            <w:vAlign w:val="bottom"/>
          </w:tcPr>
          <w:p>
            <w:pPr>
              <w:spacing w:after="0"/>
              <w:rPr>
                <w:sz w:val="18"/>
                <w:szCs w:val="18"/>
                <w:color w:val="auto"/>
              </w:rPr>
            </w:pPr>
          </w:p>
        </w:tc>
      </w:tr>
      <w:tr>
        <w:trPr>
          <w:trHeight w:val="221"/>
        </w:trPr>
        <w:tc>
          <w:tcPr>
            <w:tcW w:w="384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year</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and 3 years</w:t>
            </w:r>
          </w:p>
        </w:tc>
        <w:tc>
          <w:tcPr>
            <w:tcW w:w="280" w:type="dxa"/>
            <w:vAlign w:val="bottom"/>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5 years</w:t>
            </w:r>
          </w:p>
        </w:tc>
        <w:tc>
          <w:tcPr>
            <w:tcW w:w="140" w:type="dxa"/>
            <w:vAlign w:val="bottom"/>
          </w:tcPr>
          <w:p>
            <w:pPr>
              <w:spacing w:after="0"/>
              <w:rPr>
                <w:sz w:val="19"/>
                <w:szCs w:val="19"/>
                <w:color w:val="auto"/>
              </w:rPr>
            </w:pPr>
          </w:p>
        </w:tc>
      </w:tr>
      <w:tr>
        <w:trPr>
          <w:trHeight w:val="210"/>
        </w:trPr>
        <w:tc>
          <w:tcPr>
            <w:tcW w:w="3840" w:type="dxa"/>
            <w:vAlign w:val="bottom"/>
          </w:tcPr>
          <w:p>
            <w:pPr>
              <w:spacing w:after="0"/>
              <w:rPr>
                <w:sz w:val="18"/>
                <w:szCs w:val="18"/>
                <w:color w:val="auto"/>
              </w:rPr>
            </w:pPr>
          </w:p>
        </w:tc>
        <w:tc>
          <w:tcPr>
            <w:tcW w:w="180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w w:val="99"/>
              </w:rPr>
              <w:t>(in €)</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Service contracts</w:t>
            </w:r>
          </w:p>
        </w:tc>
        <w:tc>
          <w:tcPr>
            <w:tcW w:w="180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rPr>
              <w:t>27,972,000</w:t>
            </w:r>
          </w:p>
        </w:tc>
        <w:tc>
          <w:tcPr>
            <w:tcW w:w="2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21,819,000</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6,153,000</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00" w:type="dxa"/>
            <w:vAlign w:val="bottom"/>
          </w:tcPr>
          <w:p>
            <w:pPr>
              <w:jc w:val="right"/>
              <w:ind w:right="759"/>
              <w:spacing w:after="0"/>
              <w:rPr>
                <w:sz w:val="20"/>
                <w:szCs w:val="20"/>
                <w:color w:val="auto"/>
              </w:rPr>
            </w:pPr>
            <w:r>
              <w:rPr>
                <w:rFonts w:ascii="Arial" w:cs="Arial" w:eastAsia="Arial" w:hAnsi="Arial"/>
                <w:sz w:val="16"/>
                <w:szCs w:val="16"/>
                <w:color w:val="auto"/>
              </w:rPr>
              <w:t>27,972,000</w:t>
            </w:r>
          </w:p>
        </w:tc>
        <w:tc>
          <w:tcPr>
            <w:tcW w:w="1720" w:type="dxa"/>
            <w:vAlign w:val="bottom"/>
            <w:gridSpan w:val="2"/>
          </w:tcPr>
          <w:p>
            <w:pPr>
              <w:jc w:val="right"/>
              <w:ind w:right="419"/>
              <w:spacing w:after="0"/>
              <w:rPr>
                <w:sz w:val="20"/>
                <w:szCs w:val="20"/>
                <w:color w:val="auto"/>
              </w:rPr>
            </w:pPr>
            <w:r>
              <w:rPr>
                <w:rFonts w:ascii="Arial" w:cs="Arial" w:eastAsia="Arial" w:hAnsi="Arial"/>
                <w:sz w:val="16"/>
                <w:szCs w:val="16"/>
                <w:color w:val="auto"/>
              </w:rPr>
              <w:t>21,819,000</w:t>
            </w:r>
          </w:p>
        </w:tc>
        <w:tc>
          <w:tcPr>
            <w:tcW w:w="1300" w:type="dxa"/>
            <w:vAlign w:val="bottom"/>
            <w:gridSpan w:val="2"/>
          </w:tcPr>
          <w:p>
            <w:pPr>
              <w:jc w:val="center"/>
              <w:ind w:left="179"/>
              <w:spacing w:after="0"/>
              <w:rPr>
                <w:sz w:val="20"/>
                <w:szCs w:val="20"/>
                <w:color w:val="auto"/>
              </w:rPr>
            </w:pPr>
            <w:r>
              <w:rPr>
                <w:rFonts w:ascii="Arial" w:cs="Arial" w:eastAsia="Arial" w:hAnsi="Arial"/>
                <w:sz w:val="16"/>
                <w:szCs w:val="16"/>
                <w:color w:val="auto"/>
              </w:rPr>
              <w:t>6,153,000</w:t>
            </w:r>
          </w:p>
        </w:tc>
        <w:tc>
          <w:tcPr>
            <w:tcW w:w="28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857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857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-170815</wp:posOffset>
            </wp:positionV>
            <wp:extent cx="8572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34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The table above does not include potential milestone fees, sublicense fees, royalty fees, licensing maintenance fees, and reimbursement of patent maintenance costs that we may be required to pay under the agreement we have entered into with AnalytiCon to license intellectual property. 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 We have not included such potential obligations in the table above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 in our annual report on form 20-F, filed with the SEC on April 5,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Research and development, patents and licenses, etc.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chapter 2.2.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Trend information</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For a discussion of trend information, see chapter “ITEM 5. OPERATING AND FINANCIAL REVIEW AND PROSPECTS.” in our annual report on form 20-F, filed with the SEC on April 5, 2023.</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Critical accounting estimates</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Our consolidated financial statements are prepared in conformity with IFRS-EU,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report.</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2.6 Material subsequent events</w:t>
      </w:r>
    </w:p>
    <w:p>
      <w:pPr>
        <w:spacing w:after="0" w:line="194" w:lineRule="exact"/>
        <w:rPr>
          <w:sz w:val="20"/>
          <w:szCs w:val="20"/>
          <w:color w:val="auto"/>
        </w:rPr>
      </w:pPr>
    </w:p>
    <w:p>
      <w:pPr>
        <w:jc w:val="both"/>
        <w:ind w:left="160" w:firstLine="299"/>
        <w:spacing w:after="0" w:line="286" w:lineRule="auto"/>
        <w:rPr>
          <w:sz w:val="20"/>
          <w:szCs w:val="20"/>
          <w:color w:val="auto"/>
        </w:rPr>
      </w:pPr>
      <w:r>
        <w:rPr>
          <w:rFonts w:ascii="Arial" w:cs="Arial" w:eastAsia="Arial" w:hAnsi="Arial"/>
          <w:sz w:val="16"/>
          <w:szCs w:val="16"/>
          <w:color w:val="auto"/>
        </w:rPr>
        <w:t>See Note 23 (</w:t>
      </w:r>
      <w:r>
        <w:rPr>
          <w:rFonts w:ascii="Arial" w:cs="Arial" w:eastAsia="Arial" w:hAnsi="Arial"/>
          <w:sz w:val="16"/>
          <w:szCs w:val="16"/>
          <w:i w:val="1"/>
          <w:iCs w:val="1"/>
          <w:color w:val="auto"/>
        </w:rPr>
        <w:t>Events after the reporting period</w:t>
      </w:r>
      <w:r>
        <w:rPr>
          <w:rFonts w:ascii="Arial" w:cs="Arial" w:eastAsia="Arial" w:hAnsi="Arial"/>
          <w:sz w:val="16"/>
          <w:szCs w:val="16"/>
          <w:color w:val="auto"/>
        </w:rPr>
        <w:t xml:space="preserve">) to the consolidated financial statements included in the </w:t>
      </w:r>
      <w:r>
        <w:rPr>
          <w:rFonts w:ascii="Arial" w:cs="Arial" w:eastAsia="Arial" w:hAnsi="Arial"/>
          <w:sz w:val="16"/>
          <w:szCs w:val="16"/>
          <w:b w:val="1"/>
          <w:bCs w:val="1"/>
          <w:color w:val="auto"/>
        </w:rPr>
        <w:t>Consolidated Financial Statements</w:t>
      </w:r>
      <w:r>
        <w:rPr>
          <w:rFonts w:ascii="Arial" w:cs="Arial" w:eastAsia="Arial" w:hAnsi="Arial"/>
          <w:sz w:val="16"/>
          <w:szCs w:val="16"/>
          <w:color w:val="auto"/>
        </w:rPr>
        <w:t xml:space="preserve"> for an overview of events which do not need to be discussed in the Company's statutory annual accounts and which might influence the Company's outlook.</w:t>
      </w:r>
    </w:p>
    <w:p>
      <w:pPr>
        <w:spacing w:after="0" w:line="137"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There are no other events which might influence the Company's outlook and which are not discussed in the statutory annual accounts included in this report.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Risk factors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3.1 Summary of key risk factors</w:t>
      </w:r>
    </w:p>
    <w:p>
      <w:pPr>
        <w:spacing w:after="0" w:line="202" w:lineRule="exact"/>
        <w:rPr>
          <w:sz w:val="20"/>
          <w:szCs w:val="20"/>
          <w:color w:val="auto"/>
        </w:rPr>
      </w:pPr>
    </w:p>
    <w:p>
      <w:pPr>
        <w:jc w:val="both"/>
        <w:ind w:left="160" w:firstLine="871"/>
        <w:spacing w:after="0" w:line="261" w:lineRule="auto"/>
        <w:rPr>
          <w:sz w:val="20"/>
          <w:szCs w:val="20"/>
          <w:color w:val="auto"/>
        </w:rPr>
      </w:pPr>
      <w:r>
        <w:rPr>
          <w:rFonts w:ascii="Arial" w:cs="Arial" w:eastAsia="Arial" w:hAnsi="Arial"/>
          <w:sz w:val="16"/>
          <w:szCs w:val="16"/>
          <w:color w:val="auto"/>
        </w:rPr>
        <w:t>The principal risks and uncertainties which the Company faces include the risks and uncertainties summarized in this chapter 3.1. As a clinical stage biopharma company, the risk appetite is low. See chapter 3.2 of this report for additional detail and additional risks and uncertainties which the Company faces.</w:t>
      </w:r>
    </w:p>
    <w:p>
      <w:pPr>
        <w:spacing w:after="0" w:line="75" w:lineRule="exact"/>
        <w:rPr>
          <w:sz w:val="20"/>
          <w:szCs w:val="20"/>
          <w:color w:val="auto"/>
        </w:rPr>
      </w:pPr>
    </w:p>
    <w:p>
      <w:pPr>
        <w:jc w:val="both"/>
        <w:ind w:left="1020" w:hanging="503"/>
        <w:spacing w:after="0" w:line="261"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such as the COVID-19 pandemic and political instability such as the recent conflict in Ukraine.</w:t>
      </w:r>
    </w:p>
    <w:p>
      <w:pPr>
        <w:spacing w:after="0" w:line="62" w:lineRule="exact"/>
        <w:rPr>
          <w:rFonts w:ascii="Arial" w:cs="Arial" w:eastAsia="Arial" w:hAnsi="Arial"/>
          <w:sz w:val="16"/>
          <w:szCs w:val="16"/>
          <w:color w:val="auto"/>
        </w:rPr>
      </w:pPr>
    </w:p>
    <w:p>
      <w:pPr>
        <w:jc w:val="both"/>
        <w:ind w:left="1020" w:hanging="503"/>
        <w:spacing w:after="0" w:line="251"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are heavily dependent on the success of our product candidates PHVS416 and PHVS719, which are in mid-stage development. We have released topline data from our RAPIDe-1 study demonstrating efficacy in our Phase 2 clinical trial for treatment of HAE attacks on demand using PHVS416, but have not completed our assessment of efficacy for prevention of HAE attacks using PHVS719.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276" w:lineRule="exact"/>
        <w:rPr>
          <w:rFonts w:ascii="Arial" w:cs="Arial" w:eastAsia="Arial" w:hAnsi="Arial"/>
          <w:sz w:val="16"/>
          <w:szCs w:val="16"/>
          <w:color w:val="auto"/>
        </w:rPr>
      </w:pPr>
    </w:p>
    <w:p>
      <w:pPr>
        <w:jc w:val="both"/>
        <w:ind w:left="1020" w:hanging="503"/>
        <w:spacing w:after="0" w:line="251"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proof-of-mechanism for deucrictibant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8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6"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6"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74"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78"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74"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market price of our ordinary shares is likely to be highly volatile.</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3.2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194"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3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83"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 clinical development of our current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hire additional personnel;</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08"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60"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3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63"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duration and impact of the clinical holds on deucrictibant clinical trials in the U.S.;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progress and cost of our discovery and nonclinical development;</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costs associated with any future investigator-sponsored clinical trials;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costs of any delays caused by the COVID-19 pandemic and associated restrictions;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of operating as a public company in the United States.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resulting from the COVID-19 pandemic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62"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1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may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pacing w:after="0" w:line="156" w:lineRule="exact"/>
        <w:rPr>
          <w:sz w:val="20"/>
          <w:szCs w:val="20"/>
          <w:color w:val="auto"/>
        </w:rPr>
      </w:pPr>
    </w:p>
    <w:p>
      <w:pPr>
        <w:jc w:val="both"/>
        <w:ind w:left="160" w:firstLine="299"/>
        <w:spacing w:after="0" w:line="265"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40"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the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and to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as of and for the fiscal year ended December 31, 2022,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84" w:lineRule="exact"/>
        <w:rPr>
          <w:sz w:val="20"/>
          <w:szCs w:val="20"/>
          <w:color w:val="auto"/>
        </w:rPr>
      </w:pPr>
    </w:p>
    <w:p>
      <w:pPr>
        <w:jc w:val="both"/>
        <w:ind w:left="1020" w:hanging="503"/>
        <w:spacing w:after="0" w:line="261"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74"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16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 To remediate the identified material weaknesses we have taken, and continue to take, various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auto"/>
        </w:rPr>
        <w:t>actions including, among other things: (i) hiring additional qualified accounting and financial reporting personnel, (ii) further developing and documenting our risk assessment matrix and scoping, to identify key processes and controls, (iii) further developing and implementing our formal policies, processes, and internal controls relating to our key processes, including financial reporting; and (iv) selecting a new accounting system that will be implemented in 2023 and that will improve the application controls over information technology and reduce the manual nature of execution of key controls throughout significant business processes. 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68" w:lineRule="exact"/>
        <w:rPr>
          <w:sz w:val="20"/>
          <w:szCs w:val="20"/>
          <w:color w:val="auto"/>
        </w:rPr>
      </w:pPr>
    </w:p>
    <w:p>
      <w:pPr>
        <w:jc w:val="both"/>
        <w:ind w:left="160" w:firstLine="351"/>
        <w:spacing w:after="0" w:line="249"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However, our independent registered public accounting firm was not required to attest to the effectiveness of our internal control over financial reporting and will not be so required for as long as we are an “emerging growth company” under the JOBS Act. We could be an “emerging growth company” until December 31, 2026 (the last day of our fiscal year following the fifth anniversary of our initial public offering in February 2021).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could be also subject to sanctions or investigations by Nasdaq, the SEC or other regulatory authorities.</w:t>
      </w:r>
    </w:p>
    <w:p>
      <w:pPr>
        <w:spacing w:after="0" w:line="194"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1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4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depends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6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194" w:lineRule="exact"/>
        <w:rPr>
          <w:sz w:val="20"/>
          <w:szCs w:val="20"/>
          <w:color w:val="auto"/>
        </w:rPr>
      </w:pPr>
    </w:p>
    <w:p>
      <w:pPr>
        <w:jc w:val="both"/>
        <w:ind w:left="160" w:firstLine="299"/>
        <w:spacing w:after="0" w:line="255"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recent clinical holds. Moreover, we have established proof-of-mechanism for deucrictibant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15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auto"/>
        </w:rPr>
        <w:t>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proof-of-mechanism for deucrictibant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The protocol for this nonclinical study has been reviewed by the FDA and the study has commenced. The FDA also agreed to partially lift the hold on our on-demand IND to allow the two remaining U.S. participants in our RAPIDe-1 trial to complete treatment, but there can be no assurance that both clinical holds will be fully lifted.</w:t>
      </w:r>
    </w:p>
    <w:p>
      <w:pPr>
        <w:spacing w:after="0" w:line="17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83" w:lineRule="exact"/>
        <w:rPr>
          <w:sz w:val="20"/>
          <w:szCs w:val="20"/>
          <w:color w:val="auto"/>
        </w:rPr>
      </w:pPr>
    </w:p>
    <w:p>
      <w:pPr>
        <w:jc w:val="both"/>
        <w:ind w:left="1020" w:hanging="503"/>
        <w:spacing w:after="0" w:line="261"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PHVS416 and PHVS719 programs and designs for improving the efficiency of our clinical development path;</w:t>
      </w:r>
    </w:p>
    <w:p>
      <w:pPr>
        <w:spacing w:after="0" w:line="74"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of CROs to adequately supervise investigators;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 the COVID-19 pandemic;</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 or failure in having subjects complete a trial or return for post-treatment follow-up, including due to the COVID-19 pandemic; or the escalation of the ongoing conflict in Ukraine;</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lack of adequate funding to continue a clinical trial;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44" w:lineRule="exact"/>
        <w:rPr>
          <w:sz w:val="20"/>
          <w:szCs w:val="20"/>
          <w:color w:val="auto"/>
        </w:rPr>
      </w:pPr>
    </w:p>
    <w:p>
      <w:pPr>
        <w:jc w:val="both"/>
        <w:ind w:left="160" w:firstLine="299"/>
        <w:spacing w:after="0" w:line="268"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additional patients at sites in other countries, we may not be able to complete CHAPTER-1 on our anticipated timeline.</w:t>
      </w:r>
    </w:p>
    <w:p>
      <w:pPr>
        <w:spacing w:after="0" w:line="345"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the clinical holds on our clinical trials of deucrictibant in the U.S. are not resolved or if any of our other clinical trials are put on clinical hold or terminated, we may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incur increased costs or be unable to continue development of deucrictibant, including our product candidates PHVS416 and PHVS719, which could have a material adverse effect on our business, financial condition, results of operations and prospects.</w:t>
      </w:r>
    </w:p>
    <w:p>
      <w:pPr>
        <w:spacing w:after="0" w:line="14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are heavily dependent on the success of our product candidates PHVS416 and PHVS719, which are in mid-stage development. We have released topline data from our RAPIDe-1 study demonstrating efficacy in our Phase 2 clinical trial for treatment of HAE attacks on demand using PHVS416, but have not completed our assessment of efficacy for prevention of HAE attacks using PHVS719.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16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To date we only have data from preclinical studies, Phase 1 clinical trials in healthy volunteers, and a Phase 2 trial of PHVS416. However, we have not conducted a head-to-head comparison of icatibant or any other drug candidate to deucrictibant in a clinical trial. We have compared the published data for icatibant to data from our Phase 1 clinical trial of deucrictibant and Phase 2 trial of PHVS416 (RAPIDe-1). Accordingly, the value of comparisons to icatibant in this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PHVS416 and PHVS719 has been and will continue to be a time-consuming and costly process and may leave us with insufficient resources to advance other programs and product candidates. We cannot be certain that any deucrictibant-containing product candidate, including PHVS416 and PHVS719, will receive regulatory approval or be successfully commercialized, even if we receive regulatory approval.</w:t>
      </w:r>
    </w:p>
    <w:p>
      <w:pPr>
        <w:spacing w:after="0" w:line="166"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73"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6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Our business and operations, including ongoing and planned clinical trials, may be adversely affected by a variety of events outside our control, including pandemics, epidemics or outbreaks of infectious diseases, such as the COVID-19 pandemic, and political instability, such as the conflict between Russia and Ukraine.</w:t>
      </w:r>
    </w:p>
    <w:p>
      <w:pPr>
        <w:spacing w:after="0" w:line="156"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ongoing spread of variants of the COVID-19 virus may continue to interrupt, or delay, our clinical trial activities, regulatory reviews, manufacturing activities and supply chain. The COVID-19 outbreak delayed, and may continue to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we experienced an approximate two-month delay in starting the enrollment of our now completed Phase 1 multiple ascending dose study of deucrictibant in healthy volunteers as a result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COVID-19.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4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Furthermore, the spread of an infectious disease, such as COVID-19, may affect the operations of key governmental agencies, such as the FDA, which may delay the development of our product candidates, and may also result in the inability of our suppliers to deliver components or raw materials, and the inability of our CDMOs to provide supplies of our product candidates for our planned clinical trials, on a timely basis or at all. In addition, it may impact the ability of our CROs, including nonclinical CROs, to provide services to support our clinical program. Further,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 If we are unable to meet our milestones it might jeopardize our funding opportunities.</w:t>
      </w:r>
    </w:p>
    <w:p>
      <w:pPr>
        <w:spacing w:after="0" w:line="170"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addition, the COVID-19 pandemic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 The ultimate impact of the COVID-19 pandemic or a similar health epidemic is uncertain and subject to change. To the extent the COVID-19 pandemic adversely affects our business and financial results, it may also have the effect of heightening many of the other risks described in this “Risk Factors” section, such as those relating to our clinical and nonclinical development operations, manufacturing activities, the supply chain for our ongoing and planned clinical trials and our ability and need to raise additional capital to support our operations.</w:t>
      </w:r>
    </w:p>
    <w:p>
      <w:pPr>
        <w:spacing w:after="0" w:line="165"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Moreover, unforeseen global events, such as the armed conflict between Russia and Ukraine, could adversely impact our business and operations.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65"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Disruptions at FDA, EMA and other government agencies caused by funding shortages or global health concerns such as COVID-19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56"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Even though the FDA has since resumed standard inspection operations of domestic facilities where feasible, any resurgence of the virus or emergence of new variants may lead to further inspectional delays. Foreign pre-approval and for-cause inspection assignments that are not deemed mission-critical remain temporarily postponed, while those deemed “mission-critical” are being considered for inspection on a case-by-case basis. Regulatory authorities outside the United States may adopt similar restrictions or other policy measures in response to the COVID-19 pandemic. In addition, regulatory agencies have generally reduced face-to-face interactions relative to the pre-pandemic situation which may 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not be able to design and develop an extended-release formulation.</w:t>
      </w:r>
    </w:p>
    <w:p>
      <w:pPr>
        <w:spacing w:after="0" w:line="19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Our current strategy includes developing an extended-release formulation for the deucrictibant prophylactic indication (PHVS719). To date, we have studied a prospective extended-release formulation only in a single clinical study in healthy volunteers. We are planning to conduct an open-label, multiple dose study to assess the PK and safety of the extended-release formulation. If we pursue this development strategy, we expect to file for and obtain patents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conducting mid-stage clinical trials: we have completed a Phase 2 trial in the on-demand setting and have an ongoing Phase 2 trial in the prophylactic setting which we expect will provide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7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eligibility criteria for the study in question;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delays and difficulties in enrollment due to the COVID-19 pandemic;</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6"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decisions by the FDA, EMA and any comparable foreign regulatory authority or us, or recommendations by data safety monitoring boards, to suspend or terminate clinical trials at any time for safety issues or for any other reason; and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0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0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65"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56"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3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2" w:lineRule="auto"/>
        <w:rPr>
          <w:sz w:val="20"/>
          <w:szCs w:val="20"/>
          <w:color w:val="auto"/>
        </w:rPr>
      </w:pPr>
      <w:r>
        <w:rPr>
          <w:rFonts w:ascii="Arial" w:cs="Arial" w:eastAsia="Arial" w:hAnsi="Arial"/>
          <w:sz w:val="16"/>
          <w:szCs w:val="16"/>
          <w:color w:val="auto"/>
        </w:rPr>
        <w:t>in larger-scale pivotal clinical trials. In this report we discuss the potency of deucrictibant as shown in preclinical, Phase 1 clinical trials, and a single Phase 2 clinical trial (RAPIDe-1). Potency as used in this report refers to the amount of drug required to produce a pharmacological effect of given intensity and is not a measure of therapeutic efficacy. We have released topline data demonstrating efficacy and tolerability in a Phase 2 clinical trial for treatment of attacks in our RAPIDe-1 study but have not completed assessment of efficacy for prevention of attacks in our CHAPTER-1 study. The results of preclinical studies and early clinical trials, as well as data from interim analysis of ongoing clinical trials, may not be predictive of the results of ongoing or future clinical trials.</w:t>
      </w:r>
    </w:p>
    <w:p>
      <w:pPr>
        <w:spacing w:after="0" w:line="357"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57"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1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studies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In addition, there is a constrained supply of some types of animals for research and nonclinical studies which has arisen as a consequence of the COVID-19 pandemic. This reduction in supply and the prioritization for COVID-19-related studies have severely restricted the availability of some types of animals for other pharmaceutical development programs and has the potential to significantly delay the nonclinical toxicology and developmental and reproductive toxicity studies.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194"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1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with or market our product candidates.</w:t>
      </w:r>
    </w:p>
    <w:p>
      <w:pPr>
        <w:spacing w:after="0" w:line="2" w:lineRule="exact"/>
        <w:rPr>
          <w:sz w:val="20"/>
          <w:szCs w:val="20"/>
          <w:color w:val="auto"/>
        </w:rPr>
      </w:pPr>
    </w:p>
    <w:p>
      <w:pPr>
        <w:jc w:val="both"/>
        <w:ind w:left="160" w:firstLine="353"/>
        <w:spacing w:after="0" w:line="248" w:lineRule="auto"/>
        <w:rPr>
          <w:sz w:val="20"/>
          <w:szCs w:val="20"/>
          <w:color w:val="auto"/>
        </w:rPr>
      </w:pPr>
      <w:r>
        <w:rPr>
          <w:rFonts w:ascii="Arial" w:cs="Arial" w:eastAsia="Arial" w:hAnsi="Arial"/>
          <w:sz w:val="16"/>
          <w:szCs w:val="16"/>
          <w:color w:val="auto"/>
        </w:rPr>
        <w:t>Since the 1990s, many companies have tried but failed to discover oral B2 antagonists, as the bradykinin- 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 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66"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83"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manufacturing related issues or concerns;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concerns relating to the product candidate’s safety or efficacy;</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negative or ambiguous results of any nonclinical study or clinical trial;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concerns relating to the sufficiency of clinical trial results;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0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56"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0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6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PHVS416 and PHVS719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62"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3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65"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auto"/>
        </w:rPr>
        <w:t>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6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56"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162"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6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64" w:lineRule="exact"/>
        <w:rPr>
          <w:sz w:val="20"/>
          <w:szCs w:val="20"/>
          <w:color w:val="auto"/>
        </w:rPr>
      </w:pPr>
    </w:p>
    <w:p>
      <w:pPr>
        <w:jc w:val="both"/>
        <w:ind w:left="160" w:firstLine="367"/>
        <w:spacing w:after="0" w:line="249"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While the Biden administration has proposed to repeal, or delayed implementation of, certain of the actions taken by the Trump administration,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6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6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in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194"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1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157"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3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6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In the first quarter of 2021, we learned that one of our CDMOs discovered a packaging issue with certain batches of packaging of softgel capsules for our RAPIDe-1 trial. The issue was investigated and we commenced the RAPIDe-1 trial for on-demand treatment of HAE attacks in February 2021.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66"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66"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64" w:lineRule="exact"/>
        <w:rPr>
          <w:sz w:val="20"/>
          <w:szCs w:val="20"/>
          <w:color w:val="auto"/>
        </w:rPr>
      </w:pPr>
    </w:p>
    <w:p>
      <w:pPr>
        <w:jc w:val="both"/>
        <w:ind w:left="160" w:firstLine="299"/>
        <w:spacing w:after="0" w:line="268"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02"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274"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delay or inability to procure or expand sufficient manufacturing capacity;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failure to comply with cGMP and similar quality standards;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carrier disruptions or increased costs that are beyond our control;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failure to deliver our products under specified storage conditions and in a timely manner.</w:t>
      </w:r>
    </w:p>
    <w:p>
      <w:pPr>
        <w:spacing w:after="0" w:line="20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48"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1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359"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52" w:lineRule="exact"/>
        <w:rPr>
          <w:sz w:val="20"/>
          <w:szCs w:val="20"/>
          <w:color w:val="auto"/>
        </w:rPr>
      </w:pPr>
    </w:p>
    <w:p>
      <w:pPr>
        <w:jc w:val="both"/>
        <w:ind w:left="160" w:firstLine="299"/>
        <w:spacing w:after="0" w:line="260"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45"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361"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the CJEU, declared the Privacy Shield to be invalid. The CJEU upheld the validity of the standard contractual clauses, or SCCs, as a legal mechanism to transfer personal data but companies relying on SCCs will, subject to additional guidance from regulators in the EEA, need to evaluate and implement supplementary measures that provide privacy protections additional to those provided under SCCs. In turn, the findings of the CJEU will have significant implications for cross-border data flows. Further, the GDPR provides that countries in the EEA may establish their own laws and regulations further restricting the processing of certain personal data, including genetic data, biometric data, and health data.</w:t>
      </w:r>
    </w:p>
    <w:p>
      <w:pPr>
        <w:spacing w:after="0" w:line="16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7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6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or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1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are a party to certain agreements, including clinical trial agreements and licensing agreements that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194"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13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75" w:lineRule="exact"/>
        <w:rPr>
          <w:sz w:val="20"/>
          <w:szCs w:val="20"/>
          <w:color w:val="auto"/>
        </w:rPr>
      </w:pPr>
    </w:p>
    <w:p>
      <w:pPr>
        <w:ind w:left="1020" w:hanging="503"/>
        <w:spacing w:after="0" w:line="276"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generate unacceptable adverse side effects;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Also, the results obtained in our PHA-0221121- C001 and PHA-022121-C002 clinical trials may not be comparable to results that may be produced during the further development of our deucrictibant-containing product candidates.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0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Moreover, if we are successful in developing both PHVS416 and PHVS719, we cannot accurately predict the proportion of patients choosing prophylactic or on-demand only treatment regimens.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0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 instance, we are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70"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56"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1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83"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unfavorable publicity relating to the product.</w:t>
      </w:r>
    </w:p>
    <w:p>
      <w:pPr>
        <w:spacing w:after="0" w:line="20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52"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1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chapter 2.2,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65"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0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160"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6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148" w:lineRule="exact"/>
        <w:rPr>
          <w:sz w:val="20"/>
          <w:szCs w:val="20"/>
          <w:color w:val="auto"/>
        </w:rPr>
      </w:pPr>
    </w:p>
    <w:p>
      <w:pPr>
        <w:jc w:val="both"/>
        <w:ind w:left="160" w:firstLine="299"/>
        <w:spacing w:after="0" w:line="285"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327"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61" w:lineRule="auto"/>
        <w:rPr>
          <w:sz w:val="20"/>
          <w:szCs w:val="20"/>
          <w:color w:val="auto"/>
        </w:rPr>
      </w:pPr>
      <w:r>
        <w:rPr>
          <w:rFonts w:ascii="Arial" w:cs="Arial" w:eastAsia="Arial" w:hAnsi="Arial"/>
          <w:sz w:val="16"/>
          <w:szCs w:val="16"/>
          <w:color w:val="auto"/>
        </w:rPr>
        <w:t>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56"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6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359"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60"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4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48"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11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87"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delay or termination of clinical trials;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injury to our reputation and negative publicity;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withdrawal of clinical trial participants, patients or clinical investigators;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initiation of investigations by regulators or ethics committees;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loss of revenues from product sales;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inability to commercialize any of our product candidates, if approved;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decline in the price of our ordinary shares.</w:t>
      </w:r>
    </w:p>
    <w:p>
      <w:pPr>
        <w:spacing w:after="0" w:line="20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90"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52"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1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194"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3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66"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65"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6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12"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62"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3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01" w:lineRule="exact"/>
        <w:rPr>
          <w:sz w:val="20"/>
          <w:szCs w:val="20"/>
          <w:color w:val="auto"/>
        </w:rPr>
      </w:pPr>
    </w:p>
    <w:p>
      <w:pPr>
        <w:ind w:left="1020" w:hanging="503"/>
        <w:spacing w:after="0" w:line="276"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3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1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both"/>
        <w:ind w:left="160" w:firstLine="299"/>
        <w:spacing w:after="0" w:line="268" w:lineRule="auto"/>
        <w:rPr>
          <w:sz w:val="20"/>
          <w:szCs w:val="20"/>
          <w:color w:val="auto"/>
        </w:rPr>
      </w:pPr>
      <w:r>
        <w:rPr>
          <w:rFonts w:ascii="Arial" w:cs="Arial" w:eastAsia="Arial" w:hAnsi="Arial"/>
          <w:sz w:val="16"/>
          <w:szCs w:val="16"/>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337"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chapter 2.2.</w:t>
      </w:r>
    </w:p>
    <w:p>
      <w:pPr>
        <w:spacing w:after="0" w:line="162" w:lineRule="exact"/>
        <w:rPr>
          <w:sz w:val="20"/>
          <w:szCs w:val="20"/>
          <w:color w:val="auto"/>
        </w:rPr>
      </w:pPr>
    </w:p>
    <w:p>
      <w:pPr>
        <w:jc w:val="both"/>
        <w:ind w:left="160" w:firstLine="299"/>
        <w:spacing w:after="0" w:line="265"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140"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w:t>
      </w:r>
    </w:p>
    <w:p>
      <w:pPr>
        <w:spacing w:after="0" w:line="3" w:lineRule="exact"/>
        <w:rPr>
          <w:sz w:val="20"/>
          <w:szCs w:val="20"/>
          <w:color w:val="auto"/>
        </w:rPr>
      </w:pPr>
    </w:p>
    <w:p>
      <w:pPr>
        <w:jc w:val="both"/>
        <w:ind w:left="160" w:firstLine="299"/>
        <w:spacing w:after="0" w:line="260"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75" w:lineRule="exact"/>
        <w:rPr>
          <w:sz w:val="20"/>
          <w:szCs w:val="20"/>
          <w:color w:val="auto"/>
        </w:rPr>
      </w:pPr>
    </w:p>
    <w:p>
      <w:pPr>
        <w:jc w:val="both"/>
        <w:ind w:left="1020" w:hanging="503"/>
        <w:spacing w:after="0" w:line="261"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4" w:lineRule="exact"/>
        <w:rPr>
          <w:rFonts w:ascii="Arial" w:cs="Arial" w:eastAsia="Arial" w:hAnsi="Arial"/>
          <w:sz w:val="16"/>
          <w:szCs w:val="16"/>
          <w:color w:val="auto"/>
        </w:rPr>
      </w:pPr>
    </w:p>
    <w:p>
      <w:pPr>
        <w:ind w:left="1020" w:hanging="503"/>
        <w:spacing w:after="0"/>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74"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then our rights to such intellectual property, and ultimately our ability to protect our candidate products, may be adversely affected.</w:t>
      </w:r>
    </w:p>
    <w:p>
      <w:pPr>
        <w:spacing w:after="0" w:line="14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that we may own in the future, if any), or that we were the first to file for patent protection of such inventions.</w:t>
      </w:r>
    </w:p>
    <w:p>
      <w:pPr>
        <w:spacing w:after="0" w:line="157"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1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auto"/>
        </w:rPr>
        <w:t>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6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64"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In addition, patents have a limited lifespan. For example, if renewal fees are paid timely,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71"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60"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6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68"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0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60"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65"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6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 &amp; 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2" w:lineRule="auto"/>
        <w:rPr>
          <w:sz w:val="20"/>
          <w:szCs w:val="20"/>
          <w:color w:val="auto"/>
        </w:rPr>
      </w:pPr>
      <w:r>
        <w:rPr>
          <w:rFonts w:ascii="Arial" w:cs="Arial" w:eastAsia="Arial" w:hAnsi="Arial"/>
          <w:sz w:val="16"/>
          <w:szCs w:val="16"/>
          <w:color w:val="auto"/>
        </w:rPr>
        <w:t>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12"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65"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12"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production, manufacture, commercialization or use of our product candidates and technology. In addition, the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6"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2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19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auto"/>
        </w:rPr>
        <w:t>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1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65"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65"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7"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3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0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w:t>
      </w:r>
    </w:p>
    <w:p>
      <w:pPr>
        <w:spacing w:after="0" w:line="166"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61" w:lineRule="auto"/>
        <w:rPr>
          <w:sz w:val="20"/>
          <w:szCs w:val="20"/>
          <w:color w:val="auto"/>
        </w:rPr>
      </w:pPr>
      <w:r>
        <w:rPr>
          <w:rFonts w:ascii="Arial" w:cs="Arial" w:eastAsia="Arial" w:hAnsi="Arial"/>
          <w:sz w:val="16"/>
          <w:szCs w:val="16"/>
          <w:color w:val="auto"/>
        </w:rPr>
        <w:t>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issued patents (if any) that we may hold rights to may be held invalid or unenforceable, including as a result of legal challenges by our competitors;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patents of others may harm our business; and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 party may subsequently file a patent covering such intellectual property.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94" w:lineRule="exact"/>
        <w:rPr>
          <w:sz w:val="20"/>
          <w:szCs w:val="20"/>
          <w:color w:val="auto"/>
        </w:rPr>
      </w:pPr>
    </w:p>
    <w:p>
      <w:pPr>
        <w:jc w:val="both"/>
        <w:ind w:left="160" w:firstLine="299"/>
        <w:spacing w:after="0" w:line="260"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45"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jc w:val="both"/>
        <w:ind w:left="1020" w:hanging="503"/>
        <w:spacing w:after="0" w:line="256"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78"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020" w:hanging="503"/>
        <w:spacing w:after="0" w:line="261"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74"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federal criminal health care fraud statute, enacted as a part of the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78"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78"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laws in all 50 U.S. states require businesses to provide notice to customers whose personally identifiable information has been disclosed as a result of a data breach, and certain U.S. state laws impose particular requirements relating to the handling of sensitive data, such as health information;</w:t>
      </w:r>
    </w:p>
    <w:p>
      <w:pPr>
        <w:spacing w:after="0" w:line="74"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83"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U.S. state laws regulating pharmaceutical manufacturer compliance programs, commercialization- related activities, drug price transparency disclosures, and other practices; and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analogous foreign laws and regulations.</w:t>
      </w:r>
    </w:p>
    <w:p>
      <w:pPr>
        <w:spacing w:after="0" w:line="20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60"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35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0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60"/>
        <w:spacing w:after="0" w:line="276" w:lineRule="auto"/>
        <w:rPr>
          <w:sz w:val="20"/>
          <w:szCs w:val="20"/>
          <w:color w:val="auto"/>
        </w:rPr>
      </w:pPr>
      <w:r>
        <w:rPr>
          <w:rFonts w:ascii="Arial" w:cs="Arial" w:eastAsia="Arial" w:hAnsi="Arial"/>
          <w:sz w:val="16"/>
          <w:szCs w:val="16"/>
          <w:color w:val="auto"/>
        </w:rPr>
        <w:t>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02" w:lineRule="exact"/>
        <w:rPr>
          <w:sz w:val="20"/>
          <w:szCs w:val="20"/>
          <w:color w:val="auto"/>
        </w:rPr>
      </w:pPr>
    </w:p>
    <w:p>
      <w:pPr>
        <w:ind w:left="160" w:firstLine="299"/>
        <w:spacing w:after="0" w:line="27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63"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potentially reduced protection for intellectual property rights;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difficulties in compliance with laws and regulations;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changes in regulations and customs, tariffs and trade barriers;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changes in currency exchange rates of the euro and currency controls;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changes in a specific country’s or region’s political or economic environment;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differing reimbursement regimes and price controls in certain markets;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negative consequences from changes in tax laws;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3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1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194"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environmental compliance or remediation activities which may adversely affect our business and financial condition.</w:t>
      </w:r>
    </w:p>
    <w:p>
      <w:pPr>
        <w:spacing w:after="0" w:line="13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6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interruption in operations, any of which could adversely impact our business and financial condition, especially if we are unable to find an alternate supplier in a timely manner.</w:t>
      </w:r>
    </w:p>
    <w:p>
      <w:pPr>
        <w:spacing w:after="0" w:line="14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Environmental, health and safety laws and regulations are becoming more stringent and enforcement is prioritized. We may be required to incur substantial expenses in connection with current and future environmental, health and/ or safety compliance, our duty of care in this regard, remediation obligations and/or measurement obligations, in which case, our production and development efforts may be interrupted or delayed and our financial condition and results of operations may be materially adversely affected.</w:t>
      </w:r>
    </w:p>
    <w:p>
      <w:pPr>
        <w:spacing w:after="0" w:line="152"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34"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73"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357"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4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194"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As of March 10, 2023, our significant shareholders beneficially owned ordinary shares representing approximately 63.09% of our outstanding ordinary shares. For more information regarding our significant shareholders, please see “ITEM 7. MAJOR SHAREHOLDERS AND RELATED PARTY TRANSACTIONS—A. Major Shareholders.” in our annual report on form 20-F, filed with the SEC on April 5, 2023.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56"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3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61"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63"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Under our Articles of Association,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65"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48"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 with which you do not agree and in ways that may not yield a return on your investment.</w:t>
      </w:r>
    </w:p>
    <w:p>
      <w:pPr>
        <w:spacing w:after="0" w:line="11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As of December 31, 2022, we had €161.8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1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56"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had a total of 33,816,459 ordinary shares outstanding as of March 10, 2023.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independent auditors, disclosure, compliance and enforcement standards. The DCGC is based on a “comply or explain” principle.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auto"/>
        </w:rPr>
        <w:t>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56"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3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6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5620I, which requires an issuer to provide in its bylaws for a generally applicable quorum, and that such quorum may not be less than one-third of the outstanding voting stock. 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1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0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6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IFRS-EU,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11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an exemption from the independent auditors attestation requirement in the assessment of our internal control over financial reporting pursuant to the Sarbanes-Oxley Act; and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68"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may take advantage of these provisions until such time that we are no longer an emerging growth company. We would cease to be an emerging growth company on December 31, 2026 (the last day of our fiscal year following the fifth anniversary of the date of the completion of our initial public offering in February 2021) or earlier if we have more than $1.24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 report under IFRS-EU, as issued by the IASB, we have irrevocably elected not to avail ourselves of this extended transition period and, as a result, we will adopt new or revised accounting standards on the relevant dates on which adoption of such standards is required by the IASB. We have taken advantage of reduced reporting requirements in this report. Accordingly, the information contained herein may be different than the information you receive from other public companies in which you hold equity securities.</w:t>
      </w:r>
    </w:p>
    <w:p>
      <w:pPr>
        <w:spacing w:after="0" w:line="162"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1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 In this respect, our general meeting has authorized our Board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grant a call option to an independent foundation under Dutch law (if and when incorporated), or protective foundation, to acquire preferred shares pursuant to a call option agreement that may be entered into between us and such protective foundation.</w:t>
      </w:r>
    </w:p>
    <w:p>
      <w:pPr>
        <w:spacing w:after="0" w:line="16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w:t>
      </w:r>
    </w:p>
    <w:p>
      <w:pPr>
        <w:spacing w:after="0" w:line="164"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ordinary shares, the announcement of an unsolicited public offer for our ordinary shares, shareholder activism, other concentration of control over our ordinary shares or any other form of undue pressure on us to alter our strategic policies. The protective foundation, if and when incorporated, shall be structured to operate independently of us.</w:t>
      </w:r>
    </w:p>
    <w:p>
      <w:pPr>
        <w:spacing w:after="0" w:line="17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The voting rights of our shares are based on nominal value and, as we expect our ordinary shares to trade substantially in excess of their nominal value, preferred shares issued at 25% of their nominal value can carry significant voting power for a substantially reduced price compared to the price of our ordinary shares and thus can be used as a defensive measure. These preferred shares, if and when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52" w:lineRule="auto"/>
        <w:rPr>
          <w:sz w:val="20"/>
          <w:szCs w:val="20"/>
          <w:color w:val="auto"/>
        </w:rPr>
      </w:pPr>
      <w:r>
        <w:rPr>
          <w:rFonts w:ascii="Arial" w:cs="Arial" w:eastAsia="Arial" w:hAnsi="Arial"/>
          <w:sz w:val="16"/>
          <w:szCs w:val="16"/>
          <w:color w:val="auto"/>
        </w:rPr>
        <w:t>issued, will have both a liquidation and dividend preference over our ordinary shares and will accrue a cash preferred dividend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w:t>
      </w:r>
    </w:p>
    <w:p>
      <w:pPr>
        <w:spacing w:after="0" w:line="63" w:lineRule="exact"/>
        <w:rPr>
          <w:sz w:val="20"/>
          <w:szCs w:val="20"/>
          <w:color w:val="auto"/>
        </w:rPr>
      </w:pPr>
    </w:p>
    <w:p>
      <w:pPr>
        <w:jc w:val="both"/>
        <w:ind w:left="1020" w:hanging="503"/>
        <w:spacing w:after="0" w:line="261"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provision that our directors being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74"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4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capital as a consequence of a successful public bid.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6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276" w:lineRule="exact"/>
        <w:rPr>
          <w:sz w:val="20"/>
          <w:szCs w:val="20"/>
          <w:color w:val="auto"/>
        </w:rPr>
      </w:pPr>
    </w:p>
    <w:p>
      <w:pPr>
        <w:ind w:left="1020" w:hanging="503"/>
        <w:spacing w:after="0" w:line="276"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6"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w:t>
      </w:r>
    </w:p>
    <w:p>
      <w:pPr>
        <w:spacing w:after="0" w:line="11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the event of an issuance of our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 senior management.</w:t>
      </w:r>
    </w:p>
    <w:p>
      <w:pPr>
        <w:spacing w:after="0" w:line="198" w:lineRule="exact"/>
        <w:rPr>
          <w:sz w:val="20"/>
          <w:szCs w:val="20"/>
          <w:color w:val="auto"/>
        </w:rPr>
      </w:pPr>
    </w:p>
    <w:p>
      <w:pPr>
        <w:jc w:val="both"/>
        <w:ind w:left="160" w:firstLine="299"/>
        <w:spacing w:after="0" w:line="258" w:lineRule="auto"/>
        <w:rPr>
          <w:sz w:val="20"/>
          <w:szCs w:val="20"/>
          <w:color w:val="auto"/>
        </w:rPr>
      </w:pPr>
      <w:r>
        <w:rPr>
          <w:rFonts w:ascii="Arial" w:cs="Arial" w:eastAsia="Arial" w:hAnsi="Arial"/>
          <w:sz w:val="16"/>
          <w:szCs w:val="16"/>
          <w:color w:val="auto"/>
        </w:rPr>
        <w:t>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 Some of our assets are located outside the United States and most members of the Board and Senior Management reside outside of the United States. As a result, it may not be possible for investors to effect service of process within the United States upon such persons or to enforce against them or us the U.S. courts’ judgments predicated upon the civil liability provisions of the federal securities laws of the United States.</w:t>
      </w:r>
    </w:p>
    <w:p>
      <w:pPr>
        <w:spacing w:after="0" w:line="158"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Foreign courts may refuse to hear a United States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w:t>
      </w:r>
    </w:p>
    <w:p>
      <w:pPr>
        <w:spacing w:after="0" w:line="156"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44" w:lineRule="exact"/>
        <w:rPr>
          <w:sz w:val="20"/>
          <w:szCs w:val="20"/>
          <w:color w:val="auto"/>
        </w:rPr>
      </w:pPr>
    </w:p>
    <w:p>
      <w:pPr>
        <w:jc w:val="both"/>
        <w:ind w:left="160" w:firstLine="299"/>
        <w:spacing w:after="0" w:line="248" w:lineRule="auto"/>
        <w:rPr>
          <w:sz w:val="20"/>
          <w:szCs w:val="20"/>
          <w:color w:val="auto"/>
        </w:rPr>
      </w:pPr>
      <w:r>
        <w:rPr>
          <w:rFonts w:ascii="Arial" w:cs="Arial" w:eastAsia="Arial" w:hAnsi="Arial"/>
          <w:sz w:val="16"/>
          <w:szCs w:val="16"/>
          <w:color w:val="auto"/>
        </w:rPr>
        <w:t>There is currently no treaty in effect between the United States and the Netherlands providing for the reciprocal recognition and enforcement of judgments, other than arbitration awards, in civil and commercial matters. It is noted that, as of the date of this annual report, the Hague Convention on Choice of Court Agreements of June 30, 2005 has entered into force for the Netherlands, but has not entered into force for the United States. The Hague Convention of July 2, 2019 on the Recognition and Enforcement of Foreign Judgments in Civil or Commercial Matters has not entered into force for either the Netherlands 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(behoorlijke rechtspleging), (iii) binding effect of such judgment is not contrary to Dutch public order (openbare orde)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However, even if such a United States judgment is given binding effect, a claim based on that judgment may still be rejected if that judgment is not or no longer formally enforceable.</w:t>
      </w:r>
    </w:p>
    <w:p>
      <w:pPr>
        <w:spacing w:after="0" w:line="173"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Additionally, our Articles of Association provide that the U.S. federal district courts shall be the sole and exclusive forum for any claim asserting a cause of action arising under the Securities Act.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w:t>
      </w:r>
    </w:p>
    <w:p>
      <w:pPr>
        <w:spacing w:after="0" w:line="160"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Based on the foregoing, U.S. investors may not be able to enforce against us or our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investors.</w:t>
      </w:r>
    </w:p>
    <w:p>
      <w:pPr>
        <w:spacing w:after="0" w:line="18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2022 and we do not expect to be a PFIC for our current taxable year or in the foreseeable future. In addition, we may, directly or indirectly, hold equity interests in other PFICs. Whether we or any of our subsidiaries will be a PFIC in 2023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2023 or any future taxable year.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60"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1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under U.S. insolvency laws.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02" w:lineRule="exact"/>
        <w:rPr>
          <w:sz w:val="20"/>
          <w:szCs w:val="20"/>
          <w:color w:val="auto"/>
        </w:rPr>
      </w:pPr>
    </w:p>
    <w:p>
      <w:pPr>
        <w:jc w:val="both"/>
        <w:ind w:left="160" w:firstLine="299"/>
        <w:spacing w:after="0" w:line="247"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73"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12" w:lineRule="exact"/>
        <w:rPr>
          <w:sz w:val="20"/>
          <w:szCs w:val="20"/>
          <w:color w:val="auto"/>
        </w:rPr>
      </w:pPr>
    </w:p>
    <w:p>
      <w:pPr>
        <w:jc w:val="both"/>
        <w:ind w:left="160" w:firstLine="299"/>
        <w:spacing w:after="0" w:line="249"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9" w:lineRule="exact"/>
        <w:rPr>
          <w:sz w:val="20"/>
          <w:szCs w:val="20"/>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competition from existing products or new products that may emerge;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issues in manufacturing our product candidates or future approved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failure to adequately protect our trade secrets;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inability to raise additional capital or the terms on which we raise it;</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public health crises, illnesses, epidemics or pandemics, such as the COVID-19 pandemic;</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market conditions for biopharmaceutical stocks;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general market and economic conditions;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other risk factors discussed in this section.</w:t>
      </w:r>
    </w:p>
    <w:p>
      <w:pPr>
        <w:spacing w:after="0" w:line="20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1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56" w:lineRule="exact"/>
        <w:rPr>
          <w:sz w:val="20"/>
          <w:szCs w:val="20"/>
          <w:color w:val="auto"/>
        </w:rPr>
      </w:pPr>
    </w:p>
    <w:p>
      <w:pPr>
        <w:jc w:val="both"/>
        <w:ind w:left="160" w:firstLine="299"/>
        <w:spacing w:after="0" w:line="302"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12"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Particularly after we are no longer an “emerging growth company” or cease to qualify as a foreign private issuer, we expect to incur significant legal, accounting and other expenses.</w:t>
      </w:r>
    </w:p>
    <w:p>
      <w:pPr>
        <w:spacing w:after="0" w:line="160"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spacing w:after="0" w:line="261" w:lineRule="auto"/>
        <w:rPr>
          <w:sz w:val="20"/>
          <w:szCs w:val="20"/>
          <w:color w:val="auto"/>
        </w:rPr>
      </w:pPr>
      <w:r>
        <w:rPr>
          <w:rFonts w:ascii="Arial" w:cs="Arial" w:eastAsia="Arial" w:hAnsi="Arial"/>
          <w:sz w:val="16"/>
          <w:szCs w:val="16"/>
          <w:color w:val="auto"/>
        </w:rPr>
        <w:t>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48" w:lineRule="exact"/>
        <w:rPr>
          <w:sz w:val="20"/>
          <w:szCs w:val="20"/>
          <w:color w:val="auto"/>
        </w:rPr>
      </w:pPr>
    </w:p>
    <w:p>
      <w:pPr>
        <w:jc w:val="both"/>
        <w:ind w:left="160" w:firstLine="299"/>
        <w:spacing w:after="0" w:line="274"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3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The preparation of financial statements in conformity with IFRS-EU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7" w:lineRule="exact"/>
        <w:rPr>
          <w:sz w:val="20"/>
          <w:szCs w:val="20"/>
          <w:color w:val="auto"/>
        </w:rPr>
      </w:pPr>
    </w:p>
    <w:p>
      <w:pPr>
        <w:ind w:left="240" w:hanging="187"/>
        <w:spacing w:after="0"/>
        <w:tabs>
          <w:tab w:leader="none" w:pos="2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Controls and procedures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4.1 Risk management and control systems</w:t>
      </w:r>
    </w:p>
    <w:p>
      <w:pPr>
        <w:spacing w:after="0" w:line="20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IFRS-EU. As a result of becoming a public company, we will be required, pursuant to Section 404 of the Sarbanes-Oxley Act to furnish a report by our management on, among other things, the effectiveness of our internal control over financial reporting in our annual report for the year ended December 31, 2022. This assessment will need to include disclosures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359"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In connection with the preparation of our financial statements as of and for the year ended December 31, 2022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268" w:lineRule="exact"/>
        <w:rPr>
          <w:sz w:val="20"/>
          <w:szCs w:val="20"/>
          <w:color w:val="auto"/>
        </w:rPr>
      </w:pPr>
    </w:p>
    <w:p>
      <w:pPr>
        <w:jc w:val="both"/>
        <w:ind w:left="1020" w:hanging="503"/>
        <w:spacing w:after="0" w:line="261"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74"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remediate the identified material weaknesses we have taken, and continue to take, various actions including, among other things:</w:t>
      </w:r>
    </w:p>
    <w:p>
      <w:pPr>
        <w:spacing w:after="0" w:line="302"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hiring additional qualified accounting and financial reporting personnel;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further developing and documenting our risk assessment matrix and scoping, to identify key processes and controls;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further developing and implementing our formal policies, processes, and internal controls, relating to our key processes, including financial reporting;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line="276"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selecting a new accounting system that will be implemented in 2023 and that will improve the application controls over information technology and reduce the manual nature of execution of key controls throughout significant business processes.</w:t>
      </w:r>
    </w:p>
    <w:p>
      <w:pPr>
        <w:spacing w:after="0" w:line="144"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4.2 In control statement</w:t>
      </w:r>
    </w:p>
    <w:p>
      <w:pPr>
        <w:spacing w:after="0" w:line="202" w:lineRule="exact"/>
        <w:rPr>
          <w:sz w:val="20"/>
          <w:szCs w:val="20"/>
          <w:color w:val="auto"/>
        </w:rPr>
      </w:pPr>
    </w:p>
    <w:p>
      <w:pPr>
        <w:jc w:val="both"/>
        <w:ind w:left="160" w:firstLine="507"/>
        <w:spacing w:after="0" w:line="276" w:lineRule="auto"/>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 due to the material weaknesses described above, our internal control over financial reporting was ineffective as of December 31, 2022.</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w:t>
      </w:r>
    </w:p>
    <w:p>
      <w:pPr>
        <w:spacing w:after="0" w:line="113" w:lineRule="exact"/>
        <w:rPr>
          <w:sz w:val="20"/>
          <w:szCs w:val="20"/>
          <w:color w:val="auto"/>
        </w:rPr>
      </w:pPr>
    </w:p>
    <w:p>
      <w:pPr>
        <w:ind w:left="1020" w:hanging="503"/>
        <w:spacing w:after="0"/>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report provides sufficient insight into any failings in the effectiveness of the Company's risk management and control systems;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Company's risk management and control systems provide reasonable assurance that the Company's financial reporting does not contain material inaccuracies (other than the material weaknesses described above);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the Company's state of affairs as at the date of this report, it is justified that the Company's financial reporting is prepared on a going concern basis; and</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report states those material risks and uncertainties that are relevant to the expectation of the Company's continuity for a period of twelve months after the date of this report.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determined that due to the limited size and complexity of the Company no internal audit department had to be established in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Furthermore, the Board confirms that:</w:t>
      </w:r>
    </w:p>
    <w:p>
      <w:pPr>
        <w:spacing w:after="0" w:line="113" w:lineRule="exact"/>
        <w:rPr>
          <w:sz w:val="20"/>
          <w:szCs w:val="20"/>
          <w:color w:val="auto"/>
        </w:rPr>
      </w:pPr>
    </w:p>
    <w:p>
      <w:pPr>
        <w:ind w:left="2560" w:hanging="516"/>
        <w:spacing w:after="0" w:line="276" w:lineRule="auto"/>
        <w:tabs>
          <w:tab w:leader="none" w:pos="2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the best of its knowledge, the statutory annual accounts included in this report give a true and fair view of the assets, liabilities, financial position and profit or loss of the Company and its consolidated subsidiaries taken as a whole; and</w:t>
      </w:r>
    </w:p>
    <w:p>
      <w:pPr>
        <w:spacing w:after="0" w:line="62" w:lineRule="exact"/>
        <w:rPr>
          <w:rFonts w:ascii="Arial" w:cs="Arial" w:eastAsia="Arial" w:hAnsi="Arial"/>
          <w:sz w:val="16"/>
          <w:szCs w:val="16"/>
          <w:color w:val="auto"/>
        </w:rPr>
      </w:pPr>
    </w:p>
    <w:p>
      <w:pPr>
        <w:jc w:val="both"/>
        <w:ind w:left="2560" w:hanging="516"/>
        <w:spacing w:after="0" w:line="261" w:lineRule="auto"/>
        <w:tabs>
          <w:tab w:leader="none" w:pos="2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report includes a fair review concerning the position, on the balance sheet date, and the development and performance of the business of the Company and its consolidated subsidiaries taken as a whole, together with a description of the principal risks and uncertainties that they face.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Corporate Governance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5.1 Dutch Corporate Governance Code</w:t>
      </w:r>
    </w:p>
    <w:p>
      <w:pPr>
        <w:spacing w:after="0" w:line="194" w:lineRule="exact"/>
        <w:rPr>
          <w:sz w:val="20"/>
          <w:szCs w:val="20"/>
          <w:color w:val="auto"/>
        </w:rPr>
      </w:pPr>
    </w:p>
    <w:p>
      <w:pPr>
        <w:jc w:val="both"/>
        <w:ind w:left="160" w:firstLine="299"/>
        <w:spacing w:after="0" w:line="266" w:lineRule="auto"/>
        <w:rPr>
          <w:sz w:val="20"/>
          <w:szCs w:val="20"/>
          <w:color w:val="auto"/>
        </w:rPr>
      </w:pPr>
      <w:r>
        <w:rPr>
          <w:rFonts w:ascii="Arial" w:cs="Arial" w:eastAsia="Arial" w:hAnsi="Arial"/>
          <w:sz w:val="16"/>
          <w:szCs w:val="16"/>
          <w:color w:val="auto"/>
        </w:rPr>
        <w:t>For the fiscal year to which this report relates, the Dutch Corporate Governance Code 2016 (the "</w:t>
      </w:r>
      <w:r>
        <w:rPr>
          <w:rFonts w:ascii="Arial" w:cs="Arial" w:eastAsia="Arial" w:hAnsi="Arial"/>
          <w:sz w:val="16"/>
          <w:szCs w:val="16"/>
          <w:b w:val="1"/>
          <w:bCs w:val="1"/>
          <w:color w:val="auto"/>
        </w:rPr>
        <w:t>DCGC</w:t>
      </w:r>
      <w:r>
        <w:rPr>
          <w:rFonts w:ascii="Arial" w:cs="Arial" w:eastAsia="Arial" w:hAnsi="Arial"/>
          <w:sz w:val="16"/>
          <w:szCs w:val="16"/>
          <w:color w:val="auto"/>
        </w:rPr>
        <w:t>") applied to the Company. The text of the DCGC can be accessed at http://www.mccg.nl. The DCGC has been updated in the course of 2022, with effect from January 1, 2023 and will be reflected in the 2023 report.</w:t>
      </w:r>
    </w:p>
    <w:p>
      <w:pPr>
        <w:spacing w:after="0" w:line="15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Except as set out below, during the fiscal year to which this report relates, the Company complied with the principles and best practice provisions of the DCGC, to the extent that these are directed at the Board.</w:t>
      </w:r>
    </w:p>
    <w:p>
      <w:pPr>
        <w:spacing w:after="0" w:line="252" w:lineRule="exact"/>
        <w:rPr>
          <w:sz w:val="20"/>
          <w:szCs w:val="20"/>
          <w:color w:val="auto"/>
        </w:rPr>
      </w:pPr>
    </w:p>
    <w:p>
      <w:pPr>
        <w:jc w:val="both"/>
        <w:ind w:left="1020" w:hanging="503"/>
        <w:spacing w:after="0" w:line="252"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Under the Company's articles of association, directors are be appointed on the basis of a binding nomination prepared by the Board. This means that the nominee will be appointed to the Board, unless the general meeting of the Company (the "General Meeting") overrules the binding nature of the nomination (in which case a new nomination will be prepared for a subsequent General Meeting). The Company's articles of association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82"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Under the Company's articles of association,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78"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DCGC recommends against providing equity awards as part of the compensation of a non-executive director. However, we deviate from this recommendation and grant equity awards to our non-executive directors, consistent with U.S. market practice.</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Pharvaris N.V. 2021 Equity Incentive Plan allows us to set the terms and conditions of equity awards granted thereunder. Under the Plan, we may grant ordinary shares that are not subject to a lock-up period of at least five years after the date of grant,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spacing w:after="0" w:line="276" w:lineRule="auto"/>
        <w:rPr>
          <w:sz w:val="20"/>
          <w:szCs w:val="20"/>
          <w:color w:val="auto"/>
        </w:rPr>
      </w:pPr>
      <w:r>
        <w:rPr>
          <w:rFonts w:ascii="Arial" w:cs="Arial" w:eastAsia="Arial" w:hAnsi="Arial"/>
          <w:sz w:val="16"/>
          <w:szCs w:val="16"/>
          <w:color w:val="auto"/>
        </w:rPr>
        <w:t>and we may grant options without restricting the exercisability of those options during the first three years after the date of grant. In those cases, this would cause additional deviations from the DCGC.</w:t>
      </w:r>
    </w:p>
    <w:p>
      <w:pPr>
        <w:spacing w:after="0" w:line="63" w:lineRule="exact"/>
        <w:rPr>
          <w:sz w:val="20"/>
          <w:szCs w:val="20"/>
          <w:color w:val="auto"/>
        </w:rPr>
      </w:pPr>
    </w:p>
    <w:p>
      <w:pPr>
        <w:ind w:left="1020" w:hanging="503"/>
        <w:spacing w:after="0" w:line="276"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DCGC recommends that the Board should perform at least once per year a self-evaluation about the functioning of the Board as a whole, on which the Board should report in this annual report. However, the Board did not perform such self-evaluation in 2022.</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DCGC recommends that the Board appoint a separate department for the internal audit function. However, there was no such department in place in 2022. Instead, adequate alternative measures have been taken.</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DCGC recommends that the Board should conduct an annual review of itself to identify any aspects with regard to which its members require training or education. However, the Board did not conduct such an annual review in 2022.</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5.2 Code of business conduct and ethics and other corporate governance practices</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Company has adopted a code of business conduct and ethics which can be accessed at https://ir.pharvaris.com/corporate-governance/governance-documents. The Company does not voluntarily apply other formal codes of conduct or corporate governance practices.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5.3 Risk management and control systems</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See chapter 4.1 of this report for an overview of the main characteristics of the Company's risk management and control systems relating to the process of financial reporting by the Company and the Company's group companies whose financial information is included in the Consolidated Financial Statements.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5.4 General Meeting</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5.4.1 Functioning of the General Meeting</w:t>
      </w:r>
    </w:p>
    <w:p>
      <w:pPr>
        <w:spacing w:after="0" w:line="19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Annually, at least one general meeting of the Company (the "</w:t>
      </w:r>
      <w:r>
        <w:rPr>
          <w:rFonts w:ascii="Arial" w:cs="Arial" w:eastAsia="Arial" w:hAnsi="Arial"/>
          <w:sz w:val="16"/>
          <w:szCs w:val="16"/>
          <w:b w:val="1"/>
          <w:bCs w:val="1"/>
          <w:color w:val="auto"/>
        </w:rPr>
        <w:t>General Meeting</w:t>
      </w:r>
      <w:r>
        <w:rPr>
          <w:rFonts w:ascii="Arial" w:cs="Arial" w:eastAsia="Arial" w:hAnsi="Arial"/>
          <w:sz w:val="16"/>
          <w:szCs w:val="16"/>
          <w:color w:val="auto"/>
        </w:rPr>
        <w:t>") must be held. This annual General Meeting must be held within six months after the end of the Company's fiscal year. A General Meeting must also be held within three months after the Board has decided that it is likely that the Company's equity has decreased to or below 50% of its paid up and called up share capital. In addition, without prejudice to the best practice provisions of the DCGC with respect to invoking a 'response period' or the provisions under Dutch law with respect to invoking a 'cooling-off period', a General Meeting must be held when requested by one or more shareholders and/or others with meeting rights under Dutch law collectively representing at least 10% of the Company's issued share capital, provided that certain criteria are met. Any additional General Meeting shall be convened whenever the Board would so decide. Each General Meeting must be held in Amsterdam, Arnhem, Assen, The Hague, Haarlem, 's-Hertogenbosch, Groningen, Leeuwarden, Lelystad, Leiden, Maastricht, Middelburg, Rotterdam, Schiphol (Haarlemmermeer), Utrecht or Zwolle.</w:t>
      </w:r>
    </w:p>
    <w:p>
      <w:pPr>
        <w:spacing w:after="0" w:line="164"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For purposes of determining who have voting rights and/or meeting rights under Dutch law at a General Meeting, the Board may set a record date. The record date, if set, shall be the 28th day prior to that of the General Meeting. Those who have voting rights and/or meeting rights under Dutch law on the record date and are recorded as such in one or more registers designated by the Board shall be considered to have those rights at the General Meeting, irrespective of any changes in the composition of the shareholder base between the record date and the date of the General Meeting. The Company's articles of association require shareholders and others with meeting rights under Dutch law to notify the Company of their identity and their intention to attend the General Meeting. This notice must be received by the Company ultimately on the seventh day prior to the General Meeting, unless indicated otherwise when such General Meeting is convened.</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5.4.2 Powers of the General Meeting</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powers that do not vest in the Board pursuant to applicable law, the Company's articles of association or otherwise, vest in the General Meeting.</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main powers of the General Meeting include, subject in each case to the applicable provisions in the Company's articles of association:</w:t>
      </w:r>
    </w:p>
    <w:p>
      <w:pPr>
        <w:spacing w:after="0" w:line="101" w:lineRule="exact"/>
        <w:rPr>
          <w:sz w:val="20"/>
          <w:szCs w:val="20"/>
          <w:color w:val="auto"/>
        </w:rPr>
      </w:pPr>
    </w:p>
    <w:p>
      <w:pPr>
        <w:ind w:left="1080" w:hanging="563"/>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appointment, suspension and dismissal of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approval of certain resolutions of the Board concerning a material change to the identity or the character of the Company or its business;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reduction of the Company's issued share capital through a decrease of the nominal value, or cancellation, of shares in its capital;</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adoption of the Company's statutory annual accounts;</w:t>
      </w:r>
    </w:p>
    <w:p>
      <w:pPr>
        <w:spacing w:after="0" w:line="113" w:lineRule="exact"/>
        <w:rPr>
          <w:rFonts w:ascii="Arial" w:cs="Arial" w:eastAsia="Arial" w:hAnsi="Arial"/>
          <w:sz w:val="16"/>
          <w:szCs w:val="16"/>
          <w:color w:val="auto"/>
        </w:rPr>
      </w:pPr>
    </w:p>
    <w:p>
      <w:pPr>
        <w:ind w:left="1080" w:hanging="563"/>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appointment of the Dutch independent auditor to examine the Company's statutory annual accounts;</w:t>
      </w:r>
    </w:p>
    <w:p>
      <w:pPr>
        <w:spacing w:after="0" w:line="113" w:lineRule="exact"/>
        <w:rPr>
          <w:rFonts w:ascii="Arial" w:cs="Arial" w:eastAsia="Arial" w:hAnsi="Arial"/>
          <w:sz w:val="16"/>
          <w:szCs w:val="16"/>
          <w:color w:val="auto"/>
        </w:rPr>
      </w:pPr>
    </w:p>
    <w:p>
      <w:pPr>
        <w:ind w:left="1080" w:hanging="563"/>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amendments to the Company's articles of association;</w:t>
      </w:r>
    </w:p>
    <w:p>
      <w:pPr>
        <w:spacing w:after="0" w:line="113" w:lineRule="exact"/>
        <w:rPr>
          <w:rFonts w:ascii="Arial" w:cs="Arial" w:eastAsia="Arial" w:hAnsi="Arial"/>
          <w:sz w:val="16"/>
          <w:szCs w:val="16"/>
          <w:color w:val="auto"/>
        </w:rPr>
      </w:pPr>
    </w:p>
    <w:p>
      <w:pPr>
        <w:ind w:left="1020" w:hanging="503"/>
        <w:spacing w:after="0" w:line="276" w:lineRule="auto"/>
        <w:tabs>
          <w:tab w:leader="none" w:pos="1074" w:val="left"/>
        </w:tabs>
        <w:numPr>
          <w:ilvl w:val="0"/>
          <w:numId w:val="73"/>
        </w:numPr>
        <w:rPr>
          <w:rFonts w:ascii="Arial" w:cs="Arial" w:eastAsia="Arial" w:hAnsi="Arial"/>
          <w:sz w:val="16"/>
          <w:szCs w:val="16"/>
          <w:color w:val="auto"/>
        </w:rPr>
      </w:pPr>
      <w:r>
        <w:rPr>
          <w:rFonts w:ascii="Arial" w:cs="Arial" w:eastAsia="Arial" w:hAnsi="Arial"/>
          <w:sz w:val="16"/>
          <w:szCs w:val="16"/>
          <w:color w:val="auto"/>
        </w:rPr>
        <w:t>approving a merger or demerger by the Company, without prejudice to the authority of the Board to resolve on certain types of mergers and demergers if certain requirements are met; and</w:t>
      </w:r>
    </w:p>
    <w:p>
      <w:pPr>
        <w:spacing w:after="0" w:line="62" w:lineRule="exact"/>
        <w:rPr>
          <w:rFonts w:ascii="Arial" w:cs="Arial" w:eastAsia="Arial" w:hAnsi="Arial"/>
          <w:sz w:val="16"/>
          <w:szCs w:val="16"/>
          <w:color w:val="auto"/>
        </w:rPr>
      </w:pPr>
    </w:p>
    <w:p>
      <w:pPr>
        <w:ind w:left="1080" w:hanging="563"/>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dissolution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the General Meeting has the right, and the Board must provide, any information reasonably requested by the General Meeting, unless this would be contrary to an overriding interest of the Company.</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5.4.3 Shareholder rights</w:t>
      </w:r>
    </w:p>
    <w:p>
      <w:pPr>
        <w:spacing w:after="0" w:line="20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Each share in the Company's capital carries one vote. Shareholders, irrespective of whether or not they have voting rights, have meeting rights under Dutch law (including the right to attend and address the General Meeting, subject to the concept of a record date as described in chapter 5.4.1). Furthermore, each share in the Company's capital carries an entitlement to dividends and other distributions as set forth in the Company's articles of association. Pursuant to the Company's articles of association, any such dividend or other distribution shall be payable on such date as determined by the Board and the Board may also set a record date for determining who are entitled to receive any such dividend or other distribution (irrespective of subsequent changes in the shareholder base). The record date for dividends and other distributions shall not be earlier than the date on which the dividend or other distribution is announced. In addition, shareholders have those rights awarded to them by applicable law.</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5.5 Board</w:t>
      </w:r>
    </w:p>
    <w:p>
      <w:pPr>
        <w:spacing w:after="0" w:line="202" w:lineRule="exact"/>
        <w:rPr>
          <w:sz w:val="20"/>
          <w:szCs w:val="20"/>
          <w:color w:val="auto"/>
        </w:rPr>
      </w:pPr>
    </w:p>
    <w:p>
      <w:pPr>
        <w:jc w:val="both"/>
        <w:ind w:left="160" w:firstLine="851"/>
        <w:spacing w:after="0" w:line="252" w:lineRule="auto"/>
        <w:rPr>
          <w:sz w:val="20"/>
          <w:szCs w:val="20"/>
          <w:color w:val="auto"/>
        </w:rPr>
      </w:pPr>
      <w:r>
        <w:rPr>
          <w:rFonts w:ascii="Arial" w:cs="Arial" w:eastAsia="Arial" w:hAnsi="Arial"/>
          <w:sz w:val="16"/>
          <w:szCs w:val="16"/>
          <w:color w:val="auto"/>
        </w:rPr>
        <w:t>The Board is charged with managing the Company's affairs, which includes setting the Company's policies and strategy.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 In performing their duties, our directors shall be guided by the interests of the Company and of the business connected with it.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at December 31, 2022, the Board was composed as follows, which are all current directors on the Board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1448435" cy="5054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260" w:type="dxa"/>
            <w:vAlign w:val="bottom"/>
          </w:tcPr>
          <w:p>
            <w:pPr>
              <w:ind w:left="580"/>
              <w:spacing w:after="0"/>
              <w:rPr>
                <w:sz w:val="20"/>
                <w:szCs w:val="20"/>
                <w:color w:val="auto"/>
              </w:rPr>
            </w:pPr>
            <w:r>
              <w:rPr>
                <w:rFonts w:ascii="Arial" w:cs="Arial" w:eastAsia="Arial" w:hAnsi="Arial"/>
                <w:sz w:val="16"/>
                <w:szCs w:val="16"/>
                <w:b w:val="1"/>
                <w:bCs w:val="1"/>
                <w:color w:val="auto"/>
              </w:rPr>
              <w:t>Name and age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Gender</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Nationality</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Date of initial</w:t>
            </w:r>
          </w:p>
        </w:tc>
        <w:tc>
          <w:tcPr>
            <w:tcW w:w="35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Expiration of current term of office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Attendance rate</w:t>
            </w:r>
          </w:p>
        </w:tc>
      </w:tr>
      <w:tr>
        <w:trPr>
          <w:trHeight w:val="189"/>
        </w:trPr>
        <w:tc>
          <w:tcPr>
            <w:tcW w:w="2260" w:type="dxa"/>
            <w:vAlign w:val="bottom"/>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identity</w:t>
            </w:r>
          </w:p>
        </w:tc>
        <w:tc>
          <w:tcPr>
            <w:tcW w:w="12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appointment</w:t>
            </w:r>
          </w:p>
        </w:tc>
        <w:tc>
          <w:tcPr>
            <w:tcW w:w="35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 meetings of the</w:t>
            </w:r>
          </w:p>
        </w:tc>
      </w:tr>
      <w:tr>
        <w:trPr>
          <w:trHeight w:val="227"/>
        </w:trPr>
        <w:tc>
          <w:tcPr>
            <w:tcW w:w="22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board</w:t>
            </w:r>
          </w:p>
        </w:tc>
      </w:tr>
      <w:tr>
        <w:trPr>
          <w:trHeight w:val="123"/>
        </w:trPr>
        <w:tc>
          <w:tcPr>
            <w:tcW w:w="226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35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r>
      <w:tr>
        <w:trPr>
          <w:trHeight w:val="213"/>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Berndt Modig (64) *</w:t>
            </w:r>
          </w:p>
        </w:tc>
        <w:tc>
          <w:tcPr>
            <w:tcW w:w="1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Swedish</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September 30, 2015</w:t>
            </w:r>
          </w:p>
        </w:tc>
        <w:tc>
          <w:tcPr>
            <w:tcW w:w="35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end of the AGM to be held in 2024</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Hans Schikan (64)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Dutch</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August 28, 2019</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end of the AGM to be held in 2024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100 %</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David Meeker (68)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American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January 1, 2021</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100 %</w:t>
            </w:r>
          </w:p>
        </w:tc>
      </w:tr>
      <w:tr>
        <w:trPr>
          <w:trHeight w:val="210"/>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Robert Glassman (62)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American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January 1, 2021</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70%</w:t>
            </w:r>
          </w:p>
        </w:tc>
      </w:tr>
      <w:tr>
        <w:trPr>
          <w:trHeight w:val="210"/>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Viviane Beck-Monges (59)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French</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June 29, 2021</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end of the AGM to beheld in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100 %</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Elisabeth Björk (62)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Swedish</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December 1, 2021</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end of the AGM to beheld in 2026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90 %</w:t>
            </w:r>
          </w:p>
        </w:tc>
      </w:tr>
      <w:tr>
        <w:trPr>
          <w:trHeight w:val="189"/>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Anne Marie de Jonge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F</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Swiss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December 22, 2021</w:t>
            </w:r>
          </w:p>
        </w:tc>
        <w:tc>
          <w:tcPr>
            <w:tcW w:w="35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At the end of the AGM to beheld in 2026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100 %</w:t>
            </w:r>
          </w:p>
        </w:tc>
      </w:tr>
      <w:tr>
        <w:trPr>
          <w:trHeight w:val="210"/>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Schuermans (50) **</w:t>
            </w:r>
          </w:p>
        </w:tc>
        <w:tc>
          <w:tcPr>
            <w:tcW w:w="10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364"/>
        </w:trPr>
        <w:tc>
          <w:tcPr>
            <w:tcW w:w="2260" w:type="dxa"/>
            <w:vAlign w:val="bottom"/>
          </w:tcPr>
          <w:p>
            <w:pPr>
              <w:spacing w:after="0"/>
              <w:rPr>
                <w:sz w:val="20"/>
                <w:szCs w:val="20"/>
                <w:color w:val="auto"/>
              </w:rPr>
            </w:pPr>
            <w:r>
              <w:rPr>
                <w:rFonts w:ascii="Arial" w:cs="Arial" w:eastAsia="Arial" w:hAnsi="Arial"/>
                <w:sz w:val="16"/>
                <w:szCs w:val="16"/>
                <w:color w:val="auto"/>
              </w:rPr>
              <w:t>* Executive director</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7"/>
        </w:trPr>
        <w:tc>
          <w:tcPr>
            <w:tcW w:w="2260" w:type="dxa"/>
            <w:vAlign w:val="bottom"/>
          </w:tcPr>
          <w:p>
            <w:pPr>
              <w:spacing w:after="0"/>
              <w:rPr>
                <w:sz w:val="20"/>
                <w:szCs w:val="20"/>
                <w:color w:val="auto"/>
              </w:rPr>
            </w:pPr>
            <w:r>
              <w:rPr>
                <w:rFonts w:ascii="Arial" w:cs="Arial" w:eastAsia="Arial" w:hAnsi="Arial"/>
                <w:sz w:val="16"/>
                <w:szCs w:val="16"/>
                <w:color w:val="auto"/>
              </w:rPr>
              <w:t>** Non-executive director</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Berndt Modig</w:t>
      </w:r>
    </w:p>
    <w:p>
      <w:pPr>
        <w:spacing w:after="0" w:line="19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60"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Mr. Modig also serves as a director, chair of the compensation committee and member of the audit committee of Sio Gene Therapies Inc., a publicly held pharmaceutical company. Mr. Modig received a bachelor’s degree in business administration, economics and German from the University of Lund, Sweden, and an MBA from INSEAD, Fontainebleau, France. Mr. Modig is a certified public accountant (inactive).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Hans Schikan, PharmD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(NASDAQ: RNA), a biopharmaceutical company focusing on novel RNA modulating treatments for rare diseases including Duchenne muscular dystrophy.</w:t>
      </w:r>
    </w:p>
    <w:p>
      <w:pPr>
        <w:spacing w:after="0" w:line="18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a Board Member of Vicore Pharma (STO: VICO) and VectivBio (NASDAQ: VECT) and is Chairman of the Board of Microbiotica and Complix. Finally, he is a member of the Top Team of the Dutch Top Sector Life Sciences &amp; Health. Previously, he served on the boards of Sobi (STO: SOBI), Hansa Biopharma (STO: HNSA), Wilson Therapeutics (STO: WTX) (acquired by Alexion), Therachon (acquired by Pfizer), Asceneuron and InteRNA. Mr. Schikan has a Pharm.D. degree from Utrecht University.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David Meeker, M.D</w:t>
      </w:r>
    </w:p>
    <w:p>
      <w:pPr>
        <w:spacing w:after="0" w:line="198"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65"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Robert Glassman, M.D.</w:t>
      </w:r>
    </w:p>
    <w:p>
      <w:pPr>
        <w:spacing w:after="0" w:line="19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Dr. Glassman has been a director since January 2021. Dr. Glassman is currently the Public Equity Venture Partner at OrbiMed Advisors. Previously, Dr. Glassman had been working as a senior investment banker for 17 years, most recently serving as Vice Chairman at Credit Suisse Securities since 2015. Prior to joining Credit Suisse Securities, Dr. Glassman served as a Managing Director at Bank of America Merrill Lynch between 2010-2015. From 2009-2010, Dr. Glassman served as a private equity partner at OrbiMed Advisors. Earlier in his career, Dr. Glassman was with Merrill Lynch Global Private Equity where he oversaw a very successful healthcare portfolio and at McKinsey &amp; Co. where he consulted for a wide range of clients within their Pharmaceutical and Medical Products practice.</w:t>
      </w:r>
    </w:p>
    <w:p>
      <w:pPr>
        <w:spacing w:after="0" w:line="16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Dr. Glassman was a board-certified hematologist-oncologist who remains on the faculty of Weil Cornell as a Clinical Assistant Professor of Medicine. He has co-authored numerous articles in peer-reviewed journals and spoken widely in industry and academic forums on clinical development, reimbursement, and data interpretation. Dr. Glassman received his AB from Harvard College magna cum laude and an M.D. from Harvard Medical School. He completed his residency in internal medicine at the Hospital of the University of Pennsylvania, and his fellowship in hematology and oncology at Weill Cornell. He also spent several years as a basic science investigator at Rockefeller University in the laboratory of Hidesaburo Hanafusa, where he received Howard Hughes Medical Institute and American Cancer Society awards.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Elisabeth Björk, M.D.</w:t>
      </w:r>
    </w:p>
    <w:p>
      <w:pPr>
        <w:spacing w:after="0" w:line="19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the Senior Vice President, Head of Late-stage Development, Cardiovascular, Renal and Metabolism (CVRM), BioPharmaceuticals R&amp;D at AstraZeneca leading the global development of medicines within this area. Throughout her career at AstraZeneca (since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Chalmers Ventures AB, Bj</w:t>
      </w:r>
      <w:r>
        <w:rPr>
          <w:rFonts w:ascii="Arial" w:cs="Arial" w:eastAsia="Arial" w:hAnsi="Arial"/>
          <w:sz w:val="16"/>
          <w:szCs w:val="16"/>
          <w:color w:val="auto"/>
        </w:rPr>
        <w:t>ӧ</w:t>
      </w:r>
      <w:r>
        <w:rPr>
          <w:rFonts w:ascii="Arial" w:cs="Arial" w:eastAsia="Arial" w:hAnsi="Arial"/>
          <w:sz w:val="16"/>
          <w:szCs w:val="16"/>
          <w:color w:val="auto"/>
        </w:rPr>
        <w:t>rks Matematik o Mera AB, and rfidcompare europe AB.</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Viviane Monges</w:t>
      </w:r>
    </w:p>
    <w:p>
      <w:pPr>
        <w:spacing w:after="0" w:line="198" w:lineRule="exact"/>
        <w:rPr>
          <w:sz w:val="20"/>
          <w:szCs w:val="20"/>
          <w:color w:val="auto"/>
        </w:rPr>
      </w:pPr>
    </w:p>
    <w:p>
      <w:pPr>
        <w:jc w:val="both"/>
        <w:ind w:left="160" w:firstLine="350"/>
        <w:spacing w:after="0" w:line="253" w:lineRule="auto"/>
        <w:rPr>
          <w:sz w:val="20"/>
          <w:szCs w:val="20"/>
          <w:color w:val="auto"/>
        </w:rPr>
      </w:pPr>
      <w:r>
        <w:rPr>
          <w:rFonts w:ascii="Arial" w:cs="Arial" w:eastAsia="Arial" w:hAnsi="Arial"/>
          <w:sz w:val="16"/>
          <w:szCs w:val="16"/>
          <w:color w:val="auto"/>
        </w:rPr>
        <w:t>Ms. Monges has been a director since July 2021 and serves as the Chair of the Audit Committee. She currently also serves as Chair of the Board of Directors of Euroapi. She also serves as a non-executive director at UCB, ADC Therapeutics and Novo Holdings. Prior to these roles, Viviane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Anne Marie de Jonge Schuermans</w:t>
      </w:r>
    </w:p>
    <w:p>
      <w:pPr>
        <w:spacing w:after="0" w:line="198" w:lineRule="exact"/>
        <w:rPr>
          <w:sz w:val="20"/>
          <w:szCs w:val="20"/>
          <w:color w:val="auto"/>
        </w:rPr>
      </w:pPr>
    </w:p>
    <w:p>
      <w:pPr>
        <w:jc w:val="both"/>
        <w:ind w:left="160" w:firstLine="299"/>
        <w:spacing w:after="0" w:line="256" w:lineRule="auto"/>
        <w:rPr>
          <w:sz w:val="20"/>
          <w:szCs w:val="20"/>
          <w:color w:val="auto"/>
        </w:rPr>
      </w:pPr>
      <w:r>
        <w:rPr>
          <w:rFonts w:ascii="Arial" w:cs="Arial" w:eastAsia="Arial" w:hAnsi="Arial"/>
          <w:sz w:val="16"/>
          <w:szCs w:val="16"/>
          <w:color w:val="auto"/>
        </w:rPr>
        <w:t>Dr. de Jonge Schuermans has been a director since December 2021 and is an experienced biopharma operations leader. Currently, she is responsible for managing global operations at Sandoz securing the supply of generic pharmaceuticals and biosimilars. Prior to her role at Sandoz, she was leading technical operations (CMC Development, Manufacturing, Sourcing, Supply Chain and Quality) at Swedish Orphan Biovitrum (Sobi) and part of its executive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Earlier in her career, Dr. de Jonge Schuermans held roles as VP Global Manufacturing Operations and VP Global Supply Chain Operations &amp; Partnerships at Biogen. Before that she spent almost 15 years at Novartis in various technical roles. Throughout her career she has built up experience in Biotech, Pharma, Medical Device and Consumer Health for a wide range of technologies in multiple territories and regulations.</w:t>
      </w:r>
    </w:p>
    <w:p>
      <w:pPr>
        <w:spacing w:after="0" w:line="156"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Dr. de Jonge Schuermans obtained her PhD from the Swiss Federal Institute of Technology Zurich (ETHZ) and holds M.Sc. degrees in Agriculture &amp; Natural Environment from Wageningen Agricultural University in the Netherlands, and Ecole Polytechnique Fédérale Lausanne (EPFL) in Switzerland.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non-executive directors are independent within the meaning of the DCGC.</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5.6 Committees</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5.6.1 General</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Board has established an audit committee, a compensation committee and a nomination and corporate governance committee. Each committee operates pursuant to its charter.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at December 31, 2022, the committees were composed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1808480" cy="427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08480" cy="427990"/>
                    </a:xfrm>
                    <a:prstGeom prst="rect">
                      <a:avLst/>
                    </a:prstGeom>
                    <a:noFill/>
                  </pic:spPr>
                </pic:pic>
              </a:graphicData>
            </a:graphic>
          </wp:anchor>
        </w:drawing>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Audit committee</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Compensation</w:t>
            </w: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Nomination</w:t>
            </w: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and</w:t>
            </w:r>
          </w:p>
        </w:tc>
        <w:tc>
          <w:tcPr>
            <w:tcW w:w="9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corporate</w:t>
            </w:r>
          </w:p>
        </w:tc>
      </w:tr>
      <w:tr>
        <w:trPr>
          <w:trHeight w:val="189"/>
        </w:trPr>
        <w:tc>
          <w:tcPr>
            <w:tcW w:w="2820" w:type="dxa"/>
            <w:vAlign w:val="bottom"/>
          </w:tcPr>
          <w:p>
            <w:pPr>
              <w:spacing w:after="0"/>
              <w:rPr>
                <w:sz w:val="16"/>
                <w:szCs w:val="16"/>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(and attendance rate)</w:t>
            </w:r>
          </w:p>
        </w:tc>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committee</w:t>
            </w:r>
          </w:p>
        </w:tc>
        <w:tc>
          <w:tcPr>
            <w:tcW w:w="1900" w:type="dxa"/>
            <w:vAlign w:val="bottom"/>
            <w:gridSpan w:val="2"/>
          </w:tcPr>
          <w:p>
            <w:pPr>
              <w:ind w:left="20"/>
              <w:spacing w:after="0"/>
              <w:rPr>
                <w:sz w:val="20"/>
                <w:szCs w:val="20"/>
                <w:color w:val="auto"/>
              </w:rPr>
            </w:pPr>
            <w:r>
              <w:rPr>
                <w:rFonts w:ascii="Arial" w:cs="Arial" w:eastAsia="Arial" w:hAnsi="Arial"/>
                <w:sz w:val="16"/>
                <w:szCs w:val="16"/>
                <w:b w:val="1"/>
                <w:bCs w:val="1"/>
                <w:color w:val="auto"/>
              </w:rPr>
              <w:t>governance committee</w:t>
            </w:r>
          </w:p>
        </w:tc>
        <w:tc>
          <w:tcPr>
            <w:tcW w:w="900" w:type="dxa"/>
            <w:vAlign w:val="bottom"/>
            <w:tcBorders>
              <w:right w:val="single" w:sz="8" w:color="auto"/>
            </w:tcBorders>
          </w:tcPr>
          <w:p>
            <w:pPr>
              <w:spacing w:after="0"/>
              <w:rPr>
                <w:sz w:val="16"/>
                <w:szCs w:val="16"/>
                <w:color w:val="auto"/>
              </w:rPr>
            </w:pPr>
          </w:p>
        </w:tc>
      </w:tr>
      <w:tr>
        <w:trPr>
          <w:trHeight w:val="228"/>
        </w:trPr>
        <w:tc>
          <w:tcPr>
            <w:tcW w:w="2820" w:type="dxa"/>
            <w:vAlign w:val="bottom"/>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(and attendance rate)</w:t>
            </w: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(and attendance rate)</w:t>
            </w:r>
          </w:p>
        </w:tc>
        <w:tc>
          <w:tcPr>
            <w:tcW w:w="900" w:type="dxa"/>
            <w:vAlign w:val="bottom"/>
            <w:tcBorders>
              <w:bottom w:val="single" w:sz="8" w:color="auto"/>
              <w:right w:val="single" w:sz="8" w:color="auto"/>
            </w:tcBorders>
          </w:tcPr>
          <w:p>
            <w:pPr>
              <w:spacing w:after="0"/>
              <w:rPr>
                <w:sz w:val="19"/>
                <w:szCs w:val="19"/>
                <w:color w:val="auto"/>
              </w:rPr>
            </w:pPr>
          </w:p>
        </w:tc>
      </w:tr>
      <w:tr>
        <w:trPr>
          <w:trHeight w:val="213"/>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Elisabeth Björk, M.D.</w:t>
            </w:r>
          </w:p>
        </w:tc>
        <w:tc>
          <w:tcPr>
            <w:tcW w:w="28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Anne Marie de Jonge Schuermans</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X (100 % attendance)</w:t>
            </w:r>
          </w:p>
        </w:tc>
        <w:tc>
          <w:tcPr>
            <w:tcW w:w="900" w:type="dxa"/>
            <w:vAlign w:val="bottom"/>
            <w:tcBorders>
              <w:bottom w:val="single" w:sz="8" w:color="auto"/>
              <w:right w:val="single" w:sz="8" w:color="auto"/>
            </w:tcBorders>
          </w:tcPr>
          <w:p>
            <w:pPr>
              <w:spacing w:after="0"/>
              <w:rPr>
                <w:sz w:val="18"/>
                <w:szCs w:val="18"/>
                <w:color w:val="auto"/>
              </w:rPr>
            </w:pPr>
          </w:p>
        </w:tc>
      </w:tr>
      <w:tr>
        <w:trPr>
          <w:trHeight w:val="20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Robert Glassman M.D.</w:t>
            </w:r>
          </w:p>
        </w:tc>
        <w:tc>
          <w:tcPr>
            <w:tcW w:w="28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X (100% attendance)</w:t>
            </w: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20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David Meeker, M.D.</w:t>
            </w:r>
          </w:p>
        </w:tc>
        <w:tc>
          <w:tcPr>
            <w:tcW w:w="28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X (100% attendance)</w:t>
            </w: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right w:val="single" w:sz="8" w:color="auto"/>
            </w:tcBorders>
          </w:tcPr>
          <w:p>
            <w:pPr>
              <w:spacing w:after="0"/>
              <w:rPr>
                <w:sz w:val="18"/>
                <w:szCs w:val="18"/>
                <w:color w:val="auto"/>
              </w:rPr>
            </w:pPr>
          </w:p>
        </w:tc>
      </w:tr>
      <w:tr>
        <w:trPr>
          <w:trHeight w:val="20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Viviane Monges</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20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Hans Schikan, Pharm.D.</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 (86% attendance)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X* (100% attendance)</w:t>
            </w: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6"/>
                <w:szCs w:val="16"/>
                <w:color w:val="auto"/>
              </w:rPr>
              <w:t>* Chairperson</w:t>
            </w:r>
          </w:p>
        </w:tc>
        <w:tc>
          <w:tcPr>
            <w:tcW w:w="2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153" w:lineRule="exact"/>
        <w:rPr>
          <w:sz w:val="20"/>
          <w:szCs w:val="20"/>
          <w:color w:val="auto"/>
        </w:rPr>
      </w:pPr>
    </w:p>
    <w:p>
      <w:pPr>
        <w:jc w:val="center"/>
        <w:ind w:right="7520"/>
        <w:spacing w:after="0"/>
        <w:rPr>
          <w:sz w:val="20"/>
          <w:szCs w:val="20"/>
          <w:color w:val="auto"/>
        </w:rPr>
      </w:pPr>
      <w:r>
        <w:rPr>
          <w:rFonts w:ascii="Arial" w:cs="Arial" w:eastAsia="Arial" w:hAnsi="Arial"/>
          <w:sz w:val="16"/>
          <w:szCs w:val="16"/>
          <w:b w:val="1"/>
          <w:bCs w:val="1"/>
          <w:color w:val="auto"/>
        </w:rPr>
        <w:t>5.6.2 Audit committee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our audit committee include:</w:t>
      </w:r>
    </w:p>
    <w:p>
      <w:pPr>
        <w:spacing w:after="0" w:line="302" w:lineRule="exact"/>
        <w:rPr>
          <w:sz w:val="20"/>
          <w:szCs w:val="20"/>
          <w:color w:val="auto"/>
        </w:rPr>
      </w:pPr>
    </w:p>
    <w:p>
      <w:pPr>
        <w:jc w:val="both"/>
        <w:ind w:left="820" w:hanging="512"/>
        <w:spacing w:after="0" w:line="261" w:lineRule="auto"/>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monitoring the Board with respect to (i) the relations with, and the compliance with recommendations and follow-up of comments made by, the Company's internal audit function and the Dutch independent auditor, (ii) the Company's funding, (iii) the application of information and communication technology by the Company, including risks relating to cybersecurity and (iv) the Company's tax policy;</w:t>
      </w:r>
    </w:p>
    <w:p>
      <w:pPr>
        <w:spacing w:after="0" w:line="74" w:lineRule="exact"/>
        <w:rPr>
          <w:rFonts w:ascii="Arial" w:cs="Arial" w:eastAsia="Arial" w:hAnsi="Arial"/>
          <w:sz w:val="16"/>
          <w:szCs w:val="16"/>
          <w:color w:val="auto"/>
        </w:rPr>
      </w:pPr>
    </w:p>
    <w:p>
      <w:pPr>
        <w:ind w:left="820" w:hanging="512"/>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Company's compliance with applicable legal and regulatory requirements;</w:t>
      </w:r>
    </w:p>
    <w:p>
      <w:pPr>
        <w:spacing w:after="0" w:line="113" w:lineRule="exact"/>
        <w:rPr>
          <w:rFonts w:ascii="Arial" w:cs="Arial" w:eastAsia="Arial" w:hAnsi="Arial"/>
          <w:sz w:val="16"/>
          <w:szCs w:val="16"/>
          <w:color w:val="auto"/>
        </w:rPr>
      </w:pPr>
    </w:p>
    <w:p>
      <w:pPr>
        <w:ind w:left="820" w:hanging="512"/>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operation of the Company's code of business conduct and ethics and its other internal policies;</w:t>
      </w:r>
    </w:p>
    <w:p>
      <w:pPr>
        <w:spacing w:after="0" w:line="113" w:lineRule="exact"/>
        <w:rPr>
          <w:rFonts w:ascii="Arial" w:cs="Arial" w:eastAsia="Arial" w:hAnsi="Arial"/>
          <w:sz w:val="16"/>
          <w:szCs w:val="16"/>
          <w:color w:val="auto"/>
        </w:rPr>
      </w:pPr>
    </w:p>
    <w:p>
      <w:pPr>
        <w:ind w:left="820" w:hanging="512"/>
        <w:spacing w:after="0" w:line="276" w:lineRule="auto"/>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issuing recommendations concerning the appointment and the dismissal of the head of the Company's internal audit function and reviewing and discussing the performance of the Company's internal audit function;</w:t>
      </w:r>
    </w:p>
    <w:p>
      <w:pPr>
        <w:spacing w:after="0" w:line="62" w:lineRule="exact"/>
        <w:rPr>
          <w:rFonts w:ascii="Arial" w:cs="Arial" w:eastAsia="Arial" w:hAnsi="Arial"/>
          <w:sz w:val="16"/>
          <w:szCs w:val="16"/>
          <w:color w:val="auto"/>
        </w:rPr>
      </w:pPr>
    </w:p>
    <w:p>
      <w:pPr>
        <w:ind w:left="820" w:hanging="512"/>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and discussing the Company's audit plan with the Company's internal audit function and the Dutch independent auditor;</w:t>
      </w:r>
    </w:p>
    <w:p>
      <w:pPr>
        <w:spacing w:after="0" w:line="113" w:lineRule="exact"/>
        <w:rPr>
          <w:rFonts w:ascii="Arial" w:cs="Arial" w:eastAsia="Arial" w:hAnsi="Arial"/>
          <w:sz w:val="16"/>
          <w:szCs w:val="16"/>
          <w:color w:val="auto"/>
        </w:rPr>
      </w:pPr>
    </w:p>
    <w:p>
      <w:pPr>
        <w:jc w:val="both"/>
        <w:ind w:left="820" w:hanging="512"/>
        <w:spacing w:after="0" w:line="261" w:lineRule="auto"/>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and discussing the essence of the audit results with the Company's internal audit function, including (i) flaws in the effectiveness of the Company's internal risk management and control systems, (ii) findings and observations with a material impact on the Company's risk profile and (iii) failing in the follow-up of recommendations made previously by the Company's internal audit function;</w:t>
      </w:r>
    </w:p>
    <w:p>
      <w:pPr>
        <w:spacing w:after="0" w:line="74" w:lineRule="exact"/>
        <w:rPr>
          <w:rFonts w:ascii="Arial" w:cs="Arial" w:eastAsia="Arial" w:hAnsi="Arial"/>
          <w:sz w:val="16"/>
          <w:szCs w:val="16"/>
          <w:color w:val="auto"/>
        </w:rPr>
      </w:pPr>
    </w:p>
    <w:p>
      <w:pPr>
        <w:jc w:val="both"/>
        <w:ind w:left="820" w:hanging="512"/>
        <w:spacing w:after="0" w:line="253" w:lineRule="auto"/>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at least annually, (i) the scope and materiality of the Company's audit plan and the principal risks of the Company's annual financial reporting identified in such audit plan, (ii) the findings and outcome of the Dutch independent auditor of the Company's financial statements and its management letter and (iii) significant findings from the audit of the Company's financial statements and any problems or difficulties encountered, including restrictions on the scope of the Dutch independent auditor's activities or on access to requested information, as well as significant disagreements with the Company's management;</w:t>
      </w:r>
    </w:p>
    <w:p>
      <w:pPr>
        <w:spacing w:after="0" w:line="83" w:lineRule="exact"/>
        <w:rPr>
          <w:rFonts w:ascii="Arial" w:cs="Arial" w:eastAsia="Arial" w:hAnsi="Arial"/>
          <w:sz w:val="16"/>
          <w:szCs w:val="16"/>
          <w:color w:val="auto"/>
        </w:rPr>
      </w:pPr>
    </w:p>
    <w:p>
      <w:pPr>
        <w:jc w:val="both"/>
        <w:ind w:left="820" w:hanging="512"/>
        <w:spacing w:after="0" w:line="261" w:lineRule="auto"/>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receiving from the Dutch independent auditor a formal written statement at least annually delineating all relationships between the Dutch independent auditor and the Company consistent with applicable requirements of the Public Company Accounting Oversight Board regarding the Dutch independent auditor's communications with the audit committee concerning independence;</w:t>
      </w:r>
    </w:p>
    <w:p>
      <w:pPr>
        <w:spacing w:after="0" w:line="74" w:lineRule="exact"/>
        <w:rPr>
          <w:rFonts w:ascii="Arial" w:cs="Arial" w:eastAsia="Arial" w:hAnsi="Arial"/>
          <w:sz w:val="16"/>
          <w:szCs w:val="16"/>
          <w:color w:val="auto"/>
        </w:rPr>
      </w:pPr>
    </w:p>
    <w:p>
      <w:pPr>
        <w:ind w:left="820" w:hanging="512"/>
        <w:spacing w:after="0" w:line="276" w:lineRule="auto"/>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determining whether and, if so, how the Dutch independent auditor should be involved in the content and publication of financial reports other than the Company's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820" w:hanging="512"/>
        <w:spacing w:after="0"/>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resolving disagreements between the Company's management and the Dutch independent auditor regarding the Company's financial reporting;</w:t>
      </w:r>
    </w:p>
    <w:p>
      <w:pPr>
        <w:spacing w:after="0" w:line="113" w:lineRule="exact"/>
        <w:rPr>
          <w:rFonts w:ascii="Arial" w:cs="Arial" w:eastAsia="Arial" w:hAnsi="Arial"/>
          <w:sz w:val="16"/>
          <w:szCs w:val="16"/>
          <w:color w:val="auto"/>
        </w:rPr>
      </w:pPr>
    </w:p>
    <w:p>
      <w:pPr>
        <w:jc w:val="both"/>
        <w:ind w:left="820" w:hanging="512"/>
        <w:spacing w:after="0" w:line="252"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any audit problems or difficulties and the response of the Company's management thereto, including those matters required to be discussed with the audit committee by the Dutch independent auditor pursuant to established auditing standards, including (i) restrictions on the scope of the Dutch independent auditor's activities or on access to requested information, (ii) accounting adjustments that were noted or proposed by the Dutch independent auditor but were "passed" as immaterial or otherwise, (iii) communications between the audit team and the audit firm's national office regarding auditing or accounting issues presented by the engagement, and (iv) management or internal control letters issued, or proposed to be issued, by the Dutch independent auditor;</w:t>
      </w:r>
    </w:p>
    <w:p>
      <w:pPr>
        <w:spacing w:after="0" w:line="82" w:lineRule="exact"/>
        <w:rPr>
          <w:rFonts w:ascii="Arial" w:cs="Arial" w:eastAsia="Arial" w:hAnsi="Arial"/>
          <w:sz w:val="16"/>
          <w:szCs w:val="16"/>
          <w:color w:val="auto"/>
        </w:rPr>
      </w:pPr>
    </w:p>
    <w:p>
      <w:pPr>
        <w:jc w:val="both"/>
        <w:ind w:left="820" w:hanging="512"/>
        <w:spacing w:after="0" w:line="251"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reviewing and discussing the effectiveness of the design and operation of the Company's risk management and control systems with the Board, the CEO and the CFO, including (i) identified material failings, deficiencies or material weaknesses in the Company's internal risk management and control systems, including whether there are significant deficiencies and material weaknesses in the design or operation of the Company's internal risk management and control systems which are reasonably likely to affect the Company's ability to record, process, summarize and report financial information and fraud involving the Company's management or other employees with a significant role in the design or operation of the Company's internal risk management and control systems and (ii) material changes made to, and material improvements planned for, the Company's internal risk management and control systems;</w:t>
      </w:r>
    </w:p>
    <w:p>
      <w:pPr>
        <w:spacing w:after="0" w:line="84" w:lineRule="exact"/>
        <w:rPr>
          <w:rFonts w:ascii="Arial" w:cs="Arial" w:eastAsia="Arial" w:hAnsi="Arial"/>
          <w:sz w:val="16"/>
          <w:szCs w:val="16"/>
          <w:color w:val="auto"/>
        </w:rPr>
      </w:pPr>
    </w:p>
    <w:p>
      <w:pPr>
        <w:ind w:left="820" w:hanging="512"/>
        <w:spacing w:after="0" w:line="276"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assisting the Company in preparing the disclosure to be included in the Company's applicable filings as required by the Securities Act, the Exchange Act and their related rules;</w:t>
      </w:r>
    </w:p>
    <w:p>
      <w:pPr>
        <w:spacing w:after="0" w:line="62" w:lineRule="exact"/>
        <w:rPr>
          <w:rFonts w:ascii="Arial" w:cs="Arial" w:eastAsia="Arial" w:hAnsi="Arial"/>
          <w:sz w:val="16"/>
          <w:szCs w:val="16"/>
          <w:color w:val="auto"/>
        </w:rPr>
      </w:pPr>
    </w:p>
    <w:p>
      <w:pPr>
        <w:jc w:val="both"/>
        <w:ind w:left="820" w:hanging="512"/>
        <w:spacing w:after="0" w:line="261"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advising the Board regarding the Dutch independent auditor 's nomination for (re)appointment or dismissal (including confirmation and evaluation on the rotation of the audit partners on the audit engagement team as required by applicable law and NASDAQ requirements) and preparing the selection of the Dutch independent auditor for such purpose, as relevant; and</w:t>
      </w:r>
    </w:p>
    <w:p>
      <w:pPr>
        <w:spacing w:after="0" w:line="74" w:lineRule="exact"/>
        <w:rPr>
          <w:rFonts w:ascii="Arial" w:cs="Arial" w:eastAsia="Arial" w:hAnsi="Arial"/>
          <w:sz w:val="16"/>
          <w:szCs w:val="16"/>
          <w:color w:val="auto"/>
        </w:rPr>
      </w:pPr>
    </w:p>
    <w:p>
      <w:pPr>
        <w:jc w:val="both"/>
        <w:ind w:left="820" w:hanging="512"/>
        <w:spacing w:after="0" w:line="253"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reviewing and discussing the terms of engagement of the Dutch independent auditor to audit the Company's financial statements, to prepare or issue an audit report, or to perform other audit, review or attest services, submitting proposals to the Board concerning the Dutch independent auditor 's engagement to audit the Company's financial statements, in each case including the scope of the audit, the materiality standard to be applied and the Dutch independent auditor 's compensation and causing the Company, without further action, to pay the compensation of the Dutch independent auditor as approved by the audit committee;</w:t>
      </w:r>
    </w:p>
    <w:p>
      <w:pPr>
        <w:spacing w:after="0" w:line="83" w:lineRule="exact"/>
        <w:rPr>
          <w:rFonts w:ascii="Arial" w:cs="Arial" w:eastAsia="Arial" w:hAnsi="Arial"/>
          <w:sz w:val="16"/>
          <w:szCs w:val="16"/>
          <w:color w:val="auto"/>
        </w:rPr>
      </w:pPr>
    </w:p>
    <w:p>
      <w:pPr>
        <w:jc w:val="both"/>
        <w:ind w:left="820" w:hanging="512"/>
        <w:spacing w:after="0" w:line="261"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engagement of such independent legal, accounting and other advisors as the audit committee deems necessary or appropriate to carry out its responsibilities, including causing the Company, without further action, to pay the reasonable compensation of such advisors as approved by the audit committee;</w:t>
      </w:r>
    </w:p>
    <w:p>
      <w:pPr>
        <w:spacing w:after="0" w:line="74" w:lineRule="exact"/>
        <w:rPr>
          <w:rFonts w:ascii="Arial" w:cs="Arial" w:eastAsia="Arial" w:hAnsi="Arial"/>
          <w:sz w:val="16"/>
          <w:szCs w:val="16"/>
          <w:color w:val="auto"/>
        </w:rPr>
      </w:pPr>
    </w:p>
    <w:p>
      <w:pPr>
        <w:ind w:left="820" w:hanging="512"/>
        <w:spacing w:after="0" w:line="276"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causing the Company to pay, without further action, the ordinary administrative expenses of the audit committee that are necessary or appropriate in carrying out its responsibilities;</w:t>
      </w:r>
    </w:p>
    <w:p>
      <w:pPr>
        <w:spacing w:after="0" w:line="62" w:lineRule="exact"/>
        <w:rPr>
          <w:rFonts w:ascii="Arial" w:cs="Arial" w:eastAsia="Arial" w:hAnsi="Arial"/>
          <w:sz w:val="16"/>
          <w:szCs w:val="16"/>
          <w:color w:val="auto"/>
        </w:rPr>
      </w:pPr>
    </w:p>
    <w:p>
      <w:pPr>
        <w:ind w:left="820" w:hanging="512"/>
        <w:spacing w:after="0" w:line="276"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preparing the audit committee report that the SEC rules require to be included in the Company's annual proxy statement (if and when the Company would become subject to those rules);</w:t>
      </w:r>
    </w:p>
    <w:p>
      <w:pPr>
        <w:spacing w:after="0" w:line="62" w:lineRule="exact"/>
        <w:rPr>
          <w:rFonts w:ascii="Arial" w:cs="Arial" w:eastAsia="Arial" w:hAnsi="Arial"/>
          <w:sz w:val="16"/>
          <w:szCs w:val="16"/>
          <w:color w:val="auto"/>
        </w:rPr>
      </w:pPr>
    </w:p>
    <w:p>
      <w:pPr>
        <w:ind w:left="820" w:hanging="512"/>
        <w:spacing w:after="0"/>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establishing policies for the Company's hiring of current or former employees of the Dutch independent auditor;</w:t>
      </w:r>
    </w:p>
    <w:p>
      <w:pPr>
        <w:spacing w:after="0" w:line="113" w:lineRule="exact"/>
        <w:rPr>
          <w:rFonts w:ascii="Arial" w:cs="Arial" w:eastAsia="Arial" w:hAnsi="Arial"/>
          <w:sz w:val="16"/>
          <w:szCs w:val="16"/>
          <w:color w:val="auto"/>
        </w:rPr>
      </w:pPr>
    </w:p>
    <w:p>
      <w:pPr>
        <w:jc w:val="both"/>
        <w:ind w:left="820" w:hanging="512"/>
        <w:spacing w:after="0" w:line="261"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establishing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74" w:lineRule="exact"/>
        <w:rPr>
          <w:rFonts w:ascii="Arial" w:cs="Arial" w:eastAsia="Arial" w:hAnsi="Arial"/>
          <w:sz w:val="16"/>
          <w:szCs w:val="16"/>
          <w:color w:val="auto"/>
        </w:rPr>
      </w:pPr>
    </w:p>
    <w:p>
      <w:pPr>
        <w:ind w:left="820" w:hanging="512"/>
        <w:spacing w:after="0" w:line="276"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reviewing potential conflicts of interest involving our directors, including whether they may take part in the deliberations and the decision-making on any issue as to which there may be a conflict;</w:t>
      </w:r>
    </w:p>
    <w:p>
      <w:pPr>
        <w:spacing w:after="0" w:line="62" w:lineRule="exact"/>
        <w:rPr>
          <w:rFonts w:ascii="Arial" w:cs="Arial" w:eastAsia="Arial" w:hAnsi="Arial"/>
          <w:sz w:val="16"/>
          <w:szCs w:val="16"/>
          <w:color w:val="auto"/>
        </w:rPr>
      </w:pPr>
    </w:p>
    <w:p>
      <w:pPr>
        <w:ind w:left="820" w:hanging="512"/>
        <w:spacing w:after="0"/>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developing and recommending to the Board the Company's related person transaction policy.</w:t>
      </w:r>
    </w:p>
    <w:p>
      <w:pPr>
        <w:spacing w:after="0" w:line="194"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6"/>
          <w:szCs w:val="16"/>
          <w:color w:val="auto"/>
        </w:rPr>
        <w:t>During the fiscal year to which this report relates, our audit committee met seven times in order to carry out its responsibilities. The main items discussed at those meetings included the internal control remediation plan and follow-up, the (interim) financial statements, the actual financial results of each of the quarters, securities filings and financial press releases as well as the audit approach and the budget for 2022 and part of 2023.</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5.6.3 Compensation committee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our compensation committee include:</w:t>
      </w:r>
    </w:p>
    <w:p>
      <w:pPr>
        <w:spacing w:after="0" w:line="294" w:lineRule="exact"/>
        <w:rPr>
          <w:sz w:val="20"/>
          <w:szCs w:val="20"/>
          <w:color w:val="auto"/>
        </w:rPr>
      </w:pPr>
    </w:p>
    <w:p>
      <w:pPr>
        <w:jc w:val="both"/>
        <w:ind w:left="2560" w:hanging="516"/>
        <w:spacing w:after="0" w:line="266" w:lineRule="auto"/>
        <w:tabs>
          <w:tab w:leader="none" w:pos="2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reviewing and evaluating the Company's compensation policy (the "</w:t>
      </w:r>
      <w:r>
        <w:rPr>
          <w:rFonts w:ascii="Arial" w:cs="Arial" w:eastAsia="Arial" w:hAnsi="Arial"/>
          <w:sz w:val="16"/>
          <w:szCs w:val="16"/>
          <w:b w:val="1"/>
          <w:bCs w:val="1"/>
          <w:color w:val="auto"/>
        </w:rPr>
        <w:t>Compensation Policy</w:t>
      </w:r>
      <w:r>
        <w:rPr>
          <w:rFonts w:ascii="Arial" w:cs="Arial" w:eastAsia="Arial" w:hAnsi="Arial"/>
          <w:sz w:val="16"/>
          <w:szCs w:val="16"/>
          <w:color w:val="auto"/>
        </w:rPr>
        <w:t>") and benefits policies generally, including the review and recommendation of incentive-compensation and equity-based plans of the Company, as well as the compensation of the CEO and the Company's other executive officers;</w:t>
      </w:r>
    </w:p>
    <w:p>
      <w:pPr>
        <w:spacing w:after="0" w:line="71"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evaluate at least annually the CEO's performance in light of those goals and objectives, and make recommendations to the Board regarding the CEO's compensation level based on this evaluation;</w:t>
      </w:r>
    </w:p>
    <w:p>
      <w:pPr>
        <w:spacing w:after="0" w:line="62" w:lineRule="exact"/>
        <w:rPr>
          <w:rFonts w:ascii="Arial" w:cs="Arial" w:eastAsia="Arial" w:hAnsi="Arial"/>
          <w:sz w:val="16"/>
          <w:szCs w:val="16"/>
          <w:color w:val="auto"/>
        </w:rPr>
      </w:pPr>
    </w:p>
    <w:p>
      <w:pPr>
        <w:ind w:left="2560" w:hanging="516"/>
        <w:spacing w:after="0"/>
        <w:tabs>
          <w:tab w:leader="none" w:pos="2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submitting proposals to the Board concerning changes to Compensation Policy, as relevant;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2560" w:hanging="516"/>
        <w:spacing w:after="0" w:line="251" w:lineRule="auto"/>
        <w:tabs>
          <w:tab w:leader="none" w:pos="2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submitting proposals to the Board concerning the compensation of the Company's executive officers and the individual directors, at least covering (i) the compensation structure, (ii) the amount of the fixed and variable compensation components, (iii) the applicable performance criteria (iv) the scenario analyses that have been carried out (v) the pay ratios within the Company's group, (vi) if it concerns the compensation of a director, the views of the director concerned with regard to the amount and structure of his own compensation and (vii) if considered appropriate by the Board or the compensation committee, the views of the executive officer concerned with regard to the amount and structure of his own compensation;</w:t>
      </w:r>
    </w:p>
    <w:p>
      <w:pPr>
        <w:spacing w:after="0" w:line="84"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review and assessment of risks arising from the Compensation Policy and practices and whether any such risks are reasonably likely to have a material adverse effect on the Company;</w:t>
      </w:r>
    </w:p>
    <w:p>
      <w:pPr>
        <w:spacing w:after="0" w:line="62" w:lineRule="exact"/>
        <w:rPr>
          <w:rFonts w:ascii="Arial" w:cs="Arial" w:eastAsia="Arial" w:hAnsi="Arial"/>
          <w:sz w:val="16"/>
          <w:szCs w:val="16"/>
          <w:color w:val="auto"/>
        </w:rPr>
      </w:pPr>
    </w:p>
    <w:p>
      <w:pPr>
        <w:ind w:left="2560" w:hanging="516"/>
        <w:spacing w:after="0"/>
        <w:tabs>
          <w:tab w:leader="none" w:pos="2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preparation of the Company's compensation report for the Board;</w:t>
      </w:r>
    </w:p>
    <w:p>
      <w:pPr>
        <w:spacing w:after="0" w:line="113" w:lineRule="exact"/>
        <w:rPr>
          <w:rFonts w:ascii="Arial" w:cs="Arial" w:eastAsia="Arial" w:hAnsi="Arial"/>
          <w:sz w:val="16"/>
          <w:szCs w:val="16"/>
          <w:color w:val="auto"/>
        </w:rPr>
      </w:pPr>
    </w:p>
    <w:p>
      <w:pPr>
        <w:ind w:left="2560" w:hanging="516"/>
        <w:spacing w:after="0"/>
        <w:tabs>
          <w:tab w:leader="none" w:pos="2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set the composition of the peer company group used for market comparison for executive compensation;</w:t>
      </w:r>
    </w:p>
    <w:p>
      <w:pPr>
        <w:spacing w:after="0" w:line="113"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preparation of the compensation committee's report required by SEC rules or the rules of any other regulatory body; and</w:t>
      </w:r>
    </w:p>
    <w:p>
      <w:pPr>
        <w:spacing w:after="0" w:line="62" w:lineRule="exact"/>
        <w:rPr>
          <w:rFonts w:ascii="Arial" w:cs="Arial" w:eastAsia="Arial" w:hAnsi="Arial"/>
          <w:sz w:val="16"/>
          <w:szCs w:val="16"/>
          <w:color w:val="auto"/>
        </w:rPr>
      </w:pPr>
    </w:p>
    <w:p>
      <w:pPr>
        <w:jc w:val="both"/>
        <w:ind w:left="2560" w:hanging="516"/>
        <w:spacing w:after="0" w:line="250" w:lineRule="auto"/>
        <w:tabs>
          <w:tab w:leader="none" w:pos="2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retention of or obtaining advice from a compensation consultant, legal counsel or other advisor as the compensation committee deems necessary or appropriate to carry out its responsibilities, including the appointment of such consultant, counsel or advisor and the ability to cause the Company, without further action, to pay with Company funds the reasonable compensation of such consultant, counsel or advisor as approved by the compensation committee, provided, however, that (i) in retaining or obtaining the advice of such consultant, counsel or advisor, other than in-house legal counsel, the compensation committee shall take into consideration the factors affecting independence and conflicts of interest required by applicable SEC rules and NASDAQ rules and (ii) the compensation committee will be responsible for the oversight of the work of any such consultant, counsel or advisor.</w:t>
      </w:r>
    </w:p>
    <w:p>
      <w:pPr>
        <w:spacing w:after="0" w:line="168" w:lineRule="exact"/>
        <w:rPr>
          <w:sz w:val="20"/>
          <w:szCs w:val="20"/>
          <w:color w:val="auto"/>
        </w:rPr>
      </w:pPr>
    </w:p>
    <w:p>
      <w:pPr>
        <w:jc w:val="both"/>
        <w:ind w:left="160" w:firstLine="846"/>
        <w:spacing w:after="0" w:line="261" w:lineRule="auto"/>
        <w:rPr>
          <w:sz w:val="20"/>
          <w:szCs w:val="20"/>
          <w:color w:val="auto"/>
        </w:rPr>
      </w:pPr>
      <w:r>
        <w:rPr>
          <w:rFonts w:ascii="Arial" w:cs="Arial" w:eastAsia="Arial" w:hAnsi="Arial"/>
          <w:sz w:val="16"/>
          <w:szCs w:val="16"/>
          <w:color w:val="auto"/>
        </w:rPr>
        <w:t>During the fiscal year to which this report relates, our compensation committee met four times in order to carry out its responsibilities. The main items discussed at those meetings included the performance and terms and conditions of our executive compensation, the long-term incentive grants analysis and recommendations and the non-executive salary increase and bonus proposal.</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5.6.4 Nomination and corporate governance committee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nomination and corporate governance committee include:</w:t>
      </w:r>
    </w:p>
    <w:p>
      <w:pPr>
        <w:spacing w:after="0" w:line="302" w:lineRule="exact"/>
        <w:rPr>
          <w:sz w:val="20"/>
          <w:szCs w:val="20"/>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drawing up selection criteria and appointment procedures for our directors;</w:t>
      </w:r>
    </w:p>
    <w:p>
      <w:pPr>
        <w:spacing w:after="0" w:line="113" w:lineRule="exact"/>
        <w:rPr>
          <w:rFonts w:ascii="Arial" w:cs="Arial" w:eastAsia="Arial" w:hAnsi="Arial"/>
          <w:sz w:val="16"/>
          <w:szCs w:val="16"/>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the size and composition of the Board and submitting proposals for the composition profile of the Board;</w:t>
      </w:r>
    </w:p>
    <w:p>
      <w:pPr>
        <w:spacing w:after="0" w:line="113" w:lineRule="exact"/>
        <w:rPr>
          <w:rFonts w:ascii="Arial" w:cs="Arial" w:eastAsia="Arial" w:hAnsi="Arial"/>
          <w:sz w:val="16"/>
          <w:szCs w:val="16"/>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making recommendations to the Board as to the determination of independence of non-executive directors;</w:t>
      </w:r>
    </w:p>
    <w:p>
      <w:pPr>
        <w:spacing w:after="0" w:line="113" w:lineRule="exact"/>
        <w:rPr>
          <w:rFonts w:ascii="Arial" w:cs="Arial" w:eastAsia="Arial" w:hAnsi="Arial"/>
          <w:sz w:val="16"/>
          <w:szCs w:val="16"/>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the functioning of individual directors and reporting on such review to the Board;</w:t>
      </w:r>
    </w:p>
    <w:p>
      <w:pPr>
        <w:spacing w:after="0" w:line="113" w:lineRule="exact"/>
        <w:rPr>
          <w:rFonts w:ascii="Arial" w:cs="Arial" w:eastAsia="Arial" w:hAnsi="Arial"/>
          <w:sz w:val="16"/>
          <w:szCs w:val="16"/>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drawing up a plan for the succession of our directors;</w:t>
      </w:r>
    </w:p>
    <w:p>
      <w:pPr>
        <w:spacing w:after="0" w:line="113" w:lineRule="exact"/>
        <w:rPr>
          <w:rFonts w:ascii="Arial" w:cs="Arial" w:eastAsia="Arial" w:hAnsi="Arial"/>
          <w:sz w:val="16"/>
          <w:szCs w:val="16"/>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submitting proposals for (re)appointment of our directors;</w:t>
      </w:r>
    </w:p>
    <w:p>
      <w:pPr>
        <w:spacing w:after="0" w:line="113"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supervising the policy of the Board regarding the selection criteria and appointment procedures for the Company's senior management;</w:t>
      </w:r>
    </w:p>
    <w:p>
      <w:pPr>
        <w:spacing w:after="0" w:line="62" w:lineRule="exact"/>
        <w:rPr>
          <w:rFonts w:ascii="Arial" w:cs="Arial" w:eastAsia="Arial" w:hAnsi="Arial"/>
          <w:sz w:val="16"/>
          <w:szCs w:val="16"/>
          <w:color w:val="auto"/>
        </w:rPr>
      </w:pPr>
    </w:p>
    <w:p>
      <w:pPr>
        <w:ind w:left="2560" w:hanging="516"/>
        <w:spacing w:after="0"/>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overseeing the self-evaluation of the Board and its committees to determine whether they are functioning effectively</w:t>
      </w:r>
    </w:p>
    <w:p>
      <w:pPr>
        <w:spacing w:after="0" w:line="113" w:lineRule="exact"/>
        <w:rPr>
          <w:rFonts w:ascii="Arial" w:cs="Arial" w:eastAsia="Arial" w:hAnsi="Arial"/>
          <w:sz w:val="16"/>
          <w:szCs w:val="16"/>
          <w:color w:val="auto"/>
        </w:rPr>
      </w:pPr>
    </w:p>
    <w:p>
      <w:pPr>
        <w:jc w:val="both"/>
        <w:ind w:left="2560" w:hanging="516"/>
        <w:spacing w:after="0" w:line="256" w:lineRule="auto"/>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with management disclosure of the Company's corporate governance practices, including information regarding the operations of the corporate governance committee and other Board committees, director independence and the director nominations process, and to recommend that this disclosure be included in the Company's annual report on Form 20-F;</w:t>
      </w:r>
    </w:p>
    <w:p>
      <w:pPr>
        <w:spacing w:after="0" w:line="78"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developing and implementing the goals the Company may establish from time to time with respect to its environmental, social and governance and sustainability matters, and provide guidance to the Board on such matters; and</w:t>
      </w:r>
    </w:p>
    <w:p>
      <w:pPr>
        <w:spacing w:after="0" w:line="62" w:lineRule="exact"/>
        <w:rPr>
          <w:rFonts w:ascii="Arial" w:cs="Arial" w:eastAsia="Arial" w:hAnsi="Arial"/>
          <w:sz w:val="16"/>
          <w:szCs w:val="16"/>
          <w:color w:val="auto"/>
        </w:rPr>
      </w:pPr>
    </w:p>
    <w:p>
      <w:pPr>
        <w:jc w:val="both"/>
        <w:ind w:left="2560" w:hanging="516"/>
        <w:spacing w:after="0" w:line="261" w:lineRule="auto"/>
        <w:tabs>
          <w:tab w:leader="none" w:pos="2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developing the Company's code of conduct, corporate governance guidelines and other corporate governance policies, including, at least annually, reviewing and reassessing the adequacy of the Company's code of conduct and recommending any proposed changes to the Board.</w:t>
      </w:r>
    </w:p>
    <w:p>
      <w:pPr>
        <w:spacing w:after="0" w:line="156" w:lineRule="exact"/>
        <w:rPr>
          <w:sz w:val="20"/>
          <w:szCs w:val="20"/>
          <w:color w:val="auto"/>
        </w:rPr>
      </w:pPr>
    </w:p>
    <w:p>
      <w:pPr>
        <w:ind w:left="160" w:firstLine="928"/>
        <w:spacing w:after="0" w:line="276" w:lineRule="auto"/>
        <w:rPr>
          <w:sz w:val="20"/>
          <w:szCs w:val="20"/>
          <w:color w:val="auto"/>
        </w:rPr>
      </w:pPr>
      <w:r>
        <w:rPr>
          <w:rFonts w:ascii="Arial" w:cs="Arial" w:eastAsia="Arial" w:hAnsi="Arial"/>
          <w:sz w:val="16"/>
          <w:szCs w:val="16"/>
          <w:color w:val="auto"/>
        </w:rPr>
        <w:t>During the fiscal year to which this report relates, our nomination and corporate governance committee met one time in order to carry out its responsibilities. The main items discussed at those meetings included a regulatory update and committee governance.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5.7 Evaluation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During the fiscal year to which this report relates, the Board has evaluated its own functioning, the functioning of the committees of the Board and that of the individual directors on the basis of self-evaluation form distributed to, and completed by, the directors. As part of these evaluations, the Board has considered (i) substantive aspects, mutual interaction, (ii) events that occurred in practice from which lessons may be learned and (iii) the desired profile, composition, competencies and expertise of the Board. These evaluations are intended to facilitate an examination and discussion by the Board of its effectiveness and areas for improvement. On the basis of these evaluations, the Board has concluded that the Board is functioning properly.</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5.8 Diversity</w:t>
      </w:r>
    </w:p>
    <w:p>
      <w:pPr>
        <w:spacing w:after="0" w:line="202"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The Company has diversity objectives with respect to the composition of the Board as part of the Company’s policy regarding the qualification and nomination of director candidates. The Company is committed to supporting, valuing and leveraging diversity and the Company recognizes and welcomes diversity with respect to gender, age, race, ethnicity, nationality, sexual orientation and other important cultural differences. In its evaluation of new candidates, the nominating and governance committee may consider race or ethnicity, nationality, gender, sexual orientation, age, background, education skills and experience, as well as the restrictions, requirements and recommendations concerning those matters under applicable law, Nasdaq rules or best practice provisions of the Dutch Corporate Governance Code in relation to the full Board and/or individual directors or director candidates. However, the Company also believes that there is a fine line between diversity and unintentional discrimination. For that reason, the importance of diversity, in and of itself, should not set aside the overriding principle that someone should be recommended, nominated and appointed for being “the right person for the job.”</w:t>
      </w:r>
    </w:p>
    <w:p>
      <w:pPr>
        <w:spacing w:after="0" w:line="16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Although the Company has not yet set specific targets with respect to certain elements of diversity, the Company believes that it is important for the Board and its senior management to represent a diverse composite mix of personal backgrounds, experiences, qualifications, knowledge, abilities and viewpoints, consistent with the principles outlined above. The Company also seeks to combine the skills and experience of long-standing members of the Board and its senior management with the fresh perspectives, insights, skills and experiences of new candidates from time to time. To further increase the range of viewpoints, perspectives, talents and experience, the Company strives for a mix of ages among the Board and its senior management, but also does not set a specific target in this respect.</w:t>
      </w:r>
    </w:p>
    <w:p>
      <w:pPr>
        <w:spacing w:after="0" w:line="164"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As of December 31, 2022, 4 out of 7 of the Directors were male and 3 out of 7 of the Directors were female. To the extent possible and practicable, the Company intends for the composition of the Board to remain as balanced as reasonably possible, provided for a minimum target of at least 30% of the directors to be male and at least 30% of them to be female.</w:t>
      </w:r>
    </w:p>
    <w:p>
      <w:pPr>
        <w:spacing w:after="0" w:line="156"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Company believes that the current composition of its Board has achieved the Company’s diversity objectives, as outlined above, including the Company’s diversity objective with respect to gender.</w:t>
      </w:r>
    </w:p>
    <w:p>
      <w:pPr>
        <w:spacing w:after="0" w:line="14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connection with the operation of the Company's diversity objectives, the Company has defined its senior management. The Company's senior management consists of senior professionals holding an Officer role at Pharvaris, overseeing a department and relevant department budget and reporting to the CEO or being the CEO As of December 31, 2022, 4 out of 9 senior management members were male and 5 out of 9 senior management members were female. To the extent reasonable and practicable, the Company intends for the composition of senior management to be at least 30% female. Based on the size of our senior management, the Company’s goal is to maintain our current level of gender diversity and believes that the current composition of its senior management has more than achieved the Company’s diversity objective with respect to gender.</w:t>
      </w:r>
    </w:p>
    <w:p>
      <w:pPr>
        <w:spacing w:after="0" w:line="16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The Company employs 65 persons as of December 31, 2022, of which 32 are male and 33 are female. The Company targets an overall gender ratio among its employees of at least 30% male employees and at least 30% female employees.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taken the following activities and measures for a more balanced gender ratio within the organization:</w:t>
      </w:r>
    </w:p>
    <w:p>
      <w:pPr>
        <w:spacing w:after="0" w:line="302" w:lineRule="exact"/>
        <w:rPr>
          <w:sz w:val="20"/>
          <w:szCs w:val="20"/>
          <w:color w:val="auto"/>
        </w:rPr>
      </w:pPr>
    </w:p>
    <w:p>
      <w:pPr>
        <w:ind w:left="1020" w:hanging="503"/>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establishing policies that support equal opportunities for employees, senior management and applicants for employment;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encouraging and enforcing respectful communication and cooperation among all employees and senior management;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fostering a corporate culture where employees and senior management are treated with dignity, respect and understanding;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requiring employee and senior management participation in trainings on diversity and inclusion;</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actively encouraging employees and officers who feel that they have been subjected to discrimination or harassment to report this to their supervisor or to the Company’s human resources department; and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regularly review our corporate policies to ensure equal treatment.</w:t>
      </w:r>
    </w:p>
    <w:p>
      <w:pPr>
        <w:spacing w:after="0" w:line="208"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Given the gender ratios both in the Board as well as senior management, we are satisfied overall with our efforts towards improving gender diversity and we believe that our activities, training, mentoring and programs will continue to enhance the Company’s diversity objectives.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5.9 Corporate values and code of business conduct and ethics</w:t>
      </w:r>
    </w:p>
    <w:p>
      <w:pPr>
        <w:spacing w:after="0" w:line="202"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have a code of business conduct and ethics which covers a broad range of matters including the handling of conflicts of interest, compliance issues and other corporate policies such as insider trading and equal opportunity and non-discrimination standards. We believe our code of business conduct and ethics is effective.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jc w:val="both"/>
        <w:ind w:left="160" w:firstLine="299"/>
        <w:spacing w:after="0" w:line="261" w:lineRule="auto"/>
        <w:rPr>
          <w:sz w:val="20"/>
          <w:szCs w:val="20"/>
          <w:color w:val="auto"/>
        </w:rPr>
      </w:pPr>
      <w:r>
        <w:rPr>
          <w:rFonts w:ascii="Arial" w:cs="Arial" w:eastAsia="Arial" w:hAnsi="Arial"/>
          <w:sz w:val="16"/>
          <w:szCs w:val="16"/>
          <w:color w:val="auto"/>
        </w:rPr>
        <w:t>We have defined and communicated internally and externally our Corporate Values which underpin our overall Company Culture and reflect the organization's brand. The values act as a set of guiding principles and beliefs and help the workforce function together as a team and work towards a common goal.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Compensation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6.1 Compensation policy</w:t>
      </w:r>
    </w:p>
    <w:p>
      <w:pPr>
        <w:spacing w:after="0" w:line="202"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Pursuant to Section 2:135(1) DCC, the General Meeting has adopted a Compensation Policy. The Compensation Policy is designed to contribute to the Company's strategy, long-term interests and sustainability by:</w:t>
      </w:r>
    </w:p>
    <w:p>
      <w:pPr>
        <w:spacing w:after="0" w:line="252" w:lineRule="exact"/>
        <w:rPr>
          <w:sz w:val="20"/>
          <w:szCs w:val="20"/>
          <w:color w:val="auto"/>
        </w:rPr>
      </w:pPr>
    </w:p>
    <w:p>
      <w:pPr>
        <w:ind w:left="1020" w:hanging="503"/>
        <w:spacing w:after="0" w:line="27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individuals with the qualities, capabilities, profile and experience needed to support and promote the growth and sustainable success of the Company and its business;</w:t>
      </w:r>
    </w:p>
    <w:p>
      <w:pPr>
        <w:spacing w:after="0" w:line="62"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driving strong business performance, promoting accountability and incentivising the achievement of short and long-term performance targets with the objective of furthering long-term value creation in a manner consistent with the Company's identity, mission and values;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assuring that the interests of the Directors are closely aligned to those of the Company, its business and its stakeholders; and</w:t>
      </w:r>
    </w:p>
    <w:p>
      <w:pPr>
        <w:spacing w:after="0" w:line="113"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ensuring overall market competitiveness of the Compensation Packages, while providing the Board sufficient flexibility to tailor the Company's compensation practices on a case-by-case basis, depending on the market conditions from time to time.</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We believe that this approach and philosophy benefits the realisation of the Company's long-term objectives while keeping with the Company's risk profile.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6.2 Compensation of directors</w:t>
      </w:r>
    </w:p>
    <w:p>
      <w:pPr>
        <w:spacing w:after="0" w:line="202"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See Note 20 (Related parties) to the company financial statements for an overview of the implementation of the Compensation Policy in the fiscal year to which this report relates. In determining the level and structure of the compensation of the directors in the fiscal year to which this report relates relevant scenario analyses carried out in advance have been considered as follows: At the end of 2021, with the support of an independent and objective Compensation consultant, a review and update of the global peer group was done to reflect the company´s post IPO valuation. This new peer group and relevant market data was used in assessing The Company’s compensation and pay philosophy and considering our approach on cash and equity for 2022.</w:t>
      </w:r>
    </w:p>
    <w:p>
      <w:pPr>
        <w:spacing w:after="0" w:line="34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6.3 Pay ratio</w:t>
      </w:r>
    </w:p>
    <w:p>
      <w:pPr>
        <w:spacing w:after="0" w:line="202" w:lineRule="exact"/>
        <w:rPr>
          <w:sz w:val="20"/>
          <w:szCs w:val="20"/>
          <w:color w:val="auto"/>
        </w:rPr>
      </w:pPr>
    </w:p>
    <w:p>
      <w:pPr>
        <w:jc w:val="both"/>
        <w:ind w:left="160" w:firstLine="299"/>
        <w:spacing w:after="0" w:line="251" w:lineRule="auto"/>
        <w:rPr>
          <w:sz w:val="20"/>
          <w:szCs w:val="20"/>
          <w:color w:val="auto"/>
        </w:rPr>
      </w:pPr>
      <w:r>
        <w:rPr>
          <w:rFonts w:ascii="Arial" w:cs="Arial" w:eastAsia="Arial" w:hAnsi="Arial"/>
          <w:sz w:val="16"/>
          <w:szCs w:val="16"/>
          <w:color w:val="auto"/>
        </w:rPr>
        <w:t xml:space="preserve">The DCGC recommends that the Company provide a ratio comparing the total annual compensation of our executive director and that of a "representative reference group" determined by the Company. [We have chosen to compare the cash compensation of our Chief Executive Officer to that of a [median full-time permanent employee]. Our methodology for producing this ratio excludes employees employed on a non-permanent or part-time basis. We have used the aggregate cash compensation over the fiscal year concerned as a reference amount (i.e., excluding the value of equity incentive awards and other non-cash compensation components). To calculate the ratio, we have annualized the salaries of employees who had worked with us for less than a year as of December 31, 2022. Based on this methodology, the ratio between the cash compensation of our Chief Executive Officer and a median full-time permanent employee for the fiscal year to which this report relates </w:t>
      </w:r>
      <w:r>
        <w:rPr>
          <w:rFonts w:ascii="Arial" w:cs="Arial" w:eastAsia="Arial" w:hAnsi="Arial"/>
          <w:sz w:val="16"/>
          <w:szCs w:val="16"/>
          <w:color w:val="2B579A"/>
        </w:rPr>
        <w:t>is</w:t>
      </w:r>
      <w:r>
        <w:rPr>
          <w:rFonts w:ascii="Arial" w:cs="Arial" w:eastAsia="Arial" w:hAnsi="Arial"/>
          <w:sz w:val="16"/>
          <w:szCs w:val="16"/>
          <w:color w:val="auto"/>
        </w:rPr>
        <w:t xml:space="preserve"> 1 </w:t>
      </w:r>
      <w:r>
        <w:rPr>
          <w:rFonts w:ascii="Arial" w:cs="Arial" w:eastAsia="Arial" w:hAnsi="Arial"/>
          <w:sz w:val="16"/>
          <w:szCs w:val="16"/>
          <w:color w:val="2B579A"/>
        </w:rPr>
        <w:t>to</w:t>
      </w:r>
      <w:r>
        <w:rPr>
          <w:rFonts w:ascii="Arial" w:cs="Arial" w:eastAsia="Arial" w:hAnsi="Arial"/>
          <w:sz w:val="16"/>
          <w:szCs w:val="16"/>
          <w:color w:val="auto"/>
        </w:rPr>
        <w:t xml:space="preserve"> 3.18 </w:t>
      </w:r>
      <w:r>
        <w:rPr>
          <w:rFonts w:ascii="Arial" w:cs="Arial" w:eastAsia="Arial" w:hAnsi="Arial"/>
          <w:sz w:val="16"/>
          <w:szCs w:val="16"/>
          <w:color w:val="2B579A"/>
        </w:rPr>
        <w:t>(</w:t>
      </w:r>
      <w:r>
        <w:rPr>
          <w:rFonts w:ascii="Arial" w:cs="Arial" w:eastAsia="Arial" w:hAnsi="Arial"/>
          <w:sz w:val="16"/>
          <w:szCs w:val="16"/>
          <w:color w:val="auto"/>
        </w:rPr>
        <w:t>rounded to the nearest integer).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Related party transactions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information on related party transactions, see Note 20 (Related parties) to the Consolidated Financial Statements.</w:t>
      </w:r>
    </w:p>
    <w:p>
      <w:pPr>
        <w:spacing w:after="0" w:line="19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Where applicable, best practice provisions 2.7.3, 2.7.4 and 2.7.5 of the DCGC have been observed with respect to the transactions referenced above in this chapter 8.</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Protective Measures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several provisions that may have the effect of making a takeover of our Company more difficult or less attractive, including:</w:t>
      </w:r>
    </w:p>
    <w:p>
      <w:pPr>
        <w:spacing w:after="0" w:line="302" w:lineRule="exact"/>
        <w:rPr>
          <w:sz w:val="20"/>
          <w:szCs w:val="20"/>
          <w:color w:val="auto"/>
        </w:rPr>
      </w:pPr>
    </w:p>
    <w:p>
      <w:pPr>
        <w:ind w:left="1020" w:hanging="503"/>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authorization of a class of preferred shares that may be issued to a protective foundation pursuant to a call option to that effect;</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provision that our directors may only be removed at the general meeting by a two-thirds majority of votes cast representing more than half of our issued share capital if such removal is not proposed by our Board;</w:t>
      </w:r>
    </w:p>
    <w:p>
      <w:pPr>
        <w:spacing w:after="0" w:line="62"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74"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provision which allows the former chairman of our Board or our former chief executive officer to be charged with our management if all of our directors are absent or incapacitated;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left="1020" w:hanging="503"/>
        <w:spacing w:after="0" w:line="276" w:lineRule="auto"/>
        <w:tabs>
          <w:tab w:leader="none" w:pos="1073"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requirements that certain matters, including an amendment of our articles of association, may only be brought to our shareholders for a vote upon a proposal by our Board.</w:t>
      </w:r>
    </w:p>
    <w:p>
      <w:pPr>
        <w:spacing w:after="0" w:line="144" w:lineRule="exact"/>
        <w:rPr>
          <w:sz w:val="20"/>
          <w:szCs w:val="20"/>
          <w:color w:val="auto"/>
        </w:rPr>
      </w:pPr>
    </w:p>
    <w:p>
      <w:pPr>
        <w:jc w:val="both"/>
        <w:ind w:left="160" w:firstLine="299"/>
        <w:spacing w:after="0" w:line="27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4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8"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6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w:t>
      </w:r>
    </w:p>
    <w:p>
      <w:pPr>
        <w:ind w:left="160"/>
        <w:spacing w:after="0"/>
        <w:rPr>
          <w:sz w:val="20"/>
          <w:szCs w:val="20"/>
          <w:color w:val="auto"/>
        </w:rPr>
      </w:pPr>
      <w:r>
        <w:rPr>
          <w:rFonts w:ascii="Arial" w:cs="Arial" w:eastAsia="Arial" w:hAnsi="Arial"/>
          <w:sz w:val="16"/>
          <w:szCs w:val="16"/>
          <w:color w:val="auto"/>
        </w:rPr>
        <w:t>Court of Appeal (the "</w:t>
      </w:r>
      <w:r>
        <w:rPr>
          <w:rFonts w:ascii="Arial" w:cs="Arial" w:eastAsia="Arial" w:hAnsi="Arial"/>
          <w:sz w:val="16"/>
          <w:szCs w:val="16"/>
          <w:b w:val="1"/>
          <w:bCs w:val="1"/>
          <w:color w:val="auto"/>
        </w:rPr>
        <w:t>Enterprise Chamber</w:t>
      </w:r>
      <w:r>
        <w:rPr>
          <w:rFonts w:ascii="Arial" w:cs="Arial" w:eastAsia="Arial" w:hAnsi="Arial"/>
          <w:sz w:val="16"/>
          <w:szCs w:val="16"/>
          <w:color w:val="auto"/>
        </w:rPr>
        <w:t>") for early termination of the cooling-off period.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Enterprise Chamber must rule in favor of the request if the shareholders can demonstrate that:</w:t>
      </w:r>
    </w:p>
    <w:p>
      <w:pPr>
        <w:spacing w:after="0" w:line="113" w:lineRule="exact"/>
        <w:rPr>
          <w:sz w:val="20"/>
          <w:szCs w:val="20"/>
          <w:color w:val="auto"/>
        </w:rPr>
      </w:pPr>
    </w:p>
    <w:p>
      <w:pPr>
        <w:ind w:left="1020" w:hanging="503"/>
        <w:spacing w:after="0" w:line="276" w:lineRule="auto"/>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6" w:lineRule="exact"/>
        <w:rPr>
          <w:rFonts w:ascii="Arial" w:cs="Arial" w:eastAsia="Arial" w:hAnsi="Arial"/>
          <w:sz w:val="16"/>
          <w:szCs w:val="16"/>
          <w:color w:val="auto"/>
        </w:rPr>
      </w:pPr>
    </w:p>
    <w:p>
      <w:pPr>
        <w:jc w:val="both"/>
        <w:ind w:left="1020" w:hanging="503"/>
        <w:spacing w:after="0" w:line="261" w:lineRule="auto"/>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5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Loss and Comprehensive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Years ended December 31,</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78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Note</w:t>
            </w:r>
          </w:p>
        </w:tc>
        <w:tc>
          <w:tcPr>
            <w:tcW w:w="140" w:type="dxa"/>
            <w:vAlign w:val="bottom"/>
            <w:vMerge w:val="restart"/>
          </w:tcPr>
          <w:p>
            <w:pPr>
              <w:spacing w:after="0"/>
              <w:rPr>
                <w:sz w:val="14"/>
                <w:szCs w:val="14"/>
                <w:color w:val="auto"/>
              </w:rPr>
            </w:pPr>
          </w:p>
        </w:tc>
        <w:tc>
          <w:tcPr>
            <w:tcW w:w="14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6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(57,375,574 )</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(35,789,166 )</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(19,508,101 )</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(29,339,034 )</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(18,349,460 )</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(5,498,491 )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(86,714,608 )</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(54,138,626 )</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(25,006,592 )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Finance income / (expenses)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11,477,964</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(1,062,363 )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(75,653,470 )</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(42,660,662 )</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(26,068,955 )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Income tax (expense) / benefit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(679,087 )</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(70,117 )</w:t>
            </w:r>
          </w:p>
        </w:tc>
        <w:tc>
          <w:tcPr>
            <w:tcW w:w="1040" w:type="dxa"/>
            <w:vAlign w:val="bottom"/>
          </w:tcPr>
          <w:p>
            <w:pPr>
              <w:jc w:val="right"/>
              <w:spacing w:after="0"/>
              <w:rPr>
                <w:sz w:val="20"/>
                <w:szCs w:val="20"/>
                <w:color w:val="auto"/>
              </w:rPr>
            </w:pPr>
            <w:r>
              <w:rPr>
                <w:rFonts w:ascii="Arial" w:cs="Arial" w:eastAsia="Arial" w:hAnsi="Arial"/>
                <w:sz w:val="16"/>
                <w:szCs w:val="16"/>
                <w:color w:val="auto"/>
              </w:rPr>
              <w:t>83,251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(76,332,557 )</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(42,730,779 )</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(25,985,704 )</w:t>
            </w:r>
          </w:p>
        </w:tc>
        <w:tc>
          <w:tcPr>
            <w:tcW w:w="0" w:type="dxa"/>
            <w:vAlign w:val="bottom"/>
          </w:tcPr>
          <w:p>
            <w:pPr>
              <w:spacing w:after="0"/>
              <w:rPr>
                <w:sz w:val="1"/>
                <w:szCs w:val="1"/>
                <w:color w:val="auto"/>
              </w:rPr>
            </w:pPr>
          </w:p>
        </w:tc>
      </w:tr>
      <w:tr>
        <w:trPr>
          <w:trHeight w:val="209"/>
        </w:trPr>
        <w:tc>
          <w:tcPr>
            <w:tcW w:w="59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7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Exchange gain / (loss) arising on translation of foreign operations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(4,365 )</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comprehensive loss attributable to:</w:t>
            </w:r>
          </w:p>
        </w:tc>
        <w:tc>
          <w:tcPr>
            <w:tcW w:w="7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holders of the Company</w:t>
            </w: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(76,332,557 )</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(42,700,486 )</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(25,990,069 )</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780" w:type="dxa"/>
            <w:vAlign w:val="bottom"/>
          </w:tcPr>
          <w:p>
            <w:pPr>
              <w:jc w:val="center"/>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(2.27 )</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(1.40 )</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-1317625</wp:posOffset>
            </wp:positionV>
            <wp:extent cx="8572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-1317625</wp:posOffset>
            </wp:positionV>
            <wp:extent cx="8572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-1317625</wp:posOffset>
            </wp:positionV>
            <wp:extent cx="85725"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-1026160</wp:posOffset>
            </wp:positionV>
            <wp:extent cx="85725"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-1026160</wp:posOffset>
            </wp:positionV>
            <wp:extent cx="8572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-1026160</wp:posOffset>
            </wp:positionV>
            <wp:extent cx="85725"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-734695</wp:posOffset>
            </wp:positionV>
            <wp:extent cx="85725"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-734695</wp:posOffset>
            </wp:positionV>
            <wp:extent cx="85725"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-734695</wp:posOffset>
            </wp:positionV>
            <wp:extent cx="85725"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-452120</wp:posOffset>
            </wp:positionV>
            <wp:extent cx="85725"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-452120</wp:posOffset>
            </wp:positionV>
            <wp:extent cx="85725"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-452120</wp:posOffset>
            </wp:positionV>
            <wp:extent cx="85725"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-168910</wp:posOffset>
            </wp:positionV>
            <wp:extent cx="1817370"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17370" cy="16256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As at</w:t>
            </w:r>
          </w:p>
        </w:tc>
        <w:tc>
          <w:tcPr>
            <w:tcW w:w="15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As at</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5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940" w:type="dxa"/>
            <w:vAlign w:val="bottom"/>
          </w:tcPr>
          <w:p>
            <w:pPr>
              <w:spacing w:after="0"/>
              <w:rPr>
                <w:sz w:val="14"/>
                <w:szCs w:val="1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Notes</w:t>
            </w:r>
          </w:p>
        </w:tc>
        <w:tc>
          <w:tcPr>
            <w:tcW w:w="14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4"/>
                <w:szCs w:val="14"/>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432,965</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243,251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7</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259,804</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Receivables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382,468</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700,079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4,626,844</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1,513,452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167,732,984</w:t>
            </w: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212,090,065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920" w:type="dxa"/>
            <w:vAlign w:val="bottom"/>
          </w:tcPr>
          <w:p>
            <w:pPr>
              <w:jc w:val="center"/>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capital</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3,978,227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Share premium</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289,177,197</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278,742,900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reserves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9,774,416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Currency translation reserve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43,290</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25,928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loss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(164,188,892 )</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(87,568,401 )</w:t>
            </w:r>
          </w:p>
        </w:tc>
        <w:tc>
          <w:tcPr>
            <w:tcW w:w="0" w:type="dxa"/>
            <w:vAlign w:val="bottom"/>
          </w:tcPr>
          <w:p>
            <w:pPr>
              <w:spacing w:after="0"/>
              <w:rPr>
                <w:sz w:val="1"/>
                <w:szCs w:val="1"/>
                <w:color w:val="auto"/>
              </w:rPr>
            </w:pPr>
          </w:p>
        </w:tc>
      </w:tr>
      <w:tr>
        <w:trPr>
          <w:trHeight w:val="213"/>
        </w:trPr>
        <w:tc>
          <w:tcPr>
            <w:tcW w:w="69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9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149,259,030</w:t>
            </w:r>
          </w:p>
        </w:tc>
        <w:tc>
          <w:tcPr>
            <w:tcW w:w="260" w:type="dxa"/>
            <w:vAlign w:val="bottom"/>
            <w:tcBorders>
              <w:top w:val="single" w:sz="8" w:color="CFF0FC"/>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204,953,070</w:t>
            </w: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Long term liabilities</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Non-current lease liability</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249,418</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150,752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920" w:type="dxa"/>
            <w:vAlign w:val="bottom"/>
          </w:tcPr>
          <w:p>
            <w:pPr>
              <w:jc w:val="center"/>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6,685,080</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2,490,572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187,404</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payable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461,303</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126,157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18,473,954</w:t>
            </w: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7,136,995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9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167,732,984</w:t>
            </w:r>
          </w:p>
        </w:tc>
        <w:tc>
          <w:tcPr>
            <w:tcW w:w="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212,090,065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-2571115</wp:posOffset>
            </wp:positionV>
            <wp:extent cx="85725"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-2571115</wp:posOffset>
            </wp:positionV>
            <wp:extent cx="8572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-1439545</wp:posOffset>
            </wp:positionV>
            <wp:extent cx="8572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4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Share</w:t>
            </w: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Other</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translation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1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70"/>
        </w:trPr>
        <w:tc>
          <w:tcPr>
            <w:tcW w:w="28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4"/>
              </w:rPr>
              <w:t>Notes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4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premium</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reserve</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losses</w:t>
            </w:r>
          </w:p>
        </w:tc>
        <w:tc>
          <w:tcPr>
            <w:tcW w:w="1880" w:type="dxa"/>
            <w:vAlign w:val="bottom"/>
            <w:gridSpan w:val="2"/>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155"/>
        </w:trPr>
        <w:tc>
          <w:tcPr>
            <w:tcW w:w="28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1740" w:type="dxa"/>
            <w:vAlign w:val="bottom"/>
            <w:tcBorders>
              <w:top w:val="single" w:sz="8" w:color="auto"/>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83"/>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4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130,962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36,624,697</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392,139</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(18,474,250 )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18,673,548</w:t>
            </w:r>
          </w:p>
        </w:tc>
        <w:tc>
          <w:tcPr>
            <w:tcW w:w="140" w:type="dxa"/>
            <w:vAlign w:val="bottom"/>
            <w:shd w:val="clear" w:color="auto" w:fill="CFF0FC"/>
          </w:tcPr>
          <w:p>
            <w:pPr>
              <w:spacing w:after="0"/>
              <w:rPr>
                <w:sz w:val="15"/>
                <w:szCs w:val="15"/>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(25,985,704 )</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color w:val="auto"/>
              </w:rPr>
              <w:t>(25,985,704 )</w:t>
            </w:r>
          </w:p>
        </w:tc>
      </w:tr>
      <w:tr>
        <w:trPr>
          <w:trHeight w:val="170"/>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102,410,14</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2820" w:type="dxa"/>
            <w:vAlign w:val="bottom"/>
            <w:shd w:val="clear" w:color="auto" w:fill="CFF0FC"/>
          </w:tcPr>
          <w:p>
            <w:pPr>
              <w:spacing w:after="0"/>
              <w:rPr>
                <w:sz w:val="15"/>
                <w:szCs w:val="15"/>
                <w:color w:val="auto"/>
              </w:rPr>
            </w:pPr>
          </w:p>
        </w:tc>
        <w:tc>
          <w:tcPr>
            <w:tcW w:w="4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104,731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102,514,879</w:t>
            </w:r>
          </w:p>
        </w:tc>
        <w:tc>
          <w:tcPr>
            <w:tcW w:w="140" w:type="dxa"/>
            <w:vAlign w:val="bottom"/>
            <w:shd w:val="clear" w:color="auto" w:fill="CFF0FC"/>
          </w:tcPr>
          <w:p>
            <w:pPr>
              <w:spacing w:after="0"/>
              <w:rPr>
                <w:sz w:val="15"/>
                <w:szCs w:val="15"/>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4"/>
                <w:szCs w:val="14"/>
                <w:color w:val="auto"/>
              </w:rPr>
              <w:t>(1,000,265 )</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color w:val="auto"/>
              </w:rPr>
              <w:t>(1,000,265 )</w:t>
            </w:r>
          </w:p>
        </w:tc>
      </w:tr>
      <w:tr>
        <w:trPr>
          <w:trHeight w:val="189"/>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(4,365 )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(4,365 )</w:t>
            </w: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480" w:type="dxa"/>
            <w:vAlign w:val="bottom"/>
          </w:tcPr>
          <w:p>
            <w:pPr>
              <w:jc w:val="center"/>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1,587,736</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1,587,736</w:t>
            </w:r>
          </w:p>
        </w:tc>
        <w:tc>
          <w:tcPr>
            <w:tcW w:w="140" w:type="dxa"/>
            <w:vAlign w:val="bottom"/>
          </w:tcPr>
          <w:p>
            <w:pPr>
              <w:spacing w:after="0"/>
              <w:rPr>
                <w:sz w:val="16"/>
                <w:szCs w:val="16"/>
                <w:color w:val="auto"/>
              </w:rPr>
            </w:pPr>
          </w:p>
        </w:tc>
      </w:tr>
      <w:tr>
        <w:trPr>
          <w:trHeight w:val="164"/>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138,034,58</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28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235,693</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1,979,875</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(4,365 )</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(44,459,954 )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95,785,829</w:t>
            </w:r>
          </w:p>
        </w:tc>
        <w:tc>
          <w:tcPr>
            <w:tcW w:w="140" w:type="dxa"/>
            <w:vAlign w:val="bottom"/>
            <w:shd w:val="clear" w:color="auto" w:fill="CFF0FC"/>
          </w:tcPr>
          <w:p>
            <w:pPr>
              <w:spacing w:after="0"/>
              <w:rPr>
                <w:sz w:val="15"/>
                <w:szCs w:val="15"/>
                <w:color w:val="auto"/>
              </w:rPr>
            </w:pPr>
          </w:p>
        </w:tc>
      </w:tr>
      <w:tr>
        <w:trPr>
          <w:trHeight w:val="164"/>
        </w:trPr>
        <w:tc>
          <w:tcPr>
            <w:tcW w:w="282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48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138,034,58</w:t>
            </w:r>
          </w:p>
        </w:tc>
        <w:tc>
          <w:tcPr>
            <w:tcW w:w="16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r>
      <w:tr>
        <w:trPr>
          <w:trHeight w:val="181"/>
        </w:trPr>
        <w:tc>
          <w:tcPr>
            <w:tcW w:w="2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235,693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1,979,875</w:t>
            </w:r>
          </w:p>
        </w:tc>
        <w:tc>
          <w:tcPr>
            <w:tcW w:w="14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(4,365 )</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(44,459,954 )</w:t>
            </w:r>
          </w:p>
        </w:tc>
        <w:tc>
          <w:tcPr>
            <w:tcW w:w="1740" w:type="dxa"/>
            <w:vAlign w:val="bottom"/>
          </w:tcPr>
          <w:p>
            <w:pPr>
              <w:jc w:val="right"/>
              <w:spacing w:after="0"/>
              <w:rPr>
                <w:sz w:val="20"/>
                <w:szCs w:val="20"/>
                <w:color w:val="auto"/>
              </w:rPr>
            </w:pPr>
            <w:r>
              <w:rPr>
                <w:rFonts w:ascii="Arial" w:cs="Arial" w:eastAsia="Arial" w:hAnsi="Arial"/>
                <w:sz w:val="14"/>
                <w:szCs w:val="14"/>
                <w:color w:val="auto"/>
              </w:rPr>
              <w:t>95,785,829</w:t>
            </w:r>
          </w:p>
        </w:tc>
        <w:tc>
          <w:tcPr>
            <w:tcW w:w="140" w:type="dxa"/>
            <w:vAlign w:val="bottom"/>
          </w:tcPr>
          <w:p>
            <w:pPr>
              <w:spacing w:after="0"/>
              <w:rPr>
                <w:sz w:val="15"/>
                <w:szCs w:val="15"/>
                <w:color w:val="auto"/>
              </w:rPr>
            </w:pPr>
          </w:p>
        </w:tc>
      </w:tr>
      <w:tr>
        <w:trPr>
          <w:trHeight w:val="189"/>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(42,730,779 )</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(42,730,779 )</w:t>
            </w: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Increase in par value</w:t>
            </w:r>
          </w:p>
        </w:tc>
        <w:tc>
          <w:tcPr>
            <w:tcW w:w="4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2,592,621</w:t>
            </w:r>
          </w:p>
        </w:tc>
        <w:tc>
          <w:tcPr>
            <w:tcW w:w="1360" w:type="dxa"/>
            <w:vAlign w:val="bottom"/>
            <w:gridSpan w:val="3"/>
          </w:tcPr>
          <w:p>
            <w:pPr>
              <w:jc w:val="right"/>
              <w:ind w:right="80"/>
              <w:spacing w:after="0"/>
              <w:rPr>
                <w:sz w:val="20"/>
                <w:szCs w:val="20"/>
                <w:color w:val="auto"/>
              </w:rPr>
            </w:pPr>
            <w:r>
              <w:rPr>
                <w:rFonts w:ascii="Arial" w:cs="Arial" w:eastAsia="Arial" w:hAnsi="Arial"/>
                <w:sz w:val="14"/>
                <w:szCs w:val="14"/>
                <w:color w:val="auto"/>
              </w:rPr>
              <w:t>(2,592,621 )</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0"/>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156,014,57</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2820" w:type="dxa"/>
            <w:vAlign w:val="bottom"/>
            <w:shd w:val="clear" w:color="auto" w:fill="CFF0FC"/>
          </w:tcPr>
          <w:p>
            <w:pPr>
              <w:spacing w:after="0"/>
              <w:rPr>
                <w:sz w:val="15"/>
                <w:szCs w:val="15"/>
                <w:color w:val="auto"/>
              </w:rPr>
            </w:pPr>
          </w:p>
        </w:tc>
        <w:tc>
          <w:tcPr>
            <w:tcW w:w="4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1,141,329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157,155,899</w:t>
            </w:r>
          </w:p>
        </w:tc>
        <w:tc>
          <w:tcPr>
            <w:tcW w:w="140" w:type="dxa"/>
            <w:vAlign w:val="bottom"/>
            <w:shd w:val="clear" w:color="auto" w:fill="CFF0FC"/>
          </w:tcPr>
          <w:p>
            <w:pPr>
              <w:spacing w:after="0"/>
              <w:rPr>
                <w:sz w:val="15"/>
                <w:szCs w:val="15"/>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4"/>
                <w:szCs w:val="14"/>
                <w:color w:val="auto"/>
              </w:rPr>
              <w:t>(13,154,360 )</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color w:val="auto"/>
              </w:rPr>
              <w:t>(13,154,360 )</w:t>
            </w:r>
          </w:p>
        </w:tc>
      </w:tr>
      <w:tr>
        <w:trPr>
          <w:trHeight w:val="189"/>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30,293</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30,293</w:t>
            </w:r>
          </w:p>
        </w:tc>
        <w:tc>
          <w:tcPr>
            <w:tcW w:w="140" w:type="dxa"/>
            <w:vAlign w:val="bottom"/>
            <w:shd w:val="clear" w:color="auto" w:fill="CFF0FC"/>
          </w:tcPr>
          <w:p>
            <w:pPr>
              <w:spacing w:after="0"/>
              <w:rPr>
                <w:sz w:val="16"/>
                <w:szCs w:val="16"/>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480" w:type="dxa"/>
            <w:vAlign w:val="bottom"/>
          </w:tcPr>
          <w:p>
            <w:pPr>
              <w:jc w:val="center"/>
              <w:spacing w:after="0"/>
              <w:rPr>
                <w:sz w:val="20"/>
                <w:szCs w:val="20"/>
                <w:color w:val="auto"/>
              </w:rPr>
            </w:pPr>
            <w:r>
              <w:rPr>
                <w:rFonts w:ascii="Arial" w:cs="Arial" w:eastAsia="Arial" w:hAnsi="Arial"/>
                <w:sz w:val="14"/>
                <w:szCs w:val="14"/>
                <w:color w:val="auto"/>
              </w:rPr>
              <w:t>18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8,584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440,731</w:t>
            </w:r>
          </w:p>
        </w:tc>
        <w:tc>
          <w:tcPr>
            <w:tcW w:w="1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(401,846 )</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(377,668 )</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color w:val="auto"/>
              </w:rPr>
              <w:t>(330,199 )</w:t>
            </w:r>
          </w:p>
        </w:tc>
      </w:tr>
      <w:tr>
        <w:trPr>
          <w:trHeight w:val="189"/>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4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8,196,387</w:t>
            </w:r>
          </w:p>
        </w:tc>
        <w:tc>
          <w:tcPr>
            <w:tcW w:w="1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8,196,387</w:t>
            </w:r>
          </w:p>
        </w:tc>
        <w:tc>
          <w:tcPr>
            <w:tcW w:w="140" w:type="dxa"/>
            <w:vAlign w:val="bottom"/>
            <w:tcBorders>
              <w:bottom w:val="single" w:sz="8" w:color="CFF0FC"/>
            </w:tcBorders>
            <w:shd w:val="clear" w:color="auto" w:fill="CFF0FC"/>
          </w:tcPr>
          <w:p>
            <w:pPr>
              <w:spacing w:after="0"/>
              <w:rPr>
                <w:sz w:val="16"/>
                <w:szCs w:val="16"/>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278,742,90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2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3,978,227</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9,774,416</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(87,568,401 )</w:t>
            </w:r>
          </w:p>
        </w:tc>
        <w:tc>
          <w:tcPr>
            <w:tcW w:w="1740" w:type="dxa"/>
            <w:vAlign w:val="bottom"/>
          </w:tcPr>
          <w:p>
            <w:pPr>
              <w:jc w:val="right"/>
              <w:spacing w:after="0"/>
              <w:rPr>
                <w:sz w:val="20"/>
                <w:szCs w:val="20"/>
                <w:color w:val="auto"/>
              </w:rPr>
            </w:pPr>
            <w:r>
              <w:rPr>
                <w:rFonts w:ascii="Arial" w:cs="Arial" w:eastAsia="Arial" w:hAnsi="Arial"/>
                <w:sz w:val="14"/>
                <w:szCs w:val="14"/>
                <w:color w:val="auto"/>
              </w:rPr>
              <w:t>204,953,070</w:t>
            </w:r>
          </w:p>
        </w:tc>
        <w:tc>
          <w:tcPr>
            <w:tcW w:w="140" w:type="dxa"/>
            <w:vAlign w:val="bottom"/>
          </w:tcPr>
          <w:p>
            <w:pPr>
              <w:spacing w:after="0"/>
              <w:rPr>
                <w:sz w:val="15"/>
                <w:szCs w:val="15"/>
                <w:color w:val="auto"/>
              </w:rPr>
            </w:pPr>
          </w:p>
        </w:tc>
      </w:tr>
      <w:tr>
        <w:trPr>
          <w:trHeight w:val="164"/>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278,742,90</w:t>
            </w:r>
          </w:p>
        </w:tc>
        <w:tc>
          <w:tcPr>
            <w:tcW w:w="16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28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3,978,227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9,774,416</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(87,568,401 )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204,953,070</w:t>
            </w:r>
          </w:p>
        </w:tc>
        <w:tc>
          <w:tcPr>
            <w:tcW w:w="140" w:type="dxa"/>
            <w:vAlign w:val="bottom"/>
            <w:shd w:val="clear" w:color="auto" w:fill="CFF0FC"/>
          </w:tcPr>
          <w:p>
            <w:pPr>
              <w:spacing w:after="0"/>
              <w:rPr>
                <w:sz w:val="15"/>
                <w:szCs w:val="15"/>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(76,332,557 )</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color w:val="auto"/>
              </w:rPr>
              <w:t>(76,332,557 )</w:t>
            </w:r>
          </w:p>
        </w:tc>
      </w:tr>
      <w:tr>
        <w:trPr>
          <w:trHeight w:val="189"/>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4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70,572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9,464,901</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9,535,473</w:t>
            </w:r>
          </w:p>
        </w:tc>
        <w:tc>
          <w:tcPr>
            <w:tcW w:w="140" w:type="dxa"/>
            <w:vAlign w:val="bottom"/>
            <w:shd w:val="clear" w:color="auto" w:fill="CFF0FC"/>
          </w:tcPr>
          <w:p>
            <w:pPr>
              <w:spacing w:after="0"/>
              <w:rPr>
                <w:sz w:val="16"/>
                <w:szCs w:val="16"/>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4"/>
                <w:szCs w:val="14"/>
                <w:color w:val="auto"/>
              </w:rPr>
              <w:t>(307,710 )</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color w:val="auto"/>
              </w:rPr>
              <w:t>(307,710 )</w:t>
            </w:r>
          </w:p>
        </w:tc>
      </w:tr>
      <w:tr>
        <w:trPr>
          <w:trHeight w:val="189"/>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effect on transaction costs</w:t>
            </w: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40" w:type="dxa"/>
            <w:vAlign w:val="bottom"/>
            <w:shd w:val="clear" w:color="auto" w:fill="CFF0FC"/>
          </w:tcPr>
          <w:p>
            <w:pPr>
              <w:spacing w:after="0"/>
              <w:rPr>
                <w:sz w:val="16"/>
                <w:szCs w:val="16"/>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17,362</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17,362</w:t>
            </w:r>
          </w:p>
        </w:tc>
        <w:tc>
          <w:tcPr>
            <w:tcW w:w="140" w:type="dxa"/>
            <w:vAlign w:val="bottom"/>
          </w:tcPr>
          <w:p>
            <w:pPr>
              <w:spacing w:after="0"/>
              <w:rPr>
                <w:sz w:val="16"/>
                <w:szCs w:val="16"/>
                <w:color w:val="auto"/>
              </w:rPr>
            </w:pPr>
          </w:p>
        </w:tc>
      </w:tr>
      <w:tr>
        <w:trPr>
          <w:trHeight w:val="189"/>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4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9,177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1,019,372</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(954,157 )</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(287,934 )</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(213,542 )</w:t>
            </w: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480" w:type="dxa"/>
            <w:vAlign w:val="bottom"/>
          </w:tcPr>
          <w:p>
            <w:pPr>
              <w:jc w:val="center"/>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11,349,200</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11,349,200</w:t>
            </w:r>
          </w:p>
        </w:tc>
        <w:tc>
          <w:tcPr>
            <w:tcW w:w="140" w:type="dxa"/>
            <w:vAlign w:val="bottom"/>
          </w:tcPr>
          <w:p>
            <w:pPr>
              <w:spacing w:after="0"/>
              <w:rPr>
                <w:sz w:val="16"/>
                <w:szCs w:val="16"/>
                <w:color w:val="auto"/>
              </w:rPr>
            </w:pPr>
          </w:p>
        </w:tc>
      </w:tr>
      <w:tr>
        <w:trPr>
          <w:trHeight w:val="164"/>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289,177,19</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(164,188,89</w:t>
            </w:r>
          </w:p>
        </w:tc>
        <w:tc>
          <w:tcPr>
            <w:tcW w:w="1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201"/>
        </w:trPr>
        <w:tc>
          <w:tcPr>
            <w:tcW w:w="28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40" w:type="dxa"/>
            <w:vAlign w:val="bottom"/>
            <w:shd w:val="clear" w:color="auto" w:fill="CFF0FC"/>
          </w:tcPr>
          <w:p>
            <w:pPr>
              <w:spacing w:after="0"/>
              <w:rPr>
                <w:sz w:val="17"/>
                <w:szCs w:val="17"/>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-2734310</wp:posOffset>
            </wp:positionV>
            <wp:extent cx="85725" cy="231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-2734310</wp:posOffset>
            </wp:positionV>
            <wp:extent cx="93980" cy="2317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23177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-2734310</wp:posOffset>
            </wp:positionV>
            <wp:extent cx="85725" cy="2317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-2734310</wp:posOffset>
            </wp:positionV>
            <wp:extent cx="85725" cy="2317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-2734310</wp:posOffset>
            </wp:positionV>
            <wp:extent cx="85725" cy="2317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-2734310</wp:posOffset>
            </wp:positionV>
            <wp:extent cx="85725" cy="2317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-1559560</wp:posOffset>
            </wp:positionV>
            <wp:extent cx="85725" cy="240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-1559560</wp:posOffset>
            </wp:positionV>
            <wp:extent cx="93980"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24003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-1559560</wp:posOffset>
            </wp:positionV>
            <wp:extent cx="85725"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-1559560</wp:posOffset>
            </wp:positionV>
            <wp:extent cx="85725"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-1559560</wp:posOffset>
            </wp:positionV>
            <wp:extent cx="85725" cy="240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-1559560</wp:posOffset>
            </wp:positionV>
            <wp:extent cx="85725"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-25400</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-8255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93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93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857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857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9"/>
              </w:rPr>
              <w:t>Years ended December 31,</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Notes</w:t>
            </w:r>
          </w:p>
        </w:tc>
        <w:tc>
          <w:tcPr>
            <w:tcW w:w="11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3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Loss before tax</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(75,653,470 )</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(42,660,662 )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(26,068,955 )</w:t>
            </w:r>
          </w:p>
        </w:tc>
        <w:tc>
          <w:tcPr>
            <w:tcW w:w="0" w:type="dxa"/>
            <w:vAlign w:val="bottom"/>
          </w:tcPr>
          <w:p>
            <w:pPr>
              <w:spacing w:after="0"/>
              <w:rPr>
                <w:sz w:val="1"/>
                <w:szCs w:val="1"/>
                <w:color w:val="auto"/>
              </w:rPr>
            </w:pPr>
          </w:p>
        </w:tc>
      </w:tr>
      <w:tr>
        <w:trPr>
          <w:trHeight w:val="191"/>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adjustments to reconcile loss before tax to net cash flows/used</w:t>
            </w: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FF0FC"/>
          </w:tcPr>
          <w:p>
            <w:pPr>
              <w:ind w:left="160"/>
              <w:spacing w:after="0"/>
              <w:rPr>
                <w:sz w:val="20"/>
                <w:szCs w:val="20"/>
                <w:color w:val="auto"/>
              </w:rPr>
            </w:pPr>
            <w:r>
              <w:rPr>
                <w:rFonts w:ascii="Arial" w:cs="Arial" w:eastAsia="Arial" w:hAnsi="Arial"/>
                <w:sz w:val="16"/>
                <w:szCs w:val="16"/>
                <w:i w:val="1"/>
                <w:iCs w:val="1"/>
                <w:color w:val="auto"/>
              </w:rPr>
              <w:t>in operations :</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Share-based payment expense</w:t>
            </w:r>
          </w:p>
        </w:tc>
        <w:tc>
          <w:tcPr>
            <w:tcW w:w="800" w:type="dxa"/>
            <w:vAlign w:val="bottom"/>
          </w:tcPr>
          <w:p>
            <w:pPr>
              <w:jc w:val="center"/>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11,349,200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8,196,387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1,587,736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8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 &amp; 9</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152,940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77,370</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Net foreign exchange (gain) / loss</w:t>
            </w:r>
          </w:p>
        </w:tc>
        <w:tc>
          <w:tcPr>
            <w:tcW w:w="800" w:type="dxa"/>
            <w:vAlign w:val="bottom"/>
          </w:tcPr>
          <w:p>
            <w:pPr>
              <w:jc w:val="center"/>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(11,100,392 )</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(11,760,469 )</w:t>
            </w:r>
          </w:p>
        </w:tc>
        <w:tc>
          <w:tcPr>
            <w:tcW w:w="1160" w:type="dxa"/>
            <w:vAlign w:val="bottom"/>
          </w:tcPr>
          <w:p>
            <w:pPr>
              <w:jc w:val="right"/>
              <w:spacing w:after="0"/>
              <w:rPr>
                <w:sz w:val="20"/>
                <w:szCs w:val="20"/>
                <w:color w:val="auto"/>
              </w:rPr>
            </w:pPr>
            <w:r>
              <w:rPr>
                <w:rFonts w:ascii="Arial" w:cs="Arial" w:eastAsia="Arial" w:hAnsi="Arial"/>
                <w:sz w:val="16"/>
                <w:szCs w:val="16"/>
                <w:color w:val="auto"/>
              </w:rPr>
              <w:t>1,350,592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costs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39,254</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267,700</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98,678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i w:val="1"/>
                <w:iCs w:val="1"/>
                <w:color w:val="auto"/>
              </w:rPr>
              <w:t>Changes in working capital:</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receivables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317,612</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(130,501 )</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(358,735 )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(Increase) decrease in other current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(2,511,076 )</w:t>
            </w:r>
          </w:p>
        </w:tc>
        <w:tc>
          <w:tcPr>
            <w:tcW w:w="1160" w:type="dxa"/>
            <w:vAlign w:val="bottom"/>
          </w:tcPr>
          <w:p>
            <w:pPr>
              <w:jc w:val="right"/>
              <w:spacing w:after="0"/>
              <w:rPr>
                <w:sz w:val="20"/>
                <w:szCs w:val="20"/>
                <w:color w:val="auto"/>
              </w:rPr>
            </w:pPr>
            <w:r>
              <w:rPr>
                <w:rFonts w:ascii="Arial" w:cs="Arial" w:eastAsia="Arial" w:hAnsi="Arial"/>
                <w:sz w:val="16"/>
                <w:szCs w:val="16"/>
                <w:color w:val="auto"/>
              </w:rPr>
              <w:t>239,875</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(493,165 )</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trade and other payables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3,905,486</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1,662,686</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329,181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Increase (decrease) in accrued liabilities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6,664,878</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(196,755 )</w:t>
            </w:r>
          </w:p>
        </w:tc>
        <w:tc>
          <w:tcPr>
            <w:tcW w:w="1160" w:type="dxa"/>
            <w:vAlign w:val="bottom"/>
          </w:tcPr>
          <w:p>
            <w:pPr>
              <w:jc w:val="right"/>
              <w:spacing w:after="0"/>
              <w:rPr>
                <w:sz w:val="20"/>
                <w:szCs w:val="20"/>
                <w:color w:val="auto"/>
              </w:rPr>
            </w:pPr>
            <w:r>
              <w:rPr>
                <w:rFonts w:ascii="Arial" w:cs="Arial" w:eastAsia="Arial" w:hAnsi="Arial"/>
                <w:sz w:val="16"/>
                <w:szCs w:val="16"/>
                <w:color w:val="auto"/>
              </w:rPr>
              <w:t>2,094,322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paid</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(182,824 )</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(27,615 )</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Paid interest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(144,243 )</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(267,700 )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(46,648 )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operating activities</w:t>
            </w: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(67,162,635 )</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(44,599,684 )</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(21,499,593 )</w:t>
            </w:r>
          </w:p>
        </w:tc>
        <w:tc>
          <w:tcPr>
            <w:tcW w:w="0" w:type="dxa"/>
            <w:vAlign w:val="bottom"/>
          </w:tcPr>
          <w:p>
            <w:pPr>
              <w:spacing w:after="0"/>
              <w:rPr>
                <w:sz w:val="1"/>
                <w:szCs w:val="1"/>
                <w:color w:val="auto"/>
              </w:rPr>
            </w:pPr>
          </w:p>
        </w:tc>
      </w:tr>
      <w:tr>
        <w:trPr>
          <w:trHeight w:val="197"/>
        </w:trPr>
        <w:tc>
          <w:tcPr>
            <w:tcW w:w="61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8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(124,296 )</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(130,032 )</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(42,977 )</w:t>
            </w: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Net cash flows used in investing activities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(124,296 )</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(130,032 )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(42,977 )</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Proceeds from issue of shares</w:t>
            </w:r>
          </w:p>
        </w:tc>
        <w:tc>
          <w:tcPr>
            <w:tcW w:w="800" w:type="dxa"/>
            <w:vAlign w:val="bottom"/>
          </w:tcPr>
          <w:p>
            <w:pPr>
              <w:jc w:val="center"/>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9,609,865</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156,825,699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102,514,879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 costs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(839,970 )</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(13,154,360 )</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(1,314,078 )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Payment of principal portion of lease liabilities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(119,527 )</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8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8,650,368</w:t>
            </w: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143,671,339</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101,200,801</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1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37"/>
              <w:spacing w:after="0"/>
              <w:rPr>
                <w:sz w:val="20"/>
                <w:szCs w:val="20"/>
                <w:color w:val="auto"/>
              </w:rPr>
            </w:pPr>
            <w:r>
              <w:rPr>
                <w:rFonts w:ascii="Arial" w:cs="Arial" w:eastAsia="Arial" w:hAnsi="Arial"/>
                <w:sz w:val="16"/>
                <w:szCs w:val="16"/>
                <w:color w:val="auto"/>
              </w:rPr>
              <w:t>(58,636,563 )</w:t>
            </w:r>
          </w:p>
        </w:tc>
        <w:tc>
          <w:tcPr>
            <w:tcW w:w="1160" w:type="dxa"/>
            <w:vAlign w:val="bottom"/>
          </w:tcPr>
          <w:p>
            <w:pPr>
              <w:jc w:val="right"/>
              <w:spacing w:after="0"/>
              <w:rPr>
                <w:sz w:val="20"/>
                <w:szCs w:val="20"/>
                <w:color w:val="auto"/>
              </w:rPr>
            </w:pPr>
            <w:r>
              <w:rPr>
                <w:rFonts w:ascii="Arial" w:cs="Arial" w:eastAsia="Arial" w:hAnsi="Arial"/>
                <w:sz w:val="16"/>
                <w:szCs w:val="16"/>
                <w:color w:val="auto"/>
              </w:rPr>
              <w:t>98,941,623</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79,658,231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at the beginning of the year</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98,628,871</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20,326,372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11,120,860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11,782,638</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(1,355,732 )</w:t>
            </w:r>
          </w:p>
        </w:tc>
        <w:tc>
          <w:tcPr>
            <w:tcW w:w="0" w:type="dxa"/>
            <w:vAlign w:val="bottom"/>
          </w:tcPr>
          <w:p>
            <w:pPr>
              <w:spacing w:after="0"/>
              <w:rPr>
                <w:sz w:val="1"/>
                <w:szCs w:val="1"/>
                <w:color w:val="auto"/>
              </w:rPr>
            </w:pPr>
          </w:p>
        </w:tc>
      </w:tr>
      <w:tr>
        <w:trPr>
          <w:trHeight w:val="253"/>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8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98,628,871</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-4178300</wp:posOffset>
            </wp:positionV>
            <wp:extent cx="3279140" cy="2438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79140" cy="24384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-1748155</wp:posOffset>
            </wp:positionV>
            <wp:extent cx="1929130"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2913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-1448435</wp:posOffset>
            </wp:positionV>
            <wp:extent cx="94615"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1460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-1448435</wp:posOffset>
            </wp:positionV>
            <wp:extent cx="9398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-1448435</wp:posOffset>
            </wp:positionV>
            <wp:extent cx="85725"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-607695</wp:posOffset>
            </wp:positionV>
            <wp:extent cx="192913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29130" cy="16256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946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946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21"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2022 were authorized for issue in accordance with a resolution of the directors on May 30, 2023.</w:t>
      </w:r>
    </w:p>
    <w:p>
      <w:pPr>
        <w:spacing w:after="0" w:line="171"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Legal seat</w:t>
            </w:r>
          </w:p>
        </w:tc>
        <w:tc>
          <w:tcPr>
            <w:tcW w:w="120" w:type="dxa"/>
            <w:vAlign w:val="bottom"/>
          </w:tcPr>
          <w:p>
            <w:pPr>
              <w:spacing w:after="0"/>
              <w:rPr>
                <w:sz w:val="14"/>
                <w:szCs w:val="14"/>
                <w:color w:val="auto"/>
              </w:rPr>
            </w:pPr>
          </w:p>
        </w:tc>
        <w:tc>
          <w:tcPr>
            <w:tcW w:w="254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20" w:type="dxa"/>
            <w:vAlign w:val="bottom"/>
          </w:tcPr>
          <w:p>
            <w:pPr>
              <w:spacing w:after="0"/>
              <w:rPr>
                <w:sz w:val="14"/>
                <w:szCs w:val="14"/>
                <w:color w:val="auto"/>
              </w:rPr>
            </w:pPr>
          </w:p>
        </w:tc>
        <w:tc>
          <w:tcPr>
            <w:tcW w:w="1920" w:type="dxa"/>
            <w:vAlign w:val="bottom"/>
            <w:gridSpan w:val="3"/>
          </w:tcPr>
          <w:p>
            <w:pPr>
              <w:ind w:left="760"/>
              <w:spacing w:after="0"/>
              <w:rPr>
                <w:sz w:val="20"/>
                <w:szCs w:val="20"/>
                <w:color w:val="auto"/>
              </w:rPr>
            </w:pPr>
            <w:r>
              <w:rPr>
                <w:rFonts w:ascii="Arial" w:cs="Arial" w:eastAsia="Arial" w:hAnsi="Arial"/>
                <w:sz w:val="13"/>
                <w:szCs w:val="13"/>
                <w:b w:val="1"/>
                <w:bCs w:val="1"/>
                <w:color w:val="auto"/>
                <w:w w:val="95"/>
              </w:rPr>
              <w:t>% of equity interest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5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Pharvaris Holdings B.V.</w:t>
            </w:r>
          </w:p>
        </w:tc>
        <w:tc>
          <w:tcPr>
            <w:tcW w:w="1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Leiden</w:t>
            </w:r>
          </w:p>
        </w:tc>
        <w:tc>
          <w:tcPr>
            <w:tcW w:w="120" w:type="dxa"/>
            <w:vAlign w:val="bottom"/>
            <w:shd w:val="clear" w:color="auto" w:fill="CFF0FC"/>
          </w:tcPr>
          <w:p>
            <w:pPr>
              <w:spacing w:after="0"/>
              <w:rPr>
                <w:sz w:val="18"/>
                <w:szCs w:val="18"/>
                <w:color w:val="auto"/>
              </w:rPr>
            </w:pPr>
          </w:p>
        </w:tc>
        <w:tc>
          <w:tcPr>
            <w:tcW w:w="2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The Netherlands</w:t>
            </w:r>
          </w:p>
        </w:tc>
        <w:tc>
          <w:tcPr>
            <w:tcW w:w="16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100 %</w:t>
            </w:r>
          </w:p>
        </w:tc>
        <w:tc>
          <w:tcPr>
            <w:tcW w:w="4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w w:val="88"/>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1520" w:type="dxa"/>
            <w:vAlign w:val="bottom"/>
          </w:tcPr>
          <w:p>
            <w:pPr>
              <w:ind w:left="20"/>
              <w:spacing w:after="0"/>
              <w:rPr>
                <w:sz w:val="20"/>
                <w:szCs w:val="20"/>
                <w:color w:val="auto"/>
              </w:rPr>
            </w:pPr>
            <w:r>
              <w:rPr>
                <w:rFonts w:ascii="Arial" w:cs="Arial" w:eastAsia="Arial" w:hAnsi="Arial"/>
                <w:sz w:val="16"/>
                <w:szCs w:val="16"/>
                <w:color w:val="auto"/>
              </w:rPr>
              <w:t>Leiden</w:t>
            </w:r>
          </w:p>
        </w:tc>
        <w:tc>
          <w:tcPr>
            <w:tcW w:w="12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The Netherlands</w:t>
            </w:r>
          </w:p>
        </w:tc>
        <w:tc>
          <w:tcPr>
            <w:tcW w:w="1600" w:type="dxa"/>
            <w:vAlign w:val="bottom"/>
            <w:gridSpan w:val="3"/>
          </w:tcPr>
          <w:p>
            <w:pPr>
              <w:jc w:val="right"/>
              <w:ind w:right="120"/>
              <w:spacing w:after="0"/>
              <w:rPr>
                <w:sz w:val="20"/>
                <w:szCs w:val="20"/>
                <w:color w:val="auto"/>
              </w:rPr>
            </w:pPr>
            <w:r>
              <w:rPr>
                <w:rFonts w:ascii="Arial" w:cs="Arial" w:eastAsia="Arial" w:hAnsi="Arial"/>
                <w:sz w:val="16"/>
                <w:szCs w:val="16"/>
                <w:color w:val="auto"/>
              </w:rPr>
              <w:t>100 %</w:t>
            </w:r>
          </w:p>
        </w:tc>
        <w:tc>
          <w:tcPr>
            <w:tcW w:w="440" w:type="dxa"/>
            <w:vAlign w:val="bottom"/>
          </w:tcPr>
          <w:p>
            <w:pPr>
              <w:spacing w:after="0"/>
              <w:rPr>
                <w:sz w:val="18"/>
                <w:szCs w:val="18"/>
                <w:color w:val="auto"/>
              </w:rPr>
            </w:pPr>
          </w:p>
        </w:tc>
        <w:tc>
          <w:tcPr>
            <w:tcW w:w="900" w:type="dxa"/>
            <w:vAlign w:val="bottom"/>
            <w:gridSpan w:val="3"/>
          </w:tcPr>
          <w:p>
            <w:pPr>
              <w:ind w:left="460"/>
              <w:spacing w:after="0"/>
              <w:rPr>
                <w:sz w:val="20"/>
                <w:szCs w:val="20"/>
                <w:color w:val="auto"/>
              </w:rPr>
            </w:pPr>
            <w:r>
              <w:rPr>
                <w:rFonts w:ascii="Arial" w:cs="Arial" w:eastAsia="Arial" w:hAnsi="Arial"/>
                <w:sz w:val="16"/>
                <w:szCs w:val="16"/>
                <w:color w:val="auto"/>
                <w:w w:val="92"/>
              </w:rPr>
              <w:t>100 %</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Pharvaris, Inc.</w:t>
            </w:r>
          </w:p>
        </w:tc>
        <w:tc>
          <w:tcPr>
            <w:tcW w:w="1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Delaware</w:t>
            </w:r>
          </w:p>
        </w:tc>
        <w:tc>
          <w:tcPr>
            <w:tcW w:w="120" w:type="dxa"/>
            <w:vAlign w:val="bottom"/>
            <w:shd w:val="clear" w:color="auto" w:fill="CFF0FC"/>
          </w:tcPr>
          <w:p>
            <w:pPr>
              <w:spacing w:after="0"/>
              <w:rPr>
                <w:sz w:val="19"/>
                <w:szCs w:val="19"/>
                <w:color w:val="auto"/>
              </w:rPr>
            </w:pPr>
          </w:p>
        </w:tc>
        <w:tc>
          <w:tcPr>
            <w:tcW w:w="2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 of America</w:t>
            </w:r>
          </w:p>
        </w:tc>
        <w:tc>
          <w:tcPr>
            <w:tcW w:w="16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100 %</w:t>
            </w: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w w:val="88"/>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1520" w:type="dxa"/>
            <w:vAlign w:val="bottom"/>
          </w:tcPr>
          <w:p>
            <w:pPr>
              <w:ind w:left="20"/>
              <w:spacing w:after="0"/>
              <w:rPr>
                <w:sz w:val="20"/>
                <w:szCs w:val="20"/>
                <w:color w:val="auto"/>
              </w:rPr>
            </w:pPr>
            <w:r>
              <w:rPr>
                <w:rFonts w:ascii="Arial" w:cs="Arial" w:eastAsia="Arial" w:hAnsi="Arial"/>
                <w:sz w:val="16"/>
                <w:szCs w:val="16"/>
                <w:color w:val="auto"/>
              </w:rPr>
              <w:t>Zug</w:t>
            </w:r>
          </w:p>
        </w:tc>
        <w:tc>
          <w:tcPr>
            <w:tcW w:w="12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1600" w:type="dxa"/>
            <w:vAlign w:val="bottom"/>
            <w:gridSpan w:val="3"/>
          </w:tcPr>
          <w:p>
            <w:pPr>
              <w:jc w:val="right"/>
              <w:ind w:right="120"/>
              <w:spacing w:after="0"/>
              <w:rPr>
                <w:sz w:val="20"/>
                <w:szCs w:val="20"/>
                <w:color w:val="auto"/>
              </w:rPr>
            </w:pPr>
            <w:r>
              <w:rPr>
                <w:rFonts w:ascii="Arial" w:cs="Arial" w:eastAsia="Arial" w:hAnsi="Arial"/>
                <w:sz w:val="16"/>
                <w:szCs w:val="16"/>
                <w:color w:val="auto"/>
              </w:rPr>
              <w:t>100 %</w:t>
            </w:r>
          </w:p>
        </w:tc>
        <w:tc>
          <w:tcPr>
            <w:tcW w:w="440" w:type="dxa"/>
            <w:vAlign w:val="bottom"/>
          </w:tcPr>
          <w:p>
            <w:pPr>
              <w:spacing w:after="0"/>
              <w:rPr>
                <w:sz w:val="18"/>
                <w:szCs w:val="18"/>
                <w:color w:val="auto"/>
              </w:rPr>
            </w:pPr>
          </w:p>
        </w:tc>
        <w:tc>
          <w:tcPr>
            <w:tcW w:w="900" w:type="dxa"/>
            <w:vAlign w:val="bottom"/>
            <w:gridSpan w:val="3"/>
          </w:tcPr>
          <w:p>
            <w:pPr>
              <w:ind w:left="460"/>
              <w:spacing w:after="0"/>
              <w:rPr>
                <w:sz w:val="20"/>
                <w:szCs w:val="20"/>
                <w:color w:val="auto"/>
              </w:rPr>
            </w:pPr>
            <w:r>
              <w:rPr>
                <w:rFonts w:ascii="Arial" w:cs="Arial" w:eastAsia="Arial" w:hAnsi="Arial"/>
                <w:sz w:val="16"/>
                <w:szCs w:val="16"/>
                <w:color w:val="auto"/>
                <w:w w:val="92"/>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6104255</wp:posOffset>
            </wp:positionH>
            <wp:positionV relativeFrom="paragraph">
              <wp:posOffset>-676910</wp:posOffset>
            </wp:positionV>
            <wp:extent cx="1045845"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45845" cy="145415"/>
                    </a:xfrm>
                    <a:prstGeom prst="rect">
                      <a:avLst/>
                    </a:prstGeom>
                    <a:noFill/>
                  </pic:spPr>
                </pic:pic>
              </a:graphicData>
            </a:graphic>
          </wp:anchor>
        </w:drawing>
      </w:r>
    </w:p>
    <w:p>
      <w:pPr>
        <w:spacing w:after="0" w:line="219"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73"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9"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The consolidated financial statements of the Group have been prepared in accordance with International Financial Reporting Standards as adopted by the European Union (IFRS-EU) and with Part 9 of Book 2 of the Dutch Civil Code.</w:t>
      </w:r>
    </w:p>
    <w:p>
      <w:pPr>
        <w:spacing w:after="0" w:line="144"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4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In conformity with our report 20-F for year 2022, we present the financial position of the Company as of December 31, 2022 and 2021, and the results of its operations and its cash flows for each of the three years in the period ended December 31, 2022.</w:t>
      </w:r>
    </w:p>
    <w:p>
      <w:pPr>
        <w:spacing w:after="0" w:line="144" w:lineRule="exact"/>
        <w:rPr>
          <w:sz w:val="20"/>
          <w:szCs w:val="20"/>
          <w:color w:val="auto"/>
        </w:rPr>
      </w:pPr>
    </w:p>
    <w:p>
      <w:pPr>
        <w:ind w:right="800"/>
        <w:spacing w:after="0" w:line="276" w:lineRule="auto"/>
        <w:rPr>
          <w:sz w:val="20"/>
          <w:szCs w:val="20"/>
          <w:color w:val="auto"/>
        </w:rPr>
      </w:pPr>
      <w:r>
        <w:rPr>
          <w:rFonts w:ascii="Arial" w:cs="Arial" w:eastAsia="Arial" w:hAnsi="Arial"/>
          <w:sz w:val="16"/>
          <w:szCs w:val="16"/>
          <w:color w:val="auto"/>
        </w:rPr>
        <w:t>Since Pharvaris statement of profit or loss for 2022 is recognized in the consolidated financial statements, it is sufficient in the Company’s financial statements to present a condensed statement of profit or loss in accordance with section 402 of Book 2 of the Dutch Civil Code.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such, Pharvaris anticipates on-going negative operating cash flows for the foreseeable future before the company has a product candidate ready for commercialization, if at all. This makes the Group dependent on external capital sources, debt capital and equity capital. Historically, the Group has obtained financing primary through the offering of equity securities.</w:t>
      </w:r>
    </w:p>
    <w:p>
      <w:pPr>
        <w:spacing w:after="0" w:line="15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December 31, 2022 and 2021, the Group had cash and cash equivalents of €161.8 million and €209.4 million, respectively. The Group incurred net losses of €76.3 million, €42.7 million and €26.0 million in 2022, 2021 and 2020, respectively, and negative operating cash flows of €67.2 million, €44.6 million and €21.5 million in 2022, 2021 and 2020 respectively.</w:t>
      </w:r>
    </w:p>
    <w:p>
      <w:pPr>
        <w:sectPr>
          <w:pgSz w:w="11900" w:h="16838" w:orient="portrait"/>
          <w:cols w:equalWidth="0" w:num="1">
            <w:col w:w="11260"/>
          </w:cols>
          <w:pgMar w:left="320" w:top="121" w:right="31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for at least twelve months from the issuance date of these consolidated financial statements. Accordingly, the consolidated financial statements have been prepared on a going concern basis.</w:t>
      </w:r>
    </w:p>
    <w:p>
      <w:pPr>
        <w:spacing w:after="0" w:line="35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future viability of the Group is dependent on its ability to successfully develop and commercialize its products and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or CODM. By these criteria, the activities of Pharvaris are considered to be one segment which comprises the discovery, development and commercialization of oral bradykinin B2 receptor antagonists and the segmental analysis is the same as the analysis for Pharvaris as a whole. The Board of directors is identified as the CODM and reviews the consolidated operating results regularly to make decisions about the resources and to assess overall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85"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81"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44"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89"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69" w:lineRule="exact"/>
        <w:rPr>
          <w:sz w:val="20"/>
          <w:szCs w:val="20"/>
          <w:color w:val="auto"/>
        </w:rPr>
      </w:pPr>
    </w:p>
    <w:p>
      <w:pPr>
        <w:ind w:left="1140" w:hanging="444"/>
        <w:spacing w:after="0"/>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Office equipment 3-5 years</w:t>
      </w:r>
    </w:p>
    <w:p>
      <w:pPr>
        <w:spacing w:after="0" w:line="208"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30"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Financial assets are initially measured at fair value. After the initial measurement, the gains and losses are either recognized in profit and loss, or recognized in other comprehensive income.</w:t>
      </w:r>
    </w:p>
    <w:p>
      <w:pPr>
        <w:spacing w:after="0" w:line="144" w:lineRule="exact"/>
        <w:rPr>
          <w:sz w:val="20"/>
          <w:szCs w:val="20"/>
          <w:color w:val="auto"/>
        </w:rPr>
      </w:pPr>
    </w:p>
    <w:p>
      <w:pPr>
        <w:jc w:val="both"/>
        <w:ind w:right="340"/>
        <w:spacing w:after="0" w:line="261"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202"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2022, the Group had the following financial assets to be measured at amortized cost:</w:t>
      </w:r>
    </w:p>
    <w:p>
      <w:pPr>
        <w:spacing w:after="0" w:line="181" w:lineRule="exact"/>
        <w:rPr>
          <w:sz w:val="20"/>
          <w:szCs w:val="20"/>
          <w:color w:val="auto"/>
        </w:rPr>
      </w:pPr>
    </w:p>
    <w:p>
      <w:pPr>
        <w:ind w:left="1140" w:hanging="444"/>
        <w:spacing w:after="0"/>
        <w:tabs>
          <w:tab w:leader="none" w:pos="11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Cash and cash equivalents</w:t>
      </w:r>
    </w:p>
    <w:p>
      <w:pPr>
        <w:spacing w:after="0" w:line="207" w:lineRule="exact"/>
        <w:rPr>
          <w:rFonts w:ascii="Arial" w:cs="Arial" w:eastAsia="Arial" w:hAnsi="Arial"/>
          <w:sz w:val="16"/>
          <w:szCs w:val="16"/>
          <w:color w:val="auto"/>
        </w:rPr>
      </w:pPr>
    </w:p>
    <w:p>
      <w:pPr>
        <w:ind w:left="1140" w:hanging="444"/>
        <w:spacing w:after="0"/>
        <w:tabs>
          <w:tab w:leader="none" w:pos="11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Receivables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89"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202" w:lineRule="exact"/>
        <w:rPr>
          <w:sz w:val="20"/>
          <w:szCs w:val="20"/>
          <w:color w:val="auto"/>
        </w:rPr>
      </w:pPr>
    </w:p>
    <w:p>
      <w:pPr>
        <w:ind w:right="640"/>
        <w:spacing w:after="0" w:line="27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are equity classified as result of:</w:t>
      </w:r>
    </w:p>
    <w:p>
      <w:pPr>
        <w:spacing w:after="0" w:line="194" w:lineRule="exact"/>
        <w:rPr>
          <w:sz w:val="20"/>
          <w:szCs w:val="20"/>
          <w:color w:val="auto"/>
        </w:rPr>
      </w:pPr>
    </w:p>
    <w:p>
      <w:pPr>
        <w:ind w:left="1140" w:right="460" w:hanging="444"/>
        <w:spacing w:after="0" w:line="276" w:lineRule="auto"/>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lack of contractual obligation to deliver cash or another financial asset to another entity, or to exchange financial assets or financial liabilities with another entity under conditions that are potentially unfavorable to the Group.</w:t>
      </w:r>
    </w:p>
    <w:p>
      <w:pPr>
        <w:spacing w:after="0" w:line="130" w:lineRule="exact"/>
        <w:rPr>
          <w:rFonts w:ascii="Arial" w:cs="Arial" w:eastAsia="Arial" w:hAnsi="Arial"/>
          <w:sz w:val="16"/>
          <w:szCs w:val="16"/>
          <w:color w:val="auto"/>
        </w:rPr>
      </w:pPr>
    </w:p>
    <w:p>
      <w:pPr>
        <w:ind w:left="1140" w:hanging="444"/>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contractual obligation to transfer an amount (dividend) independent of the entity’s available economic resources.</w:t>
      </w:r>
    </w:p>
    <w:p>
      <w:pPr>
        <w:spacing w:after="0" w:line="19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Pursuant to the shareholders’ agreement, all of the outstanding preferred shares were automatically converted into ordinary shares upon the consummation of the IPO. The conversion rate for the preferred shares is calculated by reference to the original issue price of relevant preferred shares, adjusted for certain anti-dilution protections.</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The Group issued three classes of preferred shares, convertible preferred shares A, the convertible preferred shares B and the convertible preferred shares C. The dividend preference is noncumulative and is only applicable when the general meeting of shareholder’s decides to make a profit distribution (Note 13).</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Preferred shares A, convertible preferred shares B and convertible preferred shares C</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Preferred shares A, preferred shares B and preferred shares C have a dividend preference over ordinary shares. In addition, preferred shares A, preferred shares B and preferred shares C have an anti-dilution protection that is not applicable for ordinary shares. The anti-dilution protection is under the full control of the Group and does not affect the equity classification of the preferred shares A, preferred shares B and preferred shares C. Per December 31, 2022 there were no outstanding preferred shares.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A, preferred shares B and preferred shares C qualify as equity. Dividends paid on the preference shares are treated as profit appropriation.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3" w:lineRule="exact"/>
        <w:rPr>
          <w:sz w:val="20"/>
          <w:szCs w:val="20"/>
          <w:color w:val="auto"/>
        </w:rPr>
      </w:pPr>
    </w:p>
    <w:p>
      <w:pPr>
        <w:ind w:left="1020" w:hanging="503"/>
        <w:spacing w:after="0"/>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leases of low value assets;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leases with a duration of 12 months or less.</w:t>
      </w:r>
    </w:p>
    <w:p>
      <w:pPr>
        <w:spacing w:after="0" w:line="208" w:lineRule="exact"/>
        <w:rPr>
          <w:sz w:val="20"/>
          <w:szCs w:val="20"/>
          <w:color w:val="auto"/>
        </w:rPr>
      </w:pPr>
    </w:p>
    <w:p>
      <w:pPr>
        <w:ind w:right="680"/>
        <w:spacing w:after="0" w:line="276"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3" w:lineRule="exact"/>
        <w:rPr>
          <w:sz w:val="20"/>
          <w:szCs w:val="20"/>
          <w:color w:val="auto"/>
        </w:rPr>
      </w:pPr>
    </w:p>
    <w:p>
      <w:pPr>
        <w:ind w:left="5480" w:right="60" w:hanging="4963"/>
        <w:spacing w:after="0" w:line="857" w:lineRule="auto"/>
        <w:tabs>
          <w:tab w:leader="none" w:pos="1017"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3" w:lineRule="exact"/>
        <w:rPr>
          <w:sz w:val="20"/>
          <w:szCs w:val="20"/>
          <w:color w:val="auto"/>
        </w:rPr>
      </w:pPr>
    </w:p>
    <w:p>
      <w:pPr>
        <w:ind w:left="1020" w:hanging="503"/>
        <w:spacing w:after="0"/>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lease payments made at or before commencement of the lease;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initial direct costs incurred;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3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9"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 except to the extent that it relates to items recognized in other comprehensive income or directly in equity.</w:t>
      </w:r>
    </w:p>
    <w:p>
      <w:pPr>
        <w:spacing w:after="0" w:line="13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46" w:lineRule="exact"/>
        <w:rPr>
          <w:sz w:val="20"/>
          <w:szCs w:val="20"/>
          <w:color w:val="auto"/>
        </w:rPr>
      </w:pPr>
    </w:p>
    <w:p>
      <w:pPr>
        <w:ind w:right="560"/>
        <w:spacing w:after="0" w:line="27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against which the temporary differences and/or tax losses carried forward can be utilized.</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 The fair value is measured at the date of grant using the Black-Scholes formula.</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Service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w:t>
      </w:r>
    </w:p>
    <w:p>
      <w:pPr>
        <w:spacing w:after="0" w:line="16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When options are exercised, the Company issues new shares. The proceeds received net of any directly attributable transaction costs are credited to share capital (nominal value) and share premium when the options are exercised.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2022 or 2021. See Note 3 for information relating to research and development expenses incurred in the reporting period.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Group’s consolidated statements of loss and comprehensive loss as expenses when incurred.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89"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income statement in the period in which they are incurred, and outstanding contributions are included in other payables.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Reference to the Conceptual Framework – Amendments to IFRS 3</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May 2020, the IASB issued Amendments to IFRS 3 Business Combinations - Reference to the Conceptual Framework. The amendments are intended to replace a reference to a previous version of the IASB’s Conceptual Framework (the 1989 Framework) with a reference to the current version issued in March 2018 (the Conceptual Framework) without significantly changing its requirements. The amendments add an exception to the recognition principle of IFRS 3 to avoid the issue of potential ‘day 2’ gains or losses arising for liabilities and contingent liabilities that would be within the scope of IAS 37 Provisions, Contingent Liabilities and Contingent Assets or IFRIC 21 Levies, if incurred separately. The exception requires entities to apply the criteria in IAS 37 or IFRIC 21, respectively, instead of the Conceptual Framework, to determine whether a present obligation exists at the acquisition date. At the same time, the amendments add a new paragraph to IFRS 3 to clarify that contingent assets do not qualify for recognition at the acquisition date. Effective for annual periods beginning on or after January 1, 2022. The Group assessed the amendment and found no material impact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 Proceeds before Intended Use – Amendments to IAS 16</w:t>
      </w:r>
    </w:p>
    <w:p>
      <w:pPr>
        <w:spacing w:after="0" w:line="18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amendment prohibits entities from deducting from the cost of an item of property, plant and equipment (PP&amp;E), any proceeds of the sale of items produced while bringing that asset to the location and condition necessary for it to be capable of operating in the manner intended by management. Instead, an entity recognizes the proceeds from selling such items, and the costs of producing those items, in profit or loss. Effective for annual periods beginning on or after January 1, 2022. The Group assessed the amendment and found no material impact for the year ended December 31, 2022.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Onerous Contracts – Costs of Fulfilling a Contract – Amendments to IAS 37</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May 2020, the IASB issued amendments to IAS 37 to specify which costs an entity needs to include when assessing whether a contract is onerous or loss-making. The amendments apply a ‘directly related cost approach’. The costs that relate directly to a contract to provide goods or services include both incremental costs (e.g., the costs of direct labor and materials) and an allocation of costs directly related to contract activities (e.g., depreciation of equipment used to fulfill the contract as well as costs of contract management and supervision). General and administrative costs do not relate directly to a contract and are excluded unless they are explicitly chargeable to the counterparty under the contract. Effective for annual periods beginning on or after January 1, 2022. The Group assessed the amendment and found no material impact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Non-current Liabilities with Covenants (Amendments to IAS 1)</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On October 31, 2022, the IASB issued amendments to IAS 1 - Non-current Liabilities with Covenants. The amendment clarifies how conditions with which an entity must comply within twelve months after the reporting period affect the classification of a liability. The amendment is effective for reporting periods beginning on or after January 1, 2024. The amendments are not expected to have a material impact on the Group.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17 Insurance Contracts</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May 2017, the IASB issued IFRS 17 Insurance Contracts, a comprehensive new accounting standard for insurance contracts covering recognition and measurement, presentation and disclosure. Once effective, IFRS 17 will replace IFRS 4 Insurance Contracts. In June 2020, the IASB issued amendments to IFRS 17. These amendments included changing the effective date to 2023. Effective for annual periods beginning on or after January 1, 2023. The amendments are not expected to have a material impact on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of Accounting Estimates - Amendments to IAS 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6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February 2021, the Board issued amendments to IAS 8, in which it introduces a new definition of ‘accounting estimates’. The amendments clarify the distinction between changes in accounting estimates and changes in accounting policies and the correction of errors. Also, they clarify how entities use measurement techniques and inputs to develop accounting estimates. Effective for annual periods beginning on or after January 1, 2023. The amendments are not expected to have a material impact on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 of Accounting Policies (Amendments to IAS 1 and IFRS Practice Statement 2)</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amendments require that an entity discloses its material accounting policies, instead of its significant accounting policies. Further amendments explain how an entity can identify a material accounting policy. Examples of when an accounting policy is likely to be material are added. To support the amendment, the Board has also developed guidance and examples to explain and demonstrate the application of the ‘four-step materiality process’ described in IFRS Practice Statement 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are effective for annual reporting periods beginning on or after January 1, 2023.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related to Assets and Liabilities arising from a single transaction</w:t>
      </w:r>
    </w:p>
    <w:p>
      <w:pPr>
        <w:spacing w:after="0" w:line="189"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On May 7, 2021 the IASB issued Deferred Tax related to Assets and Liabilities arising from a Single Transaction (Amendments to IAS 12), which specifies how companies should account for deferred tax on transactions such as leases and decommissioning obligations as of initial recognition. The amendments clarify that no deferred tax exemption applies on such transactions on initial recognition. Therefore, companies are required to recognize the deferred tax effects thereon to the extent that the related assets or liabilities provide for offsetting temporary differences upon recognition date. The amendments are effective for annual reporting periods beginning on or after January 1, 2023, with early application permitted. The Group does not intend to adopt the early application and the amendments are not expected to have a material impact on the Group.</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are not expected to have a material impact on the Group.</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Amendments to IAS 1: Classification of Liabilities as Current or Non-current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9" w:lineRule="exact"/>
        <w:rPr>
          <w:sz w:val="20"/>
          <w:szCs w:val="20"/>
          <w:color w:val="auto"/>
        </w:rPr>
      </w:pPr>
    </w:p>
    <w:p>
      <w:pPr>
        <w:ind w:left="1140" w:hanging="444"/>
        <w:spacing w:after="0"/>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What is meant by a right to defer settlement</w:t>
      </w:r>
    </w:p>
    <w:p>
      <w:pPr>
        <w:spacing w:after="0" w:line="194" w:lineRule="exact"/>
        <w:rPr>
          <w:rFonts w:ascii="Arial" w:cs="Arial" w:eastAsia="Arial" w:hAnsi="Arial"/>
          <w:sz w:val="16"/>
          <w:szCs w:val="16"/>
          <w:color w:val="auto"/>
        </w:rPr>
      </w:pPr>
    </w:p>
    <w:p>
      <w:pPr>
        <w:ind w:left="1140" w:hanging="444"/>
        <w:spacing w:after="0"/>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That a right to defer must exist at the end of the reporting period</w:t>
      </w:r>
    </w:p>
    <w:p>
      <w:pPr>
        <w:spacing w:after="0" w:line="207" w:lineRule="exact"/>
        <w:rPr>
          <w:rFonts w:ascii="Arial" w:cs="Arial" w:eastAsia="Arial" w:hAnsi="Arial"/>
          <w:sz w:val="16"/>
          <w:szCs w:val="16"/>
          <w:color w:val="auto"/>
        </w:rPr>
      </w:pPr>
    </w:p>
    <w:p>
      <w:pPr>
        <w:ind w:left="1140" w:hanging="444"/>
        <w:spacing w:after="0"/>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194" w:lineRule="exact"/>
        <w:rPr>
          <w:rFonts w:ascii="Arial" w:cs="Arial" w:eastAsia="Arial" w:hAnsi="Arial"/>
          <w:sz w:val="16"/>
          <w:szCs w:val="16"/>
          <w:color w:val="auto"/>
        </w:rPr>
      </w:pPr>
    </w:p>
    <w:p>
      <w:pPr>
        <w:ind w:left="1140" w:right="800" w:hanging="444"/>
        <w:spacing w:after="0" w:line="276" w:lineRule="auto"/>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3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amendments are effective for annual reporting periods beginning on or after January 1, 2023 and must be applied retrospectively. The amendments are not expected to have a material impact on the Group.</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42"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4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8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8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44"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155"/>
        </w:trPr>
        <w:tc>
          <w:tcPr>
            <w:tcW w:w="484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4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 (Note 5)</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(13,334,350 )</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(7,988,096 )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(2,951,323 )</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Clinical expenses</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(27,653,658 )</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(16,944,557 )</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(8,748,748 )</w:t>
            </w:r>
          </w:p>
        </w:tc>
      </w:tr>
      <w:tr>
        <w:trPr>
          <w:trHeight w:val="219"/>
        </w:trPr>
        <w:tc>
          <w:tcPr>
            <w:tcW w:w="4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Nonclinical expenses</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(4,853,822 )</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(3,891,479 )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(3,322,590 )</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Manufacturing costs</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(11,181,355 )</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(6,325,068 )</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(4,311,958 )</w:t>
            </w:r>
          </w:p>
        </w:tc>
      </w:tr>
      <w:tr>
        <w:trPr>
          <w:trHeight w:val="219"/>
        </w:trPr>
        <w:tc>
          <w:tcPr>
            <w:tcW w:w="4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costs</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(500,000 )</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Intellectual Property costs</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(352,389 )</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(139,966 )</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(173,482 )</w:t>
            </w:r>
          </w:p>
        </w:tc>
      </w:tr>
      <w:tr>
        <w:trPr>
          <w:trHeight w:val="20"/>
        </w:trPr>
        <w:tc>
          <w:tcPr>
            <w:tcW w:w="4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(57,375,574 )</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(35,789,166 )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(19,508,101 )</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the clinical development programs.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22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License costs consist of a milestone payment of €500,000 during 2021, which was paid to AnalytiCon upon commencement of Phase 2 development.</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155"/>
        </w:trPr>
        <w:tc>
          <w:tcPr>
            <w:tcW w:w="494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 (Note 5)</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(13,484,996 )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(7,033,913 )</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(1,490,674 )</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(898,435 )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(757,233 )</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(1,042,195 )</w:t>
            </w:r>
          </w:p>
        </w:tc>
      </w:tr>
      <w:tr>
        <w:trPr>
          <w:trHeight w:val="21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Professional fees</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(3,972,771 )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(2,868,684 )</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(943,322 )</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(1,652,995 )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(1,306,714 )</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(1,275,842 )</w:t>
            </w:r>
          </w:p>
        </w:tc>
      </w:tr>
      <w:tr>
        <w:trPr>
          <w:trHeight w:val="21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Insurance, facilities and office expenses</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(6,443,709 )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(5,648,763 )</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(551,223 )</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Travel expenses</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(1,105,961 )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(143,582 )</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(26,773 )</w:t>
            </w: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expenses</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(1,780,167 )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(590,571 )</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(168,462 )</w:t>
            </w:r>
          </w:p>
        </w:tc>
      </w:tr>
      <w:tr>
        <w:trPr>
          <w:trHeight w:val="20"/>
        </w:trPr>
        <w:tc>
          <w:tcPr>
            <w:tcW w:w="49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(29,339,034 )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(18,349,460 </w:t>
            </w:r>
            <w:r>
              <w:rPr>
                <w:rFonts w:ascii="Arial" w:cs="Arial" w:eastAsia="Arial" w:hAnsi="Arial"/>
                <w:sz w:val="16"/>
                <w:szCs w:val="16"/>
                <w:color w:val="auto"/>
                <w:highlight w:val="white"/>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(5,498,491 )</w:t>
            </w:r>
          </w:p>
        </w:tc>
      </w:tr>
      <w:tr>
        <w:trPr>
          <w:trHeight w:val="20"/>
        </w:trPr>
        <w:tc>
          <w:tcPr>
            <w:tcW w:w="4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-170815</wp:posOffset>
            </wp:positionV>
            <wp:extent cx="7747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7747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226"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In 2022 and 2021, the Group entered into a number of lease arrangements, which were assessed to be short-term leases (with a lease term of 12 months equaling its non-cancellable period).</w:t>
      </w:r>
    </w:p>
    <w:p>
      <w:pPr>
        <w:spacing w:after="0" w:line="171" w:lineRule="exact"/>
        <w:rPr>
          <w:sz w:val="20"/>
          <w:szCs w:val="20"/>
          <w:color w:val="auto"/>
        </w:rPr>
      </w:pPr>
    </w:p>
    <w:p>
      <w:pPr>
        <w:ind w:right="620"/>
        <w:spacing w:after="0" w:line="276" w:lineRule="auto"/>
        <w:rPr>
          <w:sz w:val="20"/>
          <w:szCs w:val="20"/>
          <w:color w:val="auto"/>
        </w:rPr>
      </w:pPr>
      <w:r>
        <w:rPr>
          <w:rFonts w:ascii="Arial" w:cs="Arial" w:eastAsia="Arial" w:hAnsi="Arial"/>
          <w:sz w:val="16"/>
          <w:szCs w:val="16"/>
          <w:color w:val="auto"/>
        </w:rPr>
        <w:t>Depreciation expenses of €38,920 (2021:€77,370; 2020:€7,401) related to property, plant and equipment and short-term leases is included in other expenses.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30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155"/>
        </w:trPr>
        <w:tc>
          <w:tcPr>
            <w:tcW w:w="48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210"/>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Wages and salaries</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(13,408,411 )</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(6,080,098 )</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(2,597,270 )</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Pension charges</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(803,460 )</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(251,667 )</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(72,153 )</w:t>
            </w:r>
          </w:p>
        </w:tc>
      </w:tr>
      <w:tr>
        <w:trPr>
          <w:trHeight w:val="21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social security charges</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(1,258,275 )</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(493,857 )</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(184,838 )</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Share-based payments</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(11,349,200 )</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(8,196,387 )</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(1,587,736 )</w:t>
            </w:r>
          </w:p>
        </w:tc>
      </w:tr>
      <w:tr>
        <w:trPr>
          <w:trHeight w:val="20"/>
        </w:trPr>
        <w:tc>
          <w:tcPr>
            <w:tcW w:w="4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(26,819,346 )</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(15,022,010 )</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(4,441,997 )</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2022 was 65 (2021:34, 2020:14).</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4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exchange differences</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11,100,392</w:t>
            </w:r>
          </w:p>
        </w:tc>
        <w:tc>
          <w:tcPr>
            <w:tcW w:w="240" w:type="dxa"/>
            <w:vAlign w:val="bottom"/>
            <w:tcBorders>
              <w:right w:val="single" w:sz="8" w:color="CFF0FC"/>
            </w:tcBorders>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6"/>
                <w:szCs w:val="16"/>
                <w:color w:val="auto"/>
              </w:rPr>
              <w:t>11,760,469</w:t>
            </w:r>
          </w:p>
        </w:tc>
        <w:tc>
          <w:tcPr>
            <w:tcW w:w="24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(963,685 )</w:t>
            </w: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(16,105 )</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(267,510 )</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(92,470 )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finance expenses</w:t>
            </w: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(23,149 )</w:t>
            </w:r>
          </w:p>
        </w:tc>
        <w:tc>
          <w:tcPr>
            <w:tcW w:w="12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(14,995 )</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(6,208 )</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11,477,964</w:t>
            </w:r>
          </w:p>
        </w:tc>
        <w:tc>
          <w:tcPr>
            <w:tcW w:w="2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(1,062,363 )</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6"/>
                <w:szCs w:val="16"/>
                <w:color w:val="auto"/>
              </w:rPr>
              <w:t>Other finance expenses are mainly related to bank charges.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7. Income taxes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40" w:type="dxa"/>
            <w:vAlign w:val="bottom"/>
          </w:tcPr>
          <w:p>
            <w:pPr>
              <w:jc w:val="right"/>
              <w:ind w:right="306"/>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24"/>
                <w:szCs w:val="24"/>
                <w:color w:val="auto"/>
              </w:rPr>
            </w:pPr>
          </w:p>
        </w:tc>
        <w:tc>
          <w:tcPr>
            <w:tcW w:w="1040" w:type="dxa"/>
            <w:vAlign w:val="bottom"/>
          </w:tcPr>
          <w:p>
            <w:pPr>
              <w:jc w:val="right"/>
              <w:ind w:right="306"/>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24"/>
                <w:szCs w:val="24"/>
                <w:color w:val="auto"/>
              </w:rPr>
            </w:pPr>
          </w:p>
        </w:tc>
        <w:tc>
          <w:tcPr>
            <w:tcW w:w="1040" w:type="dxa"/>
            <w:vAlign w:val="bottom"/>
          </w:tcPr>
          <w:p>
            <w:pPr>
              <w:jc w:val="right"/>
              <w:ind w:right="306"/>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income tax expense</w:t>
            </w:r>
          </w:p>
        </w:tc>
        <w:tc>
          <w:tcPr>
            <w:tcW w:w="12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(757,413 )</w:t>
            </w:r>
          </w:p>
        </w:tc>
        <w:tc>
          <w:tcPr>
            <w:tcW w:w="12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(131,921 )</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(16,088 )</w:t>
            </w: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6"/>
                <w:szCs w:val="16"/>
                <w:color w:val="auto"/>
              </w:rPr>
              <w:t>Deferred tax benefit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78,326</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61,804</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benefit / (expense)</w:t>
            </w:r>
          </w:p>
        </w:tc>
        <w:tc>
          <w:tcPr>
            <w:tcW w:w="12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(679,087 )</w:t>
            </w:r>
          </w:p>
        </w:tc>
        <w:tc>
          <w:tcPr>
            <w:tcW w:w="12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(70,117 )</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-1414145</wp:posOffset>
            </wp:positionV>
            <wp:extent cx="76835"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-1414145</wp:posOffset>
            </wp:positionV>
            <wp:extent cx="7747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-1414145</wp:posOffset>
            </wp:positionV>
            <wp:extent cx="77470"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current tax expenses for the year ended December 31, 2022 relates to the Company's U.S. and Dutch subsidiaries as the result of a cost-plus agreement between the U.S. and Dutch entities and the Group's principal entity in Switzerland resulting in a taxable profit in the U.S. and the Netherlands. For the years ended December 31, 2021 and 2020 it is fully related to the Company's U.S. subsidiary. For the year ended December 31, 2022, a tax benefit of €257,734 is additionally directly recognized in equity (2021 and 2020: €Nil)</w:t>
      </w:r>
    </w:p>
    <w:p>
      <w:pPr>
        <w:sectPr>
          <w:pgSz w:w="11900" w:h="16838" w:orient="portrait"/>
          <w:cols w:equalWidth="0" w:num="1">
            <w:col w:w="11140"/>
          </w:cols>
          <w:pgMar w:left="320" w:top="121" w:right="439" w:bottom="1440" w:gutter="0" w:footer="0" w:header="0"/>
        </w:sectPr>
      </w:pP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9"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210"/>
        </w:trPr>
        <w:tc>
          <w:tcPr>
            <w:tcW w:w="52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(75,653,470 )</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(42,660,662 )</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(26,068,955 )</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Income tax at statutory income tax rate in The Netherlands (25.8%)</w:t>
            </w:r>
          </w:p>
        </w:tc>
        <w:tc>
          <w:tcPr>
            <w:tcW w:w="1120" w:type="dxa"/>
            <w:vAlign w:val="bottom"/>
          </w:tcPr>
          <w:p>
            <w:pPr>
              <w:jc w:val="right"/>
              <w:spacing w:after="0"/>
              <w:rPr>
                <w:sz w:val="20"/>
                <w:szCs w:val="20"/>
                <w:color w:val="auto"/>
              </w:rPr>
            </w:pPr>
            <w:r>
              <w:rPr>
                <w:rFonts w:ascii="Arial" w:cs="Arial" w:eastAsia="Arial" w:hAnsi="Arial"/>
                <w:sz w:val="16"/>
                <w:szCs w:val="16"/>
                <w:color w:val="auto"/>
              </w:rPr>
              <w:t>19,518,595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10,665,166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6,517,239</w:t>
            </w:r>
          </w:p>
        </w:tc>
        <w:tc>
          <w:tcPr>
            <w:tcW w:w="120" w:type="dxa"/>
            <w:vAlign w:val="bottom"/>
          </w:tcPr>
          <w:p>
            <w:pPr>
              <w:spacing w:after="0"/>
              <w:rPr>
                <w:sz w:val="18"/>
                <w:szCs w:val="18"/>
                <w:color w:val="auto"/>
              </w:rPr>
            </w:pPr>
          </w:p>
        </w:tc>
      </w:tr>
      <w:tr>
        <w:trPr>
          <w:trHeight w:val="21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tax rates in other countries</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(10,823,383 )</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(7,482,832 )</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(4,855,980 )</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Recognition of previously unrecognized deferred tax assets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(554,853 )</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1,629,392</w:t>
            </w:r>
          </w:p>
        </w:tc>
        <w:tc>
          <w:tcPr>
            <w:tcW w:w="120" w:type="dxa"/>
            <w:vAlign w:val="bottom"/>
          </w:tcPr>
          <w:p>
            <w:pPr>
              <w:spacing w:after="0"/>
              <w:rPr>
                <w:sz w:val="18"/>
                <w:szCs w:val="18"/>
                <w:color w:val="auto"/>
              </w:rPr>
            </w:pPr>
          </w:p>
        </w:tc>
      </w:tr>
      <w:tr>
        <w:trPr>
          <w:trHeight w:val="195"/>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period losses for which no deferred tax asset has been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3"/>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recognized</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(9,184,919 )</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(2,910,890 )</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(3,132,076 )</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383,153</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(353,543 )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(74,579 )</w:t>
            </w: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(17,680 )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11,982</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(745 )</w:t>
            </w:r>
          </w:p>
        </w:tc>
      </w:tr>
      <w:tr>
        <w:trPr>
          <w:trHeight w:val="20"/>
        </w:trPr>
        <w:tc>
          <w:tcPr>
            <w:tcW w:w="5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Income tax benefit / (expense)</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(679,087 )</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(70,117 )</w:t>
            </w:r>
          </w:p>
        </w:tc>
        <w:tc>
          <w:tcPr>
            <w:tcW w:w="1200" w:type="dxa"/>
            <w:vAlign w:val="bottom"/>
          </w:tcPr>
          <w:p>
            <w:pPr>
              <w:jc w:val="right"/>
              <w:spacing w:after="0"/>
              <w:rPr>
                <w:sz w:val="20"/>
                <w:szCs w:val="20"/>
                <w:color w:val="auto"/>
              </w:rPr>
            </w:pPr>
            <w:r>
              <w:rPr>
                <w:rFonts w:ascii="Arial" w:cs="Arial" w:eastAsia="Arial" w:hAnsi="Arial"/>
                <w:sz w:val="16"/>
                <w:szCs w:val="16"/>
                <w:color w:val="auto"/>
              </w:rPr>
              <w:t>83,251</w:t>
            </w:r>
          </w:p>
        </w:tc>
        <w:tc>
          <w:tcPr>
            <w:tcW w:w="12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7747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7747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2022 is (0.9)% (2021: (0.2)%; 2020:0.3%).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profit incurred by the Dutch fiscal unity, losses previously not recognized are used, for which a recognition effect is considered.</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losses carry forward losses of the Dutch fiscal unity that are lower than estimated in the previous year. The Company did not recognize the tax benefit of the losses incurred in previous years.</w:t>
      </w:r>
    </w:p>
    <w:p>
      <w:pPr>
        <w:spacing w:after="0" w:line="18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Group has tax loss carry-forwards as of December 31, 2022 of approximately €182.3 million (2021: €95.7 million; 2020: €43.3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 million). Under Swiss law, losses can be offset against future income or capital gains for seven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b w:val="1"/>
                <w:bCs w:val="1"/>
                <w:color w:val="auto"/>
                <w:w w:val="96"/>
              </w:rPr>
              <w:t>Switzerland</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tcPr>
          <w:p>
            <w:pPr>
              <w:jc w:val="center"/>
              <w:ind w:left="357"/>
              <w:spacing w:after="0"/>
              <w:rPr>
                <w:sz w:val="20"/>
                <w:szCs w:val="20"/>
                <w:color w:val="auto"/>
              </w:rPr>
            </w:pPr>
            <w:r>
              <w:rPr>
                <w:rFonts w:ascii="Arial" w:cs="Arial" w:eastAsia="Arial" w:hAnsi="Arial"/>
                <w:sz w:val="13"/>
                <w:szCs w:val="13"/>
                <w:b w:val="1"/>
                <w:bCs w:val="1"/>
                <w:color w:val="auto"/>
                <w:w w:val="95"/>
              </w:rPr>
              <w:t>Netherlands</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Tax losses</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Year</w:t>
            </w:r>
          </w:p>
        </w:tc>
        <w:tc>
          <w:tcPr>
            <w:tcW w:w="1240" w:type="dxa"/>
            <w:vAlign w:val="bottom"/>
          </w:tcPr>
          <w:p>
            <w:pPr>
              <w:jc w:val="center"/>
              <w:ind w:left="417"/>
              <w:spacing w:after="0" w:line="142" w:lineRule="exact"/>
              <w:rPr>
                <w:sz w:val="20"/>
                <w:szCs w:val="20"/>
                <w:color w:val="auto"/>
              </w:rPr>
            </w:pPr>
            <w:r>
              <w:rPr>
                <w:rFonts w:ascii="Arial" w:cs="Arial" w:eastAsia="Arial" w:hAnsi="Arial"/>
                <w:sz w:val="13"/>
                <w:szCs w:val="13"/>
                <w:b w:val="1"/>
                <w:bCs w:val="1"/>
                <w:color w:val="auto"/>
                <w:w w:val="98"/>
              </w:rPr>
              <w:t>€ million</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left="337"/>
              <w:spacing w:after="0" w:line="142" w:lineRule="exact"/>
              <w:rPr>
                <w:sz w:val="20"/>
                <w:szCs w:val="20"/>
                <w:color w:val="auto"/>
              </w:rPr>
            </w:pPr>
            <w:r>
              <w:rPr>
                <w:rFonts w:ascii="Arial" w:cs="Arial" w:eastAsia="Arial" w:hAnsi="Arial"/>
                <w:sz w:val="13"/>
                <w:szCs w:val="13"/>
                <w:b w:val="1"/>
                <w:bCs w:val="1"/>
                <w:color w:val="auto"/>
                <w:w w:val="94"/>
              </w:rPr>
              <w:t>€ million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right"/>
              <w:ind w:right="531"/>
              <w:spacing w:after="0" w:line="142" w:lineRule="exact"/>
              <w:rPr>
                <w:sz w:val="20"/>
                <w:szCs w:val="20"/>
                <w:color w:val="auto"/>
              </w:rPr>
            </w:pPr>
            <w:r>
              <w:rPr>
                <w:rFonts w:ascii="Arial" w:cs="Arial" w:eastAsia="Arial" w:hAnsi="Arial"/>
                <w:sz w:val="13"/>
                <w:szCs w:val="13"/>
                <w:b w:val="1"/>
                <w:bCs w:val="1"/>
                <w:color w:val="auto"/>
              </w:rPr>
              <w:t>€ million</w:t>
            </w:r>
          </w:p>
        </w:tc>
        <w:tc>
          <w:tcPr>
            <w:tcW w:w="1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2027</w:t>
            </w: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31.3</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7"/>
                <w:szCs w:val="17"/>
                <w:color w:val="auto"/>
              </w:rPr>
            </w:pPr>
          </w:p>
        </w:tc>
      </w:tr>
      <w:tr>
        <w:trPr>
          <w:trHeight w:val="219"/>
        </w:trPr>
        <w:tc>
          <w:tcPr>
            <w:tcW w:w="54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40" w:type="dxa"/>
            <w:vAlign w:val="bottom"/>
            <w:shd w:val="clear" w:color="auto" w:fill="CFF0FC"/>
          </w:tcPr>
          <w:p>
            <w:pPr>
              <w:spacing w:after="0"/>
              <w:rPr>
                <w:sz w:val="19"/>
                <w:szCs w:val="19"/>
                <w:color w:val="auto"/>
              </w:rPr>
            </w:pPr>
          </w:p>
        </w:tc>
      </w:tr>
      <w:tr>
        <w:trPr>
          <w:trHeight w:val="21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2029</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78.6</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78.6</w:t>
            </w:r>
          </w:p>
        </w:tc>
        <w:tc>
          <w:tcPr>
            <w:tcW w:w="140" w:type="dxa"/>
            <w:vAlign w:val="bottom"/>
          </w:tcPr>
          <w:p>
            <w:pPr>
              <w:spacing w:after="0"/>
              <w:rPr>
                <w:sz w:val="18"/>
                <w:szCs w:val="18"/>
                <w:color w:val="auto"/>
              </w:rPr>
            </w:pPr>
          </w:p>
        </w:tc>
      </w:tr>
      <w:tr>
        <w:trPr>
          <w:trHeight w:val="216"/>
        </w:trPr>
        <w:tc>
          <w:tcPr>
            <w:tcW w:w="54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Unlimited</w:t>
            </w:r>
          </w:p>
        </w:tc>
        <w:tc>
          <w:tcPr>
            <w:tcW w:w="12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Total carry-forward losses</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167.4</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14.9</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182.3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-170815</wp:posOffset>
            </wp:positionV>
            <wp:extent cx="85725"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939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21" w:lineRule="exact"/>
        <w:rPr>
          <w:sz w:val="20"/>
          <w:szCs w:val="20"/>
          <w:color w:val="auto"/>
        </w:rPr>
      </w:pPr>
    </w:p>
    <w:p>
      <w:pPr>
        <w:ind w:right="440"/>
        <w:spacing w:after="0" w:line="27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6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75"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R&amp;D</w:t>
            </w: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4"/>
              </w:rPr>
              <w:t>Fixed</w:t>
            </w: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Non-current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provisions</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60" w:type="dxa"/>
            <w:vAlign w:val="bottom"/>
            <w:gridSpan w:val="2"/>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shd w:val="clear" w:color="auto" w:fill="CFF0FC"/>
          </w:tcPr>
          <w:p>
            <w:pPr>
              <w:jc w:val="center"/>
              <w:ind w:right="280"/>
              <w:spacing w:after="0"/>
              <w:rPr>
                <w:sz w:val="20"/>
                <w:szCs w:val="20"/>
                <w:color w:val="auto"/>
              </w:rPr>
            </w:pPr>
            <w:r>
              <w:rPr>
                <w:rFonts w:ascii="Arial" w:cs="Arial" w:eastAsia="Arial" w:hAnsi="Arial"/>
                <w:sz w:val="13"/>
                <w:szCs w:val="13"/>
                <w:color w:val="auto"/>
                <w:w w:val="82"/>
              </w:rPr>
              <w:t>€</w:t>
            </w:r>
          </w:p>
        </w:tc>
        <w:tc>
          <w:tcPr>
            <w:tcW w:w="1420" w:type="dxa"/>
            <w:vAlign w:val="bottom"/>
            <w:gridSpan w:val="3"/>
            <w:shd w:val="clear" w:color="auto" w:fill="CFF0FC"/>
          </w:tcPr>
          <w:p>
            <w:pPr>
              <w:jc w:val="center"/>
              <w:ind w:right="26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FF0FC"/>
          </w:tcPr>
          <w:p>
            <w:pPr>
              <w:jc w:val="center"/>
              <w:ind w:right="2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6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140" w:type="dxa"/>
            <w:vAlign w:val="bottom"/>
          </w:tcPr>
          <w:p>
            <w:pPr>
              <w:jc w:val="right"/>
              <w:spacing w:after="0"/>
              <w:rPr>
                <w:sz w:val="20"/>
                <w:szCs w:val="20"/>
                <w:color w:val="auto"/>
              </w:rPr>
            </w:pPr>
            <w:r>
              <w:rPr>
                <w:rFonts w:ascii="Arial" w:cs="Arial" w:eastAsia="Arial" w:hAnsi="Arial"/>
                <w:sz w:val="16"/>
                <w:szCs w:val="16"/>
                <w:color w:val="auto"/>
              </w:rPr>
              <w:t>1,909,916</w:t>
            </w:r>
          </w:p>
        </w:tc>
        <w:tc>
          <w:tcPr>
            <w:tcW w:w="28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238,508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2,148,424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(117,534 )</w:t>
            </w:r>
          </w:p>
        </w:tc>
        <w:tc>
          <w:tcPr>
            <w:tcW w:w="14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49,354</w:t>
            </w:r>
          </w:p>
        </w:tc>
        <w:tc>
          <w:tcPr>
            <w:tcW w:w="2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(68,180 )</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At December 31, 2022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1,792,382</w:t>
            </w:r>
          </w:p>
        </w:tc>
        <w:tc>
          <w:tcPr>
            <w:tcW w:w="28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301,852</w:t>
            </w:r>
          </w:p>
        </w:tc>
        <w:tc>
          <w:tcPr>
            <w:tcW w:w="26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2,094,234</w:t>
            </w: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(66,456 )</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(1,909,916 )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(1,976,372 )</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28,972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117,534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146,506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(4,564 )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(4,564 )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6"/>
                <w:szCs w:val="16"/>
                <w:color w:val="auto"/>
              </w:rPr>
              <w:t>At December 31, 2022</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(42,048 )</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(1,792,382 )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(1,834,430 )</w:t>
            </w:r>
          </w:p>
        </w:tc>
        <w:tc>
          <w:tcPr>
            <w:tcW w:w="0" w:type="dxa"/>
            <w:vAlign w:val="bottom"/>
          </w:tcPr>
          <w:p>
            <w:pPr>
              <w:spacing w:after="0"/>
              <w:rPr>
                <w:sz w:val="1"/>
                <w:szCs w:val="1"/>
                <w:color w:val="auto"/>
              </w:rPr>
            </w:pPr>
          </w:p>
        </w:tc>
      </w:tr>
      <w:tr>
        <w:trPr>
          <w:trHeight w:val="25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2022</w:t>
            </w:r>
          </w:p>
        </w:tc>
        <w:tc>
          <w:tcPr>
            <w:tcW w:w="114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259,804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-1156335</wp:posOffset>
            </wp:positionV>
            <wp:extent cx="85725"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-1156335</wp:posOffset>
            </wp:positionV>
            <wp:extent cx="85725"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-1156335</wp:posOffset>
            </wp:positionV>
            <wp:extent cx="85725"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-316230</wp:posOffset>
            </wp:positionV>
            <wp:extent cx="85725"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85725"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wp:posOffset>
            </wp:positionV>
            <wp:extent cx="8572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-316230</wp:posOffset>
            </wp:positionV>
            <wp:extent cx="85725"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total unrecognized deferred tax assets from temporary differences amounts to €8.7 million (2021:€23.8 million; 2020:€0.9 million).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71"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Notes</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4"/>
                <w:szCs w:val="14"/>
                <w:color w:val="auto"/>
              </w:rPr>
            </w:pPr>
          </w:p>
        </w:tc>
      </w:tr>
      <w:tr>
        <w:trPr>
          <w:trHeight w:val="156"/>
        </w:trPr>
        <w:tc>
          <w:tcPr>
            <w:tcW w:w="630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book value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09"/>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48,503</w:t>
            </w:r>
          </w:p>
        </w:tc>
        <w:tc>
          <w:tcPr>
            <w:tcW w:w="120" w:type="dxa"/>
            <w:vAlign w:val="bottom"/>
            <w:shd w:val="clear" w:color="auto" w:fill="CFF0FC"/>
          </w:tcPr>
          <w:p>
            <w:pPr>
              <w:spacing w:after="0"/>
              <w:rPr>
                <w:sz w:val="18"/>
                <w:szCs w:val="18"/>
                <w:color w:val="auto"/>
              </w:rPr>
            </w:pPr>
          </w:p>
        </w:tc>
      </w:tr>
      <w:tr>
        <w:trPr>
          <w:trHeight w:val="213"/>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124,296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78,251</w:t>
            </w:r>
          </w:p>
        </w:tc>
        <w:tc>
          <w:tcPr>
            <w:tcW w:w="120" w:type="dxa"/>
            <w:vAlign w:val="bottom"/>
          </w:tcPr>
          <w:p>
            <w:pPr>
              <w:spacing w:after="0"/>
              <w:rPr>
                <w:sz w:val="18"/>
                <w:szCs w:val="18"/>
                <w:color w:val="auto"/>
              </w:rPr>
            </w:pPr>
          </w:p>
        </w:tc>
      </w:tr>
      <w:tr>
        <w:trPr>
          <w:trHeight w:val="219"/>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Depreciation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(38,920 )</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(18,656 )</w:t>
            </w:r>
          </w:p>
        </w:tc>
      </w:tr>
      <w:tr>
        <w:trPr>
          <w:trHeight w:val="210"/>
        </w:trPr>
        <w:tc>
          <w:tcPr>
            <w:tcW w:w="630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color w:val="auto"/>
              </w:rPr>
              <w:t>As of December 31,</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193,474</w:t>
            </w: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108,098</w:t>
            </w:r>
          </w:p>
        </w:tc>
        <w:tc>
          <w:tcPr>
            <w:tcW w:w="120" w:type="dxa"/>
            <w:vAlign w:val="bottom"/>
            <w:tcBorders>
              <w:top w:val="single" w:sz="8" w:color="CFF0FC"/>
            </w:tcBorders>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left="143"/>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24"/>
                <w:szCs w:val="24"/>
                <w:color w:val="auto"/>
              </w:rPr>
            </w:pPr>
          </w:p>
        </w:tc>
      </w:tr>
      <w:tr>
        <w:trPr>
          <w:trHeight w:val="155"/>
        </w:trPr>
        <w:tc>
          <w:tcPr>
            <w:tcW w:w="6300" w:type="dxa"/>
            <w:vAlign w:val="bottom"/>
            <w:gridSpan w:val="2"/>
          </w:tcPr>
          <w:p>
            <w:pPr>
              <w:ind w:left="20"/>
              <w:spacing w:after="0"/>
              <w:rPr>
                <w:sz w:val="20"/>
                <w:szCs w:val="20"/>
                <w:color w:val="auto"/>
              </w:rPr>
            </w:pPr>
            <w:r>
              <w:rPr>
                <w:rFonts w:ascii="Arial" w:cs="Arial" w:eastAsia="Arial" w:hAnsi="Arial"/>
                <w:sz w:val="13"/>
                <w:szCs w:val="13"/>
                <w:b w:val="1"/>
                <w:bCs w:val="1"/>
                <w:color w:val="auto"/>
              </w:rPr>
              <w:t>Cumulative depreciation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(26,606 )</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(7,950 )</w:t>
            </w: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(38,920 )</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(18,656 )</w:t>
            </w:r>
          </w:p>
        </w:tc>
      </w:tr>
      <w:tr>
        <w:trPr>
          <w:trHeight w:val="20"/>
        </w:trPr>
        <w:tc>
          <w:tcPr>
            <w:tcW w:w="6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 of December 31,</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(65,526 )</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(26,606 )</w:t>
            </w:r>
          </w:p>
        </w:tc>
      </w:tr>
      <w:tr>
        <w:trPr>
          <w:trHeight w:val="358"/>
        </w:trPr>
        <w:tc>
          <w:tcPr>
            <w:tcW w:w="570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Borders>
              <w:top w:val="single" w:sz="8" w:color="CFF0FC"/>
            </w:tcBorders>
          </w:tcPr>
          <w:p>
            <w:pPr>
              <w:spacing w:after="0"/>
              <w:rPr>
                <w:sz w:val="24"/>
                <w:szCs w:val="24"/>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Borders>
              <w:top w:val="single" w:sz="8" w:color="CFF0FC"/>
            </w:tcBorders>
          </w:tcPr>
          <w:p>
            <w:pPr>
              <w:spacing w:after="0"/>
              <w:rPr>
                <w:sz w:val="24"/>
                <w:szCs w:val="24"/>
                <w:color w:val="auto"/>
              </w:rPr>
            </w:pPr>
          </w:p>
        </w:tc>
      </w:tr>
      <w:tr>
        <w:trPr>
          <w:trHeight w:val="156"/>
        </w:trPr>
        <w:tc>
          <w:tcPr>
            <w:tcW w:w="6300" w:type="dxa"/>
            <w:vAlign w:val="bottom"/>
            <w:gridSpan w:val="2"/>
          </w:tcPr>
          <w:p>
            <w:pPr>
              <w:ind w:left="20"/>
              <w:spacing w:after="0"/>
              <w:rPr>
                <w:sz w:val="20"/>
                <w:szCs w:val="20"/>
                <w:color w:val="auto"/>
              </w:rPr>
            </w:pPr>
            <w:r>
              <w:rPr>
                <w:rFonts w:ascii="Arial" w:cs="Arial" w:eastAsia="Arial" w:hAnsi="Arial"/>
                <w:sz w:val="13"/>
                <w:szCs w:val="13"/>
                <w:b w:val="1"/>
                <w:bCs w:val="1"/>
                <w:color w:val="auto"/>
              </w:rPr>
              <w:t>Cumulative Costs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09"/>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56,453</w:t>
            </w:r>
          </w:p>
        </w:tc>
        <w:tc>
          <w:tcPr>
            <w:tcW w:w="120" w:type="dxa"/>
            <w:vAlign w:val="bottom"/>
            <w:shd w:val="clear" w:color="auto" w:fill="CFF0FC"/>
          </w:tcPr>
          <w:p>
            <w:pPr>
              <w:spacing w:after="0"/>
              <w:rPr>
                <w:sz w:val="18"/>
                <w:szCs w:val="18"/>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124,296</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78,251</w:t>
            </w:r>
          </w:p>
        </w:tc>
        <w:tc>
          <w:tcPr>
            <w:tcW w:w="120" w:type="dxa"/>
            <w:vAlign w:val="bottom"/>
          </w:tcPr>
          <w:p>
            <w:pPr>
              <w:spacing w:after="0"/>
              <w:rPr>
                <w:sz w:val="18"/>
                <w:szCs w:val="18"/>
                <w:color w:val="auto"/>
              </w:rPr>
            </w:pPr>
          </w:p>
        </w:tc>
      </w:tr>
      <w:tr>
        <w:trPr>
          <w:trHeight w:val="250"/>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259,000</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-1782445</wp:posOffset>
            </wp:positionV>
            <wp:extent cx="68580" cy="5314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5314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-1782445</wp:posOffset>
            </wp:positionV>
            <wp:extent cx="77470" cy="5314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5314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-831215</wp:posOffset>
            </wp:positionV>
            <wp:extent cx="814705" cy="3860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4705" cy="38608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2"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During 2022, the Group acquired assets with a cost of €124,296 (2021:€78,251). The investments in property, plant and equipment, relate to equipment, tools and installations.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gridSpan w:val="3"/>
          </w:tcPr>
          <w:p>
            <w:pPr>
              <w:jc w:val="center"/>
              <w:ind w:left="6731"/>
              <w:spacing w:after="0"/>
              <w:rPr>
                <w:sz w:val="20"/>
                <w:szCs w:val="20"/>
                <w:color w:val="auto"/>
              </w:rPr>
            </w:pPr>
            <w:r>
              <w:rPr>
                <w:rFonts w:ascii="Arial" w:cs="Arial" w:eastAsia="Arial" w:hAnsi="Arial"/>
                <w:sz w:val="13"/>
                <w:szCs w:val="13"/>
                <w:b w:val="1"/>
                <w:bCs w:val="1"/>
                <w:color w:val="auto"/>
                <w:w w:val="96"/>
              </w:rPr>
              <w:t>2022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660" w:type="dxa"/>
            <w:vAlign w:val="bottom"/>
          </w:tcPr>
          <w:p>
            <w:pPr>
              <w:jc w:val="right"/>
              <w:spacing w:after="0"/>
              <w:rPr>
                <w:sz w:val="20"/>
                <w:szCs w:val="20"/>
                <w:color w:val="auto"/>
              </w:rPr>
            </w:pPr>
            <w:r>
              <w:rPr>
                <w:rFonts w:ascii="Arial" w:cs="Arial" w:eastAsia="Arial" w:hAnsi="Arial"/>
                <w:sz w:val="16"/>
                <w:szCs w:val="16"/>
                <w:color w:val="auto"/>
              </w:rPr>
              <w:t>303,734</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301,965</w:t>
            </w:r>
          </w:p>
        </w:tc>
        <w:tc>
          <w:tcPr>
            <w:tcW w:w="1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Depreciation charges</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(114,020 )</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(58,715 )</w:t>
            </w:r>
          </w:p>
        </w:tc>
      </w:tr>
      <w:tr>
        <w:trPr>
          <w:trHeight w:val="213"/>
        </w:trPr>
        <w:tc>
          <w:tcPr>
            <w:tcW w:w="17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432,965</w:t>
            </w:r>
          </w:p>
        </w:tc>
        <w:tc>
          <w:tcPr>
            <w:tcW w:w="1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243,251</w:t>
            </w:r>
          </w:p>
        </w:tc>
        <w:tc>
          <w:tcPr>
            <w:tcW w:w="120" w:type="dxa"/>
            <w:vAlign w:val="bottom"/>
          </w:tcPr>
          <w:p>
            <w:pPr>
              <w:spacing w:after="0"/>
              <w:rPr>
                <w:sz w:val="18"/>
                <w:szCs w:val="18"/>
                <w:color w:val="auto"/>
              </w:rPr>
            </w:pPr>
          </w:p>
        </w:tc>
      </w:tr>
      <w:tr>
        <w:trPr>
          <w:trHeight w:val="20"/>
        </w:trPr>
        <w:tc>
          <w:tcPr>
            <w:tcW w:w="614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7"/>
        </w:trPr>
        <w:tc>
          <w:tcPr>
            <w:tcW w:w="7080" w:type="dxa"/>
            <w:vAlign w:val="bottom"/>
            <w:gridSpan w:val="3"/>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080" w:type="dxa"/>
            <w:vAlign w:val="bottom"/>
            <w:gridSpan w:val="3"/>
          </w:tcPr>
          <w:p>
            <w:pPr>
              <w:jc w:val="center"/>
              <w:ind w:left="6731"/>
              <w:spacing w:after="0"/>
              <w:rPr>
                <w:sz w:val="20"/>
                <w:szCs w:val="20"/>
                <w:color w:val="auto"/>
              </w:rPr>
            </w:pPr>
            <w:r>
              <w:rPr>
                <w:rFonts w:ascii="Arial" w:cs="Arial" w:eastAsia="Arial" w:hAnsi="Arial"/>
                <w:sz w:val="13"/>
                <w:szCs w:val="13"/>
                <w:b w:val="1"/>
                <w:bCs w:val="1"/>
                <w:color w:val="auto"/>
                <w:w w:val="96"/>
              </w:rPr>
              <w:t>2022</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Office leases</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(436,822 )</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(250,184 )</w:t>
            </w:r>
          </w:p>
        </w:tc>
      </w:tr>
      <w:tr>
        <w:trPr>
          <w:trHeight w:val="213"/>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6"/>
                <w:szCs w:val="16"/>
                <w:color w:val="auto"/>
              </w:rPr>
              <w:t>Total lease liability</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(436,822 )</w:t>
            </w: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(250,184 )</w:t>
            </w:r>
          </w:p>
        </w:tc>
      </w:tr>
      <w:tr>
        <w:trPr>
          <w:trHeight w:val="219"/>
        </w:trPr>
        <w:tc>
          <w:tcPr>
            <w:tcW w:w="170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95"/>
              </w:rPr>
              <w:t>(187,404 )</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(99,432 )</w:t>
            </w:r>
          </w:p>
        </w:tc>
      </w:tr>
      <w:tr>
        <w:trPr>
          <w:trHeight w:val="20"/>
        </w:trPr>
        <w:tc>
          <w:tcPr>
            <w:tcW w:w="170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9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5"/>
              </w:rPr>
              <w:t>(249,418 )</w:t>
            </w:r>
          </w:p>
        </w:tc>
        <w:tc>
          <w:tcPr>
            <w:tcW w:w="17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(150,752 )</w:t>
            </w:r>
          </w:p>
        </w:tc>
      </w:tr>
      <w:tr>
        <w:trPr>
          <w:trHeight w:val="20"/>
        </w:trPr>
        <w:tc>
          <w:tcPr>
            <w:tcW w:w="1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-153670</wp:posOffset>
            </wp:positionV>
            <wp:extent cx="6858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-153670</wp:posOffset>
            </wp:positionV>
            <wp:extent cx="6858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2022:</w:t>
      </w:r>
    </w:p>
    <w:p>
      <w:pPr>
        <w:sectPr>
          <w:pgSz w:w="11900" w:h="16838" w:orient="portrait"/>
          <w:cols w:equalWidth="0" w:num="1">
            <w:col w:w="11240"/>
          </w:cols>
          <w:pgMar w:left="320" w:top="121" w:right="339" w:bottom="1016"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16"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34" w:lineRule="exact"/>
        <w:rPr>
          <w:sz w:val="20"/>
          <w:szCs w:val="20"/>
          <w:color w:val="auto"/>
        </w:rPr>
      </w:pPr>
    </w:p>
    <w:tbl>
      <w:tblPr>
        <w:tblLayout w:type="fixed"/>
        <w:tblInd w:w="2320" w:type="dxa"/>
        <w:tblCellMar>
          <w:top w:w="0" w:type="dxa"/>
          <w:left w:w="0" w:type="dxa"/>
          <w:bottom w:w="0" w:type="dxa"/>
          <w:right w:w="0" w:type="dxa"/>
        </w:tblCellMar>
      </w:tblPr>
      <w:tr>
        <w:trPr>
          <w:trHeight w:val="221"/>
        </w:trPr>
        <w:tc>
          <w:tcPr>
            <w:tcW w:w="458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Leases</w:t>
            </w:r>
          </w:p>
        </w:tc>
      </w:tr>
      <w:tr>
        <w:trPr>
          <w:trHeight w:val="216"/>
        </w:trPr>
        <w:tc>
          <w:tcPr>
            <w:tcW w:w="4580" w:type="dxa"/>
            <w:vAlign w:val="bottom"/>
            <w:shd w:val="clear" w:color="auto" w:fill="CFF0FF"/>
          </w:tcPr>
          <w:p>
            <w:pPr>
              <w:ind w:left="3840"/>
              <w:spacing w:after="0"/>
              <w:rPr>
                <w:sz w:val="20"/>
                <w:szCs w:val="20"/>
                <w:color w:val="auto"/>
              </w:rPr>
            </w:pPr>
            <w:r>
              <w:rPr>
                <w:rFonts w:ascii="Arial" w:cs="Arial" w:eastAsia="Arial" w:hAnsi="Arial"/>
                <w:sz w:val="16"/>
                <w:szCs w:val="16"/>
                <w:color w:val="auto"/>
              </w:rPr>
              <w:t>2023</w:t>
            </w:r>
          </w:p>
        </w:tc>
        <w:tc>
          <w:tcPr>
            <w:tcW w:w="1960" w:type="dxa"/>
            <w:vAlign w:val="bottom"/>
            <w:shd w:val="clear" w:color="auto" w:fill="CFF0FF"/>
          </w:tcPr>
          <w:p>
            <w:pPr>
              <w:jc w:val="right"/>
              <w:spacing w:after="0"/>
              <w:rPr>
                <w:sz w:val="20"/>
                <w:szCs w:val="20"/>
                <w:color w:val="auto"/>
              </w:rPr>
            </w:pPr>
            <w:r>
              <w:rPr>
                <w:rFonts w:ascii="Arial" w:cs="Arial" w:eastAsia="Arial" w:hAnsi="Arial"/>
                <w:sz w:val="16"/>
                <w:szCs w:val="16"/>
                <w:color w:val="auto"/>
              </w:rPr>
              <w:t>221,651</w:t>
            </w:r>
          </w:p>
        </w:tc>
        <w:tc>
          <w:tcPr>
            <w:tcW w:w="80" w:type="dxa"/>
            <w:vAlign w:val="bottom"/>
            <w:shd w:val="clear" w:color="auto" w:fill="CFF0FF"/>
          </w:tcPr>
          <w:p>
            <w:pPr>
              <w:spacing w:after="0"/>
              <w:rPr>
                <w:sz w:val="18"/>
                <w:szCs w:val="18"/>
                <w:color w:val="auto"/>
              </w:rPr>
            </w:pPr>
          </w:p>
        </w:tc>
      </w:tr>
      <w:tr>
        <w:trPr>
          <w:trHeight w:val="213"/>
        </w:trPr>
        <w:tc>
          <w:tcPr>
            <w:tcW w:w="4580" w:type="dxa"/>
            <w:vAlign w:val="bottom"/>
          </w:tcPr>
          <w:p>
            <w:pPr>
              <w:ind w:left="3840"/>
              <w:spacing w:after="0"/>
              <w:rPr>
                <w:sz w:val="20"/>
                <w:szCs w:val="20"/>
                <w:color w:val="auto"/>
              </w:rPr>
            </w:pPr>
            <w:r>
              <w:rPr>
                <w:rFonts w:ascii="Arial" w:cs="Arial" w:eastAsia="Arial" w:hAnsi="Arial"/>
                <w:sz w:val="16"/>
                <w:szCs w:val="16"/>
                <w:color w:val="auto"/>
              </w:rPr>
              <w:t>2024</w:t>
            </w:r>
          </w:p>
        </w:tc>
        <w:tc>
          <w:tcPr>
            <w:tcW w:w="1960" w:type="dxa"/>
            <w:vAlign w:val="bottom"/>
          </w:tcPr>
          <w:p>
            <w:pPr>
              <w:jc w:val="right"/>
              <w:spacing w:after="0"/>
              <w:rPr>
                <w:sz w:val="20"/>
                <w:szCs w:val="20"/>
                <w:color w:val="auto"/>
              </w:rPr>
            </w:pPr>
            <w:r>
              <w:rPr>
                <w:rFonts w:ascii="Arial" w:cs="Arial" w:eastAsia="Arial" w:hAnsi="Arial"/>
                <w:sz w:val="16"/>
                <w:szCs w:val="16"/>
                <w:color w:val="auto"/>
              </w:rPr>
              <w:t>160,576</w:t>
            </w:r>
          </w:p>
        </w:tc>
        <w:tc>
          <w:tcPr>
            <w:tcW w:w="80" w:type="dxa"/>
            <w:vAlign w:val="bottom"/>
          </w:tcPr>
          <w:p>
            <w:pPr>
              <w:spacing w:after="0"/>
              <w:rPr>
                <w:sz w:val="18"/>
                <w:szCs w:val="18"/>
                <w:color w:val="auto"/>
              </w:rPr>
            </w:pPr>
          </w:p>
        </w:tc>
      </w:tr>
      <w:tr>
        <w:trPr>
          <w:trHeight w:val="219"/>
        </w:trPr>
        <w:tc>
          <w:tcPr>
            <w:tcW w:w="4580" w:type="dxa"/>
            <w:vAlign w:val="bottom"/>
            <w:shd w:val="clear" w:color="auto" w:fill="CFF0FF"/>
          </w:tcPr>
          <w:p>
            <w:pPr>
              <w:ind w:left="3840"/>
              <w:spacing w:after="0"/>
              <w:rPr>
                <w:sz w:val="20"/>
                <w:szCs w:val="20"/>
                <w:color w:val="auto"/>
              </w:rPr>
            </w:pPr>
            <w:r>
              <w:rPr>
                <w:rFonts w:ascii="Arial" w:cs="Arial" w:eastAsia="Arial" w:hAnsi="Arial"/>
                <w:sz w:val="16"/>
                <w:szCs w:val="16"/>
                <w:color w:val="auto"/>
              </w:rPr>
              <w:t>2025</w:t>
            </w:r>
          </w:p>
        </w:tc>
        <w:tc>
          <w:tcPr>
            <w:tcW w:w="1960" w:type="dxa"/>
            <w:vAlign w:val="bottom"/>
            <w:shd w:val="clear" w:color="auto" w:fill="CFF0FF"/>
          </w:tcPr>
          <w:p>
            <w:pPr>
              <w:jc w:val="right"/>
              <w:spacing w:after="0"/>
              <w:rPr>
                <w:sz w:val="20"/>
                <w:szCs w:val="20"/>
                <w:color w:val="auto"/>
              </w:rPr>
            </w:pPr>
            <w:r>
              <w:rPr>
                <w:rFonts w:ascii="Arial" w:cs="Arial" w:eastAsia="Arial" w:hAnsi="Arial"/>
                <w:sz w:val="16"/>
                <w:szCs w:val="16"/>
                <w:color w:val="auto"/>
              </w:rPr>
              <w:t>96,228</w:t>
            </w:r>
          </w:p>
        </w:tc>
        <w:tc>
          <w:tcPr>
            <w:tcW w:w="80" w:type="dxa"/>
            <w:vAlign w:val="bottom"/>
            <w:shd w:val="clear" w:color="auto" w:fill="CFF0FF"/>
          </w:tcPr>
          <w:p>
            <w:pPr>
              <w:spacing w:after="0"/>
              <w:rPr>
                <w:sz w:val="19"/>
                <w:szCs w:val="19"/>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Thereafter</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4580" w:type="dxa"/>
            <w:vAlign w:val="bottom"/>
            <w:shd w:val="clear" w:color="auto" w:fill="CFF0FF"/>
          </w:tcPr>
          <w:p>
            <w:pPr>
              <w:spacing w:after="0"/>
              <w:rPr>
                <w:sz w:val="20"/>
                <w:szCs w:val="20"/>
                <w:color w:val="auto"/>
              </w:rPr>
            </w:pPr>
            <w:r>
              <w:rPr>
                <w:rFonts w:ascii="Arial" w:cs="Arial" w:eastAsia="Arial" w:hAnsi="Arial"/>
                <w:sz w:val="16"/>
                <w:szCs w:val="16"/>
                <w:color w:val="auto"/>
              </w:rPr>
              <w:t>Total lease payments</w:t>
            </w:r>
          </w:p>
        </w:tc>
        <w:tc>
          <w:tcPr>
            <w:tcW w:w="1960" w:type="dxa"/>
            <w:vAlign w:val="bottom"/>
            <w:shd w:val="clear" w:color="auto" w:fill="CFF0FF"/>
          </w:tcPr>
          <w:p>
            <w:pPr>
              <w:jc w:val="right"/>
              <w:spacing w:after="0"/>
              <w:rPr>
                <w:sz w:val="20"/>
                <w:szCs w:val="20"/>
                <w:color w:val="auto"/>
              </w:rPr>
            </w:pPr>
            <w:r>
              <w:rPr>
                <w:rFonts w:ascii="Arial" w:cs="Arial" w:eastAsia="Arial" w:hAnsi="Arial"/>
                <w:sz w:val="16"/>
                <w:szCs w:val="16"/>
                <w:color w:val="auto"/>
              </w:rPr>
              <w:t>478,455</w:t>
            </w:r>
          </w:p>
        </w:tc>
        <w:tc>
          <w:tcPr>
            <w:tcW w:w="80" w:type="dxa"/>
            <w:vAlign w:val="bottom"/>
            <w:shd w:val="clear" w:color="auto" w:fill="CFF0FF"/>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Less: imputed interest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41,633</w:t>
            </w:r>
          </w:p>
        </w:tc>
        <w:tc>
          <w:tcPr>
            <w:tcW w:w="80" w:type="dxa"/>
            <w:vAlign w:val="bottom"/>
          </w:tcPr>
          <w:p>
            <w:pPr>
              <w:spacing w:after="0"/>
              <w:rPr>
                <w:sz w:val="18"/>
                <w:szCs w:val="18"/>
                <w:color w:val="auto"/>
              </w:rPr>
            </w:pPr>
          </w:p>
        </w:tc>
      </w:tr>
      <w:tr>
        <w:trPr>
          <w:trHeight w:val="209"/>
        </w:trPr>
        <w:tc>
          <w:tcPr>
            <w:tcW w:w="4580" w:type="dxa"/>
            <w:vAlign w:val="bottom"/>
            <w:shd w:val="clear" w:color="auto" w:fill="CFF0FF"/>
          </w:tcPr>
          <w:p>
            <w:pPr>
              <w:spacing w:after="0"/>
              <w:rPr>
                <w:sz w:val="20"/>
                <w:szCs w:val="20"/>
                <w:color w:val="auto"/>
              </w:rPr>
            </w:pPr>
            <w:r>
              <w:rPr>
                <w:rFonts w:ascii="Arial" w:cs="Arial" w:eastAsia="Arial" w:hAnsi="Arial"/>
                <w:sz w:val="16"/>
                <w:szCs w:val="16"/>
                <w:color w:val="auto"/>
              </w:rPr>
              <w:t>Total lease liabilities</w:t>
            </w:r>
          </w:p>
        </w:tc>
        <w:tc>
          <w:tcPr>
            <w:tcW w:w="1960" w:type="dxa"/>
            <w:vAlign w:val="bottom"/>
            <w:shd w:val="clear" w:color="auto" w:fill="CFF0FF"/>
          </w:tcPr>
          <w:p>
            <w:pPr>
              <w:jc w:val="right"/>
              <w:spacing w:after="0"/>
              <w:rPr>
                <w:sz w:val="20"/>
                <w:szCs w:val="20"/>
                <w:color w:val="auto"/>
              </w:rPr>
            </w:pPr>
            <w:r>
              <w:rPr>
                <w:rFonts w:ascii="Arial" w:cs="Arial" w:eastAsia="Arial" w:hAnsi="Arial"/>
                <w:sz w:val="16"/>
                <w:szCs w:val="16"/>
                <w:color w:val="auto"/>
              </w:rPr>
              <w:t>436,822</w:t>
            </w:r>
          </w:p>
        </w:tc>
        <w:tc>
          <w:tcPr>
            <w:tcW w:w="80" w:type="dxa"/>
            <w:vAlign w:val="bottom"/>
            <w:shd w:val="clear" w:color="auto" w:fill="CFF0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Current lease liabilities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187,404</w:t>
            </w:r>
          </w:p>
        </w:tc>
        <w:tc>
          <w:tcPr>
            <w:tcW w:w="80" w:type="dxa"/>
            <w:vAlign w:val="bottom"/>
          </w:tcPr>
          <w:p>
            <w:pPr>
              <w:spacing w:after="0"/>
              <w:rPr>
                <w:sz w:val="18"/>
                <w:szCs w:val="18"/>
                <w:color w:val="auto"/>
              </w:rPr>
            </w:pPr>
          </w:p>
        </w:tc>
      </w:tr>
      <w:tr>
        <w:trPr>
          <w:trHeight w:val="249"/>
        </w:trPr>
        <w:tc>
          <w:tcPr>
            <w:tcW w:w="4580" w:type="dxa"/>
            <w:vAlign w:val="bottom"/>
            <w:tcBorders>
              <w:bottom w:val="single" w:sz="8" w:color="CFF0FF"/>
            </w:tcBorders>
            <w:shd w:val="clear" w:color="auto" w:fill="CFF0FF"/>
          </w:tcPr>
          <w:p>
            <w:pPr>
              <w:spacing w:after="0"/>
              <w:rPr>
                <w:sz w:val="20"/>
                <w:szCs w:val="20"/>
                <w:color w:val="auto"/>
              </w:rPr>
            </w:pPr>
            <w:r>
              <w:rPr>
                <w:rFonts w:ascii="Arial" w:cs="Arial" w:eastAsia="Arial" w:hAnsi="Arial"/>
                <w:sz w:val="16"/>
                <w:szCs w:val="16"/>
                <w:color w:val="auto"/>
              </w:rPr>
              <w:t>Long-term lease liabilities</w:t>
            </w:r>
          </w:p>
        </w:tc>
        <w:tc>
          <w:tcPr>
            <w:tcW w:w="196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249,418</w:t>
            </w:r>
          </w:p>
        </w:tc>
        <w:tc>
          <w:tcPr>
            <w:tcW w:w="8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-25400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Office leases consists of a lease agreement entered into on June 1, 2021 for office space in Lexington, United States of America, or the U.S., and a lease entered into on December 1, 2022, for offices in Leiden, The Netherlands. Both leases have lease terms of three years and were assessed as being long-term.</w:t>
      </w:r>
    </w:p>
    <w:p>
      <w:pPr>
        <w:spacing w:after="0" w:line="18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average incremental borrowing rate applied to the lease liabilities was 7.77% during the twelve months ended December 31, 2022 (December 31, 2021: 2.91%). Depreciation expense of €114,020 and €58,715 for the for the years ended December 31, 2022 and 2021 was incurred and is reflected in general and administrative expenses as determined by the underlying activities.</w:t>
      </w:r>
    </w:p>
    <w:p>
      <w:pPr>
        <w:spacing w:after="0" w:line="196" w:lineRule="exact"/>
        <w:rPr>
          <w:sz w:val="20"/>
          <w:szCs w:val="20"/>
          <w:color w:val="auto"/>
        </w:rPr>
      </w:pPr>
    </w:p>
    <w:p>
      <w:pPr>
        <w:ind w:right="940"/>
        <w:spacing w:after="0" w:line="276" w:lineRule="auto"/>
        <w:rPr>
          <w:sz w:val="20"/>
          <w:szCs w:val="20"/>
          <w:color w:val="auto"/>
        </w:rPr>
      </w:pPr>
      <w:r>
        <w:rPr>
          <w:rFonts w:ascii="Arial" w:cs="Arial" w:eastAsia="Arial" w:hAnsi="Arial"/>
          <w:sz w:val="16"/>
          <w:szCs w:val="16"/>
          <w:color w:val="252525"/>
        </w:rPr>
        <w:t>The total expense related to short-term and low-value leases in 2022 was €333,949 (2021: €275,052; 2020: €119,627) and is included in facility, communication, and office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2022 and 2021 were €119,527 and €57,649, respectively.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48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800" w:type="dxa"/>
            <w:vAlign w:val="bottom"/>
            <w:gridSpan w:val="3"/>
          </w:tcPr>
          <w:p>
            <w:pPr>
              <w:jc w:val="right"/>
              <w:ind w:right="551"/>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Trade receivables</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8,451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VAT receivables</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382,468</w:t>
            </w:r>
          </w:p>
        </w:tc>
        <w:tc>
          <w:tcPr>
            <w:tcW w:w="260" w:type="dxa"/>
            <w:vAlign w:val="bottom"/>
            <w:gridSpan w:val="2"/>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691,628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382,468</w:t>
            </w: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700,079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11. Other current assets</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7780" w:type="dxa"/>
            <w:vAlign w:val="bottom"/>
            <w:gridSpan w:val="2"/>
            <w:vMerge w:val="continue"/>
          </w:tcPr>
          <w:p>
            <w:pPr>
              <w:spacing w:after="0"/>
              <w:rPr>
                <w:sz w:val="24"/>
                <w:szCs w:val="24"/>
                <w:color w:val="auto"/>
              </w:rPr>
            </w:pPr>
          </w:p>
        </w:tc>
        <w:tc>
          <w:tcPr>
            <w:tcW w:w="1440" w:type="dxa"/>
            <w:vAlign w:val="bottom"/>
            <w:vMerge w:val="restart"/>
          </w:tcPr>
          <w:p>
            <w:pPr>
              <w:jc w:val="right"/>
              <w:ind w:right="58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4"/>
                <w:szCs w:val="24"/>
                <w:color w:val="auto"/>
              </w:rPr>
            </w:pPr>
          </w:p>
        </w:tc>
        <w:tc>
          <w:tcPr>
            <w:tcW w:w="1800" w:type="dxa"/>
            <w:vAlign w:val="bottom"/>
            <w:gridSpan w:val="3"/>
            <w:vMerge w:val="restart"/>
          </w:tcPr>
          <w:p>
            <w:pPr>
              <w:jc w:val="right"/>
              <w:ind w:right="591"/>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Prepayments</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4,044,255</w:t>
            </w:r>
          </w:p>
        </w:tc>
        <w:tc>
          <w:tcPr>
            <w:tcW w:w="8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1,507,753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1,513,452</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857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857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4"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Other assets per December 31, 2022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Cash and cash equivalents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1620" w:type="dxa"/>
            <w:vAlign w:val="bottom"/>
          </w:tcPr>
          <w:p>
            <w:pPr>
              <w:jc w:val="right"/>
              <w:ind w:right="588"/>
              <w:spacing w:after="0"/>
              <w:rPr>
                <w:sz w:val="20"/>
                <w:szCs w:val="20"/>
                <w:color w:val="auto"/>
              </w:rPr>
            </w:pPr>
            <w:r>
              <w:rPr>
                <w:rFonts w:ascii="Arial" w:cs="Arial" w:eastAsia="Arial" w:hAnsi="Arial"/>
                <w:sz w:val="13"/>
                <w:szCs w:val="13"/>
                <w:b w:val="1"/>
                <w:bCs w:val="1"/>
                <w:color w:val="auto"/>
              </w:rPr>
              <w:t>2022</w:t>
            </w:r>
          </w:p>
        </w:tc>
        <w:tc>
          <w:tcPr>
            <w:tcW w:w="1880" w:type="dxa"/>
            <w:vAlign w:val="bottom"/>
            <w:gridSpan w:val="3"/>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20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280" w:type="dxa"/>
            <w:vAlign w:val="bottom"/>
            <w:tcBorders>
              <w:bottom w:val="single" w:sz="8" w:color="CFF0FC"/>
            </w:tcBorders>
            <w:gridSpan w:val="2"/>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10"/>
        </w:trPr>
        <w:tc>
          <w:tcPr>
            <w:tcW w:w="76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209,353,132</w:t>
            </w:r>
          </w:p>
        </w:tc>
        <w:tc>
          <w:tcPr>
            <w:tcW w:w="14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-170815</wp:posOffset>
            </wp:positionV>
            <wp:extent cx="85725"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Cash and cash equivalents consist of bank balances and are not subject to any restriction. Of the cash on hand, €65,567 relates to guarantees in 2022 (nil in 2021).</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21"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On December 31, 2022, the Company’s authorized share capital amounted to € 14,100,000 divided into 58,750,000 ordinary shares and 58,750,000 preferred shares, each with a nominal value of (€0.12). As at December 31, 2022, the total number of issued shares was 33,816,459 (2021: 33,151,881; 2020:23,569,276). On December 31, 2022, the issued share capital totaled €4,057,976 (2021: €3,978,227).</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relating to an at-the-market program providing for the sales from time to time of up to $75,000,000 of its ordinary shares pursuant to a Sales Agreement with SVB Securities LLC. During the year ended December 31, 2022, the Company sold a total of 588,100 ordinary shares in two different transactions under the sales agreement generating total net proceeds of $9,698,504 (€9.2 million), after deducting $299,954 (€308,000), which was payable to SVB Securities as commission in respect of such sales.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5"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11"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52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1640" w:type="dxa"/>
            <w:vAlign w:val="bottom"/>
            <w:gridSpan w:val="2"/>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r>
      <w:tr>
        <w:trPr>
          <w:trHeight w:val="183"/>
        </w:trPr>
        <w:tc>
          <w:tcPr>
            <w:tcW w:w="4580" w:type="dxa"/>
            <w:vAlign w:val="bottom"/>
          </w:tcPr>
          <w:p>
            <w:pPr>
              <w:spacing w:after="0"/>
              <w:rPr>
                <w:sz w:val="15"/>
                <w:szCs w:val="15"/>
                <w:color w:val="auto"/>
              </w:rPr>
            </w:pPr>
          </w:p>
        </w:tc>
        <w:tc>
          <w:tcPr>
            <w:tcW w:w="152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5"/>
                <w:szCs w:val="15"/>
                <w:color w:val="auto"/>
              </w:rPr>
            </w:pPr>
          </w:p>
        </w:tc>
        <w:tc>
          <w:tcPr>
            <w:tcW w:w="142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r>
      <w:tr>
        <w:trPr>
          <w:trHeight w:val="213"/>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33,816,459</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33,151,881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6"/>
        </w:trPr>
        <w:tc>
          <w:tcPr>
            <w:tcW w:w="45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33,816,459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33,151,881</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-140970</wp:posOffset>
            </wp:positionV>
            <wp:extent cx="6858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-140970</wp:posOffset>
            </wp:positionV>
            <wp:extent cx="68580"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2022 or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1520" w:type="dxa"/>
            <w:vAlign w:val="bottom"/>
          </w:tcPr>
          <w:p>
            <w:pPr>
              <w:jc w:val="right"/>
              <w:ind w:right="566"/>
              <w:spacing w:after="0"/>
              <w:rPr>
                <w:sz w:val="20"/>
                <w:szCs w:val="20"/>
                <w:color w:val="auto"/>
              </w:rPr>
            </w:pPr>
            <w:r>
              <w:rPr>
                <w:rFonts w:ascii="Arial" w:cs="Arial" w:eastAsia="Arial" w:hAnsi="Arial"/>
                <w:sz w:val="13"/>
                <w:szCs w:val="13"/>
                <w:b w:val="1"/>
                <w:bCs w:val="1"/>
                <w:color w:val="auto"/>
              </w:rPr>
              <w:t>2022</w:t>
            </w:r>
          </w:p>
        </w:tc>
        <w:tc>
          <w:tcPr>
            <w:tcW w:w="1800" w:type="dxa"/>
            <w:vAlign w:val="bottom"/>
            <w:gridSpan w:val="2"/>
          </w:tcPr>
          <w:p>
            <w:pPr>
              <w:jc w:val="right"/>
              <w:ind w:right="545"/>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r>
      <w:tr>
        <w:trPr>
          <w:trHeight w:val="156"/>
        </w:trPr>
        <w:tc>
          <w:tcPr>
            <w:tcW w:w="778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6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5,979,168</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2,125,511</w:t>
            </w:r>
          </w:p>
        </w:tc>
        <w:tc>
          <w:tcPr>
            <w:tcW w:w="140" w:type="dxa"/>
            <w:vAlign w:val="bottom"/>
            <w:shd w:val="clear" w:color="auto" w:fill="CFF0FC"/>
          </w:tcPr>
          <w:p>
            <w:pPr>
              <w:spacing w:after="0"/>
              <w:rPr>
                <w:sz w:val="18"/>
                <w:szCs w:val="18"/>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705,912</w:t>
            </w:r>
          </w:p>
        </w:tc>
        <w:tc>
          <w:tcPr>
            <w:tcW w:w="2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365,061</w:t>
            </w:r>
          </w:p>
        </w:tc>
        <w:tc>
          <w:tcPr>
            <w:tcW w:w="140" w:type="dxa"/>
            <w:vAlign w:val="bottom"/>
          </w:tcPr>
          <w:p>
            <w:pPr>
              <w:spacing w:after="0"/>
              <w:rPr>
                <w:sz w:val="18"/>
                <w:szCs w:val="18"/>
                <w:color w:val="auto"/>
              </w:rPr>
            </w:pPr>
          </w:p>
        </w:tc>
      </w:tr>
      <w:tr>
        <w:trPr>
          <w:trHeight w:val="249"/>
        </w:trPr>
        <w:tc>
          <w:tcPr>
            <w:tcW w:w="778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2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85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857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1620" w:type="dxa"/>
            <w:vAlign w:val="bottom"/>
          </w:tcPr>
          <w:p>
            <w:pPr>
              <w:jc w:val="right"/>
              <w:ind w:right="583"/>
              <w:spacing w:after="0"/>
              <w:rPr>
                <w:sz w:val="20"/>
                <w:szCs w:val="20"/>
                <w:color w:val="auto"/>
              </w:rPr>
            </w:pPr>
            <w:r>
              <w:rPr>
                <w:rFonts w:ascii="Arial" w:cs="Arial" w:eastAsia="Arial" w:hAnsi="Arial"/>
                <w:sz w:val="13"/>
                <w:szCs w:val="13"/>
                <w:b w:val="1"/>
                <w:bCs w:val="1"/>
                <w:color w:val="auto"/>
              </w:rPr>
              <w:t>2022</w:t>
            </w:r>
          </w:p>
        </w:tc>
        <w:tc>
          <w:tcPr>
            <w:tcW w:w="1880" w:type="dxa"/>
            <w:vAlign w:val="bottom"/>
            <w:gridSpan w:val="2"/>
          </w:tcPr>
          <w:p>
            <w:pPr>
              <w:jc w:val="right"/>
              <w:ind w:right="585"/>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642,662</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786,116</w:t>
            </w:r>
          </w:p>
        </w:tc>
        <w:tc>
          <w:tcPr>
            <w:tcW w:w="140" w:type="dxa"/>
            <w:vAlign w:val="bottom"/>
            <w:shd w:val="clear" w:color="auto" w:fill="CFF0FC"/>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3,824,468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386,328</w:t>
            </w:r>
          </w:p>
        </w:tc>
        <w:tc>
          <w:tcPr>
            <w:tcW w:w="140" w:type="dxa"/>
            <w:vAlign w:val="bottom"/>
          </w:tcPr>
          <w:p>
            <w:pPr>
              <w:spacing w:after="0"/>
              <w:rPr>
                <w:sz w:val="18"/>
                <w:szCs w:val="18"/>
                <w:color w:val="auto"/>
              </w:rPr>
            </w:pPr>
          </w:p>
        </w:tc>
      </w:tr>
      <w:tr>
        <w:trPr>
          <w:trHeight w:val="21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2,285,584</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1,231,514</w:t>
            </w:r>
          </w:p>
        </w:tc>
        <w:tc>
          <w:tcPr>
            <w:tcW w:w="140" w:type="dxa"/>
            <w:vAlign w:val="bottom"/>
            <w:shd w:val="clear" w:color="auto" w:fill="CFF0FC"/>
          </w:tcPr>
          <w:p>
            <w:pPr>
              <w:spacing w:after="0"/>
              <w:rPr>
                <w:sz w:val="19"/>
                <w:szCs w:val="19"/>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Pre-clinical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885,030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398,468</w:t>
            </w:r>
          </w:p>
        </w:tc>
        <w:tc>
          <w:tcPr>
            <w:tcW w:w="140" w:type="dxa"/>
            <w:vAlign w:val="bottom"/>
          </w:tcPr>
          <w:p>
            <w:pPr>
              <w:spacing w:after="0"/>
              <w:rPr>
                <w:sz w:val="18"/>
                <w:szCs w:val="18"/>
                <w:color w:val="auto"/>
              </w:rPr>
            </w:pPr>
          </w:p>
        </w:tc>
      </w:tr>
      <w:tr>
        <w:trPr>
          <w:trHeight w:val="21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2,971,068</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1,459,162</w:t>
            </w:r>
          </w:p>
        </w:tc>
        <w:tc>
          <w:tcPr>
            <w:tcW w:w="140" w:type="dxa"/>
            <w:vAlign w:val="bottom"/>
            <w:shd w:val="clear" w:color="auto" w:fill="CFF0FC"/>
          </w:tcPr>
          <w:p>
            <w:pPr>
              <w:spacing w:after="0"/>
              <w:rPr>
                <w:sz w:val="19"/>
                <w:szCs w:val="19"/>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281,937</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8,495</w:t>
            </w:r>
          </w:p>
        </w:tc>
        <w:tc>
          <w:tcPr>
            <w:tcW w:w="14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2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857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21"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The Group’s principal financial instruments consist of cash and cash equivalents, receivables, trade and other trade payables. The financial instruments represent the Group’s working capital to serve the Group’s day-to-day operations.</w:t>
      </w:r>
    </w:p>
    <w:p>
      <w:pPr>
        <w:spacing w:after="0" w:line="171"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We received the proceeds from our financings in U.S. Dollars. We seek to minimize our exchange rate risk in our cash positions by taking into considerations market conditions and keeping currencies in which we expect to incur the majority of our near future expenses and make related payments from those positions.</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For the year ended December 31, 2022, the Group recognized a foreign exchange gain of €11.1 million (2021: €11.5 million). The foreign exchange gain was primarily related to the U.S. dollar cash holding of its subsidiary and the associated strengthening of the U.S. dollar compared to euro during the year.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While the Group benefited from changes in foreign exchange rates in 2022 and 2021, it is possible that foreign exchange losses could occur in the future.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Any occurrences of foreign exchange losses would negatively affect the Group and the effect could be material.</w:t>
      </w:r>
    </w:p>
    <w:p>
      <w:pPr>
        <w:spacing w:after="0" w:line="10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At December 31, 2022, if the U.S. dollar had weakened / strengthened by 10% against the euro with all other variables held constant, the cash balance would have been $7.2 million higher / lower, mainly related to the translation of cash held in U.S. dollar in the Company’s subsidiary, Pharvaris Inc., whose functional currency is euro as explained in note 2, “Summary of significant accounting policies”. For the year ended December 31, 2021, the fluctuation would have been $17.4 million higher / lower due to the large cash balance that was retained directly after the initial public offering in February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Group keeps an amount of $72.3 million and CHF20.1 million on its bank accounts as of December 31, 2022.</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Price risk</w:t>
      </w:r>
    </w:p>
    <w:p>
      <w:pPr>
        <w:spacing w:after="0" w:line="117" w:lineRule="exact"/>
        <w:rPr>
          <w:sz w:val="20"/>
          <w:szCs w:val="20"/>
          <w:color w:val="auto"/>
        </w:rPr>
      </w:pPr>
    </w:p>
    <w:p>
      <w:pPr>
        <w:ind w:right="560"/>
        <w:spacing w:after="0" w:line="276" w:lineRule="auto"/>
        <w:rPr>
          <w:sz w:val="20"/>
          <w:szCs w:val="20"/>
          <w:color w:val="auto"/>
        </w:rPr>
      </w:pPr>
      <w:r>
        <w:rPr>
          <w:rFonts w:ascii="Arial" w:cs="Arial" w:eastAsia="Arial" w:hAnsi="Arial"/>
          <w:sz w:val="16"/>
          <w:szCs w:val="16"/>
          <w:color w:val="auto"/>
        </w:rPr>
        <w:t>The market prices for the provision of nonclinical and clinical materials and services, as well as external contracted research may vary over time. The commercial prices of any of the Group’s products or product candidates are currently uncertain. The Group is not exposed to commodity price risk.</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€161.8 million of cash on the balance sheet at December 31, 2022. The Group is implementing its treasury strategy to monitor the impact of changes in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2022 and 2021 are the carrying amounts as illustrated in Note 12. There are no financial assets past due date or impaired.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 (Standard &amp; Poor’s). Credit risk is further limited by investing only in liquid instruments. As of December 31, 2022, cash consists of cash deposited with four financial institutions and account balances may exceed insured limits. Management believes that the Company is not exposed to significant credit risk due to the financial strength of these institutions.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7"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Company has cash and cash equivalents of €161.8 million.</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February 9, 2021, the Company completed its initial public offering (IPO) with total net proceeds of USD 176.9 million. On March 1, 2022, the Company entered into a sales agreement with SVB Securities LLC, or SVB Securities, pursuant to which the Company may sell ordinary shares having an aggregate offering price of up to $75 million from time to time through SVB Securities. For the year ended December 31, 2022 the Company sold 588,100 shares under the sales agreement shares with a net proceeds of $9.7 million.</w:t>
      </w:r>
    </w:p>
    <w:p>
      <w:pPr>
        <w:spacing w:after="0" w:line="187"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9"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8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13970</wp:posOffset>
            </wp:positionV>
            <wp:extent cx="1016000" cy="4584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16000" cy="45847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40" w:type="dxa"/>
            <w:vAlign w:val="bottom"/>
          </w:tcPr>
          <w:p>
            <w:pPr>
              <w:spacing w:after="0"/>
              <w:rPr>
                <w:sz w:val="10"/>
                <w:szCs w:val="10"/>
                <w:color w:val="auto"/>
              </w:rPr>
            </w:pPr>
          </w:p>
        </w:tc>
        <w:tc>
          <w:tcPr>
            <w:tcW w:w="13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Less than</w:t>
            </w:r>
          </w:p>
        </w:tc>
        <w:tc>
          <w:tcPr>
            <w:tcW w:w="28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80" w:type="dxa"/>
            <w:vAlign w:val="bottom"/>
          </w:tcPr>
          <w:p>
            <w:pPr>
              <w:spacing w:after="0"/>
              <w:rPr>
                <w:sz w:val="10"/>
                <w:szCs w:val="10"/>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12 months</w:t>
            </w: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300" w:type="dxa"/>
            <w:vAlign w:val="bottom"/>
          </w:tcPr>
          <w:p>
            <w:pPr>
              <w:jc w:val="right"/>
              <w:spacing w:after="0"/>
              <w:rPr>
                <w:sz w:val="20"/>
                <w:szCs w:val="20"/>
                <w:color w:val="auto"/>
              </w:rPr>
            </w:pPr>
            <w:r>
              <w:rPr>
                <w:rFonts w:ascii="Arial" w:cs="Arial" w:eastAsia="Arial" w:hAnsi="Arial"/>
                <w:sz w:val="16"/>
                <w:szCs w:val="16"/>
                <w:color w:val="auto"/>
              </w:rPr>
              <w:t>6,685,080</w:t>
            </w:r>
          </w:p>
        </w:tc>
        <w:tc>
          <w:tcPr>
            <w:tcW w:w="28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6,685,080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ind w:left="1120"/>
              <w:spacing w:after="0"/>
              <w:rPr>
                <w:sz w:val="20"/>
                <w:szCs w:val="20"/>
                <w:color w:val="auto"/>
              </w:rPr>
            </w:pPr>
            <w:r>
              <w:rPr>
                <w:rFonts w:ascii="Arial" w:cs="Arial" w:eastAsia="Arial" w:hAnsi="Arial"/>
                <w:sz w:val="16"/>
                <w:szCs w:val="16"/>
                <w:color w:val="auto"/>
                <w:w w:val="99"/>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6640" w:type="dxa"/>
            <w:vAlign w:val="bottom"/>
          </w:tcPr>
          <w:p>
            <w:pPr>
              <w:spacing w:after="0"/>
              <w:rPr>
                <w:sz w:val="11"/>
                <w:szCs w:val="11"/>
                <w:color w:val="auto"/>
              </w:rPr>
            </w:pPr>
          </w:p>
        </w:tc>
        <w:tc>
          <w:tcPr>
            <w:tcW w:w="130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5"/>
              </w:rPr>
              <w:t>Less than</w:t>
            </w:r>
          </w:p>
        </w:tc>
        <w:tc>
          <w:tcPr>
            <w:tcW w:w="28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8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12 months</w:t>
            </w: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ind w:left="1120"/>
              <w:spacing w:after="0"/>
              <w:rPr>
                <w:sz w:val="20"/>
                <w:szCs w:val="20"/>
                <w:color w:val="auto"/>
              </w:rPr>
            </w:pPr>
            <w:r>
              <w:rPr>
                <w:rFonts w:ascii="Arial" w:cs="Arial" w:eastAsia="Arial" w:hAnsi="Arial"/>
                <w:sz w:val="16"/>
                <w:szCs w:val="16"/>
                <w:color w:val="auto"/>
                <w:w w:val="99"/>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00" w:type="dxa"/>
            <w:vAlign w:val="bottom"/>
          </w:tcPr>
          <w:p>
            <w:pPr>
              <w:jc w:val="right"/>
              <w:spacing w:after="0"/>
              <w:rPr>
                <w:sz w:val="20"/>
                <w:szCs w:val="20"/>
                <w:color w:val="auto"/>
              </w:rPr>
            </w:pPr>
            <w:r>
              <w:rPr>
                <w:rFonts w:ascii="Arial" w:cs="Arial" w:eastAsia="Arial" w:hAnsi="Arial"/>
                <w:sz w:val="16"/>
                <w:szCs w:val="16"/>
                <w:color w:val="auto"/>
              </w:rPr>
              <w:t>4,270,082</w:t>
            </w:r>
          </w:p>
        </w:tc>
        <w:tc>
          <w:tcPr>
            <w:tcW w:w="280" w:type="dxa"/>
            <w:vAlign w:val="bottom"/>
          </w:tcPr>
          <w:p>
            <w:pPr>
              <w:spacing w:after="0"/>
              <w:rPr>
                <w:sz w:val="18"/>
                <w:szCs w:val="18"/>
                <w:color w:val="auto"/>
              </w:rPr>
            </w:pPr>
          </w:p>
        </w:tc>
        <w:tc>
          <w:tcPr>
            <w:tcW w:w="1300" w:type="dxa"/>
            <w:vAlign w:val="bottom"/>
          </w:tcPr>
          <w:p>
            <w:pPr>
              <w:ind w:left="1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4,270,082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70"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color w:val="auto"/>
        </w:rPr>
        <w:t xml:space="preserve">On January 1, 2021 the Company granted a total of 107,000 stock options to members of key management with an exercise price of </w:t>
      </w:r>
      <w:r>
        <w:rPr>
          <w:rFonts w:ascii="Arial" w:cs="Arial" w:eastAsia="Arial" w:hAnsi="Arial"/>
          <w:sz w:val="19"/>
          <w:szCs w:val="19"/>
          <w:color w:val="auto"/>
        </w:rPr>
        <w:t>€</w:t>
      </w:r>
      <w:r>
        <w:rPr>
          <w:rFonts w:ascii="Arial" w:cs="Arial" w:eastAsia="Arial" w:hAnsi="Arial"/>
          <w:sz w:val="16"/>
          <w:szCs w:val="16"/>
          <w:color w:val="auto"/>
        </w:rPr>
        <w:t>7,25 per share with a final exercise date of December 31, 2030 unless forfeited or exercised on an earlier date.</w:t>
      </w:r>
    </w:p>
    <w:p>
      <w:pPr>
        <w:spacing w:after="0" w:line="8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February 4, 2021, a total of 873,000 stock options were granted to members of key management with an exercise price of $20 per share with a final exercise date of February 4, 2031 unless forfeited or exercised on an earlier date. 25% of the aggregate number of share options shall vest on the 12-month</w:t>
      </w:r>
    </w:p>
    <w:p>
      <w:pPr>
        <w:spacing w:after="0" w:line="1" w:lineRule="exact"/>
        <w:rPr>
          <w:sz w:val="20"/>
          <w:szCs w:val="20"/>
          <w:color w:val="auto"/>
        </w:rPr>
      </w:pPr>
    </w:p>
    <w:p>
      <w:pPr>
        <w:ind w:right="420"/>
        <w:spacing w:after="0" w:line="227" w:lineRule="auto"/>
        <w:rPr>
          <w:sz w:val="20"/>
          <w:szCs w:val="20"/>
          <w:color w:val="auto"/>
        </w:rPr>
      </w:pPr>
      <w:r>
        <w:rPr>
          <w:rFonts w:ascii="Arial" w:cs="Arial" w:eastAsia="Arial" w:hAnsi="Arial"/>
          <w:sz w:val="16"/>
          <w:szCs w:val="16"/>
          <w:color w:val="auto"/>
        </w:rPr>
        <w:t>anniversary of the vesting commencement date,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June 25, 2021, the grant date fair value was determined for 88,000 stock options granted to a member of key management with an exercise price of</w:t>
      </w:r>
    </w:p>
    <w:p>
      <w:pPr>
        <w:spacing w:after="0" w:line="1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€2.38 per share with a final exercise date of February 2, 2030 unless forfeited or exercised on an earlier date. Each month, 1/48 of the options will vest, with final vesting on February 4, 2024.</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4, 2031 unless forfeited or exercised on an earlier date. 25% of the aggregate number of share options shall vest on February 3,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9"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w:t>
      </w:r>
    </w:p>
    <w:p>
      <w:pPr>
        <w:spacing w:after="0" w:line="1" w:lineRule="exact"/>
        <w:rPr>
          <w:sz w:val="20"/>
          <w:szCs w:val="20"/>
          <w:color w:val="auto"/>
        </w:rPr>
      </w:pPr>
    </w:p>
    <w:p>
      <w:pPr>
        <w:ind w:right="120"/>
        <w:spacing w:after="0" w:line="227" w:lineRule="auto"/>
        <w:rPr>
          <w:sz w:val="20"/>
          <w:szCs w:val="20"/>
          <w:color w:val="auto"/>
        </w:rPr>
      </w:pPr>
      <w:r>
        <w:rPr>
          <w:rFonts w:ascii="Arial" w:cs="Arial" w:eastAsia="Arial" w:hAnsi="Arial"/>
          <w:sz w:val="16"/>
          <w:szCs w:val="16"/>
          <w:color w:val="auto"/>
        </w:rPr>
        <w:t>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6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June 1, 2022, a total of 120,000 stock options were granted to members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loss and comprehensive loss. The share-based payment expense recorded for the years ended December 31, 2022, 2021 and 2020 that related to Options, amounted to €7,590,041, €7,008,923 and €1,410,101,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42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6"/>
              </w:rPr>
              <w:t>2021</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6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6"/>
              </w:rPr>
              <w:t>Number stock</w:t>
            </w:r>
          </w:p>
        </w:tc>
        <w:tc>
          <w:tcPr>
            <w:tcW w:w="28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6"/>
              </w:rPr>
              <w:t>Number stock</w:t>
            </w:r>
          </w:p>
        </w:tc>
        <w:tc>
          <w:tcPr>
            <w:tcW w:w="26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8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2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January 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1,465,295</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742,500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1,144,000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(31,257 )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(34,000 )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(105,000 )</w:t>
            </w:r>
          </w:p>
        </w:tc>
        <w:tc>
          <w:tcPr>
            <w:tcW w:w="1160" w:type="dxa"/>
            <w:vAlign w:val="bottom"/>
          </w:tcPr>
          <w:p>
            <w:pPr>
              <w:jc w:val="right"/>
              <w:spacing w:after="0"/>
              <w:rPr>
                <w:sz w:val="20"/>
                <w:szCs w:val="20"/>
                <w:color w:val="auto"/>
              </w:rPr>
            </w:pPr>
            <w:r>
              <w:rPr>
                <w:rFonts w:ascii="Arial" w:cs="Arial" w:eastAsia="Arial" w:hAnsi="Arial"/>
                <w:sz w:val="16"/>
                <w:szCs w:val="16"/>
                <w:color w:val="auto"/>
              </w:rPr>
              <w:t>16.67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December 31,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of 3,181,538 at December 31, 2022 (2021: 2,470,295), 1,585,404 stock options were exercisable (2021: 469,630).</w:t>
      </w:r>
    </w:p>
    <w:p>
      <w:pPr>
        <w:spacing w:after="0" w:line="1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options outstanding at December 31, 2022 had an exercise price in the range of €0.01 to €16.78 (2021: €0.01 to €16.67) and a weighted-average remaining contractual life of 7.5 years (2021 weighted-average remaining contractual life of 8.0 years).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 total of 31,257 share options were exercised during the period ended December 31, 2022 (2021: 34,000) and had a weighted-average share price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€11.74 (2021:€38.75) at the date of exercise.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In 2021 the Company granted a total of 175,991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2021 amounted to €17.0. The expenses are recognized over the service period in the consolidated statements of loss and comprehensive loss.</w:t>
      </w:r>
    </w:p>
    <w:p>
      <w:pPr>
        <w:spacing w:after="0" w:line="19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2022 the Company granted a total of 681,588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 The expenses are recognized over the service period in the consolidated statements of loss and comprehensive loss.</w:t>
      </w:r>
    </w:p>
    <w:p>
      <w:pPr>
        <w:spacing w:after="0" w:line="191" w:lineRule="exact"/>
        <w:rPr>
          <w:sz w:val="20"/>
          <w:szCs w:val="20"/>
          <w:color w:val="auto"/>
        </w:rPr>
      </w:pPr>
    </w:p>
    <w:p>
      <w:pPr>
        <w:ind w:right="520"/>
        <w:spacing w:after="0" w:line="276" w:lineRule="auto"/>
        <w:rPr>
          <w:sz w:val="20"/>
          <w:szCs w:val="20"/>
          <w:color w:val="auto"/>
        </w:rPr>
      </w:pPr>
      <w:r>
        <w:rPr>
          <w:rFonts w:ascii="Arial" w:cs="Arial" w:eastAsia="Arial" w:hAnsi="Arial"/>
          <w:sz w:val="16"/>
          <w:szCs w:val="16"/>
          <w:color w:val="auto"/>
        </w:rPr>
        <w:t>The share-based payment expense recorded for the years ended December 31, 2022, 2021 and 2020 that related to RSUs, amounted to €3,759,159, €1,187,463 and €177,635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purchase prices of, and movements in, RSUs during the year: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140" w:type="dxa"/>
            <w:vAlign w:val="bottom"/>
            <w:vMerge w:val="restart"/>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purchase</w:t>
            </w:r>
          </w:p>
        </w:tc>
        <w:tc>
          <w:tcPr>
            <w:tcW w:w="1420" w:type="dxa"/>
            <w:vAlign w:val="bottom"/>
            <w:gridSpan w:val="2"/>
            <w:vMerge w:val="restart"/>
          </w:tcPr>
          <w:p>
            <w:pPr>
              <w:jc w:val="right"/>
              <w:ind w:right="368"/>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purchase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4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Number RSUs</w:t>
            </w:r>
          </w:p>
        </w:tc>
        <w:tc>
          <w:tcPr>
            <w:tcW w:w="2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Number RSUs</w:t>
            </w:r>
          </w:p>
        </w:tc>
        <w:tc>
          <w:tcPr>
            <w:tcW w:w="2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January 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681,588</w:t>
            </w:r>
          </w:p>
        </w:tc>
        <w:tc>
          <w:tcPr>
            <w:tcW w:w="28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175,991</w:t>
            </w:r>
          </w:p>
        </w:tc>
        <w:tc>
          <w:tcPr>
            <w:tcW w:w="26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(65,846 )</w:t>
            </w: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16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(57,372 )</w:t>
            </w: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(79,762 )</w:t>
            </w: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(12,500 )</w:t>
            </w: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December 31,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857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857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857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Company’s shares</w:t>
      </w:r>
    </w:p>
    <w:p>
      <w:pPr>
        <w:spacing w:after="0" w:line="117"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For the pre-IPO grants, the fair value of ordinary shares is determined by the Board of directors and takes into account the most recently available valuation of ordinary shares performed by an independent valuation firm and the assessment of additional objective and subjective factors we believe are relevant and which may have changed from the date of the most recent valuation through the date of the grant.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Board of directors consider numerous objective and subjective factors to determine their best estimate of the fair value of the ordinary shares as of each grant date, including:</w:t>
      </w:r>
    </w:p>
    <w:p>
      <w:pPr>
        <w:spacing w:after="0" w:line="63"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progress of the research and development programs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Contemporaneous third-party valuations of the ordinary shares for the share issuances in 2016, 2019 and 2020</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rights and preferences of the preferred shares relative to the ordinary shares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likelihood of achieving a discrete liquidity event, such as a sale of the Company or an initial public offering given prevailing market conditions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External market and economic conditions impacting the industry sector</w:t>
      </w:r>
    </w:p>
    <w:p>
      <w:pPr>
        <w:spacing w:after="0" w:line="23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inputs used in the measurement of the fair value per ordinary share pre-IPO at the grant/measurement date based upon the total equity value was as follows:</w:t>
      </w: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2240" w:type="dxa"/>
            <w:vAlign w:val="bottom"/>
            <w:gridSpan w:val="3"/>
          </w:tcPr>
          <w:p>
            <w:pPr>
              <w:ind w:left="720"/>
              <w:spacing w:after="0"/>
              <w:rPr>
                <w:sz w:val="20"/>
                <w:szCs w:val="20"/>
                <w:color w:val="auto"/>
              </w:rPr>
            </w:pPr>
            <w:r>
              <w:rPr>
                <w:rFonts w:ascii="Arial" w:cs="Arial" w:eastAsia="Arial" w:hAnsi="Arial"/>
                <w:sz w:val="13"/>
                <w:szCs w:val="13"/>
                <w:b w:val="1"/>
                <w:bCs w:val="1"/>
                <w:color w:val="auto"/>
              </w:rPr>
              <w:t>January 1,</w:t>
            </w:r>
          </w:p>
        </w:tc>
      </w:tr>
      <w:tr>
        <w:trPr>
          <w:trHeight w:val="176"/>
        </w:trPr>
        <w:tc>
          <w:tcPr>
            <w:tcW w:w="9020" w:type="dxa"/>
            <w:vAlign w:val="bottom"/>
          </w:tcPr>
          <w:p>
            <w:pPr>
              <w:spacing w:after="0"/>
              <w:rPr>
                <w:sz w:val="15"/>
                <w:szCs w:val="15"/>
                <w:color w:val="auto"/>
              </w:rPr>
            </w:pPr>
          </w:p>
        </w:tc>
        <w:tc>
          <w:tcPr>
            <w:tcW w:w="2080" w:type="dxa"/>
            <w:vAlign w:val="bottom"/>
          </w:tcPr>
          <w:p>
            <w:pPr>
              <w:jc w:val="right"/>
              <w:ind w:right="825"/>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9020" w:type="dxa"/>
            <w:vAlign w:val="bottom"/>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volatility (%)</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85 %</w:t>
            </w:r>
          </w:p>
        </w:tc>
        <w:tc>
          <w:tcPr>
            <w:tcW w:w="20" w:type="dxa"/>
            <w:vAlign w:val="bottom"/>
          </w:tcPr>
          <w:p>
            <w:pPr>
              <w:spacing w:after="0"/>
              <w:rPr>
                <w:sz w:val="18"/>
                <w:szCs w:val="18"/>
                <w:color w:val="auto"/>
              </w:rPr>
            </w:pP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208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9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 (%)</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20" w:type="dxa"/>
            <w:vAlign w:val="bottom"/>
          </w:tcPr>
          <w:p>
            <w:pPr>
              <w:spacing w:after="0"/>
              <w:rPr>
                <w:sz w:val="19"/>
                <w:szCs w:val="19"/>
                <w:color w:val="auto"/>
              </w:rPr>
            </w:pPr>
          </w:p>
        </w:tc>
      </w:tr>
      <w:tr>
        <w:trPr>
          <w:trHeight w:val="210"/>
        </w:trPr>
        <w:tc>
          <w:tcPr>
            <w:tcW w:w="9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52"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3"/>
              <w:spacing w:after="0"/>
              <w:rPr>
                <w:sz w:val="20"/>
                <w:szCs w:val="20"/>
                <w:color w:val="auto"/>
              </w:rPr>
            </w:pPr>
            <w:r>
              <w:rPr>
                <w:rFonts w:ascii="Arial" w:cs="Arial" w:eastAsia="Arial" w:hAnsi="Arial"/>
                <w:sz w:val="13"/>
                <w:szCs w:val="13"/>
                <w:b w:val="1"/>
                <w:bCs w:val="1"/>
                <w:color w:val="auto"/>
              </w:rPr>
              <w:t>June 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3"/>
              <w:spacing w:after="0"/>
              <w:rPr>
                <w:sz w:val="20"/>
                <w:szCs w:val="20"/>
                <w:color w:val="auto"/>
              </w:rPr>
            </w:pPr>
            <w:r>
              <w:rPr>
                <w:rFonts w:ascii="Arial" w:cs="Arial" w:eastAsia="Arial" w:hAnsi="Arial"/>
                <w:sz w:val="13"/>
                <w:szCs w:val="13"/>
                <w:b w:val="1"/>
                <w:bCs w:val="1"/>
                <w:color w:val="auto"/>
              </w:rPr>
              <w:t>April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Arial" w:cs="Arial" w:eastAsia="Arial" w:hAnsi="Arial"/>
                <w:sz w:val="13"/>
                <w:szCs w:val="13"/>
                <w:b w:val="1"/>
                <w:bCs w:val="1"/>
                <w:color w:val="auto"/>
                <w:w w:val="96"/>
              </w:rPr>
              <w:t>January 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03"/>
              <w:spacing w:after="0"/>
              <w:rPr>
                <w:sz w:val="20"/>
                <w:szCs w:val="20"/>
                <w:color w:val="auto"/>
              </w:rPr>
            </w:pPr>
            <w:r>
              <w:rPr>
                <w:rFonts w:ascii="Arial" w:cs="Arial" w:eastAsia="Arial" w:hAnsi="Arial"/>
                <w:sz w:val="13"/>
                <w:szCs w:val="13"/>
                <w:b w:val="1"/>
                <w:bCs w:val="1"/>
                <w:color w:val="auto"/>
              </w:rPr>
              <w:t>July 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4"/>
              <w:spacing w:after="0"/>
              <w:rPr>
                <w:sz w:val="20"/>
                <w:szCs w:val="20"/>
                <w:color w:val="auto"/>
              </w:rPr>
            </w:pPr>
            <w:r>
              <w:rPr>
                <w:rFonts w:ascii="Arial" w:cs="Arial" w:eastAsia="Arial" w:hAnsi="Arial"/>
                <w:sz w:val="13"/>
                <w:szCs w:val="13"/>
                <w:b w:val="1"/>
                <w:bCs w:val="1"/>
                <w:color w:val="auto"/>
                <w:w w:val="96"/>
              </w:rPr>
              <w:t>June 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4"/>
              <w:spacing w:after="0"/>
              <w:rPr>
                <w:sz w:val="20"/>
                <w:szCs w:val="20"/>
                <w:color w:val="auto"/>
              </w:rPr>
            </w:pPr>
            <w:r>
              <w:rPr>
                <w:rFonts w:ascii="Arial" w:cs="Arial" w:eastAsia="Arial" w:hAnsi="Arial"/>
                <w:sz w:val="13"/>
                <w:szCs w:val="13"/>
                <w:b w:val="1"/>
                <w:bCs w:val="1"/>
                <w:color w:val="auto"/>
                <w:w w:val="96"/>
              </w:rPr>
              <w:t>June 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Arial" w:cs="Arial" w:eastAsia="Arial" w:hAnsi="Arial"/>
                <w:sz w:val="13"/>
                <w:szCs w:val="13"/>
                <w:b w:val="1"/>
                <w:bCs w:val="1"/>
                <w:color w:val="auto"/>
                <w:w w:val="96"/>
              </w:rPr>
              <w:t>February 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January 1,</w:t>
            </w:r>
          </w:p>
        </w:tc>
      </w:tr>
      <w:tr>
        <w:trPr>
          <w:trHeight w:val="170"/>
        </w:trPr>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Option 1</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8"/>
              </w:rPr>
              <w:t>Option 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options</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552,500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107,000</w:t>
            </w: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Fair value of the options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11.89</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10.50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the ordinary shares</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Exercise price</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16.42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14.67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16.74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volatility (%)</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80 %</w:t>
            </w:r>
          </w:p>
        </w:tc>
        <w:tc>
          <w:tcPr>
            <w:tcW w:w="104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80 %</w:t>
            </w:r>
          </w:p>
        </w:tc>
        <w:tc>
          <w:tcPr>
            <w:tcW w:w="112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85 %</w:t>
            </w:r>
          </w:p>
        </w:tc>
        <w:tc>
          <w:tcPr>
            <w:tcW w:w="106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85 %</w:t>
            </w:r>
          </w:p>
        </w:tc>
        <w:tc>
          <w:tcPr>
            <w:tcW w:w="10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85 %</w:t>
            </w:r>
          </w:p>
        </w:tc>
        <w:tc>
          <w:tcPr>
            <w:tcW w:w="94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85 %</w:t>
            </w:r>
          </w:p>
        </w:tc>
        <w:tc>
          <w:tcPr>
            <w:tcW w:w="108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85 %</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85 %</w:t>
            </w:r>
          </w:p>
        </w:tc>
        <w:tc>
          <w:tcPr>
            <w:tcW w:w="20" w:type="dxa"/>
            <w:vAlign w:val="bottom"/>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 (%)</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3.0 %</w:t>
            </w:r>
          </w:p>
        </w:tc>
        <w:tc>
          <w:tcPr>
            <w:tcW w:w="104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2.6 %</w:t>
            </w:r>
          </w:p>
        </w:tc>
        <w:tc>
          <w:tcPr>
            <w:tcW w:w="112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1.4 %</w:t>
            </w:r>
          </w:p>
        </w:tc>
        <w:tc>
          <w:tcPr>
            <w:tcW w:w="106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1.2 %</w:t>
            </w:r>
          </w:p>
        </w:tc>
        <w:tc>
          <w:tcPr>
            <w:tcW w:w="10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1.2 %</w:t>
            </w:r>
          </w:p>
        </w:tc>
        <w:tc>
          <w:tcPr>
            <w:tcW w:w="94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-0.5 %</w:t>
            </w:r>
          </w:p>
        </w:tc>
        <w:tc>
          <w:tcPr>
            <w:tcW w:w="108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0.8 %</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20" w:type="dxa"/>
            <w:vAlign w:val="bottom"/>
          </w:tcPr>
          <w:p>
            <w:pPr>
              <w:spacing w:after="0"/>
              <w:rPr>
                <w:sz w:val="19"/>
                <w:szCs w:val="19"/>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Group.</w:t>
      </w:r>
    </w:p>
    <w:p>
      <w:pPr>
        <w:spacing w:after="0" w:line="160"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21"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year.</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Outstanding options are not included in the calculation of diluted earnings per share because they are antidilutive in 2022, 2021 and 2020.</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loss per share</w:t>
      </w: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14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14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4740" w:type="dxa"/>
            <w:vAlign w:val="bottom"/>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154"/>
        </w:trPr>
        <w:tc>
          <w:tcPr>
            <w:tcW w:w="474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24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211"/>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(76,332,557 )</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(42,700,486 )</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(25,990,069 )</w:t>
            </w:r>
          </w:p>
        </w:tc>
      </w:tr>
      <w:tr>
        <w:trPr>
          <w:trHeight w:val="192"/>
        </w:trPr>
        <w:tc>
          <w:tcPr>
            <w:tcW w:w="474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4740" w:type="dxa"/>
            <w:vAlign w:val="bottom"/>
          </w:tcPr>
          <w:p>
            <w:pPr>
              <w:ind w:left="160"/>
              <w:spacing w:after="0"/>
              <w:rPr>
                <w:sz w:val="20"/>
                <w:szCs w:val="20"/>
                <w:color w:val="auto"/>
              </w:rPr>
            </w:pPr>
            <w:r>
              <w:rPr>
                <w:rFonts w:ascii="Arial" w:cs="Arial" w:eastAsia="Arial" w:hAnsi="Arial"/>
                <w:sz w:val="16"/>
                <w:szCs w:val="16"/>
                <w:color w:val="auto"/>
              </w:rPr>
              <w:t>outstanding</w:t>
            </w:r>
          </w:p>
        </w:tc>
        <w:tc>
          <w:tcPr>
            <w:tcW w:w="1200" w:type="dxa"/>
            <w:vAlign w:val="bottom"/>
          </w:tcPr>
          <w:p>
            <w:pPr>
              <w:jc w:val="right"/>
              <w:spacing w:after="0"/>
              <w:rPr>
                <w:sz w:val="20"/>
                <w:szCs w:val="20"/>
                <w:color w:val="auto"/>
              </w:rPr>
            </w:pPr>
            <w:r>
              <w:rPr>
                <w:rFonts w:ascii="Arial" w:cs="Arial" w:eastAsia="Arial" w:hAnsi="Arial"/>
                <w:sz w:val="16"/>
                <w:szCs w:val="16"/>
                <w:color w:val="auto"/>
              </w:rPr>
              <w:t>33,585,976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30,411,902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4,850,000</w:t>
            </w:r>
          </w:p>
        </w:tc>
        <w:tc>
          <w:tcPr>
            <w:tcW w:w="120" w:type="dxa"/>
            <w:vAlign w:val="bottom"/>
          </w:tcPr>
          <w:p>
            <w:pPr>
              <w:spacing w:after="0"/>
              <w:rPr>
                <w:sz w:val="18"/>
                <w:szCs w:val="18"/>
                <w:color w:val="auto"/>
              </w:rPr>
            </w:pPr>
          </w:p>
        </w:tc>
      </w:tr>
      <w:tr>
        <w:trPr>
          <w:trHeight w:val="21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and diluted loss per share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(2.27 )</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(1.40 )</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(5.36 )</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21"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21"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Dr. Knolle, who has served as Chief Scientific Officer and Chief Operating Officer since its inception, was a member of the board of Charité Research Organisation GmbH, or Charité CRO until February 28, 2022. The Company has entered into a service contract with Charité CRO according to which Charité CRO provides services supporting research for the Company. In fiscal years 2022, 2021 and 2020, payments to Charité CRO with respect to this service contract amounted to €372,858, €608 and €1,025,795,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43" w:lineRule="exact"/>
        <w:rPr>
          <w:sz w:val="20"/>
          <w:szCs w:val="20"/>
          <w:color w:val="auto"/>
        </w:rPr>
      </w:pPr>
    </w:p>
    <w:tbl>
      <w:tblPr>
        <w:tblLayout w:type="fixed"/>
        <w:tblInd w:w="126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800" w:type="dxa"/>
            <w:vAlign w:val="bottom"/>
          </w:tcPr>
          <w:p>
            <w:pPr>
              <w:jc w:val="right"/>
              <w:ind w:right="685"/>
              <w:spacing w:after="0"/>
              <w:rPr>
                <w:sz w:val="20"/>
                <w:szCs w:val="20"/>
                <w:color w:val="auto"/>
              </w:rPr>
            </w:pPr>
            <w:r>
              <w:rPr>
                <w:rFonts w:ascii="Arial" w:cs="Arial" w:eastAsia="Arial" w:hAnsi="Arial"/>
                <w:sz w:val="13"/>
                <w:szCs w:val="13"/>
                <w:b w:val="1"/>
                <w:bCs w:val="1"/>
                <w:color w:val="auto"/>
              </w:rPr>
              <w:t>2022</w:t>
            </w:r>
          </w:p>
        </w:tc>
        <w:tc>
          <w:tcPr>
            <w:tcW w:w="1700" w:type="dxa"/>
            <w:vAlign w:val="bottom"/>
            <w:gridSpan w:val="2"/>
          </w:tcPr>
          <w:p>
            <w:pPr>
              <w:jc w:val="right"/>
              <w:ind w:right="528"/>
              <w:spacing w:after="0"/>
              <w:rPr>
                <w:sz w:val="20"/>
                <w:szCs w:val="20"/>
                <w:color w:val="auto"/>
              </w:rPr>
            </w:pPr>
            <w:r>
              <w:rPr>
                <w:rFonts w:ascii="Arial" w:cs="Arial" w:eastAsia="Arial" w:hAnsi="Arial"/>
                <w:sz w:val="13"/>
                <w:szCs w:val="13"/>
                <w:b w:val="1"/>
                <w:bCs w:val="1"/>
                <w:color w:val="auto"/>
              </w:rPr>
              <w:t>2021</w:t>
            </w:r>
          </w:p>
        </w:tc>
        <w:tc>
          <w:tcPr>
            <w:tcW w:w="1580" w:type="dxa"/>
            <w:vAlign w:val="bottom"/>
            <w:gridSpan w:val="2"/>
          </w:tcPr>
          <w:p>
            <w:pPr>
              <w:jc w:val="right"/>
              <w:ind w:right="46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3"/>
                <w:szCs w:val="13"/>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09"/>
        </w:trPr>
        <w:tc>
          <w:tcPr>
            <w:tcW w:w="3540" w:type="dxa"/>
            <w:vAlign w:val="bottom"/>
            <w:shd w:val="clear" w:color="auto" w:fill="CFF0FC"/>
          </w:tcPr>
          <w:p>
            <w:pPr>
              <w:spacing w:after="0"/>
              <w:rPr>
                <w:sz w:val="20"/>
                <w:szCs w:val="20"/>
                <w:color w:val="auto"/>
              </w:rPr>
            </w:pPr>
            <w:r>
              <w:rPr>
                <w:rFonts w:ascii="Arial" w:cs="Arial" w:eastAsia="Arial" w:hAnsi="Arial"/>
                <w:sz w:val="16"/>
                <w:szCs w:val="16"/>
                <w:color w:val="auto"/>
              </w:rPr>
              <w:t>Short term employee benefits</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3,461,860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2,517,211</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1,834,423</w:t>
            </w:r>
          </w:p>
        </w:tc>
        <w:tc>
          <w:tcPr>
            <w:tcW w:w="120" w:type="dxa"/>
            <w:vAlign w:val="bottom"/>
            <w:shd w:val="clear" w:color="auto" w:fill="CFF0FC"/>
          </w:tcPr>
          <w:p>
            <w:pPr>
              <w:spacing w:after="0"/>
              <w:rPr>
                <w:sz w:val="18"/>
                <w:szCs w:val="18"/>
                <w:color w:val="auto"/>
              </w:rPr>
            </w:pPr>
          </w:p>
        </w:tc>
      </w:tr>
      <w:tr>
        <w:trPr>
          <w:trHeight w:val="213"/>
        </w:trPr>
        <w:tc>
          <w:tcPr>
            <w:tcW w:w="3540" w:type="dxa"/>
            <w:vAlign w:val="bottom"/>
          </w:tcPr>
          <w:p>
            <w:pPr>
              <w:spacing w:after="0"/>
              <w:rPr>
                <w:sz w:val="20"/>
                <w:szCs w:val="20"/>
                <w:color w:val="auto"/>
              </w:rPr>
            </w:pPr>
            <w:r>
              <w:rPr>
                <w:rFonts w:ascii="Arial" w:cs="Arial" w:eastAsia="Arial" w:hAnsi="Arial"/>
                <w:sz w:val="16"/>
                <w:szCs w:val="16"/>
                <w:color w:val="auto"/>
              </w:rPr>
              <w:t>Post employee benefits</w:t>
            </w:r>
          </w:p>
        </w:tc>
        <w:tc>
          <w:tcPr>
            <w:tcW w:w="1800" w:type="dxa"/>
            <w:vAlign w:val="bottom"/>
          </w:tcPr>
          <w:p>
            <w:pPr>
              <w:jc w:val="right"/>
              <w:spacing w:after="0"/>
              <w:rPr>
                <w:sz w:val="20"/>
                <w:szCs w:val="20"/>
                <w:color w:val="auto"/>
              </w:rPr>
            </w:pPr>
            <w:r>
              <w:rPr>
                <w:rFonts w:ascii="Arial" w:cs="Arial" w:eastAsia="Arial" w:hAnsi="Arial"/>
                <w:sz w:val="16"/>
                <w:szCs w:val="16"/>
                <w:color w:val="auto"/>
              </w:rPr>
              <w:t>148,678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80,482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34,934</w:t>
            </w:r>
          </w:p>
        </w:tc>
        <w:tc>
          <w:tcPr>
            <w:tcW w:w="12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6,524,726</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6,269,218</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860,117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6"/>
                <w:szCs w:val="16"/>
                <w:color w:val="auto"/>
              </w:rPr>
              <w:t>Total</w:t>
            </w:r>
          </w:p>
        </w:tc>
        <w:tc>
          <w:tcPr>
            <w:tcW w:w="1800" w:type="dxa"/>
            <w:vAlign w:val="bottom"/>
          </w:tcPr>
          <w:p>
            <w:pPr>
              <w:jc w:val="right"/>
              <w:spacing w:after="0"/>
              <w:rPr>
                <w:sz w:val="20"/>
                <w:szCs w:val="20"/>
                <w:color w:val="auto"/>
              </w:rPr>
            </w:pPr>
            <w:r>
              <w:rPr>
                <w:rFonts w:ascii="Arial" w:cs="Arial" w:eastAsia="Arial" w:hAnsi="Arial"/>
                <w:sz w:val="16"/>
                <w:szCs w:val="16"/>
                <w:color w:val="auto"/>
              </w:rPr>
              <w:t>10,135,264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8,866,911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2,729,474</w:t>
            </w:r>
          </w:p>
        </w:tc>
        <w:tc>
          <w:tcPr>
            <w:tcW w:w="12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7747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1714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13"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At the end of financial year 2020 an amount of €120,000 of short-term employee benefits was capitalized on the consolidated statements of financial position. This amount was recognized in the Group’s statements of profit or loss and other comprehensive income in 2021. As at December 31, 2022 and 2021, no short-term employee benefits have been capitalized.</w:t>
      </w:r>
    </w:p>
    <w:p>
      <w:pPr>
        <w:spacing w:after="0" w:line="183"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These management entities are considered related parties, as they provide key management services and the key management personnel have key management functions within these entities. Certain key management personnel are also shareholders of the Company. The aggregate amount of expense recognized in the consolidated statements of loss and comprehensive loss related to these related parties were €1,156,715 (2021:€1,101,280; 2020: €1,353,648).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amounts payable to the related parties were €1,162,963 (2021: €1,586,157; 2020: €398,489).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in euro the remuneration of the individual members of the Board of Directors for the year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45020" cy="5524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5020" cy="552450"/>
                    </a:xfrm>
                    <a:prstGeom prst="rect">
                      <a:avLst/>
                    </a:prstGeom>
                    <a:noFill/>
                  </pic:spPr>
                </pic:pic>
              </a:graphicData>
            </a:graphic>
          </wp:anchor>
        </w:drawing>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340" w:type="dxa"/>
            <w:vAlign w:val="bottom"/>
            <w:tcBorders>
              <w:top w:val="single" w:sz="8" w:color="auto"/>
              <w:left w:val="single" w:sz="8" w:color="auto"/>
              <w:right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Pension and</w:t>
            </w:r>
          </w:p>
        </w:tc>
        <w:tc>
          <w:tcPr>
            <w:tcW w:w="140" w:type="dxa"/>
            <w:vAlign w:val="bottom"/>
            <w:tcBorders>
              <w:right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Management</w:t>
            </w:r>
          </w:p>
        </w:tc>
        <w:tc>
          <w:tcPr>
            <w:tcW w:w="140" w:type="dxa"/>
            <w:vAlign w:val="bottom"/>
            <w:tcBorders>
              <w:right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Share-based</w:t>
            </w:r>
          </w:p>
        </w:tc>
        <w:tc>
          <w:tcPr>
            <w:tcW w:w="160" w:type="dxa"/>
            <w:vAlign w:val="bottom"/>
            <w:tcBorders>
              <w:right w:val="single" w:sz="8" w:color="auto"/>
            </w:tcBorders>
          </w:tcPr>
          <w:p>
            <w:pPr>
              <w:spacing w:after="0"/>
              <w:rPr>
                <w:sz w:val="17"/>
                <w:szCs w:val="17"/>
                <w:color w:val="auto"/>
              </w:rPr>
            </w:pPr>
          </w:p>
        </w:tc>
        <w:tc>
          <w:tcPr>
            <w:tcW w:w="11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c>
          <w:tcPr>
            <w:tcW w:w="140" w:type="dxa"/>
            <w:vAlign w:val="bottom"/>
            <w:tcBorders>
              <w:right w:val="single" w:sz="8" w:color="auto"/>
            </w:tcBorders>
          </w:tcPr>
          <w:p>
            <w:pPr>
              <w:spacing w:after="0"/>
              <w:rPr>
                <w:sz w:val="17"/>
                <w:szCs w:val="17"/>
                <w:color w:val="auto"/>
              </w:rPr>
            </w:pPr>
          </w:p>
        </w:tc>
        <w:tc>
          <w:tcPr>
            <w:tcW w:w="15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Total remuneration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Salary</w:t>
            </w:r>
          </w:p>
        </w:tc>
        <w:tc>
          <w:tcPr>
            <w:tcW w:w="140" w:type="dxa"/>
            <w:vAlign w:val="bottom"/>
            <w:tcBorders>
              <w:right w:val="single" w:sz="8" w:color="auto"/>
            </w:tcBorders>
          </w:tcPr>
          <w:p>
            <w:pPr>
              <w:spacing w:after="0"/>
              <w:rPr>
                <w:sz w:val="8"/>
                <w:szCs w:val="8"/>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rPr>
              <w:t>Bonus</w:t>
            </w:r>
          </w:p>
        </w:tc>
        <w:tc>
          <w:tcPr>
            <w:tcW w:w="160" w:type="dxa"/>
            <w:vAlign w:val="bottom"/>
            <w:tcBorders>
              <w:right w:val="single" w:sz="8" w:color="auto"/>
            </w:tcBorders>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social</w:t>
            </w:r>
          </w:p>
        </w:tc>
        <w:tc>
          <w:tcPr>
            <w:tcW w:w="140" w:type="dxa"/>
            <w:vAlign w:val="bottom"/>
            <w:tcBorders>
              <w:right w:val="single" w:sz="8" w:color="auto"/>
            </w:tcBorders>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remuneration</w:t>
            </w:r>
          </w:p>
        </w:tc>
        <w:tc>
          <w:tcPr>
            <w:tcW w:w="140" w:type="dxa"/>
            <w:vAlign w:val="bottom"/>
            <w:tcBorders>
              <w:right w:val="single" w:sz="8" w:color="auto"/>
            </w:tcBorders>
          </w:tcPr>
          <w:p>
            <w:pPr>
              <w:spacing w:after="0"/>
              <w:rPr>
                <w:sz w:val="8"/>
                <w:szCs w:val="8"/>
                <w:color w:val="auto"/>
              </w:rPr>
            </w:pPr>
          </w:p>
        </w:tc>
        <w:tc>
          <w:tcPr>
            <w:tcW w:w="1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40" w:type="dxa"/>
            <w:vAlign w:val="bottom"/>
            <w:vMerge w:val="restart"/>
          </w:tcPr>
          <w:p>
            <w:pPr>
              <w:jc w:val="right"/>
              <w:ind w:right="379"/>
              <w:spacing w:after="0"/>
              <w:rPr>
                <w:sz w:val="20"/>
                <w:szCs w:val="20"/>
                <w:color w:val="auto"/>
              </w:rPr>
            </w:pPr>
            <w:r>
              <w:rPr>
                <w:rFonts w:ascii="Arial" w:cs="Arial" w:eastAsia="Arial" w:hAnsi="Arial"/>
                <w:sz w:val="16"/>
                <w:szCs w:val="16"/>
                <w:color w:val="auto"/>
              </w:rPr>
              <w:t>fee</w:t>
            </w:r>
          </w:p>
        </w:tc>
        <w:tc>
          <w:tcPr>
            <w:tcW w:w="140" w:type="dxa"/>
            <w:vAlign w:val="bottom"/>
            <w:tcBorders>
              <w:right w:val="single" w:sz="8" w:color="auto"/>
            </w:tcBorders>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compensation</w:t>
            </w:r>
          </w:p>
        </w:tc>
        <w:tc>
          <w:tcPr>
            <w:tcW w:w="16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560" w:type="dxa"/>
            <w:vAlign w:val="bottom"/>
            <w:vMerge w:val="restart"/>
          </w:tcPr>
          <w:p>
            <w:pPr>
              <w:jc w:val="right"/>
              <w:ind w:right="51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securities</w:t>
            </w:r>
          </w:p>
        </w:tc>
        <w:tc>
          <w:tcPr>
            <w:tcW w:w="140" w:type="dxa"/>
            <w:vAlign w:val="bottom"/>
            <w:tcBorders>
              <w:right w:val="single" w:sz="8" w:color="auto"/>
            </w:tcBorders>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color w:val="auto"/>
              </w:rPr>
              <w:t>2022</w:t>
            </w:r>
          </w:p>
        </w:tc>
        <w:tc>
          <w:tcPr>
            <w:tcW w:w="140" w:type="dxa"/>
            <w:vAlign w:val="bottom"/>
            <w:tcBorders>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Modig</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202,552</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101,545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1,609,581</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2,413,678</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2,366,859</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H. Schikan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58,761</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210,385</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269,146</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D. Meeker</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90,527</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191,361</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281,888</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317,657</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R. Glassman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44,273</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151,331</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195,605</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Ms. Beck - Monges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58,396</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251,225</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309,621</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134,532</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M. Kleijwegt (1)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340" w:type="dxa"/>
            <w:vAlign w:val="bottom"/>
            <w:tcBorders>
              <w:left w:val="single" w:sz="8" w:color="CFF4FF"/>
              <w:bottom w:val="single" w:sz="8" w:color="auto"/>
              <w:right w:val="single" w:sz="8" w:color="auto"/>
            </w:tcBorders>
            <w:shd w:val="clear" w:color="auto" w:fill="CFF4FF"/>
          </w:tcPr>
          <w:p>
            <w:pPr>
              <w:ind w:left="20"/>
              <w:spacing w:after="0"/>
              <w:rPr>
                <w:sz w:val="20"/>
                <w:szCs w:val="20"/>
                <w:color w:val="auto"/>
              </w:rPr>
            </w:pPr>
            <w:r>
              <w:rPr>
                <w:rFonts w:ascii="Arial" w:cs="Arial" w:eastAsia="Arial" w:hAnsi="Arial"/>
                <w:sz w:val="18"/>
                <w:szCs w:val="18"/>
                <w:color w:val="auto"/>
              </w:rPr>
              <w:t>Mr. R Gaster (1)</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4FF"/>
              <w:right w:val="single" w:sz="8" w:color="auto"/>
            </w:tcBorders>
            <w:shd w:val="clear" w:color="auto" w:fill="CFF4FF"/>
          </w:tcPr>
          <w:p>
            <w:pPr>
              <w:spacing w:after="0"/>
              <w:rPr>
                <w:sz w:val="20"/>
                <w:szCs w:val="20"/>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4FF"/>
              <w:right w:val="single" w:sz="8" w:color="auto"/>
            </w:tcBorders>
            <w:shd w:val="clear" w:color="auto" w:fill="CFF4FF"/>
          </w:tcPr>
          <w:p>
            <w:pPr>
              <w:spacing w:after="0"/>
              <w:rPr>
                <w:sz w:val="20"/>
                <w:szCs w:val="20"/>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4FF"/>
              <w:right w:val="single" w:sz="8" w:color="auto"/>
            </w:tcBorders>
            <w:shd w:val="clear" w:color="auto" w:fill="CFF4FF"/>
          </w:tcPr>
          <w:p>
            <w:pPr>
              <w:spacing w:after="0"/>
              <w:rPr>
                <w:sz w:val="20"/>
                <w:szCs w:val="20"/>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9,015</w:t>
            </w:r>
          </w:p>
        </w:tc>
        <w:tc>
          <w:tcPr>
            <w:tcW w:w="140" w:type="dxa"/>
            <w:vAlign w:val="bottom"/>
            <w:tcBorders>
              <w:bottom w:val="single" w:sz="8" w:color="CFF4FF"/>
            </w:tcBorders>
            <w:shd w:val="clear" w:color="auto" w:fill="CFF4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Ms. E Björk</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42,036</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276,540</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318,576</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Ms. A. de Jonge - Schuermans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49,154</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187,449</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236,603</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-1190625</wp:posOffset>
            </wp:positionV>
            <wp:extent cx="76835"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-1190625</wp:posOffset>
            </wp:positionV>
            <wp:extent cx="85725" cy="154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-1190625</wp:posOffset>
            </wp:positionV>
            <wp:extent cx="85725" cy="154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-1190625</wp:posOffset>
            </wp:positionV>
            <wp:extent cx="77470"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-1190625</wp:posOffset>
            </wp:positionV>
            <wp:extent cx="85725"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-1190625</wp:posOffset>
            </wp:positionV>
            <wp:extent cx="85725" cy="154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-1190625</wp:posOffset>
            </wp:positionV>
            <wp:extent cx="85725"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-899795</wp:posOffset>
            </wp:positionV>
            <wp:extent cx="76835" cy="154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-899795</wp:posOffset>
            </wp:positionV>
            <wp:extent cx="85725" cy="154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-899795</wp:posOffset>
            </wp:positionV>
            <wp:extent cx="85725"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-899795</wp:posOffset>
            </wp:positionV>
            <wp:extent cx="77470"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-899795</wp:posOffset>
            </wp:positionV>
            <wp:extent cx="85725" cy="154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-899795</wp:posOffset>
            </wp:positionV>
            <wp:extent cx="85725"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-899795</wp:posOffset>
            </wp:positionV>
            <wp:extent cx="85725" cy="154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-607695</wp:posOffset>
            </wp:positionV>
            <wp:extent cx="76835"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-607695</wp:posOffset>
            </wp:positionV>
            <wp:extent cx="8572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-607695</wp:posOffset>
            </wp:positionV>
            <wp:extent cx="85725" cy="154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-607695</wp:posOffset>
            </wp:positionV>
            <wp:extent cx="77470"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-607695</wp:posOffset>
            </wp:positionV>
            <wp:extent cx="85725"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85725" cy="154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-607695</wp:posOffset>
            </wp:positionV>
            <wp:extent cx="85725" cy="154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-299720</wp:posOffset>
            </wp:positionV>
            <wp:extent cx="76835"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-299720</wp:posOffset>
            </wp:positionV>
            <wp:extent cx="85725" cy="154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-299720</wp:posOffset>
            </wp:positionV>
            <wp:extent cx="85725" cy="154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-299720</wp:posOffset>
            </wp:positionV>
            <wp:extent cx="77470" cy="154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-299720</wp:posOffset>
            </wp:positionV>
            <wp:extent cx="85725"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85725"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-8255</wp:posOffset>
            </wp:positionV>
            <wp:extent cx="768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-8255</wp:posOffset>
            </wp:positionV>
            <wp:extent cx="857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857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857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857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 Not part of the Board of Directors per year end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represents the impact in the result of the Company for the expenses granted to the members of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held by the Board of Directors in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 options held by the Board of Directors in the Company:</w:t>
      </w: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granted for</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granted for</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the year ended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the year ended</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Grant date /</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auto"/>
              </w:rPr>
              <w:t>Grant date / Expiry</w:t>
            </w: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7"/>
                <w:szCs w:val="17"/>
                <w:color w:val="auto"/>
              </w:rPr>
            </w:pPr>
          </w:p>
        </w:tc>
      </w:tr>
      <w:tr>
        <w:trPr>
          <w:trHeight w:val="223"/>
        </w:trPr>
        <w:tc>
          <w:tcPr>
            <w:tcW w:w="3320" w:type="dxa"/>
            <w:vAlign w:val="bottom"/>
          </w:tcPr>
          <w:p>
            <w:pPr>
              <w:spacing w:after="0"/>
              <w:rPr>
                <w:sz w:val="19"/>
                <w:szCs w:val="19"/>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Expiry date</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Exercise price</w:t>
            </w:r>
          </w:p>
        </w:tc>
        <w:tc>
          <w:tcPr>
            <w:tcW w:w="12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1680" w:type="dxa"/>
            <w:vAlign w:val="bottom"/>
          </w:tcPr>
          <w:p>
            <w:pPr>
              <w:jc w:val="right"/>
              <w:ind w:right="639"/>
              <w:spacing w:after="0"/>
              <w:rPr>
                <w:sz w:val="20"/>
                <w:szCs w:val="20"/>
                <w:color w:val="auto"/>
              </w:rPr>
            </w:pPr>
            <w:r>
              <w:rPr>
                <w:rFonts w:ascii="Arial" w:cs="Arial" w:eastAsia="Arial" w:hAnsi="Arial"/>
                <w:sz w:val="16"/>
                <w:szCs w:val="16"/>
                <w:b w:val="1"/>
                <w:bCs w:val="1"/>
                <w:color w:val="auto"/>
              </w:rPr>
              <w:t>date</w:t>
            </w: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price</w:t>
            </w:r>
          </w:p>
        </w:tc>
        <w:tc>
          <w:tcPr>
            <w:tcW w:w="140" w:type="dxa"/>
            <w:vAlign w:val="bottom"/>
          </w:tcPr>
          <w:p>
            <w:pPr>
              <w:spacing w:after="0"/>
              <w:rPr>
                <w:sz w:val="19"/>
                <w:szCs w:val="19"/>
                <w:color w:val="auto"/>
              </w:rPr>
            </w:pPr>
          </w:p>
        </w:tc>
      </w:tr>
      <w:tr>
        <w:trPr>
          <w:trHeight w:val="223"/>
        </w:trPr>
        <w:tc>
          <w:tcPr>
            <w:tcW w:w="33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0"/>
        </w:trPr>
        <w:tc>
          <w:tcPr>
            <w:tcW w:w="3320" w:type="dxa"/>
            <w:vAlign w:val="bottom"/>
            <w:shd w:val="clear" w:color="auto" w:fill="CFF0FC"/>
          </w:tcPr>
          <w:p>
            <w:pPr>
              <w:ind w:left="60"/>
              <w:spacing w:after="0"/>
              <w:rPr>
                <w:sz w:val="20"/>
                <w:szCs w:val="20"/>
                <w:color w:val="auto"/>
              </w:rPr>
            </w:pPr>
            <w:r>
              <w:rPr>
                <w:rFonts w:ascii="Arial" w:cs="Arial" w:eastAsia="Arial" w:hAnsi="Arial"/>
                <w:sz w:val="16"/>
                <w:szCs w:val="16"/>
                <w:color w:val="auto"/>
              </w:rPr>
              <w:t>Mr. B. Modig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2022</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2021</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0FC"/>
          </w:tcPr>
          <w:p>
            <w:pPr>
              <w:spacing w:after="0"/>
              <w:rPr>
                <w:sz w:val="19"/>
                <w:szCs w:val="19"/>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ind w:left="60"/>
              <w:spacing w:after="0"/>
              <w:rPr>
                <w:sz w:val="20"/>
                <w:szCs w:val="20"/>
                <w:color w:val="auto"/>
              </w:rPr>
            </w:pPr>
            <w:r>
              <w:rPr>
                <w:rFonts w:ascii="Arial" w:cs="Arial" w:eastAsia="Arial" w:hAnsi="Arial"/>
                <w:sz w:val="16"/>
                <w:szCs w:val="16"/>
                <w:color w:val="auto"/>
              </w:rPr>
              <w:t>Mr. D. Meeker</w:t>
            </w: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17,500</w:t>
            </w: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Arial" w:cs="Arial" w:eastAsia="Arial" w:hAnsi="Arial"/>
                <w:sz w:val="16"/>
                <w:szCs w:val="16"/>
                <w:color w:val="auto"/>
              </w:rPr>
              <w:t>April 1, 2022</w:t>
            </w:r>
          </w:p>
        </w:tc>
        <w:tc>
          <w:tcPr>
            <w:tcW w:w="1140" w:type="dxa"/>
            <w:vAlign w:val="bottom"/>
            <w:shd w:val="clear" w:color="auto" w:fill="CFF4FF"/>
          </w:tcPr>
          <w:p>
            <w:pPr>
              <w:jc w:val="right"/>
              <w:spacing w:after="0"/>
              <w:rPr>
                <w:sz w:val="20"/>
                <w:szCs w:val="20"/>
                <w:color w:val="auto"/>
              </w:rPr>
            </w:pPr>
            <w:r>
              <w:rPr>
                <w:rFonts w:ascii="Arial" w:cs="Arial" w:eastAsia="Arial" w:hAnsi="Arial"/>
                <w:sz w:val="16"/>
                <w:szCs w:val="16"/>
                <w:color w:val="auto"/>
              </w:rPr>
              <w:t>7.89</w:t>
            </w: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January 1, 2021</w:t>
            </w:r>
          </w:p>
        </w:tc>
        <w:tc>
          <w:tcPr>
            <w:tcW w:w="8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7.89</w:t>
            </w: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January 1,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0FC"/>
          </w:tcPr>
          <w:p>
            <w:pPr>
              <w:ind w:left="60"/>
              <w:spacing w:after="0"/>
              <w:rPr>
                <w:sz w:val="20"/>
                <w:szCs w:val="20"/>
                <w:color w:val="auto"/>
              </w:rPr>
            </w:pPr>
            <w:r>
              <w:rPr>
                <w:rFonts w:ascii="Arial" w:cs="Arial" w:eastAsia="Arial" w:hAnsi="Arial"/>
                <w:sz w:val="16"/>
                <w:szCs w:val="16"/>
                <w:color w:val="auto"/>
              </w:rPr>
              <w:t>Ms. E. Björk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2022</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January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spacing w:after="0"/>
              <w:rPr>
                <w:sz w:val="20"/>
                <w:szCs w:val="20"/>
                <w:color w:val="auto"/>
              </w:rPr>
            </w:pP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17,500</w:t>
            </w: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Arial" w:cs="Arial" w:eastAsia="Arial" w:hAnsi="Arial"/>
                <w:sz w:val="16"/>
                <w:szCs w:val="16"/>
                <w:color w:val="auto"/>
              </w:rPr>
              <w:t>April 1, 2022</w:t>
            </w:r>
          </w:p>
        </w:tc>
        <w:tc>
          <w:tcPr>
            <w:tcW w:w="114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18.14</w:t>
            </w: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spacing w:after="0"/>
              <w:rPr>
                <w:sz w:val="20"/>
                <w:szCs w:val="20"/>
                <w:color w:val="auto"/>
              </w:rPr>
            </w:pPr>
          </w:p>
        </w:tc>
        <w:tc>
          <w:tcPr>
            <w:tcW w:w="88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ind w:left="60"/>
              <w:spacing w:after="0"/>
              <w:rPr>
                <w:sz w:val="20"/>
                <w:szCs w:val="20"/>
                <w:color w:val="auto"/>
              </w:rPr>
            </w:pPr>
            <w:r>
              <w:rPr>
                <w:rFonts w:ascii="Arial" w:cs="Arial" w:eastAsia="Arial" w:hAnsi="Arial"/>
                <w:sz w:val="16"/>
                <w:szCs w:val="16"/>
                <w:color w:val="auto"/>
              </w:rPr>
              <w:t>Mr. H. Schikan</w:t>
            </w: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17,500</w:t>
            </w: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Arial" w:cs="Arial" w:eastAsia="Arial" w:hAnsi="Arial"/>
                <w:sz w:val="16"/>
                <w:szCs w:val="16"/>
                <w:color w:val="auto"/>
              </w:rPr>
              <w:t>April 1, 2022</w:t>
            </w:r>
          </w:p>
        </w:tc>
        <w:tc>
          <w:tcPr>
            <w:tcW w:w="114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18.14</w:t>
            </w: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February 5, 2021</w:t>
            </w:r>
          </w:p>
        </w:tc>
        <w:tc>
          <w:tcPr>
            <w:tcW w:w="8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0FC"/>
          </w:tcPr>
          <w:p>
            <w:pPr>
              <w:ind w:left="60"/>
              <w:spacing w:after="0"/>
              <w:rPr>
                <w:sz w:val="20"/>
                <w:szCs w:val="20"/>
                <w:color w:val="auto"/>
              </w:rPr>
            </w:pPr>
            <w:r>
              <w:rPr>
                <w:rFonts w:ascii="Arial" w:cs="Arial" w:eastAsia="Arial" w:hAnsi="Arial"/>
                <w:sz w:val="16"/>
                <w:szCs w:val="16"/>
                <w:color w:val="auto"/>
              </w:rPr>
              <w:t>Mr. M. Kleijwegt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2021</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0FC"/>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ind w:left="60"/>
              <w:spacing w:after="0"/>
              <w:rPr>
                <w:sz w:val="20"/>
                <w:szCs w:val="20"/>
                <w:color w:val="auto"/>
              </w:rPr>
            </w:pPr>
            <w:r>
              <w:rPr>
                <w:rFonts w:ascii="Arial" w:cs="Arial" w:eastAsia="Arial" w:hAnsi="Arial"/>
                <w:sz w:val="16"/>
                <w:szCs w:val="16"/>
                <w:color w:val="auto"/>
              </w:rPr>
              <w:t>Mr. R. Droller</w:t>
            </w: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spacing w:after="0"/>
              <w:rPr>
                <w:sz w:val="20"/>
                <w:szCs w:val="20"/>
                <w:color w:val="auto"/>
              </w:rPr>
            </w:pPr>
          </w:p>
        </w:tc>
        <w:tc>
          <w:tcPr>
            <w:tcW w:w="1140" w:type="dxa"/>
            <w:vAlign w:val="bottom"/>
            <w:shd w:val="clear" w:color="auto" w:fill="CFF4FF"/>
          </w:tcPr>
          <w:p>
            <w:pPr>
              <w:spacing w:after="0"/>
              <w:rPr>
                <w:sz w:val="20"/>
                <w:szCs w:val="20"/>
                <w:color w:val="auto"/>
              </w:rPr>
            </w:pP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February 5, 2021</w:t>
            </w:r>
          </w:p>
        </w:tc>
        <w:tc>
          <w:tcPr>
            <w:tcW w:w="8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ind w:left="60"/>
              <w:spacing w:after="0"/>
              <w:rPr>
                <w:sz w:val="20"/>
                <w:szCs w:val="20"/>
                <w:color w:val="auto"/>
              </w:rPr>
            </w:pPr>
            <w:r>
              <w:rPr>
                <w:rFonts w:ascii="Arial" w:cs="Arial" w:eastAsia="Arial" w:hAnsi="Arial"/>
                <w:sz w:val="16"/>
                <w:szCs w:val="16"/>
                <w:color w:val="auto"/>
              </w:rPr>
              <w:t>Mr. R. Glassman</w:t>
            </w: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17,500</w:t>
            </w: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Arial" w:cs="Arial" w:eastAsia="Arial" w:hAnsi="Arial"/>
                <w:sz w:val="16"/>
                <w:szCs w:val="16"/>
                <w:color w:val="auto"/>
              </w:rPr>
              <w:t>April 1, 2022</w:t>
            </w:r>
          </w:p>
        </w:tc>
        <w:tc>
          <w:tcPr>
            <w:tcW w:w="114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18.14</w:t>
            </w: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January 1, 2021</w:t>
            </w:r>
          </w:p>
        </w:tc>
        <w:tc>
          <w:tcPr>
            <w:tcW w:w="8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7.89</w:t>
            </w: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January 1,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spacing w:after="0"/>
              <w:rPr>
                <w:sz w:val="20"/>
                <w:szCs w:val="20"/>
                <w:color w:val="auto"/>
              </w:rPr>
            </w:pPr>
          </w:p>
        </w:tc>
        <w:tc>
          <w:tcPr>
            <w:tcW w:w="106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spacing w:after="0"/>
              <w:rPr>
                <w:sz w:val="20"/>
                <w:szCs w:val="20"/>
                <w:color w:val="auto"/>
              </w:rPr>
            </w:pPr>
          </w:p>
        </w:tc>
        <w:tc>
          <w:tcPr>
            <w:tcW w:w="1140" w:type="dxa"/>
            <w:vAlign w:val="bottom"/>
            <w:shd w:val="clear" w:color="auto" w:fill="CFF4FF"/>
          </w:tcPr>
          <w:p>
            <w:pPr>
              <w:spacing w:after="0"/>
              <w:rPr>
                <w:sz w:val="20"/>
                <w:szCs w:val="20"/>
                <w:color w:val="auto"/>
              </w:rPr>
            </w:pP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8,000</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February 5, 2021</w:t>
            </w:r>
          </w:p>
        </w:tc>
        <w:tc>
          <w:tcPr>
            <w:tcW w:w="8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ind w:left="60"/>
              <w:spacing w:after="0"/>
              <w:rPr>
                <w:sz w:val="20"/>
                <w:szCs w:val="20"/>
                <w:color w:val="auto"/>
              </w:rPr>
            </w:pPr>
            <w:r>
              <w:rPr>
                <w:rFonts w:ascii="Arial" w:cs="Arial" w:eastAsia="Arial" w:hAnsi="Arial"/>
                <w:sz w:val="16"/>
                <w:szCs w:val="16"/>
                <w:color w:val="auto"/>
              </w:rPr>
              <w:t>Ms. V. Monges</w:t>
            </w: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17,500</w:t>
            </w:r>
          </w:p>
        </w:tc>
        <w:tc>
          <w:tcPr>
            <w:tcW w:w="14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Arial" w:cs="Arial" w:eastAsia="Arial" w:hAnsi="Arial"/>
                <w:sz w:val="16"/>
                <w:szCs w:val="16"/>
                <w:color w:val="auto"/>
              </w:rPr>
              <w:t>April 1, 2022</w:t>
            </w:r>
          </w:p>
        </w:tc>
        <w:tc>
          <w:tcPr>
            <w:tcW w:w="114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18.14</w:t>
            </w:r>
          </w:p>
        </w:tc>
        <w:tc>
          <w:tcPr>
            <w:tcW w:w="1220" w:type="dxa"/>
            <w:vAlign w:val="bottom"/>
            <w:gridSpan w:val="2"/>
            <w:shd w:val="clear" w:color="auto" w:fill="CFF4FF"/>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July 1, 2021</w:t>
            </w:r>
          </w:p>
        </w:tc>
        <w:tc>
          <w:tcPr>
            <w:tcW w:w="8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17.43</w:t>
            </w:r>
          </w:p>
        </w:tc>
        <w:tc>
          <w:tcPr>
            <w:tcW w:w="140" w:type="dxa"/>
            <w:vAlign w:val="bottom"/>
            <w:shd w:val="clear" w:color="auto" w:fill="CFF4FF"/>
          </w:tcPr>
          <w:p>
            <w:pPr>
              <w:spacing w:after="0"/>
              <w:rPr>
                <w:sz w:val="20"/>
                <w:szCs w:val="20"/>
                <w:color w:val="auto"/>
              </w:rPr>
            </w:pPr>
          </w:p>
        </w:tc>
      </w:tr>
      <w:tr>
        <w:trPr>
          <w:trHeight w:val="220"/>
        </w:trPr>
        <w:tc>
          <w:tcPr>
            <w:tcW w:w="3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July 1, 2031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20" w:type="dxa"/>
            <w:vAlign w:val="bottom"/>
            <w:shd w:val="clear" w:color="auto" w:fill="CFF4FF"/>
          </w:tcPr>
          <w:p>
            <w:pPr>
              <w:ind w:left="60"/>
              <w:spacing w:after="0"/>
              <w:rPr>
                <w:sz w:val="20"/>
                <w:szCs w:val="20"/>
                <w:color w:val="auto"/>
              </w:rPr>
            </w:pPr>
            <w:r>
              <w:rPr>
                <w:rFonts w:ascii="Arial" w:cs="Arial" w:eastAsia="Arial" w:hAnsi="Arial"/>
                <w:sz w:val="16"/>
                <w:szCs w:val="16"/>
                <w:color w:val="auto"/>
              </w:rPr>
              <w:t>Ms. De Jonge Schuermans</w:t>
            </w:r>
          </w:p>
        </w:tc>
        <w:tc>
          <w:tcPr>
            <w:tcW w:w="1060" w:type="dxa"/>
            <w:vAlign w:val="bottom"/>
            <w:shd w:val="clear" w:color="auto" w:fill="CFF4FF"/>
          </w:tcPr>
          <w:p>
            <w:pPr>
              <w:jc w:val="right"/>
              <w:spacing w:after="0"/>
              <w:rPr>
                <w:sz w:val="20"/>
                <w:szCs w:val="20"/>
                <w:color w:val="auto"/>
              </w:rPr>
            </w:pPr>
            <w:r>
              <w:rPr>
                <w:rFonts w:ascii="Arial" w:cs="Arial" w:eastAsia="Arial" w:hAnsi="Arial"/>
                <w:sz w:val="16"/>
                <w:szCs w:val="16"/>
                <w:color w:val="auto"/>
              </w:rPr>
              <w:t>35,000</w:t>
            </w:r>
          </w:p>
        </w:tc>
        <w:tc>
          <w:tcPr>
            <w:tcW w:w="140" w:type="dxa"/>
            <w:vAlign w:val="bottom"/>
            <w:shd w:val="clear" w:color="auto" w:fill="CFF4FF"/>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2022</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40" w:type="dxa"/>
            <w:vAlign w:val="bottom"/>
            <w:shd w:val="clear" w:color="auto" w:fill="CFF0FC"/>
          </w:tcPr>
          <w:p>
            <w:pPr>
              <w:spacing w:after="0"/>
              <w:rPr>
                <w:sz w:val="20"/>
                <w:szCs w:val="20"/>
                <w:color w:val="auto"/>
              </w:rPr>
            </w:pPr>
          </w:p>
        </w:tc>
        <w:tc>
          <w:tcPr>
            <w:tcW w:w="1080" w:type="dxa"/>
            <w:vAlign w:val="bottom"/>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4FF"/>
          </w:tcPr>
          <w:p>
            <w:pPr>
              <w:spacing w:after="0"/>
              <w:rPr>
                <w:sz w:val="20"/>
                <w:szCs w:val="20"/>
                <w:color w:val="auto"/>
              </w:rPr>
            </w:pPr>
          </w:p>
        </w:tc>
        <w:tc>
          <w:tcPr>
            <w:tcW w:w="1680" w:type="dxa"/>
            <w:vAlign w:val="bottom"/>
            <w:shd w:val="clear" w:color="auto" w:fill="CFF4FF"/>
          </w:tcPr>
          <w:p>
            <w:pPr>
              <w:spacing w:after="0"/>
              <w:rPr>
                <w:sz w:val="20"/>
                <w:szCs w:val="20"/>
                <w:color w:val="auto"/>
              </w:rPr>
            </w:pPr>
          </w:p>
        </w:tc>
        <w:tc>
          <w:tcPr>
            <w:tcW w:w="88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January 1, 2032</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Regarding the vesting dates, 1/4th of the aggregate number of shares subject to the option shall vest on the 12-month anniversary of the applicable vesting commencement date and 1/48th of the aggregate number of shares subject to the option shall vest on each subsequent monthly anniversary of the applicable vesting commencement date until either the option is fully vested or the option-holder’s continuous service terminates.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21"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Non-cancellable service contracts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 B2 receptor antagonist.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Commitment for the minimum payments in relation to the non-cancellable service contracts are payable as follows:</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Arial" w:cs="Arial" w:eastAsia="Arial" w:hAnsi="Arial"/>
                <w:sz w:val="13"/>
                <w:szCs w:val="13"/>
                <w:b w:val="1"/>
                <w:bCs w:val="1"/>
                <w:color w:val="auto"/>
              </w:rPr>
              <w:t>2022</w:t>
            </w:r>
          </w:p>
        </w:tc>
        <w:tc>
          <w:tcPr>
            <w:tcW w:w="1280" w:type="dxa"/>
            <w:vAlign w:val="bottom"/>
            <w:gridSpan w:val="2"/>
          </w:tcPr>
          <w:p>
            <w:pPr>
              <w:jc w:val="right"/>
              <w:ind w:right="305"/>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r>
      <w:tr>
        <w:trPr>
          <w:trHeight w:val="155"/>
        </w:trPr>
        <w:tc>
          <w:tcPr>
            <w:tcW w:w="54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Within one year</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21,819,000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16,153,000</w:t>
            </w:r>
          </w:p>
        </w:tc>
        <w:tc>
          <w:tcPr>
            <w:tcW w:w="120" w:type="dxa"/>
            <w:vAlign w:val="bottom"/>
            <w:shd w:val="clear" w:color="auto" w:fill="CFF0FC"/>
          </w:tcPr>
          <w:p>
            <w:pPr>
              <w:spacing w:after="0"/>
              <w:rPr>
                <w:sz w:val="18"/>
                <w:szCs w:val="18"/>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Later than one year but not later than five years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6,153,000</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3,351,000</w:t>
            </w:r>
          </w:p>
        </w:tc>
        <w:tc>
          <w:tcPr>
            <w:tcW w:w="120" w:type="dxa"/>
            <w:vAlign w:val="bottom"/>
          </w:tcPr>
          <w:p>
            <w:pPr>
              <w:spacing w:after="0"/>
              <w:rPr>
                <w:sz w:val="18"/>
                <w:szCs w:val="18"/>
                <w:color w:val="auto"/>
              </w:rPr>
            </w:pPr>
          </w:p>
        </w:tc>
      </w:tr>
      <w:tr>
        <w:trPr>
          <w:trHeight w:val="249"/>
        </w:trPr>
        <w:tc>
          <w:tcPr>
            <w:tcW w:w="54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27,972,000</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19,504,000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2"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On March 31, 2016, the Company entered into a license agreement (the “AnalytiCon License”) and a research agreement with AnalytiCon to collaborate for the development of an orally available bradykinin B2 receptor antagonist. Pursuant to the AnalytiCon License, the Company acquired a worldwide, exclusive license from AnalytiCon to use (i) a certain proprietary substance class of bradykinin B2 receptor antagonists with the potential of oral activity (“OB2RA”) and</w:t>
      </w:r>
    </w:p>
    <w:p>
      <w:pPr>
        <w:spacing w:after="0" w:line="2" w:lineRule="exact"/>
        <w:rPr>
          <w:sz w:val="20"/>
          <w:szCs w:val="20"/>
          <w:color w:val="auto"/>
        </w:rPr>
      </w:pPr>
    </w:p>
    <w:p>
      <w:pPr>
        <w:ind w:right="540" w:firstLine="8"/>
        <w:spacing w:after="0" w:line="260" w:lineRule="auto"/>
        <w:tabs>
          <w:tab w:leader="none" w:pos="2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derivatives, improvements, analogs, isomers, metabolites, or conjugates therefrom (together “OB2RA Class”), in each case, for the purpose of developing, manufacturing and</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1"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marketing compounds on a global basis from the OB2RA Class for the treatment of, among others, hereditary angioedema. Certain rights associated with deucrictibant, PHVS416 and PHVS719 are subject to the AnalytiCon License.</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the AnalytiCon License, up to €10.5 million in aggregate potential milestone payments remain outstanding. In addition, the Company will be required to pay AnalytiCon low to medium single-digit tiered royalties on direct or indirect net sales of licensed products. The royalties that the Company is required to pay AnalytiCon under this agreement may be reduced on a country-by-country and product-by-product basis if sales of a generic version of a product account for 1% or more of the relevant market.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at December 31, 2022 and 2021.</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Events after the reporting period</w:t>
      </w:r>
    </w:p>
    <w:p>
      <w:pPr>
        <w:spacing w:after="0" w:line="337"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auto"/>
        </w:rPr>
        <w:t>The Company has evaluated subsequent events through May 30, 2023, which is the date the consolidated financial statements were authorized for issuance, and did not identify any significant event after the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Signature page to the Dutch Annual Report of Pharvaris N.V. for the fiscal year ended December 31, 2022</w:t>
      </w:r>
    </w:p>
    <w:p>
      <w:pPr>
        <w:sectPr>
          <w:pgSz w:w="11900" w:h="16838" w:orient="portrait"/>
          <w:cols w:equalWidth="0" w:num="1">
            <w:col w:w="10139"/>
          </w:cols>
          <w:pgMar w:left="320" w:top="1093" w:right="1440" w:bottom="1440" w:gutter="0" w:footer="0" w:header="0"/>
        </w:sect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May 30, 2023</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33947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339471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33947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339471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/s/ A.M. de Jonge Schuermans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3947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A.M de Jonge Schuermans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39471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3947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929" w:lineRule="exact"/>
        <w:rPr>
          <w:sz w:val="20"/>
          <w:szCs w:val="20"/>
          <w:color w:val="auto"/>
        </w:rPr>
      </w:pPr>
    </w:p>
    <w:p>
      <w:pPr>
        <w:sectPr>
          <w:pgSz w:w="11900" w:h="16838" w:orient="portrait"/>
          <w:cols w:equalWidth="0" w:num="2">
            <w:col w:w="5160" w:space="720"/>
            <w:col w:w="4259"/>
          </w:cols>
          <w:pgMar w:left="320" w:top="1093" w:right="1440"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0"/>
          <w:szCs w:val="10"/>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Company only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0"/>
          <w:szCs w:val="10"/>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7"/>
        </w:trPr>
        <w:tc>
          <w:tcPr>
            <w:tcW w:w="6480" w:type="dxa"/>
            <w:vAlign w:val="bottom"/>
          </w:tcPr>
          <w:p>
            <w:pPr>
              <w:spacing w:after="0"/>
              <w:rPr>
                <w:sz w:val="20"/>
                <w:szCs w:val="20"/>
                <w:color w:val="auto"/>
              </w:rPr>
            </w:pPr>
            <w:r>
              <w:rPr>
                <w:rFonts w:ascii="Arial" w:cs="Arial" w:eastAsia="Arial" w:hAnsi="Arial"/>
                <w:sz w:val="16"/>
                <w:szCs w:val="16"/>
                <w:b w:val="1"/>
                <w:bCs w:val="1"/>
                <w:color w:val="auto"/>
              </w:rPr>
              <w:t>Statement of financial position</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5"/>
        </w:trPr>
        <w:tc>
          <w:tcPr>
            <w:tcW w:w="6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2"/>
          </w:tcPr>
          <w:p>
            <w:pPr>
              <w:jc w:val="right"/>
              <w:ind w:right="1040"/>
              <w:spacing w:after="0"/>
              <w:rPr>
                <w:sz w:val="20"/>
                <w:szCs w:val="20"/>
                <w:color w:val="auto"/>
              </w:rPr>
            </w:pPr>
            <w:r>
              <w:rPr>
                <w:rFonts w:ascii="Arial" w:cs="Arial" w:eastAsia="Arial" w:hAnsi="Arial"/>
                <w:sz w:val="16"/>
                <w:szCs w:val="16"/>
                <w:b w:val="1"/>
                <w:bCs w:val="1"/>
                <w:color w:val="auto"/>
              </w:rPr>
              <w:t>As at</w:t>
            </w:r>
          </w:p>
        </w:tc>
        <w:tc>
          <w:tcPr>
            <w:tcW w:w="15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As at</w:t>
            </w:r>
          </w:p>
        </w:tc>
      </w:tr>
      <w:tr>
        <w:trPr>
          <w:trHeight w:val="216"/>
        </w:trPr>
        <w:tc>
          <w:tcPr>
            <w:tcW w:w="6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r>
      <w:tr>
        <w:trPr>
          <w:trHeight w:val="221"/>
        </w:trPr>
        <w:tc>
          <w:tcPr>
            <w:tcW w:w="6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10"/>
        </w:trPr>
        <w:tc>
          <w:tcPr>
            <w:tcW w:w="64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Notes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20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Financial Fixed Assets</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134,683,240</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4,765,437</w:t>
            </w:r>
          </w:p>
        </w:tc>
        <w:tc>
          <w:tcPr>
            <w:tcW w:w="140" w:type="dxa"/>
            <w:vAlign w:val="bottom"/>
            <w:shd w:val="clear" w:color="auto" w:fill="CFF0FC"/>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Receivables</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116,948</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1,185,264</w:t>
            </w:r>
          </w:p>
        </w:tc>
        <w:tc>
          <w:tcPr>
            <w:tcW w:w="140" w:type="dxa"/>
            <w:vAlign w:val="bottom"/>
            <w:shd w:val="clear" w:color="auto" w:fill="CFF0FC"/>
          </w:tcPr>
          <w:p>
            <w:pPr>
              <w:spacing w:after="0"/>
              <w:rPr>
                <w:sz w:val="18"/>
                <w:szCs w:val="18"/>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Prepayments, other receivables and deferred expenses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1,025,391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487,155</w:t>
            </w:r>
          </w:p>
        </w:tc>
        <w:tc>
          <w:tcPr>
            <w:tcW w:w="140" w:type="dxa"/>
            <w:vAlign w:val="bottom"/>
          </w:tcPr>
          <w:p>
            <w:pPr>
              <w:spacing w:after="0"/>
              <w:rPr>
                <w:sz w:val="18"/>
                <w:szCs w:val="18"/>
                <w:color w:val="auto"/>
              </w:rPr>
            </w:pPr>
          </w:p>
        </w:tc>
      </w:tr>
      <w:tr>
        <w:trPr>
          <w:trHeight w:val="21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9"/>
              </w:rPr>
              <w:t>4</w:t>
            </w:r>
          </w:p>
        </w:tc>
        <w:tc>
          <w:tcPr>
            <w:tcW w:w="1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14,556,660</w:t>
            </w:r>
          </w:p>
        </w:tc>
        <w:tc>
          <w:tcPr>
            <w:tcW w:w="2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199,154,370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150,382,239</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205,592,226</w:t>
            </w:r>
          </w:p>
        </w:tc>
        <w:tc>
          <w:tcPr>
            <w:tcW w:w="14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capital</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3,978,227</w:t>
            </w:r>
          </w:p>
        </w:tc>
        <w:tc>
          <w:tcPr>
            <w:tcW w:w="140" w:type="dxa"/>
            <w:vAlign w:val="bottom"/>
            <w:shd w:val="clear" w:color="auto" w:fill="CFF0FC"/>
          </w:tcPr>
          <w:p>
            <w:pPr>
              <w:spacing w:after="0"/>
              <w:rPr>
                <w:sz w:val="18"/>
                <w:szCs w:val="18"/>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Share premium</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289,177,197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278,742,900</w:t>
            </w:r>
          </w:p>
        </w:tc>
        <w:tc>
          <w:tcPr>
            <w:tcW w:w="140" w:type="dxa"/>
            <w:vAlign w:val="bottom"/>
          </w:tcPr>
          <w:p>
            <w:pPr>
              <w:spacing w:after="0"/>
              <w:rPr>
                <w:sz w:val="18"/>
                <w:szCs w:val="18"/>
                <w:color w:val="auto"/>
              </w:rPr>
            </w:pPr>
          </w:p>
        </w:tc>
      </w:tr>
      <w:tr>
        <w:trPr>
          <w:trHeight w:val="21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reserves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9,774,416</w:t>
            </w:r>
          </w:p>
        </w:tc>
        <w:tc>
          <w:tcPr>
            <w:tcW w:w="140" w:type="dxa"/>
            <w:vAlign w:val="bottom"/>
            <w:shd w:val="clear" w:color="auto" w:fill="CFF0FC"/>
          </w:tcPr>
          <w:p>
            <w:pPr>
              <w:spacing w:after="0"/>
              <w:rPr>
                <w:sz w:val="19"/>
                <w:szCs w:val="19"/>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Legal reserve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43,290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25,928</w:t>
            </w:r>
          </w:p>
        </w:tc>
        <w:tc>
          <w:tcPr>
            <w:tcW w:w="140" w:type="dxa"/>
            <w:vAlign w:val="bottom"/>
          </w:tcPr>
          <w:p>
            <w:pPr>
              <w:spacing w:after="0"/>
              <w:rPr>
                <w:sz w:val="18"/>
                <w:szCs w:val="18"/>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loss</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(164,188,892 )</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(87,568,401 )</w:t>
            </w:r>
          </w:p>
        </w:tc>
      </w:tr>
      <w:tr>
        <w:trPr>
          <w:trHeight w:val="213"/>
        </w:trPr>
        <w:tc>
          <w:tcPr>
            <w:tcW w:w="64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9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149,259,030</w:t>
            </w:r>
          </w:p>
        </w:tc>
        <w:tc>
          <w:tcPr>
            <w:tcW w:w="28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204,953,070</w:t>
            </w:r>
          </w:p>
        </w:tc>
        <w:tc>
          <w:tcPr>
            <w:tcW w:w="140" w:type="dxa"/>
            <w:vAlign w:val="bottom"/>
            <w:tcBorders>
              <w:top w:val="single" w:sz="8" w:color="CFF0FC"/>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381,838</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172,342</w:t>
            </w:r>
          </w:p>
        </w:tc>
        <w:tc>
          <w:tcPr>
            <w:tcW w:w="140" w:type="dxa"/>
            <w:vAlign w:val="bottom"/>
          </w:tcPr>
          <w:p>
            <w:pPr>
              <w:spacing w:after="0"/>
              <w:rPr>
                <w:sz w:val="18"/>
                <w:szCs w:val="18"/>
                <w:color w:val="auto"/>
              </w:rPr>
            </w:pPr>
          </w:p>
        </w:tc>
      </w:tr>
      <w:tr>
        <w:trPr>
          <w:trHeight w:val="21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7</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533,880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466,814</w:t>
            </w:r>
          </w:p>
        </w:tc>
        <w:tc>
          <w:tcPr>
            <w:tcW w:w="140" w:type="dxa"/>
            <w:vAlign w:val="bottom"/>
            <w:shd w:val="clear" w:color="auto" w:fill="CFF0FC"/>
          </w:tcPr>
          <w:p>
            <w:pPr>
              <w:spacing w:after="0"/>
              <w:rPr>
                <w:sz w:val="19"/>
                <w:szCs w:val="19"/>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Current tax payable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207,491</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9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1,123,209</w:t>
            </w:r>
          </w:p>
        </w:tc>
        <w:tc>
          <w:tcPr>
            <w:tcW w:w="2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639,156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150,382,239</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205,592,226</w:t>
            </w:r>
          </w:p>
        </w:tc>
        <w:tc>
          <w:tcPr>
            <w:tcW w:w="14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-2159635</wp:posOffset>
            </wp:positionV>
            <wp:extent cx="85725" cy="1714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-2159635</wp:posOffset>
            </wp:positionV>
            <wp:extent cx="85725"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-1028065</wp:posOffset>
            </wp:positionV>
            <wp:extent cx="85725"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-1028065</wp:posOffset>
            </wp:positionV>
            <wp:extent cx="85725" cy="1714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85725"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color w:val="auto"/>
        </w:rPr>
        <w:t>Statement of profit or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 ended December 31,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Years ended December 31,</w:t>
            </w:r>
          </w:p>
        </w:tc>
        <w:tc>
          <w:tcPr>
            <w:tcW w:w="0" w:type="dxa"/>
            <w:vAlign w:val="bottom"/>
          </w:tcPr>
          <w:p>
            <w:pPr>
              <w:spacing w:after="0"/>
              <w:rPr>
                <w:sz w:val="1"/>
                <w:szCs w:val="1"/>
                <w:color w:val="auto"/>
              </w:rPr>
            </w:pPr>
          </w:p>
        </w:tc>
      </w:tr>
      <w:tr>
        <w:trPr>
          <w:trHeight w:val="170"/>
        </w:trPr>
        <w:tc>
          <w:tcPr>
            <w:tcW w:w="6940" w:type="dxa"/>
            <w:vAlign w:val="bottom"/>
          </w:tcPr>
          <w:p>
            <w:pPr>
              <w:spacing w:after="0"/>
              <w:rPr>
                <w:sz w:val="14"/>
                <w:szCs w:val="14"/>
                <w:color w:val="auto"/>
              </w:rPr>
            </w:pPr>
          </w:p>
        </w:tc>
        <w:tc>
          <w:tcPr>
            <w:tcW w:w="92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Note</w:t>
            </w:r>
          </w:p>
        </w:tc>
        <w:tc>
          <w:tcPr>
            <w:tcW w:w="160" w:type="dxa"/>
            <w:vAlign w:val="bottom"/>
            <w:vMerge w:val="restart"/>
          </w:tcPr>
          <w:p>
            <w:pPr>
              <w:spacing w:after="0"/>
              <w:rPr>
                <w:sz w:val="14"/>
                <w:szCs w:val="14"/>
                <w:color w:val="auto"/>
              </w:rPr>
            </w:pP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in results of participating interests</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1, 9</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(75,872,853 )</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(55,581,832 )</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Other income and expenses after taxes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(459,704 )</w:t>
            </w:r>
          </w:p>
        </w:tc>
        <w:tc>
          <w:tcPr>
            <w:tcW w:w="1180" w:type="dxa"/>
            <w:vAlign w:val="bottom"/>
          </w:tcPr>
          <w:p>
            <w:pPr>
              <w:jc w:val="right"/>
              <w:spacing w:after="0"/>
              <w:rPr>
                <w:sz w:val="20"/>
                <w:szCs w:val="20"/>
                <w:color w:val="auto"/>
              </w:rPr>
            </w:pPr>
            <w:r>
              <w:rPr>
                <w:rFonts w:ascii="Arial" w:cs="Arial" w:eastAsia="Arial" w:hAnsi="Arial"/>
                <w:sz w:val="16"/>
                <w:szCs w:val="16"/>
                <w:color w:val="auto"/>
              </w:rPr>
              <w:t>12,851,053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for the year after tax</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(76,332,557 )</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(42,730,779 )</w:t>
            </w:r>
          </w:p>
        </w:tc>
        <w:tc>
          <w:tcPr>
            <w:tcW w:w="0" w:type="dxa"/>
            <w:vAlign w:val="bottom"/>
          </w:tcPr>
          <w:p>
            <w:pPr>
              <w:spacing w:after="0"/>
              <w:rPr>
                <w:sz w:val="1"/>
                <w:szCs w:val="1"/>
                <w:color w:val="auto"/>
              </w:rPr>
            </w:pPr>
          </w:p>
        </w:tc>
      </w:tr>
      <w:tr>
        <w:trPr>
          <w:trHeight w:val="20"/>
        </w:trPr>
        <w:tc>
          <w:tcPr>
            <w:tcW w:w="6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color w:val="auto"/>
        </w:rPr>
        <w:t>Notes to the Company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2" w:lineRule="exact"/>
        <w:rPr>
          <w:sz w:val="20"/>
          <w:szCs w:val="20"/>
          <w:color w:val="auto"/>
        </w:rPr>
      </w:pPr>
    </w:p>
    <w:p>
      <w:pPr>
        <w:jc w:val="both"/>
        <w:ind w:right="440"/>
        <w:spacing w:after="0" w:line="256" w:lineRule="auto"/>
        <w:rPr>
          <w:sz w:val="20"/>
          <w:szCs w:val="20"/>
          <w:color w:val="auto"/>
        </w:rPr>
      </w:pPr>
      <w:r>
        <w:rPr>
          <w:rFonts w:ascii="Arial" w:cs="Arial" w:eastAsia="Arial" w:hAnsi="Arial"/>
          <w:sz w:val="16"/>
          <w:szCs w:val="16"/>
          <w:color w:val="auto"/>
        </w:rPr>
        <w:t>These company financial statements and the consolidated financial statements together constitute the statutory financial statements of Pharvaris N.V. (hereinafter: the “Company” or “Pharvaris”). The financial information of the Company is included in the Group’s consolidated financial statements, as presented on pages 92 to 120. The company’s financial statements are prepared based on the accounting principles of recognition, measurement and determination of profit, as applied in the consolidated financial statements.</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On September 30, 2015, Pharvaris N.V. was incorporated and is based in Leiden, the Netherlands. The address of its registered office is Emmy Noetherweg 2, Leiden.</w:t>
      </w:r>
    </w:p>
    <w:p>
      <w:pPr>
        <w:spacing w:after="0" w:line="144"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auto"/>
        </w:rPr>
        <w:t>The description of the Company’s activities and the Group structure as included in the notes to the consolidated financial statements also apply to the company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policies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2022 company financial statements including the notes thereon have been prepared in accordance with Part 9 of Book 2 of the Dutch Civil Code. Section 2:362 (8) of the Dutch Civil Code, allows companies that apply IFRS as issued by the European Union in their consolidated financial statements to use the same measurement principles in their company financial statements. Pharvaris has prepared these company financial statements using this provision. These principles also include the classification and presentation of financial instruments, being equity instruments or financial liabilities.</w:t>
      </w:r>
    </w:p>
    <w:p>
      <w:pPr>
        <w:spacing w:after="0" w:line="160"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Since Pharvaris N.V.’s statement of profit or loss for 2022 is recognized in the consolidated financial statements, it is sufficient in the company financial statements to present a condensed statement of profit or loss in accordance with section 402 of Book 2 of the Dutch Civil Code.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Participating interest</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Consolidated subsidiaries are all entities (including intermediate subsidiaries) over which the company has control. The Company controls an entity when it is exposed, or has rights, to variable returns from its involvement with the subsidiary and has the ability to affect those returns through its power over the subsidiary. Subsidiaries are recognised from the date on which control is transferred to the Company or its intermediate holding entities. They are derecognised from the date that control ceases.</w:t>
      </w:r>
    </w:p>
    <w:p>
      <w:pPr>
        <w:spacing w:after="0" w:line="16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Investments in subsidiaries are measured using the net asset value method. The measurement of the financial fixed assets under the net asset value method is based on the measurement principles of assets, provisions and liabilities, and the determination of profit as applied in the consolidated financial statements. When subsidiaries have an equity deficit they are measured at zero under the net asset value method, unless the Company has given a liability undertaking or any other guarantee for the consolidated group company. In case of the latter, the Company recognises a provision in the statement of financial position equal to the negative net asset value of the group company. The Company has direct and indirect interests in the subsidiaries listed in the Other Information section of the consolidated financial statements. The company applies the Dutch GAAP with respect to the presentation and disclosure requirements. Under Dutch GAAP the measurement principles applied in the separate financial statements are equal to those applied in the consolidated financial statements due to the fact participating interests and subsidiaries are measured based on the net asset value method (which have similar characteristics to the equity method under IFRS).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of result in participating interest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share of result of participating interests consists of the share of the Group in the results of these participating interests.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income tax</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Company is the head of the fiscal unity including Pharvaris Holdings B.V. and Pharvaris Netherlands B.V. The Company recognizes the portion of corporate income tax charge that it would owe as an independent taxpayer, taking into account the allocation of the advantages of the fiscal unity. Deferred tax positions are recognized by the head of the fiscal unity in total. Under the standard conditions, the members of the tax group are jointly and severally liable for any corporate income taxes payable by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Presentation of company financial statements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7" w:name="page138"/>
    <w:bookmarkEnd w:id="137"/>
    <w:p>
      <w:pPr>
        <w:ind w:right="20"/>
        <w:spacing w:after="0" w:line="261" w:lineRule="auto"/>
        <w:rPr>
          <w:sz w:val="20"/>
          <w:szCs w:val="20"/>
          <w:color w:val="auto"/>
        </w:rPr>
      </w:pPr>
      <w:r>
        <w:rPr>
          <w:rFonts w:ascii="Arial" w:cs="Arial" w:eastAsia="Arial" w:hAnsi="Arial"/>
          <w:sz w:val="16"/>
          <w:szCs w:val="16"/>
          <w:color w:val="auto"/>
        </w:rPr>
        <w:t>The structure of the Company statement of financial position and Company Statement of profit or loss are aligned as much as possible with the Consolidated statements in order to achieve optimal transparency between the consolidated financial statements and the company financial statements. The Company statement of financial position has been prepared before the appropriation of results.</w:t>
      </w:r>
    </w:p>
    <w:p>
      <w:pPr>
        <w:sectPr>
          <w:pgSz w:w="11900" w:h="16838" w:orient="portrait"/>
          <w:cols w:equalWidth="0" w:num="1">
            <w:col w:w="11240"/>
          </w:cols>
          <w:pgMar w:left="320" w:top="534" w:right="33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Financial fixed assets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Movements in the financial fixed assets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At January 1, 2022</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book value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Movements in book value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Exchange differences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of loss of participations</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At December 31, 2022</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book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rPr>
              <w:t>Investment</w:t>
            </w:r>
          </w:p>
        </w:tc>
        <w:tc>
          <w:tcPr>
            <w:tcW w:w="14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Loans to</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6"/>
                <w:szCs w:val="16"/>
                <w:color w:val="auto"/>
              </w:rPr>
              <w:t>Total</w:t>
            </w:r>
          </w:p>
        </w:tc>
      </w:tr>
      <w:tr>
        <w:trPr>
          <w:trHeight w:val="216"/>
        </w:trPr>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rPr>
              <w:t>in consolidated</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consolidated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subsidiaries</w:t>
            </w:r>
          </w:p>
        </w:tc>
        <w:tc>
          <w:tcPr>
            <w:tcW w:w="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subsidiaries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r>
      <w:tr>
        <w:trPr>
          <w:trHeight w:val="415"/>
        </w:trPr>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(78,612,269 )</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83,377,706</w:t>
            </w: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4,765,437</w:t>
            </w:r>
          </w:p>
        </w:tc>
        <w:tc>
          <w:tcPr>
            <w:tcW w:w="60" w:type="dxa"/>
            <w:vAlign w:val="bottom"/>
          </w:tcPr>
          <w:p>
            <w:pPr>
              <w:spacing w:after="0"/>
              <w:rPr>
                <w:sz w:val="24"/>
                <w:szCs w:val="24"/>
                <w:color w:val="auto"/>
              </w:rPr>
            </w:pPr>
          </w:p>
        </w:tc>
      </w:tr>
      <w:tr>
        <w:trPr>
          <w:trHeight w:val="432"/>
        </w:trPr>
        <w:tc>
          <w:tcPr>
            <w:tcW w:w="1840" w:type="dxa"/>
            <w:vAlign w:val="bottom"/>
          </w:tcPr>
          <w:p>
            <w:pPr>
              <w:jc w:val="right"/>
              <w:spacing w:after="0"/>
              <w:rPr>
                <w:sz w:val="20"/>
                <w:szCs w:val="20"/>
                <w:color w:val="auto"/>
              </w:rPr>
            </w:pPr>
            <w:r>
              <w:rPr>
                <w:rFonts w:ascii="Arial" w:cs="Arial" w:eastAsia="Arial" w:hAnsi="Arial"/>
                <w:sz w:val="16"/>
                <w:szCs w:val="16"/>
                <w:color w:val="auto"/>
              </w:rPr>
              <w:t>157,602,811</w:t>
            </w:r>
          </w:p>
        </w:tc>
        <w:tc>
          <w:tcPr>
            <w:tcW w:w="12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48,170,483</w:t>
            </w: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205,773,294</w:t>
            </w:r>
          </w:p>
        </w:tc>
        <w:tc>
          <w:tcPr>
            <w:tcW w:w="60" w:type="dxa"/>
            <w:vAlign w:val="bottom"/>
          </w:tcPr>
          <w:p>
            <w:pPr>
              <w:spacing w:after="0"/>
              <w:rPr>
                <w:sz w:val="24"/>
                <w:szCs w:val="24"/>
                <w:color w:val="auto"/>
              </w:rPr>
            </w:pPr>
          </w:p>
        </w:tc>
      </w:tr>
      <w:tr>
        <w:trPr>
          <w:trHeight w:val="216"/>
        </w:trPr>
        <w:tc>
          <w:tcPr>
            <w:tcW w:w="1840" w:type="dxa"/>
            <w:vAlign w:val="bottom"/>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17,362</w:t>
            </w:r>
          </w:p>
        </w:tc>
        <w:tc>
          <w:tcPr>
            <w:tcW w:w="60" w:type="dxa"/>
            <w:vAlign w:val="bottom"/>
          </w:tcPr>
          <w:p>
            <w:pPr>
              <w:spacing w:after="0"/>
              <w:rPr>
                <w:sz w:val="18"/>
                <w:szCs w:val="18"/>
                <w:color w:val="auto"/>
              </w:rPr>
            </w:pPr>
          </w:p>
        </w:tc>
      </w:tr>
      <w:tr>
        <w:trPr>
          <w:trHeight w:val="219"/>
        </w:trPr>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(75,872,853 )</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4"/>
          </w:tcPr>
          <w:p>
            <w:pPr>
              <w:jc w:val="right"/>
              <w:spacing w:after="0"/>
              <w:rPr>
                <w:sz w:val="20"/>
                <w:szCs w:val="20"/>
                <w:color w:val="auto"/>
              </w:rPr>
            </w:pPr>
            <w:r>
              <w:rPr>
                <w:rFonts w:ascii="Arial" w:cs="Arial" w:eastAsia="Arial" w:hAnsi="Arial"/>
                <w:sz w:val="16"/>
                <w:szCs w:val="16"/>
                <w:color w:val="auto"/>
              </w:rPr>
              <w:t>(75,872,853 )</w:t>
            </w:r>
          </w:p>
        </w:tc>
      </w:tr>
      <w:tr>
        <w:trPr>
          <w:trHeight w:val="206"/>
        </w:trPr>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81,747,320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48,170,483</w:t>
            </w:r>
          </w:p>
        </w:tc>
        <w:tc>
          <w:tcPr>
            <w:tcW w:w="260" w:type="dxa"/>
            <w:vAlign w:val="bottom"/>
            <w:gridSpan w:val="2"/>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129,917,803</w:t>
            </w:r>
          </w:p>
        </w:tc>
        <w:tc>
          <w:tcPr>
            <w:tcW w:w="60" w:type="dxa"/>
            <w:vAlign w:val="bottom"/>
          </w:tcPr>
          <w:p>
            <w:pPr>
              <w:spacing w:after="0"/>
              <w:rPr>
                <w:sz w:val="17"/>
                <w:szCs w:val="17"/>
                <w:color w:val="auto"/>
              </w:rPr>
            </w:pPr>
          </w:p>
        </w:tc>
      </w:tr>
      <w:tr>
        <w:trPr>
          <w:trHeight w:val="222"/>
        </w:trPr>
        <w:tc>
          <w:tcPr>
            <w:tcW w:w="1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Borders>
              <w:bottom w:val="single" w:sz="8" w:color="auto"/>
            </w:tcBorders>
            <w:gridSpan w:val="2"/>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1840" w:type="dxa"/>
            <w:vAlign w:val="bottom"/>
          </w:tcPr>
          <w:p>
            <w:pPr>
              <w:jc w:val="right"/>
              <w:spacing w:after="0"/>
              <w:rPr>
                <w:sz w:val="20"/>
                <w:szCs w:val="20"/>
                <w:color w:val="auto"/>
              </w:rPr>
            </w:pPr>
            <w:r>
              <w:rPr>
                <w:rFonts w:ascii="Arial" w:cs="Arial" w:eastAsia="Arial" w:hAnsi="Arial"/>
                <w:sz w:val="16"/>
                <w:szCs w:val="16"/>
                <w:color w:val="auto"/>
              </w:rPr>
              <w:t>3,135,051</w:t>
            </w:r>
          </w:p>
        </w:tc>
        <w:tc>
          <w:tcPr>
            <w:tcW w:w="12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131,548,189</w:t>
            </w: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134,683,240</w:t>
            </w:r>
          </w:p>
        </w:tc>
        <w:tc>
          <w:tcPr>
            <w:tcW w:w="60" w:type="dxa"/>
            <w:vAlign w:val="bottom"/>
          </w:tcPr>
          <w:p>
            <w:pPr>
              <w:spacing w:after="0"/>
              <w:rPr>
                <w:sz w:val="17"/>
                <w:szCs w:val="17"/>
                <w:color w:val="auto"/>
              </w:rPr>
            </w:pPr>
          </w:p>
        </w:tc>
      </w:tr>
      <w:tr>
        <w:trPr>
          <w:trHeight w:val="20"/>
        </w:trPr>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-1276350</wp:posOffset>
            </wp:positionV>
            <wp:extent cx="71323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-1002030</wp:posOffset>
            </wp:positionV>
            <wp:extent cx="713232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-728345</wp:posOffset>
            </wp:positionV>
            <wp:extent cx="7132320"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-445135</wp:posOffset>
            </wp:positionV>
            <wp:extent cx="7132320"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-162560</wp:posOffset>
            </wp:positionV>
            <wp:extent cx="7132320" cy="1631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180"/>
          </w:cols>
          <w:pgMar w:left="320" w:top="534" w:right="339" w:bottom="1440" w:gutter="0" w:footer="0" w:header="0"/>
          <w:type w:val="continuous"/>
        </w:sectPr>
      </w:pPr>
    </w:p>
    <w:p>
      <w:pPr>
        <w:spacing w:after="0" w:line="222"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Pharvaris Holdings B.V. reported a loss of €75,872,853 for the year ended December 31, 2022 (2021: €55.581,832). The receivable from consolidated subsidiaries is considered to be part of the investment in subsidiaries and the Company intends to convert these outstanding balances into equity. The fair value of the loans to subsidiaries approximates the carrying amount.</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investment in subsidiaries is carried at €134,683,240 on December 31, 2022 (2021: €4,765,437). The investment of €157,602,811 relates to capital contributions into a group company to satisfy the capital needs of the group company. The capital contributions are contributed on the basis of the applicable historic FX rate where the USD fund-raising events were raised. This follows discussions with the Dutch tax authorities in November 2022 where the Company concluded that foreign exchange results should be allocated to the principal Company in Switzerland. The loans to consolidated subsidiaries are in a current account with group companies, which is directly claimable.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directly holds 100% of the shares of Pharvaris Holdings B.V. (2021: 100%) and indirectly holds 100% of the shares of Pharvaris Netherlands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B.V. (2021: 100%), 100% of the shares of Pharvaris Inc. (2021: 100%) and 100% of the shares of Pharvaris GmbH (2021: 100%) via Pharvaris Holdings B.V.</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Receivables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r>
      <w:tr>
        <w:trPr>
          <w:trHeight w:val="221"/>
        </w:trPr>
        <w:tc>
          <w:tcPr>
            <w:tcW w:w="7600" w:type="dxa"/>
            <w:vAlign w:val="bottom"/>
          </w:tcPr>
          <w:p>
            <w:pPr>
              <w:spacing w:after="0"/>
              <w:rPr>
                <w:sz w:val="19"/>
                <w:szCs w:val="19"/>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09"/>
        </w:trPr>
        <w:tc>
          <w:tcPr>
            <w:tcW w:w="76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r>
      <w:tr>
        <w:trPr>
          <w:trHeight w:val="210"/>
        </w:trPr>
        <w:tc>
          <w:tcPr>
            <w:tcW w:w="7600" w:type="dxa"/>
            <w:vAlign w:val="bottom"/>
            <w:shd w:val="clear" w:color="auto" w:fill="CFF0FF"/>
          </w:tcPr>
          <w:p>
            <w:pPr>
              <w:ind w:left="20"/>
              <w:spacing w:after="0"/>
              <w:rPr>
                <w:sz w:val="20"/>
                <w:szCs w:val="20"/>
                <w:color w:val="auto"/>
              </w:rPr>
            </w:pPr>
            <w:r>
              <w:rPr>
                <w:rFonts w:ascii="Arial" w:cs="Arial" w:eastAsia="Arial" w:hAnsi="Arial"/>
                <w:sz w:val="16"/>
                <w:szCs w:val="16"/>
                <w:color w:val="auto"/>
              </w:rPr>
              <w:t>Intercompany receivables</w:t>
            </w:r>
          </w:p>
        </w:tc>
        <w:tc>
          <w:tcPr>
            <w:tcW w:w="1620" w:type="dxa"/>
            <w:vAlign w:val="bottom"/>
            <w:shd w:val="clear" w:color="auto" w:fill="CFF0FF"/>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F"/>
          </w:tcPr>
          <w:p>
            <w:pPr>
              <w:jc w:val="right"/>
              <w:spacing w:after="0"/>
              <w:rPr>
                <w:sz w:val="20"/>
                <w:szCs w:val="20"/>
                <w:color w:val="auto"/>
              </w:rPr>
            </w:pPr>
            <w:r>
              <w:rPr>
                <w:rFonts w:ascii="Arial" w:cs="Arial" w:eastAsia="Arial" w:hAnsi="Arial"/>
                <w:sz w:val="16"/>
                <w:szCs w:val="16"/>
                <w:color w:val="auto"/>
              </w:rPr>
              <w:t>1,158,637</w:t>
            </w:r>
          </w:p>
        </w:tc>
        <w:tc>
          <w:tcPr>
            <w:tcW w:w="140" w:type="dxa"/>
            <w:vAlign w:val="bottom"/>
            <w:shd w:val="clear" w:color="auto" w:fill="CFF0FF"/>
          </w:tcPr>
          <w:p>
            <w:pPr>
              <w:spacing w:after="0"/>
              <w:rPr>
                <w:sz w:val="18"/>
                <w:szCs w:val="18"/>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VAT receivables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116,948</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26,627</w:t>
            </w:r>
          </w:p>
        </w:tc>
        <w:tc>
          <w:tcPr>
            <w:tcW w:w="140" w:type="dxa"/>
            <w:vAlign w:val="bottom"/>
          </w:tcPr>
          <w:p>
            <w:pPr>
              <w:spacing w:after="0"/>
              <w:rPr>
                <w:sz w:val="19"/>
                <w:szCs w:val="19"/>
                <w:color w:val="auto"/>
              </w:rPr>
            </w:pPr>
          </w:p>
        </w:tc>
      </w:tr>
      <w:tr>
        <w:trPr>
          <w:trHeight w:val="206"/>
        </w:trPr>
        <w:tc>
          <w:tcPr>
            <w:tcW w:w="76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116,948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1,185,264</w:t>
            </w:r>
          </w:p>
        </w:tc>
        <w:tc>
          <w:tcPr>
            <w:tcW w:w="14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receivables do not bear any interest, the fair value approximates the book value. All receivables fall due within one year.</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Prepayments, other receivables and deferred expenses</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r>
      <w:tr>
        <w:trPr>
          <w:trHeight w:val="221"/>
        </w:trPr>
        <w:tc>
          <w:tcPr>
            <w:tcW w:w="7600" w:type="dxa"/>
            <w:vAlign w:val="bottom"/>
          </w:tcPr>
          <w:p>
            <w:pPr>
              <w:spacing w:after="0"/>
              <w:rPr>
                <w:sz w:val="19"/>
                <w:szCs w:val="19"/>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09"/>
        </w:trPr>
        <w:tc>
          <w:tcPr>
            <w:tcW w:w="76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r>
      <w:tr>
        <w:trPr>
          <w:trHeight w:val="210"/>
        </w:trPr>
        <w:tc>
          <w:tcPr>
            <w:tcW w:w="7600" w:type="dxa"/>
            <w:vAlign w:val="bottom"/>
            <w:shd w:val="clear" w:color="auto" w:fill="CFF0FF"/>
          </w:tcPr>
          <w:p>
            <w:pPr>
              <w:ind w:left="20"/>
              <w:spacing w:after="0"/>
              <w:rPr>
                <w:sz w:val="20"/>
                <w:szCs w:val="20"/>
                <w:color w:val="auto"/>
              </w:rPr>
            </w:pPr>
            <w:r>
              <w:rPr>
                <w:rFonts w:ascii="Arial" w:cs="Arial" w:eastAsia="Arial" w:hAnsi="Arial"/>
                <w:sz w:val="16"/>
                <w:szCs w:val="16"/>
                <w:color w:val="auto"/>
              </w:rPr>
              <w:t>Prepayments</w:t>
            </w:r>
          </w:p>
        </w:tc>
        <w:tc>
          <w:tcPr>
            <w:tcW w:w="1620" w:type="dxa"/>
            <w:vAlign w:val="bottom"/>
            <w:shd w:val="clear" w:color="auto" w:fill="CFF0FF"/>
          </w:tcPr>
          <w:p>
            <w:pPr>
              <w:jc w:val="right"/>
              <w:spacing w:after="0"/>
              <w:rPr>
                <w:sz w:val="20"/>
                <w:szCs w:val="20"/>
                <w:color w:val="auto"/>
              </w:rPr>
            </w:pPr>
            <w:r>
              <w:rPr>
                <w:rFonts w:ascii="Arial" w:cs="Arial" w:eastAsia="Arial" w:hAnsi="Arial"/>
                <w:sz w:val="16"/>
                <w:szCs w:val="16"/>
                <w:color w:val="auto"/>
              </w:rPr>
              <w:t>500,905</w:t>
            </w:r>
          </w:p>
        </w:tc>
        <w:tc>
          <w:tcPr>
            <w:tcW w:w="1880" w:type="dxa"/>
            <w:vAlign w:val="bottom"/>
            <w:gridSpan w:val="2"/>
            <w:shd w:val="clear" w:color="auto" w:fill="CFF0FF"/>
          </w:tcPr>
          <w:p>
            <w:pPr>
              <w:jc w:val="right"/>
              <w:spacing w:after="0"/>
              <w:rPr>
                <w:sz w:val="20"/>
                <w:szCs w:val="20"/>
                <w:color w:val="auto"/>
              </w:rPr>
            </w:pPr>
            <w:r>
              <w:rPr>
                <w:rFonts w:ascii="Arial" w:cs="Arial" w:eastAsia="Arial" w:hAnsi="Arial"/>
                <w:sz w:val="16"/>
                <w:szCs w:val="16"/>
                <w:color w:val="auto"/>
              </w:rPr>
              <w:t>487,155</w:t>
            </w:r>
          </w:p>
        </w:tc>
        <w:tc>
          <w:tcPr>
            <w:tcW w:w="140" w:type="dxa"/>
            <w:vAlign w:val="bottom"/>
            <w:shd w:val="clear" w:color="auto" w:fill="CFF0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Other receivables and deferred expenses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524,486</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07"/>
        </w:trPr>
        <w:tc>
          <w:tcPr>
            <w:tcW w:w="76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1,025,391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487,155</w:t>
            </w:r>
          </w:p>
        </w:tc>
        <w:tc>
          <w:tcPr>
            <w:tcW w:w="14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Prepayments per December 31, 2022 and 2021 mainly relate to prepaid D&amp;O insurance. Other receivables and deferred expenses per December 31, 2022 mainly consist of deferred transaction costs related to Group’s in-process equity financing (refer to note 13 in the consolidated financial statements). The Company defers the transaction costs related to any in-process financing. Upon recognition of the equity instruments, the related transaction costs are deducted from share premium. The fair value of the prepayments, other receivables and deferred expenses approximates the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0" w:type="dxa"/>
            <w:vAlign w:val="bottom"/>
          </w:tcPr>
          <w:p>
            <w:pPr>
              <w:spacing w:after="0"/>
              <w:rPr>
                <w:sz w:val="20"/>
                <w:szCs w:val="20"/>
                <w:color w:val="auto"/>
              </w:rPr>
            </w:pPr>
            <w:r>
              <w:rPr>
                <w:rFonts w:ascii="Arial" w:cs="Arial" w:eastAsia="Arial" w:hAnsi="Arial"/>
                <w:sz w:val="20"/>
                <w:szCs w:val="20"/>
                <w:b w:val="1"/>
                <w:bCs w:val="1"/>
                <w:color w:val="auto"/>
                <w:w w:val="95"/>
              </w:rPr>
              <w:t>4.</w:t>
            </w:r>
          </w:p>
        </w:tc>
        <w:tc>
          <w:tcPr>
            <w:tcW w:w="7420" w:type="dxa"/>
            <w:vAlign w:val="bottom"/>
          </w:tcPr>
          <w:p>
            <w:pPr>
              <w:ind w:left="20"/>
              <w:spacing w:after="0"/>
              <w:rPr>
                <w:sz w:val="20"/>
                <w:szCs w:val="20"/>
                <w:color w:val="auto"/>
              </w:rPr>
            </w:pPr>
            <w:r>
              <w:rPr>
                <w:rFonts w:ascii="Arial" w:cs="Arial" w:eastAsia="Arial" w:hAnsi="Arial"/>
                <w:sz w:val="20"/>
                <w:szCs w:val="20"/>
                <w:b w:val="1"/>
                <w:bCs w:val="1"/>
                <w:color w:val="auto"/>
              </w:rPr>
              <w:t>Cash and cash equivalents</w:t>
            </w: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14,556,660</w:t>
            </w:r>
          </w:p>
        </w:tc>
        <w:tc>
          <w:tcPr>
            <w:tcW w:w="280" w:type="dxa"/>
            <w:vAlign w:val="bottom"/>
            <w:tcBorders>
              <w:bottom w:val="single" w:sz="8" w:color="CFF0FC"/>
            </w:tcBorders>
            <w:gridSpan w:val="2"/>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199,154,370</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14,556,660</w:t>
            </w: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199,154,370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6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0"/>
                <w:szCs w:val="20"/>
                <w:color w:val="auto"/>
              </w:rPr>
            </w:pPr>
            <w:r>
              <w:rPr>
                <w:rFonts w:ascii="Arial" w:cs="Arial" w:eastAsia="Arial" w:hAnsi="Arial"/>
                <w:sz w:val="20"/>
                <w:szCs w:val="20"/>
                <w:b w:val="1"/>
                <w:bCs w:val="1"/>
                <w:color w:val="auto"/>
                <w:w w:val="95"/>
              </w:rPr>
              <w:t>5.</w:t>
            </w:r>
          </w:p>
        </w:tc>
        <w:tc>
          <w:tcPr>
            <w:tcW w:w="7420" w:type="dxa"/>
            <w:vAlign w:val="bottom"/>
          </w:tcPr>
          <w:p>
            <w:pPr>
              <w:ind w:left="20"/>
              <w:spacing w:after="0"/>
              <w:rPr>
                <w:sz w:val="20"/>
                <w:szCs w:val="20"/>
                <w:color w:val="auto"/>
              </w:rPr>
            </w:pPr>
            <w:r>
              <w:rPr>
                <w:rFonts w:ascii="Arial" w:cs="Arial" w:eastAsia="Arial" w:hAnsi="Arial"/>
                <w:sz w:val="20"/>
                <w:szCs w:val="20"/>
                <w:b w:val="1"/>
                <w:bCs w:val="1"/>
                <w:color w:val="auto"/>
              </w:rPr>
              <w:t>Equity</w:t>
            </w: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-584835</wp:posOffset>
            </wp:positionV>
            <wp:extent cx="85725" cy="1714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-584835</wp:posOffset>
            </wp:positionV>
            <wp:extent cx="85725" cy="1714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55"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On December 31, 2022, the Company’s authorized share capital amounted to € 14,100,000 divided into 58,750,000 ordinary shares and 58,750,000 preferred shares, each with a nominal value of (€0.12). As at December 31, 2022, the total number of issued ordinary shares was 33,816,459 (2021: 33,151,881). On December 31, 2021, the issued share capital totaled to €4,057,976 (2021: €3,978,227). No dividend was distributed in 2022 or in 2021.</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relating to an at-the-market program providing for the sales from time to time of up to $75,000,000 of its ordinary shares pursuant to a Sales Agreement with SVB Securities LLC. During the year ended December 31, 2022, the Company sold a total of 588,100 ordinary shares in two different transactions under the sales agreement generating total net proceeds of $9,698,504 (€9.2 million), after deducting $299,954 (€308,000), which was payable to SVB Securities as commission in respect of such sales.</w:t>
      </w:r>
    </w:p>
    <w:p>
      <w:pPr>
        <w:spacing w:after="0" w:line="164"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Share</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Other</w:t>
            </w:r>
          </w:p>
        </w:tc>
        <w:tc>
          <w:tcPr>
            <w:tcW w:w="1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Legal</w:t>
            </w: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Accumulated</w:t>
            </w:r>
          </w:p>
        </w:tc>
        <w:tc>
          <w:tcPr>
            <w:tcW w:w="1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170"/>
        </w:trPr>
        <w:tc>
          <w:tcPr>
            <w:tcW w:w="2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premium</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reserve</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losses</w:t>
            </w:r>
          </w:p>
        </w:tc>
        <w:tc>
          <w:tcPr>
            <w:tcW w:w="1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29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1800" w:type="dxa"/>
            <w:vAlign w:val="bottom"/>
            <w:tcBorders>
              <w:top w:val="single" w:sz="8" w:color="auto"/>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r>
      <w:tr>
        <w:trPr>
          <w:trHeight w:val="183"/>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235,693</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138,034,580</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1,979,875</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(4,365 )</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(44,459,954 )</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95,785,829</w:t>
            </w:r>
          </w:p>
        </w:tc>
        <w:tc>
          <w:tcPr>
            <w:tcW w:w="140" w:type="dxa"/>
            <w:vAlign w:val="bottom"/>
            <w:shd w:val="clear" w:color="auto" w:fill="CFF0FC"/>
          </w:tcPr>
          <w:p>
            <w:pPr>
              <w:spacing w:after="0"/>
              <w:rPr>
                <w:sz w:val="15"/>
                <w:szCs w:val="15"/>
                <w:color w:val="auto"/>
              </w:rPr>
            </w:pP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(42,730,779 )</w:t>
            </w:r>
          </w:p>
        </w:tc>
        <w:tc>
          <w:tcPr>
            <w:tcW w:w="1940" w:type="dxa"/>
            <w:vAlign w:val="bottom"/>
            <w:gridSpan w:val="2"/>
          </w:tcPr>
          <w:p>
            <w:pPr>
              <w:jc w:val="right"/>
              <w:ind w:right="80"/>
              <w:spacing w:after="0"/>
              <w:rPr>
                <w:sz w:val="20"/>
                <w:szCs w:val="20"/>
                <w:color w:val="auto"/>
              </w:rPr>
            </w:pPr>
            <w:r>
              <w:rPr>
                <w:rFonts w:ascii="Arial" w:cs="Arial" w:eastAsia="Arial" w:hAnsi="Arial"/>
                <w:sz w:val="14"/>
                <w:szCs w:val="14"/>
                <w:color w:val="auto"/>
              </w:rPr>
              <w:t>(42,730,779 )</w:t>
            </w: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2,592,621</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(2,592,621 )</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1020" w:type="dxa"/>
            <w:vAlign w:val="bottom"/>
          </w:tcPr>
          <w:p>
            <w:pPr>
              <w:jc w:val="right"/>
              <w:spacing w:after="0"/>
              <w:rPr>
                <w:sz w:val="20"/>
                <w:szCs w:val="20"/>
                <w:color w:val="auto"/>
              </w:rPr>
            </w:pPr>
            <w:r>
              <w:rPr>
                <w:rFonts w:ascii="Arial" w:cs="Arial" w:eastAsia="Arial" w:hAnsi="Arial"/>
                <w:sz w:val="14"/>
                <w:szCs w:val="14"/>
                <w:color w:val="auto"/>
              </w:rPr>
              <w:t>1,141,329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156,014,570</w:t>
            </w:r>
          </w:p>
        </w:tc>
        <w:tc>
          <w:tcPr>
            <w:tcW w:w="1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157,155,899</w:t>
            </w:r>
          </w:p>
        </w:tc>
        <w:tc>
          <w:tcPr>
            <w:tcW w:w="140" w:type="dxa"/>
            <w:vAlign w:val="bottom"/>
          </w:tcPr>
          <w:p>
            <w:pPr>
              <w:spacing w:after="0"/>
              <w:rPr>
                <w:sz w:val="16"/>
                <w:szCs w:val="16"/>
                <w:color w:val="auto"/>
              </w:rPr>
            </w:pP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(13,154,360 )</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(13,154,360 )</w:t>
            </w: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30,293</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30,293</w:t>
            </w:r>
          </w:p>
        </w:tc>
        <w:tc>
          <w:tcPr>
            <w:tcW w:w="140" w:type="dxa"/>
            <w:vAlign w:val="bottom"/>
          </w:tcPr>
          <w:p>
            <w:pPr>
              <w:spacing w:after="0"/>
              <w:rPr>
                <w:sz w:val="16"/>
                <w:szCs w:val="16"/>
                <w:color w:val="auto"/>
              </w:rPr>
            </w:pP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8,584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440,731</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(401,846 )</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(377,668 )</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(330,199 )</w:t>
            </w: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8,196,387</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8,196,387</w:t>
            </w:r>
          </w:p>
        </w:tc>
        <w:tc>
          <w:tcPr>
            <w:tcW w:w="140" w:type="dxa"/>
            <w:vAlign w:val="bottom"/>
          </w:tcPr>
          <w:p>
            <w:pPr>
              <w:spacing w:after="0"/>
              <w:rPr>
                <w:sz w:val="16"/>
                <w:szCs w:val="16"/>
                <w:color w:val="auto"/>
              </w:rPr>
            </w:pPr>
          </w:p>
        </w:tc>
      </w:tr>
      <w:tr>
        <w:trPr>
          <w:trHeight w:val="183"/>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3,978,227</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9,774,416</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25,928</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(87,568,401 )</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204,953,070</w:t>
            </w:r>
          </w:p>
        </w:tc>
        <w:tc>
          <w:tcPr>
            <w:tcW w:w="140" w:type="dxa"/>
            <w:vAlign w:val="bottom"/>
            <w:shd w:val="clear" w:color="auto" w:fill="CFF0FC"/>
          </w:tcPr>
          <w:p>
            <w:pPr>
              <w:spacing w:after="0"/>
              <w:rPr>
                <w:sz w:val="15"/>
                <w:szCs w:val="15"/>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3"/>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1020" w:type="dxa"/>
            <w:vAlign w:val="bottom"/>
          </w:tcPr>
          <w:p>
            <w:pPr>
              <w:jc w:val="right"/>
              <w:spacing w:after="0"/>
              <w:rPr>
                <w:sz w:val="20"/>
                <w:szCs w:val="20"/>
                <w:color w:val="auto"/>
              </w:rPr>
            </w:pPr>
            <w:r>
              <w:rPr>
                <w:rFonts w:ascii="Arial" w:cs="Arial" w:eastAsia="Arial" w:hAnsi="Arial"/>
                <w:sz w:val="14"/>
                <w:szCs w:val="14"/>
                <w:color w:val="auto"/>
              </w:rPr>
              <w:t>3,978,227</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9,774,416</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25,928</w:t>
            </w:r>
          </w:p>
        </w:tc>
        <w:tc>
          <w:tcPr>
            <w:tcW w:w="14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(87,568,401 )</w:t>
            </w:r>
          </w:p>
        </w:tc>
        <w:tc>
          <w:tcPr>
            <w:tcW w:w="1800" w:type="dxa"/>
            <w:vAlign w:val="bottom"/>
          </w:tcPr>
          <w:p>
            <w:pPr>
              <w:jc w:val="right"/>
              <w:spacing w:after="0"/>
              <w:rPr>
                <w:sz w:val="20"/>
                <w:szCs w:val="20"/>
                <w:color w:val="auto"/>
              </w:rPr>
            </w:pPr>
            <w:r>
              <w:rPr>
                <w:rFonts w:ascii="Arial" w:cs="Arial" w:eastAsia="Arial" w:hAnsi="Arial"/>
                <w:sz w:val="14"/>
                <w:szCs w:val="14"/>
                <w:color w:val="auto"/>
              </w:rPr>
              <w:t>204,953,070</w:t>
            </w:r>
          </w:p>
        </w:tc>
        <w:tc>
          <w:tcPr>
            <w:tcW w:w="140" w:type="dxa"/>
            <w:vAlign w:val="bottom"/>
          </w:tcPr>
          <w:p>
            <w:pPr>
              <w:spacing w:after="0"/>
              <w:rPr>
                <w:sz w:val="15"/>
                <w:szCs w:val="15"/>
                <w:color w:val="auto"/>
              </w:rPr>
            </w:pP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(76,332,557 )</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(76,332,557 )</w:t>
            </w: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Increase in par value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70,572</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9,464,901</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9,535,473</w:t>
            </w:r>
          </w:p>
        </w:tc>
        <w:tc>
          <w:tcPr>
            <w:tcW w:w="140" w:type="dxa"/>
            <w:vAlign w:val="bottom"/>
            <w:shd w:val="clear" w:color="auto" w:fill="CFF0FC"/>
          </w:tcPr>
          <w:p>
            <w:pPr>
              <w:spacing w:after="0"/>
              <w:rPr>
                <w:sz w:val="16"/>
                <w:szCs w:val="16"/>
                <w:color w:val="auto"/>
              </w:rPr>
            </w:pP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4"/>
                <w:szCs w:val="14"/>
                <w:color w:val="auto"/>
              </w:rPr>
              <w:t>(307,710 )</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80"/>
              <w:spacing w:after="0"/>
              <w:rPr>
                <w:sz w:val="20"/>
                <w:szCs w:val="20"/>
                <w:color w:val="auto"/>
              </w:rPr>
            </w:pPr>
            <w:r>
              <w:rPr>
                <w:rFonts w:ascii="Arial" w:cs="Arial" w:eastAsia="Arial" w:hAnsi="Arial"/>
                <w:sz w:val="14"/>
                <w:szCs w:val="14"/>
                <w:color w:val="auto"/>
              </w:rPr>
              <w:t>(307,710 )</w:t>
            </w: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effect on transaction costs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40" w:type="dxa"/>
            <w:vAlign w:val="bottom"/>
            <w:shd w:val="clear" w:color="auto" w:fill="CFF0FC"/>
          </w:tcPr>
          <w:p>
            <w:pPr>
              <w:spacing w:after="0"/>
              <w:rPr>
                <w:sz w:val="16"/>
                <w:szCs w:val="16"/>
                <w:color w:val="auto"/>
              </w:rPr>
            </w:pP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17,362</w:t>
            </w:r>
          </w:p>
        </w:tc>
        <w:tc>
          <w:tcPr>
            <w:tcW w:w="1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17,362</w:t>
            </w:r>
          </w:p>
        </w:tc>
        <w:tc>
          <w:tcPr>
            <w:tcW w:w="140" w:type="dxa"/>
            <w:vAlign w:val="bottom"/>
          </w:tcPr>
          <w:p>
            <w:pPr>
              <w:spacing w:after="0"/>
              <w:rPr>
                <w:sz w:val="16"/>
                <w:szCs w:val="16"/>
                <w:color w:val="auto"/>
              </w:rPr>
            </w:pPr>
          </w:p>
        </w:tc>
      </w:tr>
      <w:tr>
        <w:trPr>
          <w:trHeight w:val="18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9,177</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1,019,372</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(954,157 )</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(287,934 )</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(213,542 )</w:t>
            </w:r>
          </w:p>
        </w:tc>
      </w:tr>
      <w:tr>
        <w:trPr>
          <w:trHeight w:val="189"/>
        </w:trPr>
        <w:tc>
          <w:tcPr>
            <w:tcW w:w="298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11,349,200</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11,349,200</w:t>
            </w:r>
          </w:p>
        </w:tc>
        <w:tc>
          <w:tcPr>
            <w:tcW w:w="140" w:type="dxa"/>
            <w:vAlign w:val="bottom"/>
          </w:tcPr>
          <w:p>
            <w:pPr>
              <w:spacing w:after="0"/>
              <w:rPr>
                <w:sz w:val="16"/>
                <w:szCs w:val="16"/>
                <w:color w:val="auto"/>
              </w:rPr>
            </w:pPr>
          </w:p>
        </w:tc>
      </w:tr>
      <w:tr>
        <w:trPr>
          <w:trHeight w:val="203"/>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(164,188,892 )</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40" w:type="dxa"/>
            <w:vAlign w:val="bottom"/>
            <w:shd w:val="clear" w:color="auto" w:fill="CFF0FC"/>
          </w:tcPr>
          <w:p>
            <w:pPr>
              <w:spacing w:after="0"/>
              <w:rPr>
                <w:sz w:val="17"/>
                <w:szCs w:val="17"/>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-1242695</wp:posOffset>
            </wp:positionV>
            <wp:extent cx="85725" cy="1289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-1242695</wp:posOffset>
            </wp:positionV>
            <wp:extent cx="76835" cy="1289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-1242695</wp:posOffset>
            </wp:positionV>
            <wp:extent cx="85725" cy="1289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-1242695</wp:posOffset>
            </wp:positionV>
            <wp:extent cx="85725" cy="1289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-1242695</wp:posOffset>
            </wp:positionV>
            <wp:extent cx="85725" cy="1289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-1242695</wp:posOffset>
            </wp:positionV>
            <wp:extent cx="85725" cy="1289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857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857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768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-24765</wp:posOffset>
            </wp:positionV>
            <wp:extent cx="857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-7620</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857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857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reserve</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As of December 31, 2022 the legal reserve amounted to €43,290 (2021: €25,928) and relate to unrealized currency translation losses. Pursuant to Dutch law, limitations exist relating to the distribution of shareholder’s equity for the entire amount of legal reserve. By their nature, unrealized losses relating to the currency translation differences reduce shareholders’ equity and thereby distributable amounts.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Appropriation of the result of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result for year 2021 has been transferred to accumulated losses.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 in equity and loss between the company and consolidated financial statements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There is no difference between equity according to the company balance sheet and equity according to the consolidated balance sheet as well as the result according to the Company income statement and result according to the consolidated income statement for the year ended December 31, 2022 and 2021.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Trade and other payables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r>
      <w:tr>
        <w:trPr>
          <w:trHeight w:val="221"/>
        </w:trPr>
        <w:tc>
          <w:tcPr>
            <w:tcW w:w="7600" w:type="dxa"/>
            <w:vAlign w:val="bottom"/>
          </w:tcPr>
          <w:p>
            <w:pPr>
              <w:spacing w:after="0"/>
              <w:rPr>
                <w:sz w:val="19"/>
                <w:szCs w:val="19"/>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10"/>
        </w:trPr>
        <w:tc>
          <w:tcPr>
            <w:tcW w:w="76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381,838</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124,839</w:t>
            </w:r>
          </w:p>
        </w:tc>
        <w:tc>
          <w:tcPr>
            <w:tcW w:w="140" w:type="dxa"/>
            <w:vAlign w:val="bottom"/>
            <w:shd w:val="clear" w:color="auto" w:fill="CFF0FC"/>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47,503</w:t>
            </w:r>
          </w:p>
        </w:tc>
        <w:tc>
          <w:tcPr>
            <w:tcW w:w="140" w:type="dxa"/>
            <w:vAlign w:val="bottom"/>
          </w:tcPr>
          <w:p>
            <w:pPr>
              <w:spacing w:after="0"/>
              <w:rPr>
                <w:sz w:val="18"/>
                <w:szCs w:val="18"/>
                <w:color w:val="auto"/>
              </w:rPr>
            </w:pPr>
          </w:p>
        </w:tc>
      </w:tr>
      <w:tr>
        <w:trPr>
          <w:trHeight w:val="250"/>
        </w:trPr>
        <w:tc>
          <w:tcPr>
            <w:tcW w:w="76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381,838</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172,342</w:t>
            </w:r>
          </w:p>
        </w:tc>
        <w:tc>
          <w:tcPr>
            <w:tcW w:w="140" w:type="dxa"/>
            <w:vAlign w:val="bottom"/>
            <w:shd w:val="clear" w:color="auto" w:fill="CFF0FC"/>
          </w:tcPr>
          <w:p>
            <w:pPr>
              <w:spacing w:after="0"/>
              <w:rPr>
                <w:sz w:val="21"/>
                <w:szCs w:val="21"/>
                <w:color w:val="auto"/>
              </w:rPr>
            </w:pPr>
          </w:p>
        </w:tc>
      </w:tr>
      <w:tr>
        <w:trPr>
          <w:trHeight w:val="366"/>
        </w:trPr>
        <w:tc>
          <w:tcPr>
            <w:tcW w:w="76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Trade and other payables fall due within one year.</w:t>
            </w:r>
          </w:p>
        </w:tc>
        <w:tc>
          <w:tcPr>
            <w:tcW w:w="1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b w:val="1"/>
                <w:bCs w:val="1"/>
                <w:color w:val="auto"/>
              </w:rPr>
              <w:t>7. Accrued liabilities</w:t>
            </w:r>
          </w:p>
        </w:tc>
        <w:tc>
          <w:tcPr>
            <w:tcW w:w="1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-430530</wp:posOffset>
            </wp:positionV>
            <wp:extent cx="857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-413385</wp:posOffset>
            </wp:positionV>
            <wp:extent cx="857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-430530</wp:posOffset>
            </wp:positionV>
            <wp:extent cx="857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-413385</wp:posOffset>
            </wp:positionV>
            <wp:extent cx="857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r>
      <w:tr>
        <w:trPr>
          <w:trHeight w:val="239"/>
        </w:trPr>
        <w:tc>
          <w:tcPr>
            <w:tcW w:w="760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r>
      <w:tr>
        <w:trPr>
          <w:trHeight w:val="223"/>
        </w:trPr>
        <w:tc>
          <w:tcPr>
            <w:tcW w:w="7600" w:type="dxa"/>
            <w:vAlign w:val="bottom"/>
            <w:tcBorders>
              <w:bottom w:val="single" w:sz="8" w:color="CFF0FF"/>
            </w:tcBorders>
            <w:shd w:val="clear" w:color="auto" w:fill="CFF0FF"/>
          </w:tcPr>
          <w:p>
            <w:pPr>
              <w:ind w:left="20"/>
              <w:spacing w:after="0"/>
              <w:rPr>
                <w:sz w:val="20"/>
                <w:szCs w:val="20"/>
                <w:color w:val="auto"/>
              </w:rPr>
            </w:pPr>
            <w:r>
              <w:rPr>
                <w:rFonts w:ascii="Arial" w:cs="Arial" w:eastAsia="Arial" w:hAnsi="Arial"/>
                <w:sz w:val="18"/>
                <w:szCs w:val="18"/>
                <w:color w:val="auto"/>
              </w:rPr>
              <w:t>Consulting and accounting fee accruals</w:t>
            </w:r>
          </w:p>
        </w:tc>
        <w:tc>
          <w:tcPr>
            <w:tcW w:w="162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8"/>
                <w:szCs w:val="18"/>
                <w:color w:val="auto"/>
              </w:rPr>
              <w:t>533,880</w:t>
            </w:r>
          </w:p>
        </w:tc>
        <w:tc>
          <w:tcPr>
            <w:tcW w:w="280" w:type="dxa"/>
            <w:vAlign w:val="bottom"/>
            <w:tcBorders>
              <w:bottom w:val="single" w:sz="8" w:color="CFF0FF"/>
            </w:tcBorders>
            <w:shd w:val="clear" w:color="auto" w:fill="CFF0FF"/>
          </w:tcPr>
          <w:p>
            <w:pPr>
              <w:spacing w:after="0"/>
              <w:rPr>
                <w:sz w:val="19"/>
                <w:szCs w:val="19"/>
                <w:color w:val="auto"/>
              </w:rPr>
            </w:pPr>
          </w:p>
        </w:tc>
        <w:tc>
          <w:tcPr>
            <w:tcW w:w="160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8"/>
                <w:szCs w:val="18"/>
                <w:color w:val="auto"/>
              </w:rPr>
              <w:t>466,814</w:t>
            </w:r>
          </w:p>
        </w:tc>
        <w:tc>
          <w:tcPr>
            <w:tcW w:w="140" w:type="dxa"/>
            <w:vAlign w:val="bottom"/>
            <w:tcBorders>
              <w:bottom w:val="single" w:sz="8" w:color="CFF0FF"/>
            </w:tcBorders>
            <w:shd w:val="clear" w:color="auto" w:fill="CFF0FF"/>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533,880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466,814</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-179070</wp:posOffset>
            </wp:positionV>
            <wp:extent cx="85725" cy="1797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All the accrued liabilities are due within twelve months after year-end and qualify as short-term liabilities.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contingent liabilities and no contingent assets at December 31, 2022 and 2021.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unity</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Company is the head of the fiscal unity Pharvaris N.V. in the Netherlands for income taxes and is jointly and severally liable for the income tax liabilities of the fiscal unity. Reference is made to note 10 of these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Share in results of participating interests</w:t>
      </w:r>
    </w:p>
    <w:p>
      <w:pPr>
        <w:spacing w:after="0" w:line="2"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This represents the share of the Company in the results of its participating interest of Pharvaris Holdings B.V. Reference is made to Note 1 of these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Income taxes</w:t>
      </w:r>
    </w:p>
    <w:p>
      <w:pPr>
        <w:spacing w:after="0" w:line="22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Pharvaris N.V. forms a corporate income tax group, fiscal unity, with Pharvaris Netherlands B.V. and Pharvaris Holdings B.V. As head of the fiscal unity, the company financial statements of Pharvaris N.V. recognise the entire tax position of the fiscal unity.</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current tax expenses for the year ended December 31, 2022 relates to the result of a cost-plus agreement between the Dutch entities and the Group's principal entity in Switzerland resulting in a taxable profit in the Netherlands. For the year ended December 31, 2022, a tax benefit of €257,734 is additionally directly recognized in equity (2021: €Nil). For December 31, 2021 the Company was in a loss-making position, for which no DTA has been recognized so there was no tax charge or income recognized for 2021.</w:t>
      </w:r>
    </w:p>
    <w:p>
      <w:pPr>
        <w:spacing w:after="0" w:line="16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utilization of the previously unrecognized losses carry forward losses of the Dutch fiscal unity are lower than estimated in the previous year. The Company did not recognize the tax benefit of the losses incurred in previous years.The fiscal unity has tax loss carry-forwards of approximately €14.9 million (2021: €6.9 million), that are available for offsetting against future taxable profits of the companies in which the losses arose. A new Dutch tax law entered into force on 1 January 2022. Under the new tax law, profits in a given year can be offset against tax loss carry forwards for an unlimited period of time. However, the amount of the offset will be limited to 50% of taxable income (in excess of €1 million).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tcPr>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47"/>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Year</w:t>
            </w:r>
          </w:p>
        </w:tc>
        <w:tc>
          <w:tcPr>
            <w:tcW w:w="1960" w:type="dxa"/>
            <w:vAlign w:val="bottom"/>
          </w:tcPr>
          <w:p>
            <w:pPr>
              <w:jc w:val="right"/>
              <w:ind w:right="499"/>
              <w:spacing w:after="0"/>
              <w:rPr>
                <w:sz w:val="20"/>
                <w:szCs w:val="20"/>
                <w:color w:val="auto"/>
              </w:rPr>
            </w:pPr>
            <w:r>
              <w:rPr>
                <w:rFonts w:ascii="Arial" w:cs="Arial" w:eastAsia="Arial" w:hAnsi="Arial"/>
                <w:sz w:val="16"/>
                <w:szCs w:val="16"/>
                <w:b w:val="1"/>
                <w:bCs w:val="1"/>
                <w:color w:val="auto"/>
              </w:rPr>
              <w:t>Tax losses</w:t>
            </w:r>
          </w:p>
        </w:tc>
        <w:tc>
          <w:tcPr>
            <w:tcW w:w="140" w:type="dxa"/>
            <w:vAlign w:val="bottom"/>
          </w:tcPr>
          <w:p>
            <w:pPr>
              <w:spacing w:after="0"/>
              <w:rPr>
                <w:sz w:val="24"/>
                <w:szCs w:val="24"/>
                <w:color w:val="auto"/>
              </w:rPr>
            </w:pPr>
          </w:p>
        </w:tc>
      </w:tr>
      <w:tr>
        <w:trPr>
          <w:trHeight w:val="221"/>
        </w:trPr>
        <w:tc>
          <w:tcPr>
            <w:tcW w:w="9140" w:type="dxa"/>
            <w:vAlign w:val="bottom"/>
          </w:tcPr>
          <w:p>
            <w:pPr>
              <w:spacing w:after="0"/>
              <w:rPr>
                <w:sz w:val="19"/>
                <w:szCs w:val="19"/>
                <w:color w:val="auto"/>
              </w:rPr>
            </w:pPr>
          </w:p>
        </w:tc>
        <w:tc>
          <w:tcPr>
            <w:tcW w:w="19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million</w:t>
            </w:r>
          </w:p>
        </w:tc>
        <w:tc>
          <w:tcPr>
            <w:tcW w:w="140" w:type="dxa"/>
            <w:vAlign w:val="bottom"/>
          </w:tcPr>
          <w:p>
            <w:pPr>
              <w:spacing w:after="0"/>
              <w:rPr>
                <w:sz w:val="19"/>
                <w:szCs w:val="19"/>
                <w:color w:val="auto"/>
              </w:rPr>
            </w:pPr>
          </w:p>
        </w:tc>
      </w:tr>
      <w:tr>
        <w:trPr>
          <w:trHeight w:val="206"/>
        </w:trPr>
        <w:tc>
          <w:tcPr>
            <w:tcW w:w="9140" w:type="dxa"/>
            <w:vAlign w:val="bottom"/>
            <w:tcBorders>
              <w:bottom w:val="single" w:sz="8" w:color="CFF0FF"/>
            </w:tcBorders>
            <w:shd w:val="clear" w:color="auto" w:fill="CFF0FF"/>
          </w:tcPr>
          <w:p>
            <w:pPr>
              <w:ind w:left="20"/>
              <w:spacing w:after="0"/>
              <w:rPr>
                <w:sz w:val="20"/>
                <w:szCs w:val="20"/>
                <w:color w:val="auto"/>
              </w:rPr>
            </w:pPr>
            <w:r>
              <w:rPr>
                <w:rFonts w:ascii="Arial" w:cs="Arial" w:eastAsia="Arial" w:hAnsi="Arial"/>
                <w:sz w:val="16"/>
                <w:szCs w:val="16"/>
                <w:color w:val="auto"/>
              </w:rPr>
              <w:t>Unlimited</w:t>
            </w:r>
          </w:p>
        </w:tc>
        <w:tc>
          <w:tcPr>
            <w:tcW w:w="196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Borders>
              <w:bottom w:val="single" w:sz="8" w:color="CFF0FF"/>
            </w:tcBorders>
            <w:shd w:val="clear" w:color="auto" w:fill="CFF0FF"/>
          </w:tcPr>
          <w:p>
            <w:pPr>
              <w:spacing w:after="0"/>
              <w:rPr>
                <w:sz w:val="17"/>
                <w:szCs w:val="17"/>
                <w:color w:val="auto"/>
              </w:rPr>
            </w:pPr>
          </w:p>
        </w:tc>
      </w:tr>
      <w:tr>
        <w:trPr>
          <w:trHeight w:val="213"/>
        </w:trPr>
        <w:tc>
          <w:tcPr>
            <w:tcW w:w="9140" w:type="dxa"/>
            <w:vAlign w:val="bottom"/>
          </w:tcPr>
          <w:p>
            <w:pPr>
              <w:ind w:left="20"/>
              <w:spacing w:after="0"/>
              <w:rPr>
                <w:sz w:val="20"/>
                <w:szCs w:val="20"/>
                <w:color w:val="auto"/>
              </w:rPr>
            </w:pPr>
            <w:r>
              <w:rPr>
                <w:rFonts w:ascii="Arial" w:cs="Arial" w:eastAsia="Arial" w:hAnsi="Arial"/>
                <w:sz w:val="18"/>
                <w:szCs w:val="18"/>
                <w:color w:val="auto"/>
              </w:rPr>
              <w:t>Total carry-forward losses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statement of profit or loss.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R&amp;D</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644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640" w:type="dxa"/>
            <w:vAlign w:val="bottom"/>
            <w:gridSpan w:val="2"/>
            <w:shd w:val="clear" w:color="auto" w:fill="CFF0FC"/>
          </w:tcPr>
          <w:p>
            <w:pPr>
              <w:jc w:val="center"/>
              <w:ind w:right="280"/>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380" w:type="dxa"/>
            <w:vAlign w:val="bottom"/>
          </w:tcPr>
          <w:p>
            <w:pPr>
              <w:jc w:val="right"/>
              <w:spacing w:after="0"/>
              <w:rPr>
                <w:sz w:val="20"/>
                <w:szCs w:val="20"/>
                <w:color w:val="auto"/>
              </w:rPr>
            </w:pPr>
            <w:r>
              <w:rPr>
                <w:rFonts w:ascii="Arial" w:cs="Arial" w:eastAsia="Arial" w:hAnsi="Arial"/>
                <w:sz w:val="16"/>
                <w:szCs w:val="16"/>
                <w:color w:val="auto"/>
              </w:rPr>
              <w:t>1,909,917</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1,909,917</w:t>
            </w:r>
          </w:p>
        </w:tc>
        <w:tc>
          <w:tcPr>
            <w:tcW w:w="140" w:type="dxa"/>
            <w:vAlign w:val="bottom"/>
          </w:tcPr>
          <w:p>
            <w:pPr>
              <w:spacing w:after="0"/>
              <w:rPr>
                <w:sz w:val="18"/>
                <w:szCs w:val="18"/>
                <w:color w:val="auto"/>
              </w:rPr>
            </w:pPr>
          </w:p>
        </w:tc>
      </w:tr>
      <w:tr>
        <w:trPr>
          <w:trHeight w:val="21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(117,533 )</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(117,533 )</w:t>
            </w:r>
          </w:p>
        </w:tc>
      </w:tr>
      <w:tr>
        <w:trPr>
          <w:trHeight w:val="216"/>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At December 31, 2022</w:t>
            </w:r>
          </w:p>
        </w:tc>
        <w:tc>
          <w:tcPr>
            <w:tcW w:w="1380" w:type="dxa"/>
            <w:vAlign w:val="bottom"/>
          </w:tcPr>
          <w:p>
            <w:pPr>
              <w:jc w:val="right"/>
              <w:spacing w:after="0"/>
              <w:rPr>
                <w:sz w:val="20"/>
                <w:szCs w:val="20"/>
                <w:color w:val="auto"/>
              </w:rPr>
            </w:pPr>
            <w:r>
              <w:rPr>
                <w:rFonts w:ascii="Arial" w:cs="Arial" w:eastAsia="Arial" w:hAnsi="Arial"/>
                <w:sz w:val="16"/>
                <w:szCs w:val="16"/>
                <w:color w:val="auto"/>
              </w:rPr>
              <w:t>1,792,384</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1,792,384</w:t>
            </w:r>
          </w:p>
        </w:tc>
        <w:tc>
          <w:tcPr>
            <w:tcW w:w="140" w:type="dxa"/>
            <w:vAlign w:val="bottom"/>
          </w:tcPr>
          <w:p>
            <w:pPr>
              <w:spacing w:after="0"/>
              <w:rPr>
                <w:sz w:val="18"/>
                <w:szCs w:val="18"/>
                <w:color w:val="auto"/>
              </w:rPr>
            </w:pPr>
          </w:p>
        </w:tc>
      </w:tr>
      <w:tr>
        <w:trPr>
          <w:trHeight w:val="213"/>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(1,909,917 )</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(1,909,917 )</w:t>
            </w:r>
          </w:p>
        </w:tc>
      </w:tr>
      <w:tr>
        <w:trPr>
          <w:trHeight w:val="21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117,533</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117,533</w:t>
            </w:r>
          </w:p>
        </w:tc>
        <w:tc>
          <w:tcPr>
            <w:tcW w:w="140" w:type="dxa"/>
            <w:vAlign w:val="bottom"/>
          </w:tcPr>
          <w:p>
            <w:pPr>
              <w:spacing w:after="0"/>
              <w:rPr>
                <w:sz w:val="18"/>
                <w:szCs w:val="18"/>
                <w:color w:val="auto"/>
              </w:rPr>
            </w:pPr>
          </w:p>
        </w:tc>
      </w:tr>
      <w:tr>
        <w:trPr>
          <w:trHeight w:val="216"/>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At December 31, 2022</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(1,792,384 )</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(1,792,384 )</w:t>
            </w:r>
          </w:p>
        </w:tc>
      </w:tr>
      <w:tr>
        <w:trPr>
          <w:trHeight w:val="25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2022</w:t>
            </w:r>
          </w:p>
        </w:tc>
        <w:tc>
          <w:tcPr>
            <w:tcW w:w="13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-1156970</wp:posOffset>
            </wp:positionV>
            <wp:extent cx="85725" cy="154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85725"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-1156970</wp:posOffset>
            </wp:positionV>
            <wp:extent cx="85725" cy="154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-316230</wp:posOffset>
            </wp:positionV>
            <wp:extent cx="85725"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-316230</wp:posOffset>
            </wp:positionV>
            <wp:extent cx="85725"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-316230</wp:posOffset>
            </wp:positionV>
            <wp:extent cx="85725" cy="154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R&amp;D</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644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640" w:type="dxa"/>
            <w:vAlign w:val="bottom"/>
            <w:gridSpan w:val="2"/>
            <w:shd w:val="clear" w:color="auto" w:fill="CFF0FC"/>
          </w:tcPr>
          <w:p>
            <w:pPr>
              <w:jc w:val="center"/>
              <w:ind w:right="280"/>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At January 1, 2021</w:t>
            </w:r>
          </w:p>
        </w:tc>
        <w:tc>
          <w:tcPr>
            <w:tcW w:w="1380" w:type="dxa"/>
            <w:vAlign w:val="bottom"/>
          </w:tcPr>
          <w:p>
            <w:pPr>
              <w:jc w:val="right"/>
              <w:spacing w:after="0"/>
              <w:rPr>
                <w:sz w:val="20"/>
                <w:szCs w:val="20"/>
                <w:color w:val="auto"/>
              </w:rPr>
            </w:pPr>
            <w:r>
              <w:rPr>
                <w:rFonts w:ascii="Arial" w:cs="Arial" w:eastAsia="Arial" w:hAnsi="Arial"/>
                <w:sz w:val="16"/>
                <w:szCs w:val="16"/>
                <w:color w:val="auto"/>
              </w:rPr>
              <w:t>1,964,583</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1,964,583</w:t>
            </w:r>
          </w:p>
        </w:tc>
        <w:tc>
          <w:tcPr>
            <w:tcW w:w="140" w:type="dxa"/>
            <w:vAlign w:val="bottom"/>
          </w:tcPr>
          <w:p>
            <w:pPr>
              <w:spacing w:after="0"/>
              <w:rPr>
                <w:sz w:val="18"/>
                <w:szCs w:val="18"/>
                <w:color w:val="auto"/>
              </w:rPr>
            </w:pPr>
          </w:p>
        </w:tc>
      </w:tr>
      <w:tr>
        <w:trPr>
          <w:trHeight w:val="21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(54,667 )</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(54,667 )</w:t>
            </w:r>
          </w:p>
        </w:tc>
      </w:tr>
      <w:tr>
        <w:trPr>
          <w:trHeight w:val="216"/>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At December 31, 2021</w:t>
            </w:r>
          </w:p>
        </w:tc>
        <w:tc>
          <w:tcPr>
            <w:tcW w:w="1380" w:type="dxa"/>
            <w:vAlign w:val="bottom"/>
          </w:tcPr>
          <w:p>
            <w:pPr>
              <w:jc w:val="right"/>
              <w:spacing w:after="0"/>
              <w:rPr>
                <w:sz w:val="20"/>
                <w:szCs w:val="20"/>
                <w:color w:val="auto"/>
              </w:rPr>
            </w:pPr>
            <w:r>
              <w:rPr>
                <w:rFonts w:ascii="Arial" w:cs="Arial" w:eastAsia="Arial" w:hAnsi="Arial"/>
                <w:sz w:val="16"/>
                <w:szCs w:val="16"/>
                <w:color w:val="auto"/>
              </w:rPr>
              <w:t>1,909,916</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1,909,916</w:t>
            </w:r>
          </w:p>
        </w:tc>
        <w:tc>
          <w:tcPr>
            <w:tcW w:w="140" w:type="dxa"/>
            <w:vAlign w:val="bottom"/>
          </w:tcPr>
          <w:p>
            <w:pPr>
              <w:spacing w:after="0"/>
              <w:rPr>
                <w:sz w:val="18"/>
                <w:szCs w:val="18"/>
                <w:color w:val="auto"/>
              </w:rPr>
            </w:pPr>
          </w:p>
        </w:tc>
      </w:tr>
      <w:tr>
        <w:trPr>
          <w:trHeight w:val="213"/>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At January 1, 2021</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(1,964,583 )</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(1,964,583 )</w:t>
            </w:r>
          </w:p>
        </w:tc>
      </w:tr>
      <w:tr>
        <w:trPr>
          <w:trHeight w:val="21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54,667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54,667</w:t>
            </w:r>
          </w:p>
        </w:tc>
        <w:tc>
          <w:tcPr>
            <w:tcW w:w="140" w:type="dxa"/>
            <w:vAlign w:val="bottom"/>
          </w:tcPr>
          <w:p>
            <w:pPr>
              <w:spacing w:after="0"/>
              <w:rPr>
                <w:sz w:val="18"/>
                <w:szCs w:val="18"/>
                <w:color w:val="auto"/>
              </w:rPr>
            </w:pPr>
          </w:p>
        </w:tc>
      </w:tr>
      <w:tr>
        <w:trPr>
          <w:trHeight w:val="216"/>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At December 31, 2021</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(1,909,916 )</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(1,909,916 )</w:t>
            </w:r>
          </w:p>
        </w:tc>
      </w:tr>
      <w:tr>
        <w:trPr>
          <w:trHeight w:val="25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2021</w:t>
            </w:r>
          </w:p>
        </w:tc>
        <w:tc>
          <w:tcPr>
            <w:tcW w:w="13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-1156970</wp:posOffset>
            </wp:positionV>
            <wp:extent cx="85725"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85725" cy="154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-1156970</wp:posOffset>
            </wp:positionV>
            <wp:extent cx="85725" cy="154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-316865</wp:posOffset>
            </wp:positionV>
            <wp:extent cx="85725"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85725"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-316865</wp:posOffset>
            </wp:positionV>
            <wp:extent cx="85725" cy="154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total unrecognized deferred tax assets from temporary differences amounts to €5.3 million (2021: €6.1 million). No deferred tax balances in relation to investments in subsidiaries, associates and interests in joint arrangements are considered, due to the fact that the timing of the reversal of the temporary differences can be controlled by the Company and it is probable that the temporary differences will not reverse in the foreseeable future.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Related parties</w:t>
      </w:r>
    </w:p>
    <w:p>
      <w:pPr>
        <w:spacing w:after="0" w:line="22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Note 1.2 of the consolidated financial statements provides information about the Group’s structure, including details of the subsidiaries and the holding company and the total amount of transactions that have been entered into with related parties for the relevant financial year. Reference is made to Note 20 of the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202"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Dr. Knolle, who has served as Chief Scientific Officer and Chief Operating Officer since its inception, was a member of the board of Charité Research Organisation GmbH, or Charité CRO until February 28, 2022. The Company has entered into a service contract with Charité CRO according to which Charité CRO provides services supporting research for the Company. In fiscal years 2022 and 2021 payments to Charité CRO with respect to this service contract amounted to €372,858 and €608,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outstanding payable was €0 at December 31, 2022 (2021: €Nil).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Remuneration of the board of Directors and Key management</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emoluments, including pension costs as referred to in Section 2:383(1) of the Netherlands Civil Code, charged in the financial year to the Company and group companies by the Board of Directors members amounts to € 5,997,126 (2021: €3,302,840).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in euro the remuneration of the individual members of the Board of Directors for the year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09"/>
        </w:trPr>
        <w:tc>
          <w:tcPr>
            <w:tcW w:w="2340" w:type="dxa"/>
            <w:vAlign w:val="bottom"/>
            <w:tcBorders>
              <w:top w:val="single" w:sz="8" w:color="auto"/>
              <w:left w:val="single" w:sz="8" w:color="auto"/>
              <w:right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Pension and</w:t>
            </w:r>
          </w:p>
        </w:tc>
        <w:tc>
          <w:tcPr>
            <w:tcW w:w="140" w:type="dxa"/>
            <w:vAlign w:val="bottom"/>
            <w:tcBorders>
              <w:right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Management</w:t>
            </w:r>
          </w:p>
        </w:tc>
        <w:tc>
          <w:tcPr>
            <w:tcW w:w="140" w:type="dxa"/>
            <w:vAlign w:val="bottom"/>
            <w:tcBorders>
              <w:right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Share-based</w:t>
            </w:r>
          </w:p>
        </w:tc>
        <w:tc>
          <w:tcPr>
            <w:tcW w:w="160" w:type="dxa"/>
            <w:vAlign w:val="bottom"/>
            <w:tcBorders>
              <w:right w:val="single" w:sz="8" w:color="auto"/>
            </w:tcBorders>
          </w:tcPr>
          <w:p>
            <w:pPr>
              <w:spacing w:after="0"/>
              <w:rPr>
                <w:sz w:val="18"/>
                <w:szCs w:val="18"/>
                <w:color w:val="auto"/>
              </w:rPr>
            </w:pPr>
          </w:p>
        </w:tc>
        <w:tc>
          <w:tcPr>
            <w:tcW w:w="11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c>
          <w:tcPr>
            <w:tcW w:w="140" w:type="dxa"/>
            <w:vAlign w:val="bottom"/>
            <w:tcBorders>
              <w:right w:val="single" w:sz="8" w:color="auto"/>
            </w:tcBorders>
          </w:tcPr>
          <w:p>
            <w:pPr>
              <w:spacing w:after="0"/>
              <w:rPr>
                <w:sz w:val="18"/>
                <w:szCs w:val="18"/>
                <w:color w:val="auto"/>
              </w:rPr>
            </w:pPr>
          </w:p>
        </w:tc>
        <w:tc>
          <w:tcPr>
            <w:tcW w:w="15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Total remuneration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340" w:type="dxa"/>
            <w:vAlign w:val="bottom"/>
            <w:tcBorders>
              <w:left w:val="single" w:sz="8" w:color="auto"/>
              <w:right w:val="single" w:sz="8" w:color="auto"/>
            </w:tcBorders>
          </w:tcPr>
          <w:p>
            <w:pPr>
              <w:spacing w:after="0"/>
              <w:rPr>
                <w:sz w:val="8"/>
                <w:szCs w:val="8"/>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Salary</w:t>
            </w:r>
          </w:p>
        </w:tc>
        <w:tc>
          <w:tcPr>
            <w:tcW w:w="140" w:type="dxa"/>
            <w:vAlign w:val="bottom"/>
            <w:tcBorders>
              <w:right w:val="single" w:sz="8" w:color="auto"/>
            </w:tcBorders>
          </w:tcPr>
          <w:p>
            <w:pPr>
              <w:spacing w:after="0"/>
              <w:rPr>
                <w:sz w:val="8"/>
                <w:szCs w:val="8"/>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rPr>
              <w:t>Bonus</w:t>
            </w:r>
          </w:p>
        </w:tc>
        <w:tc>
          <w:tcPr>
            <w:tcW w:w="160" w:type="dxa"/>
            <w:vAlign w:val="bottom"/>
            <w:tcBorders>
              <w:right w:val="single" w:sz="8" w:color="auto"/>
            </w:tcBorders>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social</w:t>
            </w:r>
          </w:p>
        </w:tc>
        <w:tc>
          <w:tcPr>
            <w:tcW w:w="140" w:type="dxa"/>
            <w:vAlign w:val="bottom"/>
            <w:tcBorders>
              <w:right w:val="single" w:sz="8" w:color="auto"/>
            </w:tcBorders>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remuneration</w:t>
            </w:r>
          </w:p>
        </w:tc>
        <w:tc>
          <w:tcPr>
            <w:tcW w:w="140" w:type="dxa"/>
            <w:vAlign w:val="bottom"/>
            <w:tcBorders>
              <w:right w:val="single" w:sz="8" w:color="auto"/>
            </w:tcBorders>
          </w:tcPr>
          <w:p>
            <w:pPr>
              <w:spacing w:after="0"/>
              <w:rPr>
                <w:sz w:val="8"/>
                <w:szCs w:val="8"/>
                <w:color w:val="auto"/>
              </w:rPr>
            </w:pPr>
          </w:p>
        </w:tc>
        <w:tc>
          <w:tcPr>
            <w:tcW w:w="1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40" w:type="dxa"/>
            <w:vAlign w:val="bottom"/>
            <w:vMerge w:val="restart"/>
          </w:tcPr>
          <w:p>
            <w:pPr>
              <w:jc w:val="right"/>
              <w:ind w:right="379"/>
              <w:spacing w:after="0"/>
              <w:rPr>
                <w:sz w:val="20"/>
                <w:szCs w:val="20"/>
                <w:color w:val="auto"/>
              </w:rPr>
            </w:pPr>
            <w:r>
              <w:rPr>
                <w:rFonts w:ascii="Arial" w:cs="Arial" w:eastAsia="Arial" w:hAnsi="Arial"/>
                <w:sz w:val="16"/>
                <w:szCs w:val="16"/>
                <w:color w:val="auto"/>
              </w:rPr>
              <w:t>fee</w:t>
            </w:r>
          </w:p>
        </w:tc>
        <w:tc>
          <w:tcPr>
            <w:tcW w:w="140" w:type="dxa"/>
            <w:vAlign w:val="bottom"/>
            <w:tcBorders>
              <w:right w:val="single" w:sz="8" w:color="auto"/>
            </w:tcBorders>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compensation</w:t>
            </w:r>
          </w:p>
        </w:tc>
        <w:tc>
          <w:tcPr>
            <w:tcW w:w="160" w:type="dxa"/>
            <w:vAlign w:val="bottom"/>
            <w:tcBorders>
              <w:right w:val="single" w:sz="8" w:color="auto"/>
            </w:tcBorders>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560" w:type="dxa"/>
            <w:vAlign w:val="bottom"/>
            <w:vMerge w:val="restart"/>
          </w:tcPr>
          <w:p>
            <w:pPr>
              <w:jc w:val="right"/>
              <w:ind w:right="51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securities</w:t>
            </w:r>
          </w:p>
        </w:tc>
        <w:tc>
          <w:tcPr>
            <w:tcW w:w="140" w:type="dxa"/>
            <w:vAlign w:val="bottom"/>
            <w:tcBorders>
              <w:right w:val="single" w:sz="8" w:color="auto"/>
            </w:tcBorders>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color w:val="auto"/>
              </w:rPr>
              <w:t>2022</w:t>
            </w:r>
          </w:p>
        </w:tc>
        <w:tc>
          <w:tcPr>
            <w:tcW w:w="140" w:type="dxa"/>
            <w:vAlign w:val="bottom"/>
            <w:tcBorders>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Modig</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202,552</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101,545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1,609,581</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2,413,678</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2,366,859</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H. Schikan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58,761</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210,385</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269,146</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D. Meeker</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90,527</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191,361</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281,888</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317,657</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R. Glassman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44,273</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151,331</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195,605</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Ms. Beck - Monges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58,396</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251,225</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309,621</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134,532</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M. Kleijwegt (1)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340" w:type="dxa"/>
            <w:vAlign w:val="bottom"/>
            <w:tcBorders>
              <w:left w:val="single" w:sz="8" w:color="CFF4FF"/>
              <w:bottom w:val="single" w:sz="8" w:color="auto"/>
              <w:right w:val="single" w:sz="8" w:color="auto"/>
            </w:tcBorders>
            <w:shd w:val="clear" w:color="auto" w:fill="CFF4FF"/>
          </w:tcPr>
          <w:p>
            <w:pPr>
              <w:ind w:left="20"/>
              <w:spacing w:after="0"/>
              <w:rPr>
                <w:sz w:val="20"/>
                <w:szCs w:val="20"/>
                <w:color w:val="auto"/>
              </w:rPr>
            </w:pPr>
            <w:r>
              <w:rPr>
                <w:rFonts w:ascii="Arial" w:cs="Arial" w:eastAsia="Arial" w:hAnsi="Arial"/>
                <w:sz w:val="18"/>
                <w:szCs w:val="18"/>
                <w:color w:val="auto"/>
              </w:rPr>
              <w:t>Mr. R Gaster (1)</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4FF"/>
              <w:right w:val="single" w:sz="8" w:color="auto"/>
            </w:tcBorders>
            <w:shd w:val="clear" w:color="auto" w:fill="CFF4FF"/>
          </w:tcPr>
          <w:p>
            <w:pPr>
              <w:spacing w:after="0"/>
              <w:rPr>
                <w:sz w:val="20"/>
                <w:szCs w:val="20"/>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4FF"/>
              <w:right w:val="single" w:sz="8" w:color="auto"/>
            </w:tcBorders>
            <w:shd w:val="clear" w:color="auto" w:fill="CFF4FF"/>
          </w:tcPr>
          <w:p>
            <w:pPr>
              <w:spacing w:after="0"/>
              <w:rPr>
                <w:sz w:val="20"/>
                <w:szCs w:val="20"/>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4FF"/>
              <w:right w:val="single" w:sz="8" w:color="auto"/>
            </w:tcBorders>
            <w:shd w:val="clear" w:color="auto" w:fill="CFF4FF"/>
          </w:tcPr>
          <w:p>
            <w:pPr>
              <w:spacing w:after="0"/>
              <w:rPr>
                <w:sz w:val="20"/>
                <w:szCs w:val="20"/>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9,015</w:t>
            </w:r>
          </w:p>
        </w:tc>
        <w:tc>
          <w:tcPr>
            <w:tcW w:w="140" w:type="dxa"/>
            <w:vAlign w:val="bottom"/>
            <w:tcBorders>
              <w:bottom w:val="single" w:sz="8" w:color="CFF4FF"/>
            </w:tcBorders>
            <w:shd w:val="clear" w:color="auto" w:fill="CFF4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Ms. E Björk</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42,036</w:t>
            </w:r>
          </w:p>
        </w:tc>
        <w:tc>
          <w:tcPr>
            <w:tcW w:w="14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276,540</w:t>
            </w:r>
          </w:p>
        </w:tc>
        <w:tc>
          <w:tcPr>
            <w:tcW w:w="16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318,576</w:t>
            </w:r>
          </w:p>
        </w:tc>
        <w:tc>
          <w:tcPr>
            <w:tcW w:w="14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Ms. A. de Jonge - Schuermans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49,154</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187,449</w:t>
            </w:r>
          </w:p>
        </w:tc>
        <w:tc>
          <w:tcPr>
            <w:tcW w:w="160" w:type="dxa"/>
            <w:vAlign w:val="bottom"/>
            <w:tcBorders>
              <w:bottom w:val="single" w:sz="8" w:color="CFF4FF"/>
              <w:right w:val="single" w:sz="8" w:color="auto"/>
            </w:tcBorders>
            <w:shd w:val="clear" w:color="auto" w:fill="CFF4FF"/>
          </w:tcPr>
          <w:p>
            <w:pPr>
              <w:spacing w:after="0"/>
              <w:rPr>
                <w:sz w:val="18"/>
                <w:szCs w:val="18"/>
                <w:color w:val="auto"/>
              </w:rPr>
            </w:pPr>
          </w:p>
        </w:tc>
        <w:tc>
          <w:tcPr>
            <w:tcW w:w="11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236,603</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5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230505</wp:posOffset>
            </wp:positionV>
            <wp:extent cx="7145020" cy="5530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5020" cy="55308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-1191260</wp:posOffset>
            </wp:positionV>
            <wp:extent cx="76835" cy="154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-1191260</wp:posOffset>
            </wp:positionV>
            <wp:extent cx="85725"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-1191260</wp:posOffset>
            </wp:positionV>
            <wp:extent cx="85725"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-1191260</wp:posOffset>
            </wp:positionV>
            <wp:extent cx="77470" cy="154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-1191260</wp:posOffset>
            </wp:positionV>
            <wp:extent cx="8572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-1191260</wp:posOffset>
            </wp:positionV>
            <wp:extent cx="85725" cy="154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-1191260</wp:posOffset>
            </wp:positionV>
            <wp:extent cx="85725" cy="154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-899795</wp:posOffset>
            </wp:positionV>
            <wp:extent cx="76835" cy="154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-899795</wp:posOffset>
            </wp:positionV>
            <wp:extent cx="85725" cy="154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-899795</wp:posOffset>
            </wp:positionV>
            <wp:extent cx="85725" cy="1543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-899795</wp:posOffset>
            </wp:positionV>
            <wp:extent cx="77470" cy="154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-899795</wp:posOffset>
            </wp:positionV>
            <wp:extent cx="85725" cy="154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-899795</wp:posOffset>
            </wp:positionV>
            <wp:extent cx="85725" cy="154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-899795</wp:posOffset>
            </wp:positionV>
            <wp:extent cx="85725" cy="154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-607695</wp:posOffset>
            </wp:positionV>
            <wp:extent cx="76835" cy="1543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-607695</wp:posOffset>
            </wp:positionV>
            <wp:extent cx="85725" cy="154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-607695</wp:posOffset>
            </wp:positionV>
            <wp:extent cx="85725" cy="154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-607695</wp:posOffset>
            </wp:positionV>
            <wp:extent cx="77470" cy="1543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-607695</wp:posOffset>
            </wp:positionV>
            <wp:extent cx="85725" cy="154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85725" cy="154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-607695</wp:posOffset>
            </wp:positionV>
            <wp:extent cx="85725" cy="1543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-299720</wp:posOffset>
            </wp:positionV>
            <wp:extent cx="76835" cy="1543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-299720</wp:posOffset>
            </wp:positionV>
            <wp:extent cx="85725" cy="154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-299720</wp:posOffset>
            </wp:positionV>
            <wp:extent cx="85725" cy="154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-299720</wp:posOffset>
            </wp:positionV>
            <wp:extent cx="77470" cy="1543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-299720</wp:posOffset>
            </wp:positionV>
            <wp:extent cx="85725" cy="1543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85725" cy="1543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1543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-7620</wp:posOffset>
            </wp:positionV>
            <wp:extent cx="768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857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857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857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 Not part of the Board of Directors per yeard end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Mr. Modig has received a bonus on the realization of targets set by the Group.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represents the impact in the result of the Company for the expenses granted to the members of the Board of Directors.</w:t>
      </w:r>
    </w:p>
    <w:p>
      <w:pPr>
        <w:spacing w:after="0" w:line="182"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The Key management of the Group is paid through the group companies, no costs related to Key management are included in the company financial statements. Further reference is made to note 20 of the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Employee benefits and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employees during the fiscal year 2022 (2021: nil).</w:t>
      </w:r>
    </w:p>
    <w:p>
      <w:pPr>
        <w:spacing w:after="0" w:line="194"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The Company is responsible for settling share-based payment transactions with employees of its subsidiaries, and these are recognized as equity-settled share-based payment transactions since they are settled in shares of the Company, Total costs related to share-based payments for €11,349,200 (2021: 8,196,387) are included in “Share in results of participating interests” in the company financial statements, with a corresponding adjustment to equity. Reference is made to note 18 in the consolidated financial statements for disclosure on the share-based payments.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Independent Auditor’s fee</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fees were charged by PricewaterhouseCoopers Accountants N.V. to the Company and its subsidiaries, as referred to in Section 2:382a(1) and (2) of the Netherlands Civil Code. The costs are allocated to the year which the services are related to.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10"/>
        </w:trPr>
        <w:tc>
          <w:tcPr>
            <w:tcW w:w="76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r>
      <w:tr>
        <w:trPr>
          <w:trHeight w:val="210"/>
        </w:trPr>
        <w:tc>
          <w:tcPr>
            <w:tcW w:w="7600" w:type="dxa"/>
            <w:vAlign w:val="bottom"/>
            <w:shd w:val="clear" w:color="auto" w:fill="CFF0FF"/>
          </w:tcPr>
          <w:p>
            <w:pPr>
              <w:ind w:left="20"/>
              <w:spacing w:after="0"/>
              <w:rPr>
                <w:sz w:val="20"/>
                <w:szCs w:val="20"/>
                <w:color w:val="auto"/>
              </w:rPr>
            </w:pPr>
            <w:r>
              <w:rPr>
                <w:rFonts w:ascii="Arial" w:cs="Arial" w:eastAsia="Arial" w:hAnsi="Arial"/>
                <w:sz w:val="16"/>
                <w:szCs w:val="16"/>
                <w:color w:val="auto"/>
              </w:rPr>
              <w:t>Audit of financial statements</w:t>
            </w:r>
          </w:p>
        </w:tc>
        <w:tc>
          <w:tcPr>
            <w:tcW w:w="1620" w:type="dxa"/>
            <w:vAlign w:val="bottom"/>
            <w:shd w:val="clear" w:color="auto" w:fill="CFF0FF"/>
          </w:tcPr>
          <w:p>
            <w:pPr>
              <w:jc w:val="right"/>
              <w:spacing w:after="0"/>
              <w:rPr>
                <w:sz w:val="20"/>
                <w:szCs w:val="20"/>
                <w:color w:val="auto"/>
              </w:rPr>
            </w:pPr>
            <w:r>
              <w:rPr>
                <w:rFonts w:ascii="Arial" w:cs="Arial" w:eastAsia="Arial" w:hAnsi="Arial"/>
                <w:sz w:val="16"/>
                <w:szCs w:val="16"/>
                <w:color w:val="auto"/>
              </w:rPr>
              <w:t>319,000</w:t>
            </w:r>
          </w:p>
        </w:tc>
        <w:tc>
          <w:tcPr>
            <w:tcW w:w="1880" w:type="dxa"/>
            <w:vAlign w:val="bottom"/>
            <w:gridSpan w:val="2"/>
            <w:shd w:val="clear" w:color="auto" w:fill="CFF0FF"/>
          </w:tcPr>
          <w:p>
            <w:pPr>
              <w:jc w:val="right"/>
              <w:spacing w:after="0"/>
              <w:rPr>
                <w:sz w:val="20"/>
                <w:szCs w:val="20"/>
                <w:color w:val="auto"/>
              </w:rPr>
            </w:pPr>
            <w:r>
              <w:rPr>
                <w:rFonts w:ascii="Arial" w:cs="Arial" w:eastAsia="Arial" w:hAnsi="Arial"/>
                <w:sz w:val="16"/>
                <w:szCs w:val="16"/>
                <w:color w:val="auto"/>
              </w:rPr>
              <w:t>305,500</w:t>
            </w:r>
          </w:p>
        </w:tc>
        <w:tc>
          <w:tcPr>
            <w:tcW w:w="140" w:type="dxa"/>
            <w:vAlign w:val="bottom"/>
            <w:shd w:val="clear" w:color="auto" w:fill="CFF0FF"/>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assurance services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492,876</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153,000</w:t>
            </w:r>
          </w:p>
        </w:tc>
        <w:tc>
          <w:tcPr>
            <w:tcW w:w="140" w:type="dxa"/>
            <w:vAlign w:val="bottom"/>
          </w:tcPr>
          <w:p>
            <w:pPr>
              <w:spacing w:after="0"/>
              <w:rPr>
                <w:sz w:val="18"/>
                <w:szCs w:val="18"/>
                <w:color w:val="auto"/>
              </w:rPr>
            </w:pPr>
          </w:p>
        </w:tc>
      </w:tr>
      <w:tr>
        <w:trPr>
          <w:trHeight w:val="250"/>
        </w:trPr>
        <w:tc>
          <w:tcPr>
            <w:tcW w:w="7600" w:type="dxa"/>
            <w:vAlign w:val="bottom"/>
            <w:tcBorders>
              <w:bottom w:val="single" w:sz="8" w:color="CFF0FF"/>
            </w:tcBorders>
            <w:shd w:val="clear" w:color="auto" w:fill="CFF0FF"/>
          </w:tcPr>
          <w:p>
            <w:pPr>
              <w:spacing w:after="0"/>
              <w:rPr>
                <w:sz w:val="21"/>
                <w:szCs w:val="21"/>
                <w:color w:val="auto"/>
              </w:rPr>
            </w:pPr>
          </w:p>
        </w:tc>
        <w:tc>
          <w:tcPr>
            <w:tcW w:w="162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811,876</w:t>
            </w:r>
          </w:p>
        </w:tc>
        <w:tc>
          <w:tcPr>
            <w:tcW w:w="280" w:type="dxa"/>
            <w:vAlign w:val="bottom"/>
            <w:tcBorders>
              <w:bottom w:val="single" w:sz="8" w:color="CFF0FF"/>
            </w:tcBorders>
            <w:shd w:val="clear" w:color="auto" w:fill="CFF0FF"/>
          </w:tcPr>
          <w:p>
            <w:pPr>
              <w:spacing w:after="0"/>
              <w:rPr>
                <w:sz w:val="21"/>
                <w:szCs w:val="21"/>
                <w:color w:val="auto"/>
              </w:rPr>
            </w:pPr>
          </w:p>
        </w:tc>
        <w:tc>
          <w:tcPr>
            <w:tcW w:w="160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458,500</w:t>
            </w:r>
          </w:p>
        </w:tc>
        <w:tc>
          <w:tcPr>
            <w:tcW w:w="14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857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857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Events after the reporting period</w:t>
      </w:r>
    </w:p>
    <w:p>
      <w:pPr>
        <w:spacing w:after="0" w:line="242"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The Company has evaluated subsequent events through May 30, 2023, which is the date the company financial statements were authorized for issuance, and did not identify any significant event after the reporting period that needs to be disclosed.</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May 30, 2023</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339471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26670</wp:posOffset>
            </wp:positionV>
            <wp:extent cx="339471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339471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339471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 A.M. de Jonge Schuermans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39471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A.M de Jonge Schuermans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33947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39471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929" w:lineRule="exact"/>
        <w:rPr>
          <w:sz w:val="20"/>
          <w:szCs w:val="20"/>
          <w:color w:val="auto"/>
        </w:rPr>
      </w:pPr>
    </w:p>
    <w:p>
      <w:pPr>
        <w:sectPr>
          <w:pgSz w:w="11900" w:h="16838" w:orient="portrait"/>
          <w:cols w:equalWidth="0" w:num="2">
            <w:col w:w="5160" w:space="720"/>
            <w:col w:w="4259"/>
          </w:cols>
          <w:pgMar w:left="32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0"/>
          <w:szCs w:val="10"/>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22"/>
          <w:szCs w:val="22"/>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auditor's report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independent auditor’s report is included in the next page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appropriation provisions</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Company's article 24 of the articles of association, any profits shown in the adopted statutory annual accounts of the Company shall be appropriated as follows, and in the following order of priority:</w:t>
      </w:r>
    </w:p>
    <w:p>
      <w:pPr>
        <w:spacing w:after="0" w:line="252" w:lineRule="exact"/>
        <w:rPr>
          <w:sz w:val="20"/>
          <w:szCs w:val="20"/>
          <w:color w:val="auto"/>
        </w:rPr>
      </w:pPr>
    </w:p>
    <w:p>
      <w:pPr>
        <w:jc w:val="both"/>
        <w:ind w:left="2560" w:hanging="516"/>
        <w:spacing w:after="0" w:line="258" w:lineRule="auto"/>
        <w:tabs>
          <w:tab w:leader="none" w:pos="2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extent that any preferred shares have been cancelled without full repayment as described in the articles of association and without such deficit subsequently having been paid in full, an amount equal to any such (remaining) deficit shall first be distributed to those who held those preferred shares at the moment of such cancellation becoming effective;</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jc w:val="both"/>
        <w:ind w:left="2560" w:hanging="516"/>
        <w:spacing w:after="0" w:line="253" w:lineRule="auto"/>
        <w:tabs>
          <w:tab w:leader="none" w:pos="2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preferred shares are issued and outstanding and to the extent that the mandatory annual distribution on the preferred shares (i.e., an amount equal to the applicable interest rate calculated over the aggregate amount paid up on those preferred shares, calculated in accordance with the relevant provisions of the articles of association), or part thereof, in relation to previous financial years has not yet been paid in full, an amount equal to any such (remaining) deficit shall be distributed on the preferred shares;</w:t>
      </w:r>
    </w:p>
    <w:p>
      <w:pPr>
        <w:spacing w:after="0" w:line="272"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preferred shares are issued and outstanding, the mandatory annual distribution (as described above under b.) payable on preferred shares shall then be distributed on the preferred shares;</w:t>
      </w:r>
    </w:p>
    <w:p>
      <w:pPr>
        <w:spacing w:after="0" w:line="251"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following those distributions, the Board shall determine which part of the remaining profits shall be added to the Company's reserves; and</w:t>
      </w:r>
    </w:p>
    <w:p>
      <w:pPr>
        <w:spacing w:after="0" w:line="251" w:lineRule="exact"/>
        <w:rPr>
          <w:rFonts w:ascii="Arial" w:cs="Arial" w:eastAsia="Arial" w:hAnsi="Arial"/>
          <w:sz w:val="16"/>
          <w:szCs w:val="16"/>
          <w:color w:val="auto"/>
        </w:rPr>
      </w:pPr>
    </w:p>
    <w:p>
      <w:pPr>
        <w:ind w:left="2560" w:hanging="516"/>
        <w:spacing w:after="0" w:line="276" w:lineRule="auto"/>
        <w:tabs>
          <w:tab w:leader="none" w:pos="2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subject to a proposal by the Board to that effect, the remaining profits shall be at the disposal of the General Meeting for distribution on the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carrying limited economic entitlement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outstanding shares which carry a limited entitlement to the profits or reserves in the Company.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Branches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branch offices.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page to the Dutch statutory board report of Pharvaris N.V.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29"/>
          <w:szCs w:val="29"/>
          <w:b w:val="1"/>
          <w:bCs w:val="1"/>
          <w:i w:val="1"/>
          <w:iCs w:val="1"/>
          <w:color w:val="DC6900"/>
        </w:rPr>
        <w:t>Independent auditor’s report</w:t>
      </w: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general meeting of Pharvaris N.V.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DC6900"/>
        </w:rPr>
        <w:t>Report on the financial statements 2022</w:t>
      </w:r>
    </w:p>
    <w:p>
      <w:pPr>
        <w:spacing w:after="0" w:line="362" w:lineRule="exact"/>
        <w:rPr>
          <w:sz w:val="20"/>
          <w:szCs w:val="20"/>
          <w:color w:val="auto"/>
        </w:rPr>
      </w:pPr>
    </w:p>
    <w:p>
      <w:pPr>
        <w:spacing w:after="0"/>
        <w:rPr>
          <w:sz w:val="20"/>
          <w:szCs w:val="20"/>
          <w:color w:val="auto"/>
        </w:rPr>
      </w:pPr>
      <w:r>
        <w:rPr>
          <w:rFonts w:ascii="Arial" w:cs="Arial" w:eastAsia="Arial" w:hAnsi="Arial"/>
          <w:sz w:val="23"/>
          <w:szCs w:val="23"/>
          <w:color w:val="DC6900"/>
        </w:rPr>
        <w:t>Our opinion</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our opinion:</w:t>
      </w:r>
    </w:p>
    <w:p>
      <w:pPr>
        <w:spacing w:after="0" w:line="23" w:lineRule="exact"/>
        <w:rPr>
          <w:sz w:val="20"/>
          <w:szCs w:val="20"/>
          <w:color w:val="auto"/>
        </w:rPr>
      </w:pPr>
    </w:p>
    <w:p>
      <w:pPr>
        <w:ind w:left="980" w:right="4100" w:hanging="583"/>
        <w:spacing w:after="0" w:line="290" w:lineRule="auto"/>
        <w:tabs>
          <w:tab w:leader="none" w:pos="98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consolidated financial statements of Pharvaris N.V. together with its subsidiaries (‘the Group’) give a true and fair view of the financial position of the Group as at</w:t>
      </w:r>
    </w:p>
    <w:p>
      <w:pPr>
        <w:ind w:left="980" w:right="220"/>
        <w:spacing w:after="0" w:line="258" w:lineRule="auto"/>
        <w:rPr>
          <w:rFonts w:ascii="Arial" w:cs="Arial" w:eastAsia="Arial" w:hAnsi="Arial"/>
          <w:sz w:val="16"/>
          <w:szCs w:val="16"/>
          <w:color w:val="auto"/>
        </w:rPr>
      </w:pPr>
      <w:r>
        <w:rPr>
          <w:rFonts w:ascii="Arial" w:cs="Arial" w:eastAsia="Arial" w:hAnsi="Arial"/>
          <w:sz w:val="18"/>
          <w:szCs w:val="18"/>
          <w:color w:val="auto"/>
        </w:rPr>
        <w:t>31 December 2022 and of its result and cash flows for the year then ended in accordance with International Financial Reporting Standards as adopted by the European Union (‘EU-IFRS’) and with Part 9 of Book 2 of the Dutch Civil Code;</w:t>
      </w:r>
    </w:p>
    <w:p>
      <w:pPr>
        <w:ind w:left="980" w:hanging="583"/>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financial statements of Pharvaris N.V. (‘the Company’) give a true and fair view of</w:t>
      </w:r>
    </w:p>
    <w:p>
      <w:pPr>
        <w:spacing w:after="0" w:line="9" w:lineRule="exact"/>
        <w:rPr>
          <w:rFonts w:ascii="Arial" w:cs="Arial" w:eastAsia="Arial" w:hAnsi="Arial"/>
          <w:sz w:val="18"/>
          <w:szCs w:val="18"/>
          <w:color w:val="auto"/>
        </w:rPr>
      </w:pPr>
    </w:p>
    <w:p>
      <w:pPr>
        <w:ind w:left="980" w:right="160"/>
        <w:spacing w:after="0" w:line="276" w:lineRule="auto"/>
        <w:rPr>
          <w:rFonts w:ascii="Arial" w:cs="Arial" w:eastAsia="Arial" w:hAnsi="Arial"/>
          <w:sz w:val="18"/>
          <w:szCs w:val="18"/>
          <w:color w:val="auto"/>
        </w:rPr>
      </w:pPr>
      <w:r>
        <w:rPr>
          <w:rFonts w:ascii="Arial" w:cs="Arial" w:eastAsia="Arial" w:hAnsi="Arial"/>
          <w:sz w:val="18"/>
          <w:szCs w:val="18"/>
          <w:color w:val="auto"/>
        </w:rPr>
        <w:t>the financial position of the Company as at 31 December 2022 and of its result for the year then ended in accordance with Part 9 of Book 2 of the Dutch Civil Code.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DC6900"/>
        </w:rPr>
        <w:t>What we have audited</w:t>
      </w:r>
    </w:p>
    <w:p>
      <w:pPr>
        <w:spacing w:after="0" w:line="48"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We have audited the accompanying financial statements 2022 of Pharvaris N.V., Leiden. The financial statements comprise the consolidated financial statements of the Group and the company financial statements.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consolidated financial statements comprise:</w:t>
      </w:r>
    </w:p>
    <w:p>
      <w:pPr>
        <w:spacing w:after="0" w:line="23" w:lineRule="exact"/>
        <w:rPr>
          <w:sz w:val="20"/>
          <w:szCs w:val="20"/>
          <w:color w:val="auto"/>
        </w:rPr>
      </w:pPr>
    </w:p>
    <w:p>
      <w:pPr>
        <w:ind w:left="980" w:hanging="58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consolidated statements of financial position as at 31 December 2022;</w:t>
      </w:r>
    </w:p>
    <w:p>
      <w:pPr>
        <w:spacing w:after="0" w:line="9" w:lineRule="exact"/>
        <w:rPr>
          <w:rFonts w:ascii="Arial" w:cs="Arial" w:eastAsia="Arial" w:hAnsi="Arial"/>
          <w:sz w:val="18"/>
          <w:szCs w:val="18"/>
          <w:color w:val="auto"/>
        </w:rPr>
      </w:pPr>
    </w:p>
    <w:p>
      <w:pPr>
        <w:ind w:left="960" w:right="320" w:hanging="563"/>
        <w:spacing w:after="0" w:line="250"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statements for 2022: the consolidated statements of loss and comprehensive loss, the consolidated statements of changes in shareholders' equity and the consolidated statement of cash flows; and</w:t>
      </w:r>
    </w:p>
    <w:p>
      <w:pPr>
        <w:ind w:left="960" w:hanging="563"/>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notes, comprising a summary of the significant accounting policies and other explanatory information.</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financial statements comprise:</w:t>
      </w:r>
    </w:p>
    <w:p>
      <w:pPr>
        <w:spacing w:after="0" w:line="23" w:lineRule="exact"/>
        <w:rPr>
          <w:sz w:val="20"/>
          <w:szCs w:val="20"/>
          <w:color w:val="auto"/>
        </w:rPr>
      </w:pPr>
    </w:p>
    <w:p>
      <w:pPr>
        <w:ind w:left="980" w:hanging="583"/>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statement of financial position as at 31 December 2022;</w:t>
      </w:r>
    </w:p>
    <w:p>
      <w:pPr>
        <w:spacing w:after="0" w:line="9" w:lineRule="exact"/>
        <w:rPr>
          <w:rFonts w:ascii="Arial" w:cs="Arial" w:eastAsia="Arial" w:hAnsi="Arial"/>
          <w:sz w:val="18"/>
          <w:szCs w:val="18"/>
          <w:color w:val="auto"/>
        </w:rPr>
      </w:pPr>
    </w:p>
    <w:p>
      <w:pPr>
        <w:ind w:left="980" w:hanging="583"/>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statement of profit or loss for the year then ended; and</w:t>
      </w:r>
    </w:p>
    <w:p>
      <w:pPr>
        <w:spacing w:after="0" w:line="9" w:lineRule="exact"/>
        <w:rPr>
          <w:rFonts w:ascii="Arial" w:cs="Arial" w:eastAsia="Arial" w:hAnsi="Arial"/>
          <w:sz w:val="18"/>
          <w:szCs w:val="18"/>
          <w:color w:val="auto"/>
        </w:rPr>
      </w:pPr>
    </w:p>
    <w:p>
      <w:pPr>
        <w:ind w:left="940" w:hanging="543"/>
        <w:spacing w:after="0"/>
        <w:tabs>
          <w:tab w:leader="none" w:pos="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notes, comprising a summary of the accounting policies applied and other explanatory information.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6" w:name="page147"/>
    <w:bookmarkEnd w:id="146"/>
    <w:p>
      <w:pPr>
        <w:ind w:left="360"/>
        <w:spacing w:after="0"/>
        <w:rPr>
          <w:sz w:val="20"/>
          <w:szCs w:val="20"/>
          <w:color w:val="auto"/>
        </w:rPr>
      </w:pPr>
      <w:r>
        <w:rPr>
          <w:rFonts w:ascii="Arial" w:cs="Arial" w:eastAsia="Arial" w:hAnsi="Arial"/>
          <w:sz w:val="16"/>
          <w:szCs w:val="16"/>
          <w:i w:val="1"/>
          <w:iCs w:val="1"/>
          <w:color w:val="auto"/>
        </w:rPr>
        <w:t>DKDS46Y4WH3V-1106799661-16</w:t>
      </w:r>
    </w:p>
    <w:p>
      <w:pPr>
        <w:spacing w:after="0" w:line="46" w:lineRule="exact"/>
        <w:rPr>
          <w:sz w:val="20"/>
          <w:szCs w:val="20"/>
          <w:color w:val="auto"/>
        </w:rPr>
      </w:pPr>
    </w:p>
    <w:p>
      <w:pPr>
        <w:ind w:left="360" w:right="1040"/>
        <w:spacing w:after="0" w:line="293" w:lineRule="auto"/>
        <w:rPr>
          <w:sz w:val="20"/>
          <w:szCs w:val="20"/>
          <w:color w:val="auto"/>
        </w:rPr>
      </w:pPr>
      <w:r>
        <w:rPr>
          <w:rFonts w:ascii="Arial" w:cs="Arial" w:eastAsia="Arial" w:hAnsi="Arial"/>
          <w:sz w:val="16"/>
          <w:szCs w:val="16"/>
          <w:i w:val="1"/>
          <w:iCs w:val="1"/>
          <w:color w:val="auto"/>
        </w:rPr>
        <w:t>PricewaterhouseCoopers Accountants N.V., Thomas R. Malthusstraat 5, 1066 JR Amsterdam, P.O. Box 90357, 1006 BJ Amsterdam, the Netherlands T: +31 (0) 88 792 00 20, F: +31 (0) 88 792 96 40, www.pwc.nl</w:t>
      </w:r>
    </w:p>
    <w:p>
      <w:pPr>
        <w:spacing w:after="0" w:line="103" w:lineRule="exact"/>
        <w:rPr>
          <w:sz w:val="20"/>
          <w:szCs w:val="20"/>
          <w:color w:val="auto"/>
        </w:rPr>
      </w:pPr>
    </w:p>
    <w:p>
      <w:pPr>
        <w:ind w:left="360"/>
        <w:spacing w:after="0" w:line="236" w:lineRule="auto"/>
        <w:rPr>
          <w:sz w:val="20"/>
          <w:szCs w:val="20"/>
          <w:color w:val="auto"/>
        </w:rPr>
      </w:pPr>
      <w:r>
        <w:rPr>
          <w:rFonts w:ascii="Arial" w:cs="Arial" w:eastAsia="Arial" w:hAnsi="Arial"/>
          <w:sz w:val="11"/>
          <w:szCs w:val="11"/>
          <w:color w:val="auto"/>
        </w:rPr>
        <w:t>‘PwC’ is the brand under which PricewaterhouseCoopers Accountants N.V. (Chamber of Commerce 34180285), PricewaterhouseCoopers Belastingadviseurs N.V. (Chamber of Commerce 34180284), PricewaterhouseCoopers Advisory N.V. (Chamber of Commerce 34180287), PricewaterhouseCoopers Compliance Services B.V. (Chamber of Commerce 51414406), PricewaterhouseCoopers Pensions, Actuarial &amp; Insurance Services B.V. (Chamber of Commerce 54226368), PricewaterhouseCoopers B.V. (Chamber of Commerce 34180289) and other companies operate and provide services. These services are governed by General Terms and Conditions (‘algemene voorwaarden’), which include provisions regarding our liability. Purchases by these companies are governed by General Terms and Conditions of Purchase (‘algemene inkoopvoorwaarden’). At www.pwc.nl more detailed information on these companies is available, including these General Terms and Conditions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and the General Terms and Conditions of Purchase, which have also been filed at the Amsterdam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59690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115" w:right="539" w:bottom="1440" w:gutter="0" w:footer="0" w:header="0"/>
        </w:sectPr>
      </w:pPr>
    </w:p>
    <w:bookmarkStart w:id="147" w:name="page148"/>
    <w:bookmarkEnd w:id="147"/>
    <w:p>
      <w:pPr>
        <w:jc w:val="both"/>
        <w:ind w:left="380" w:right="260"/>
        <w:spacing w:after="0" w:line="263" w:lineRule="auto"/>
        <w:rPr>
          <w:sz w:val="20"/>
          <w:szCs w:val="20"/>
          <w:color w:val="auto"/>
        </w:rPr>
      </w:pPr>
      <w:r>
        <w:rPr>
          <w:rFonts w:ascii="Arial" w:cs="Arial" w:eastAsia="Arial" w:hAnsi="Arial"/>
          <w:sz w:val="18"/>
          <w:szCs w:val="18"/>
          <w:color w:val="auto"/>
        </w:rPr>
        <w:t>The financial reporting framework applied in the preparation of the financial statements is EU-IFRS and the relevant provisions of Part 9 of Book 2 of the Dutch Civil Code for the consolidated financial statements and Part 9 of Book 2 of the Dutch Civil Code for the company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DC6900"/>
        </w:rPr>
        <w:t>The basis for our opinion</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conducted our audit in accordance with Dutch law, including the Dutch Standards on Auditing.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further described our responsibilities under those standards in the section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responsibilities for the audit of the financial statements’ of our report.</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DC6900"/>
        </w:rPr>
        <w:t>Independence</w:t>
      </w:r>
    </w:p>
    <w:p>
      <w:pPr>
        <w:spacing w:after="0" w:line="34"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We are independent of Pharvaris N.V. in accordance with the ‘Wet toezicht accountantsorganisaties’ (Wta, Audit firms supervision act), the ‘Verordening inzake de onafhankelijkheid van accountants bij assuranceopdrachten’ (ViO, Code of Ethics for Professional Accountants, a regulation with respect to independence) and other relevant independence regulations in the Netherlands. Furthermore, we have complied with the ‘Verordening gedrags- en beroepsregels accountants’ (VGBA, Dutch Code of Ethics).</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DC6900"/>
        </w:rPr>
        <w:t>Our audit approach</w:t>
      </w:r>
    </w:p>
    <w:p>
      <w:pPr>
        <w:spacing w:after="0" w:line="31" w:lineRule="exact"/>
        <w:rPr>
          <w:sz w:val="20"/>
          <w:szCs w:val="20"/>
          <w:color w:val="auto"/>
        </w:rPr>
      </w:pPr>
    </w:p>
    <w:p>
      <w:pPr>
        <w:ind w:left="380" w:right="120"/>
        <w:spacing w:after="0" w:line="277" w:lineRule="auto"/>
        <w:rPr>
          <w:sz w:val="20"/>
          <w:szCs w:val="20"/>
          <w:color w:val="auto"/>
        </w:rPr>
      </w:pPr>
      <w:r>
        <w:rPr>
          <w:rFonts w:ascii="Arial" w:cs="Arial" w:eastAsia="Arial" w:hAnsi="Arial"/>
          <w:sz w:val="17"/>
          <w:szCs w:val="17"/>
          <w:color w:val="auto"/>
        </w:rPr>
        <w:t>We designed our audit procedures, including our procedures with respect to the key audit matter</w:t>
      </w:r>
      <w:r>
        <w:rPr>
          <w:rFonts w:ascii="Arial" w:cs="Arial" w:eastAsia="Arial" w:hAnsi="Arial"/>
          <w:sz w:val="20"/>
          <w:szCs w:val="20"/>
          <w:color w:val="auto"/>
        </w:rPr>
        <w:t>,</w:t>
      </w:r>
      <w:r>
        <w:rPr>
          <w:rFonts w:ascii="Arial" w:cs="Arial" w:eastAsia="Arial" w:hAnsi="Arial"/>
          <w:sz w:val="17"/>
          <w:szCs w:val="17"/>
          <w:color w:val="auto"/>
        </w:rPr>
        <w:t xml:space="preserve"> fraud and going concern, and the matters resulting from that, in the context of our audit of the financial statements as a whole and in forming our opinion thereon. The information in support of our opinion, such as our findings and observations related to individual key audit matter, the audit approach to fraud risks and the audit approach to going concern was addressed in this context, and we do not provide a separate opinion or conclusion on these matters.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DC6900"/>
        </w:rPr>
        <w:t>Overview and context</w:t>
      </w:r>
    </w:p>
    <w:p>
      <w:pPr>
        <w:spacing w:after="0" w:line="34" w:lineRule="exact"/>
        <w:rPr>
          <w:sz w:val="20"/>
          <w:szCs w:val="20"/>
          <w:color w:val="auto"/>
        </w:rPr>
      </w:pPr>
    </w:p>
    <w:p>
      <w:pPr>
        <w:jc w:val="both"/>
        <w:ind w:left="380" w:right="260"/>
        <w:spacing w:after="0" w:line="311" w:lineRule="auto"/>
        <w:rPr>
          <w:sz w:val="20"/>
          <w:szCs w:val="20"/>
          <w:color w:val="auto"/>
        </w:rPr>
      </w:pPr>
      <w:r>
        <w:rPr>
          <w:rFonts w:ascii="Arial" w:cs="Arial" w:eastAsia="Arial" w:hAnsi="Arial"/>
          <w:sz w:val="16"/>
          <w:szCs w:val="16"/>
          <w:color w:val="auto"/>
        </w:rPr>
        <w:t>Pharvaris N.V. is a clinical-stage biopharmaceutical company, currently focussing on the development and commercialization of angioedema and other bradykinin-mediated diseases. Pharvaris N.V. was incorporated on 30 September 2015 and is headquartered in Leiden, the Netherlands. It is the parent company of a group of entities, who’s financial information is also included in the consolidated financial statements.</w:t>
      </w:r>
    </w:p>
    <w:p>
      <w:pPr>
        <w:spacing w:after="0" w:line="162" w:lineRule="exact"/>
        <w:rPr>
          <w:sz w:val="20"/>
          <w:szCs w:val="20"/>
          <w:color w:val="auto"/>
        </w:rPr>
      </w:pPr>
    </w:p>
    <w:p>
      <w:pPr>
        <w:ind w:left="380" w:right="240"/>
        <w:spacing w:after="0" w:line="254" w:lineRule="auto"/>
        <w:rPr>
          <w:sz w:val="20"/>
          <w:szCs w:val="20"/>
          <w:color w:val="auto"/>
        </w:rPr>
      </w:pPr>
      <w:r>
        <w:rPr>
          <w:rFonts w:ascii="Arial" w:cs="Arial" w:eastAsia="Arial" w:hAnsi="Arial"/>
          <w:sz w:val="18"/>
          <w:szCs w:val="18"/>
          <w:color w:val="auto"/>
        </w:rPr>
        <w:t>As part of designing our audit, we determined materiality and assessed the risks of material misstatement in the financial statements. In particular, we considered where management made important judgements, for example, in respect of significant accounting estimates that involved making assumptions and considering future events that are inherently uncertain. In note 2.19 of the consolidated financial statements, the Company describes the areas of judgement in applying accounting policies and the key sources of estimation uncertainty. Of these areas, we considered the share-based payments as a key audit matter given the complexity, subjectivity and significant estimation uncertainty and the related higher inherent risks of material misstatement in determining the fair value of the share-based payments, as set out in the section ‘Key audit matters’ of this report.</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148" w:name="page149"/>
    <w:bookmarkEnd w:id="148"/>
    <w:p>
      <w:pPr>
        <w:jc w:val="both"/>
        <w:ind w:left="380" w:right="140"/>
        <w:spacing w:after="0" w:line="263" w:lineRule="auto"/>
        <w:rPr>
          <w:sz w:val="20"/>
          <w:szCs w:val="20"/>
          <w:color w:val="auto"/>
        </w:rPr>
      </w:pPr>
      <w:r>
        <w:rPr>
          <w:rFonts w:ascii="Arial" w:cs="Arial" w:eastAsia="Arial" w:hAnsi="Arial"/>
          <w:sz w:val="18"/>
          <w:szCs w:val="18"/>
          <w:color w:val="auto"/>
        </w:rPr>
        <w:t>Other areas of focus, that have not been considered as key audit matters, were the transparency of disclosures related to the FDA clinical hold and the Type A meeting with the FDA and the tax accounting of the transfer of the foreign exchange results from the Dutch fiscal unity to the principal company in Switzerland.</w:t>
      </w:r>
    </w:p>
    <w:p>
      <w:pPr>
        <w:spacing w:after="0" w:line="197"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auto"/>
        </w:rPr>
        <w:t>As in all our audits, we also addressed the risk of management override of controls, including evaluating whether there was evidence of bias by management that may represent a risk of material misstatement due to fraud.</w:t>
      </w:r>
    </w:p>
    <w:p>
      <w:pPr>
        <w:spacing w:after="0" w:line="184" w:lineRule="exact"/>
        <w:rPr>
          <w:sz w:val="20"/>
          <w:szCs w:val="20"/>
          <w:color w:val="auto"/>
        </w:rPr>
      </w:pPr>
    </w:p>
    <w:p>
      <w:pPr>
        <w:ind w:left="380" w:right="40"/>
        <w:spacing w:after="0" w:line="277" w:lineRule="auto"/>
        <w:rPr>
          <w:sz w:val="20"/>
          <w:szCs w:val="20"/>
          <w:color w:val="auto"/>
        </w:rPr>
      </w:pPr>
      <w:r>
        <w:rPr>
          <w:rFonts w:ascii="Arial" w:cs="Arial" w:eastAsia="Arial" w:hAnsi="Arial"/>
          <w:sz w:val="18"/>
          <w:szCs w:val="18"/>
          <w:color w:val="auto"/>
        </w:rPr>
        <w:t>We ensured that the audit team included the appropriate skills and competences which are needed for the audit of a clinical stage biopharmaceutical company included specialists in the areas of share-based payments and valuations in our team.</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outline of our audit approach was as follows:</w:t>
      </w: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Arial" w:cs="Arial" w:eastAsia="Arial" w:hAnsi="Arial"/>
          <w:sz w:val="16"/>
          <w:szCs w:val="16"/>
          <w:b w:val="1"/>
          <w:bCs w:val="1"/>
          <w:i w:val="1"/>
          <w:iCs w:val="1"/>
          <w:color w:val="DC6900"/>
        </w:rPr>
        <w:t>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-33020</wp:posOffset>
            </wp:positionV>
            <wp:extent cx="1345565" cy="23660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45565" cy="2366010"/>
                    </a:xfrm>
                    <a:prstGeom prst="rect">
                      <a:avLst/>
                    </a:prstGeom>
                    <a:noFill/>
                  </pic:spPr>
                </pic:pic>
              </a:graphicData>
            </a:graphic>
          </wp:anchor>
        </w:drawing>
      </w:r>
    </w:p>
    <w:p>
      <w:pPr>
        <w:spacing w:after="0" w:line="228" w:lineRule="exact"/>
        <w:rPr>
          <w:sz w:val="20"/>
          <w:szCs w:val="20"/>
          <w:color w:val="auto"/>
        </w:rPr>
      </w:pPr>
    </w:p>
    <w:p>
      <w:pPr>
        <w:ind w:left="4080" w:hanging="390"/>
        <w:spacing w:after="0"/>
        <w:tabs>
          <w:tab w:leader="none" w:pos="4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Overall materiality: €867,000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154940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154940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154940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154940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154940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154940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154940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154940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154940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154940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154940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154940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154940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154940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154940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154940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154940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154940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154940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154940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154940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154940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154940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154940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154940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154940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154940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154940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154940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154940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154940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154940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154940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154940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154940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154940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154940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154940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154940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154940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154940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154940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154940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154940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154940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154940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154940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154940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154940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154940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154940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154940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154940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154940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154940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154940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154940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154940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154940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154940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154940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154940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154940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154940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154940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154940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154940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154940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154940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154940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154940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154940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154940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154940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154940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154940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154940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154940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154940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154940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154940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154940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154940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154940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154940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154940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154940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154940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154940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154940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154940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154940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154940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154940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154940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154940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154940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154940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154940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154940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154940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154940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154940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154940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154940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154940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154940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154940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154940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154940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154940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154940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154940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154940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154940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154940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154940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154940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154940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154940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154940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154940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154940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154940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154940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154940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154940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154940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154940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154940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154940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154940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154940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154940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154940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154940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154940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154940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154940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154940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154940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154940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154940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154940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154940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154940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154940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154940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154940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154940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154940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154940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154940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154940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154940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154940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154940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154940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154940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154940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154940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154940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154940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154940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154940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154940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154940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154940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154940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154940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154940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154940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154940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154940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154940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154940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154940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154940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154940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154940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154940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154940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154940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154940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154940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154940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154940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154940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154940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154940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154940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154940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154940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154940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154940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154940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154940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154940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154940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154940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154940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154940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154940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154940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154940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154940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154940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154940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154940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154940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154940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154940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154940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154940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154940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154940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154940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154940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154940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154940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154940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154940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154940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154940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154940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154940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154940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154940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154940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154940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154940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154940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154940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154940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154940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154940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154940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154940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154940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154940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154940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154940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154940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154940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154940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154940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154940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154940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154940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154940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154940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154940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154940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154940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154940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154940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154940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154940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154940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154940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154940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154940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154940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154940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154940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154940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154940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154940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154940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154940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154940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154940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154940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154940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154940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154940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82" w:lineRule="exact"/>
        <w:rPr>
          <w:sz w:val="20"/>
          <w:szCs w:val="20"/>
          <w:color w:val="auto"/>
        </w:rPr>
      </w:pPr>
    </w:p>
    <w:p>
      <w:pPr>
        <w:ind w:left="3700"/>
        <w:spacing w:after="0"/>
        <w:rPr>
          <w:sz w:val="20"/>
          <w:szCs w:val="20"/>
          <w:color w:val="auto"/>
        </w:rPr>
      </w:pPr>
      <w:r>
        <w:rPr>
          <w:rFonts w:ascii="Arial" w:cs="Arial" w:eastAsia="Arial" w:hAnsi="Arial"/>
          <w:sz w:val="16"/>
          <w:szCs w:val="16"/>
          <w:b w:val="1"/>
          <w:bCs w:val="1"/>
          <w:i w:val="1"/>
          <w:iCs w:val="1"/>
          <w:color w:val="DC6900"/>
        </w:rPr>
        <w:t>Audit scope</w:t>
      </w:r>
    </w:p>
    <w:p>
      <w:pPr>
        <w:spacing w:after="0" w:line="248" w:lineRule="exact"/>
        <w:rPr>
          <w:sz w:val="20"/>
          <w:szCs w:val="20"/>
          <w:color w:val="auto"/>
        </w:rPr>
      </w:pPr>
    </w:p>
    <w:p>
      <w:pPr>
        <w:ind w:left="4080" w:right="180" w:hanging="390"/>
        <w:spacing w:after="0" w:line="265" w:lineRule="auto"/>
        <w:tabs>
          <w:tab w:leader="none" w:pos="4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performed the audit procedures for the audit of the consolidated and company financial statements as the financial reporting and accounting functions for all entities in the Group are located, operated, and managed centrally in Leiden.</w:t>
      </w:r>
    </w:p>
    <w:p>
      <w:pPr>
        <w:spacing w:after="0" w:line="1" w:lineRule="exact"/>
        <w:rPr>
          <w:rFonts w:ascii="Arial" w:cs="Arial" w:eastAsia="Arial" w:hAnsi="Arial"/>
          <w:sz w:val="16"/>
          <w:szCs w:val="16"/>
          <w:color w:val="auto"/>
        </w:rPr>
      </w:pPr>
    </w:p>
    <w:p>
      <w:pPr>
        <w:ind w:left="4060" w:hanging="370"/>
        <w:spacing w:after="0"/>
        <w:tabs>
          <w:tab w:leader="none" w:pos="40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Audit coverage: 100% of total assets, 100% of total expenses and 100% of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555625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555625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555625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555625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555625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555625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555625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555625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555625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555625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555625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555625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555625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555625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555625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555625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555625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555625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555625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555625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555625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555625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555625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555625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555625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555625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555625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555625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555625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555625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555625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555625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555625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555625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555625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555625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555625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555625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555625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555625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555625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555625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555625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555625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555625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555625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555625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555625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555625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555625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555625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555625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555625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555625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555625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555625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555625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555625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555625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555625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555625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555625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555625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555625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555625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555625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555625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555625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555625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555625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555625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555625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555625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555625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555625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555625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555625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555625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555625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555625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555625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555625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555625</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555625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555625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555625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555625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555625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555625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555625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555625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555625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555625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555625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555625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555625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555625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555625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555625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555625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555625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555625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555625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555625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555625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555625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555625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555625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555625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555625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555625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555625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555625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555625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555625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555625</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555625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555625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555625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555625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555625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555625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555625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555625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555625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555625</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555625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555625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555625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555625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555625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555625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555625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555625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555625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555625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555625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555625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555625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555625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555625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555625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555625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555625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555625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555625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555625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555625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555625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555625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555625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555625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555625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555625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555625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555625</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555625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555625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555625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555625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555625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555625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555625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555625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555625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555625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555625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555625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555625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555625</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555625</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555625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555625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555625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555625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555625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555625</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555625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555625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555625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555625</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555625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555625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555625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555625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555625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555625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555625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555625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555625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555625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555625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555625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555625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555625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555625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555625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555625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555625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555625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555625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555625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555625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555625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555625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555625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555625</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555625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555625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555625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555625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555625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555625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555625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555625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555625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555625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555625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555625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555625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555625</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555625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555625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555625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555625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555625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555625</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555625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555625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555625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555625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555625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555625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555625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555625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555625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555625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555625</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555625</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555625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555625</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555625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555625</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555625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555625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555625</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555625</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555625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555625</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555625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555625</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555625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555625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555625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555625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555625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555625</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555625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555625</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555625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555625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555625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555625</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555625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555625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555625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555625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555625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555625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555625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555625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555625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555625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555625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555625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555625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00"/>
        <w:spacing w:after="0"/>
        <w:rPr>
          <w:sz w:val="20"/>
          <w:szCs w:val="20"/>
          <w:color w:val="auto"/>
        </w:rPr>
      </w:pPr>
      <w:r>
        <w:rPr>
          <w:rFonts w:ascii="Arial" w:cs="Arial" w:eastAsia="Arial" w:hAnsi="Arial"/>
          <w:sz w:val="16"/>
          <w:szCs w:val="16"/>
          <w:b w:val="1"/>
          <w:bCs w:val="1"/>
          <w:i w:val="1"/>
          <w:iCs w:val="1"/>
          <w:color w:val="DC6900"/>
        </w:rPr>
        <w:t>Key audit matters</w:t>
      </w:r>
    </w:p>
    <w:p>
      <w:pPr>
        <w:spacing w:after="0" w:line="248" w:lineRule="exact"/>
        <w:rPr>
          <w:sz w:val="20"/>
          <w:szCs w:val="20"/>
          <w:color w:val="auto"/>
        </w:rPr>
      </w:pPr>
    </w:p>
    <w:p>
      <w:pPr>
        <w:ind w:left="4080" w:hanging="390"/>
        <w:spacing w:after="0"/>
        <w:tabs>
          <w:tab w:leader="none" w:pos="4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163830</wp:posOffset>
            </wp:positionV>
            <wp:extent cx="677227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DC6900"/>
        </w:rPr>
        <w:t>Materiality</w:t>
      </w:r>
    </w:p>
    <w:p>
      <w:pPr>
        <w:spacing w:after="0" w:line="48" w:lineRule="exact"/>
        <w:rPr>
          <w:sz w:val="20"/>
          <w:szCs w:val="20"/>
          <w:color w:val="auto"/>
        </w:rPr>
      </w:pPr>
    </w:p>
    <w:p>
      <w:pPr>
        <w:ind w:left="380" w:right="3420"/>
        <w:spacing w:after="0" w:line="293" w:lineRule="auto"/>
        <w:rPr>
          <w:sz w:val="20"/>
          <w:szCs w:val="20"/>
          <w:color w:val="auto"/>
        </w:rPr>
      </w:pPr>
      <w:r>
        <w:rPr>
          <w:rFonts w:ascii="Arial" w:cs="Arial" w:eastAsia="Arial" w:hAnsi="Arial"/>
          <w:sz w:val="18"/>
          <w:szCs w:val="18"/>
          <w:color w:val="auto"/>
        </w:rPr>
        <w:t>The scope of our audit was influenced by the application of materiality, which is further explained in the section ‘Our responsibilities for the audit of the financial statements’.</w:t>
      </w:r>
    </w:p>
    <w:p>
      <w:pPr>
        <w:spacing w:after="0" w:line="170" w:lineRule="exact"/>
        <w:rPr>
          <w:sz w:val="20"/>
          <w:szCs w:val="20"/>
          <w:color w:val="auto"/>
        </w:rPr>
      </w:pPr>
    </w:p>
    <w:p>
      <w:pPr>
        <w:ind w:left="380"/>
        <w:spacing w:after="0" w:line="279" w:lineRule="auto"/>
        <w:rPr>
          <w:sz w:val="20"/>
          <w:szCs w:val="20"/>
          <w:color w:val="auto"/>
        </w:rPr>
      </w:pPr>
      <w:r>
        <w:rPr>
          <w:rFonts w:ascii="Arial" w:cs="Arial" w:eastAsia="Arial" w:hAnsi="Arial"/>
          <w:sz w:val="17"/>
          <w:szCs w:val="17"/>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nature, timing, and extent of our audit procedures on the individual financial statement line items and disclosures and to evaluate the effect of identified misstatements, both individually and in aggregate, on the financial statements as a whole and on our opinion.</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16" w:right="519" w:bottom="1440" w:gutter="0" w:footer="0" w:header="0"/>
        </w:sectPr>
      </w:pPr>
    </w:p>
    <w:bookmarkStart w:id="149" w:name="page150"/>
    <w:bookmarkEnd w:id="149"/>
    <w:p>
      <w:pPr>
        <w:ind w:left="480"/>
        <w:spacing w:after="0"/>
        <w:rPr>
          <w:sz w:val="20"/>
          <w:szCs w:val="20"/>
          <w:color w:val="auto"/>
        </w:rPr>
      </w:pPr>
      <w:r>
        <w:rPr>
          <w:rFonts w:ascii="Arial" w:cs="Arial" w:eastAsia="Arial" w:hAnsi="Arial"/>
          <w:sz w:val="16"/>
          <w:szCs w:val="16"/>
          <w:b w:val="1"/>
          <w:bCs w:val="1"/>
          <w:i w:val="1"/>
          <w:iCs w:val="1"/>
          <w:color w:val="DC6900"/>
        </w:rPr>
        <w:t>Overall group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137795</wp:posOffset>
            </wp:positionV>
            <wp:extent cx="161163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i w:val="1"/>
          <w:iCs w:val="1"/>
          <w:color w:val="DC6900"/>
        </w:rPr>
        <w:t>Basis for determining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169545</wp:posOffset>
            </wp:positionV>
            <wp:extent cx="161163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i w:val="1"/>
          <w:iCs w:val="1"/>
          <w:color w:val="DC6900"/>
        </w:rPr>
        <w:t>Rationale for benchmark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409575</wp:posOffset>
            </wp:positionV>
            <wp:extent cx="161163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€867,000 (2021: €541,000).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112395</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112395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112395</wp:posOffset>
            </wp:positionV>
            <wp:extent cx="511746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5117465" cy="825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-153035</wp:posOffset>
            </wp:positionV>
            <wp:extent cx="677227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74"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We used our professional judgement to determine overall materiality. As a basis for our judgement, we used 1% of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-9525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-9525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-9525</wp:posOffset>
            </wp:positionV>
            <wp:extent cx="511746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jc w:val="both"/>
        <w:ind w:right="420"/>
        <w:spacing w:after="0" w:line="278" w:lineRule="auto"/>
        <w:rPr>
          <w:sz w:val="20"/>
          <w:szCs w:val="20"/>
          <w:color w:val="auto"/>
        </w:rPr>
      </w:pPr>
      <w:r>
        <w:rPr>
          <w:rFonts w:ascii="Arial" w:cs="Arial" w:eastAsia="Arial" w:hAnsi="Arial"/>
          <w:sz w:val="16"/>
          <w:szCs w:val="16"/>
          <w:color w:val="auto"/>
        </w:rPr>
        <w:t>As the Company did not generate any revenues to date, we used total operating expenses as the primary benchmark, a generally accepted auditing practice, based on our analysis of the common information needs of users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131445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131445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131445</wp:posOffset>
            </wp:positionV>
            <wp:extent cx="511746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460"/>
            <w:col w:w="8060"/>
          </w:cols>
          <w:pgMar w:left="320" w:top="1250" w:right="379" w:bottom="1440" w:gutter="0" w:footer="0" w:header="0"/>
        </w:sectPr>
      </w:pP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also take misstatements and/or possible misstatements into account that, in our judgement, are material for qualitative reasons.</w:t>
      </w:r>
    </w:p>
    <w:p>
      <w:pPr>
        <w:spacing w:after="0" w:line="239" w:lineRule="exact"/>
        <w:rPr>
          <w:sz w:val="20"/>
          <w:szCs w:val="20"/>
          <w:color w:val="auto"/>
        </w:rPr>
      </w:pPr>
    </w:p>
    <w:p>
      <w:pPr>
        <w:ind w:left="380" w:right="420"/>
        <w:spacing w:after="0" w:line="277" w:lineRule="auto"/>
        <w:rPr>
          <w:sz w:val="20"/>
          <w:szCs w:val="20"/>
          <w:color w:val="auto"/>
        </w:rPr>
      </w:pPr>
      <w:r>
        <w:rPr>
          <w:rFonts w:ascii="Arial" w:cs="Arial" w:eastAsia="Arial" w:hAnsi="Arial"/>
          <w:sz w:val="18"/>
          <w:szCs w:val="18"/>
          <w:color w:val="auto"/>
        </w:rPr>
        <w:t>We agreed with the board of directors that we would report to them any misstatement identified during our audit above €43,000 (2021: €27,000) as well as misstatements below that amount that, in our view, warranted reporting for qualitative reasons.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DC6900"/>
        </w:rPr>
        <w:t>The scope of our group audit</w:t>
      </w:r>
    </w:p>
    <w:p>
      <w:pPr>
        <w:spacing w:after="0" w:line="34"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We tailored the scope of our audit to ensure that we, in aggregate, provide sufficient coverage of the financial statements for us to be able to give an opinion on the financial statements as a whole, taking into account the management structure of the Group, the nature of operations of its components, the accounting processes and controls, and the markets in which the components of the Group operate. In establishing the overall group audit strategy and plan, we determined that we as the group engagement team will perform all the audit procedures for the audit of the Group and company financial statements as the financial reporting and accounting functions for all entities in the Group are located, operated, and managed centrally in Leiden.</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total, in performing these procedures, we achieved the following coverage on the financial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254635</wp:posOffset>
            </wp:positionV>
            <wp:extent cx="677227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380" w:type="dxa"/>
        <w:tblCellMar>
          <w:top w:w="0" w:type="dxa"/>
          <w:left w:w="0" w:type="dxa"/>
          <w:bottom w:w="0" w:type="dxa"/>
          <w:right w:w="0" w:type="dxa"/>
        </w:tblCellMar>
      </w:tblPr>
      <w:tr>
        <w:trPr>
          <w:trHeight w:val="206"/>
        </w:trPr>
        <w:tc>
          <w:tcPr>
            <w:tcW w:w="2400" w:type="dxa"/>
            <w:vAlign w:val="bottom"/>
          </w:tcPr>
          <w:p>
            <w:pPr>
              <w:ind w:left="80"/>
              <w:spacing w:after="0"/>
              <w:rPr>
                <w:sz w:val="20"/>
                <w:szCs w:val="20"/>
                <w:color w:val="auto"/>
              </w:rPr>
            </w:pPr>
            <w:r>
              <w:rPr>
                <w:rFonts w:ascii="Arial" w:cs="Arial" w:eastAsia="Arial" w:hAnsi="Arial"/>
                <w:sz w:val="16"/>
                <w:szCs w:val="16"/>
                <w:b w:val="1"/>
                <w:bCs w:val="1"/>
                <w:i w:val="1"/>
                <w:iCs w:val="1"/>
                <w:color w:val="DC6900"/>
              </w:rPr>
              <w:t>Revenue</w:t>
            </w:r>
          </w:p>
        </w:tc>
        <w:tc>
          <w:tcPr>
            <w:tcW w:w="8280" w:type="dxa"/>
            <w:vAlign w:val="bottom"/>
          </w:tcPr>
          <w:p>
            <w:pPr>
              <w:jc w:val="right"/>
              <w:ind w:right="6599"/>
              <w:spacing w:after="0"/>
              <w:rPr>
                <w:sz w:val="20"/>
                <w:szCs w:val="20"/>
                <w:color w:val="auto"/>
              </w:rPr>
            </w:pPr>
            <w:r>
              <w:rPr>
                <w:rFonts w:ascii="Arial" w:cs="Arial" w:eastAsia="Arial" w:hAnsi="Arial"/>
                <w:sz w:val="16"/>
                <w:szCs w:val="16"/>
                <w:color w:val="auto"/>
              </w:rPr>
              <w:t>100%</w:t>
            </w:r>
          </w:p>
        </w:tc>
      </w:tr>
      <w:tr>
        <w:trPr>
          <w:trHeight w:val="270"/>
        </w:trPr>
        <w:tc>
          <w:tcPr>
            <w:tcW w:w="2400" w:type="dxa"/>
            <w:vAlign w:val="bottom"/>
          </w:tcPr>
          <w:p>
            <w:pPr>
              <w:ind w:left="80"/>
              <w:spacing w:after="0"/>
              <w:rPr>
                <w:sz w:val="20"/>
                <w:szCs w:val="20"/>
                <w:color w:val="auto"/>
              </w:rPr>
            </w:pPr>
            <w:r>
              <w:rPr>
                <w:rFonts w:ascii="Arial" w:cs="Arial" w:eastAsia="Arial" w:hAnsi="Arial"/>
                <w:sz w:val="16"/>
                <w:szCs w:val="16"/>
                <w:b w:val="1"/>
                <w:bCs w:val="1"/>
                <w:i w:val="1"/>
                <w:iCs w:val="1"/>
                <w:color w:val="DC6900"/>
              </w:rPr>
              <w:t>Total assets</w:t>
            </w:r>
          </w:p>
        </w:tc>
        <w:tc>
          <w:tcPr>
            <w:tcW w:w="8280" w:type="dxa"/>
            <w:vAlign w:val="bottom"/>
          </w:tcPr>
          <w:p>
            <w:pPr>
              <w:jc w:val="right"/>
              <w:ind w:right="6599"/>
              <w:spacing w:after="0"/>
              <w:rPr>
                <w:sz w:val="20"/>
                <w:szCs w:val="20"/>
                <w:color w:val="auto"/>
              </w:rPr>
            </w:pPr>
            <w:r>
              <w:rPr>
                <w:rFonts w:ascii="Arial" w:cs="Arial" w:eastAsia="Arial" w:hAnsi="Arial"/>
                <w:sz w:val="16"/>
                <w:szCs w:val="16"/>
                <w:color w:val="auto"/>
              </w:rPr>
              <w:t>100%</w:t>
            </w:r>
          </w:p>
        </w:tc>
      </w:tr>
      <w:tr>
        <w:trPr>
          <w:trHeight w:val="283"/>
        </w:trPr>
        <w:tc>
          <w:tcPr>
            <w:tcW w:w="2400" w:type="dxa"/>
            <w:vAlign w:val="bottom"/>
            <w:tcBorders>
              <w:bottom w:val="single" w:sz="8" w:color="DC6900"/>
            </w:tcBorders>
          </w:tcPr>
          <w:p>
            <w:pPr>
              <w:ind w:left="80"/>
              <w:spacing w:after="0"/>
              <w:rPr>
                <w:sz w:val="20"/>
                <w:szCs w:val="20"/>
                <w:color w:val="auto"/>
              </w:rPr>
            </w:pPr>
            <w:r>
              <w:rPr>
                <w:rFonts w:ascii="Arial" w:cs="Arial" w:eastAsia="Arial" w:hAnsi="Arial"/>
                <w:sz w:val="16"/>
                <w:szCs w:val="16"/>
                <w:b w:val="1"/>
                <w:bCs w:val="1"/>
                <w:i w:val="1"/>
                <w:iCs w:val="1"/>
                <w:color w:val="DC6900"/>
              </w:rPr>
              <w:t>Profit before tax</w:t>
            </w:r>
          </w:p>
        </w:tc>
        <w:tc>
          <w:tcPr>
            <w:tcW w:w="8280" w:type="dxa"/>
            <w:vAlign w:val="bottom"/>
            <w:tcBorders>
              <w:bottom w:val="single" w:sz="8" w:color="DC6900"/>
            </w:tcBorders>
          </w:tcPr>
          <w:p>
            <w:pPr>
              <w:jc w:val="right"/>
              <w:ind w:right="6599"/>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-351155</wp:posOffset>
            </wp:positionV>
            <wp:extent cx="6772275"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-179705</wp:posOffset>
            </wp:positionV>
            <wp:extent cx="6772275"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128" w:lineRule="exact"/>
        <w:rPr>
          <w:sz w:val="20"/>
          <w:szCs w:val="20"/>
          <w:color w:val="auto"/>
        </w:rPr>
      </w:pPr>
    </w:p>
    <w:p>
      <w:pPr>
        <w:ind w:left="380" w:right="620"/>
        <w:spacing w:after="0" w:line="277" w:lineRule="auto"/>
        <w:rPr>
          <w:sz w:val="20"/>
          <w:szCs w:val="20"/>
          <w:color w:val="auto"/>
        </w:rPr>
      </w:pPr>
      <w:r>
        <w:rPr>
          <w:rFonts w:ascii="Arial" w:cs="Arial" w:eastAsia="Arial" w:hAnsi="Arial"/>
          <w:sz w:val="18"/>
          <w:szCs w:val="18"/>
          <w:color w:val="auto"/>
        </w:rPr>
        <w:t>Based on the above, we have been able to obtain sufficient and appropriate audit evidence on the Group’s financial information as a whole, to provide a basis for our opinion on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DC6900"/>
        </w:rPr>
        <w:t>Audit approach fraud risks</w:t>
      </w:r>
    </w:p>
    <w:p>
      <w:pPr>
        <w:spacing w:after="0" w:line="34" w:lineRule="exact"/>
        <w:rPr>
          <w:sz w:val="20"/>
          <w:szCs w:val="20"/>
          <w:color w:val="auto"/>
        </w:rPr>
      </w:pPr>
    </w:p>
    <w:p>
      <w:pPr>
        <w:ind w:left="380" w:right="280"/>
        <w:spacing w:after="0" w:line="254" w:lineRule="auto"/>
        <w:rPr>
          <w:sz w:val="20"/>
          <w:szCs w:val="20"/>
          <w:color w:val="auto"/>
        </w:rPr>
      </w:pPr>
      <w:r>
        <w:rPr>
          <w:rFonts w:ascii="Arial" w:cs="Arial" w:eastAsia="Arial" w:hAnsi="Arial"/>
          <w:sz w:val="18"/>
          <w:szCs w:val="18"/>
          <w:color w:val="auto"/>
        </w:rPr>
        <w:t>We identified and assessed the risks of material misstatements of the financial statements due to fraud. During our audit we obtained an understanding of Pharvaris N.V. and its environment and the components of the internal control system. This included the management’ risk assessment process, the management’ process for responding to the risks of fraud and monitoring the internal control system and how the board of directors exercised oversight, as well as monitored the outcomes.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note that the management has not formalised its fraud risk assessment.</w:t>
      </w:r>
    </w:p>
    <w:p>
      <w:pPr>
        <w:spacing w:after="0" w:line="224" w:lineRule="exact"/>
        <w:rPr>
          <w:sz w:val="20"/>
          <w:szCs w:val="20"/>
          <w:color w:val="auto"/>
        </w:rPr>
      </w:pPr>
    </w:p>
    <w:p>
      <w:pPr>
        <w:ind w:left="380" w:right="260"/>
        <w:spacing w:after="0" w:line="258" w:lineRule="auto"/>
        <w:rPr>
          <w:sz w:val="20"/>
          <w:szCs w:val="20"/>
          <w:color w:val="auto"/>
        </w:rPr>
      </w:pPr>
      <w:r>
        <w:rPr>
          <w:rFonts w:ascii="Arial" w:cs="Arial" w:eastAsia="Arial" w:hAnsi="Arial"/>
          <w:sz w:val="18"/>
          <w:szCs w:val="18"/>
          <w:color w:val="auto"/>
        </w:rPr>
        <w:t>We evaluated the design and relevant aspects of the internal control system with respect to the risks of material misstatements due to fraud, as well as the code of conduct and whistle-blower procedures.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we asked members of the management team as well as the human resources department,</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0" w:right="37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4"/>
          <w:szCs w:val="14"/>
          <w:i w:val="1"/>
          <w:iCs w:val="1"/>
          <w:color w:val="auto"/>
        </w:rPr>
        <w:t>Pharvaris N.V. - DKDS46Y4WH3V-1106799661-16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Page 5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91" w:right="1440" w:bottom="1440" w:gutter="0" w:footer="0" w:header="0"/>
        </w:sectPr>
      </w:pPr>
    </w:p>
    <w:bookmarkStart w:id="151" w:name="page152"/>
    <w:bookmarkEnd w:id="151"/>
    <w:p>
      <w:pPr>
        <w:ind w:left="360"/>
        <w:spacing w:after="0" w:line="277" w:lineRule="auto"/>
        <w:rPr>
          <w:sz w:val="20"/>
          <w:szCs w:val="20"/>
          <w:color w:val="auto"/>
        </w:rPr>
      </w:pPr>
      <w:r>
        <w:rPr>
          <w:rFonts w:ascii="Arial" w:cs="Arial" w:eastAsia="Arial" w:hAnsi="Arial"/>
          <w:sz w:val="18"/>
          <w:szCs w:val="18"/>
          <w:color w:val="auto"/>
        </w:rPr>
        <w:t>legal and compliance department and the board of directors whether they are aware of any actual or suspected fraud. This did not result in signals of actual or suspected fraud that may lead to a material misstatement.</w:t>
      </w:r>
    </w:p>
    <w:p>
      <w:pPr>
        <w:spacing w:after="0" w:line="184" w:lineRule="exact"/>
        <w:rPr>
          <w:sz w:val="20"/>
          <w:szCs w:val="20"/>
          <w:color w:val="auto"/>
        </w:rPr>
      </w:pPr>
    </w:p>
    <w:p>
      <w:pPr>
        <w:ind w:left="360" w:right="240"/>
        <w:spacing w:after="0" w:line="342" w:lineRule="auto"/>
        <w:rPr>
          <w:sz w:val="20"/>
          <w:szCs w:val="20"/>
          <w:color w:val="auto"/>
        </w:rPr>
      </w:pPr>
      <w:r>
        <w:rPr>
          <w:rFonts w:ascii="Arial" w:cs="Arial" w:eastAsia="Arial" w:hAnsi="Arial"/>
          <w:sz w:val="16"/>
          <w:szCs w:val="16"/>
          <w:color w:val="auto"/>
        </w:rPr>
        <w:t>As part of our process of identifying fraud risks, we evaluated the fraud risk factors with respect to financial reporting fraud, misappropriation of assets and bribery and corruption. We evaluated whether these factors indicate that a risk of material misstatement due to fraud is present.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accordance with ISA 240 there are two presumed fraud risks when performing audit procedures:</w:t>
      </w:r>
    </w:p>
    <w:p>
      <w:pPr>
        <w:spacing w:after="0" w:line="23" w:lineRule="exact"/>
        <w:rPr>
          <w:sz w:val="20"/>
          <w:szCs w:val="20"/>
          <w:color w:val="auto"/>
        </w:rPr>
      </w:pPr>
    </w:p>
    <w:p>
      <w:pPr>
        <w:ind w:left="960" w:hanging="583"/>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risk of management override of controls; and</w:t>
      </w:r>
    </w:p>
    <w:p>
      <w:pPr>
        <w:spacing w:after="0" w:line="9" w:lineRule="exact"/>
        <w:rPr>
          <w:rFonts w:ascii="Arial" w:cs="Arial" w:eastAsia="Arial" w:hAnsi="Arial"/>
          <w:sz w:val="18"/>
          <w:szCs w:val="18"/>
          <w:color w:val="auto"/>
        </w:rPr>
      </w:pPr>
    </w:p>
    <w:p>
      <w:pPr>
        <w:ind w:left="960" w:hanging="583"/>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risk of fraud in revenue recognition.</w:t>
      </w:r>
    </w:p>
    <w:p>
      <w:pPr>
        <w:spacing w:after="0" w:line="211" w:lineRule="exact"/>
        <w:rPr>
          <w:sz w:val="20"/>
          <w:szCs w:val="20"/>
          <w:color w:val="auto"/>
        </w:rPr>
      </w:pPr>
    </w:p>
    <w:p>
      <w:pPr>
        <w:ind w:left="360" w:right="60"/>
        <w:spacing w:after="0" w:line="286" w:lineRule="auto"/>
        <w:rPr>
          <w:sz w:val="20"/>
          <w:szCs w:val="20"/>
          <w:color w:val="auto"/>
        </w:rPr>
      </w:pPr>
      <w:r>
        <w:rPr>
          <w:rFonts w:ascii="Arial" w:cs="Arial" w:eastAsia="Arial" w:hAnsi="Arial"/>
          <w:sz w:val="17"/>
          <w:szCs w:val="17"/>
          <w:color w:val="auto"/>
        </w:rPr>
        <w:t>As the company does not have any revenue, we have not incorporated the risk of fraud in revenue recognition in our audit approach. Due to the existence of material weaknesses, we have added the risk of unauthorized or fraudulent payments to our audit approach. Accordingly, we identified the following fraud risks and performed the following specific procedures in our audit of the 2022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11430</wp:posOffset>
            </wp:positionV>
            <wp:extent cx="678053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42" w:lineRule="exact"/>
        <w:rPr>
          <w:sz w:val="20"/>
          <w:szCs w:val="20"/>
          <w:color w:val="auto"/>
        </w:rPr>
      </w:pPr>
    </w:p>
    <w:p>
      <w:pPr>
        <w:ind w:left="920"/>
        <w:spacing w:after="0"/>
        <w:tabs>
          <w:tab w:leader="none" w:pos="5560" w:val="left"/>
        </w:tabs>
        <w:rPr>
          <w:sz w:val="20"/>
          <w:szCs w:val="20"/>
          <w:color w:val="auto"/>
        </w:rPr>
      </w:pPr>
      <w:r>
        <w:rPr>
          <w:rFonts w:ascii="Arial" w:cs="Arial" w:eastAsia="Arial" w:hAnsi="Arial"/>
          <w:sz w:val="16"/>
          <w:szCs w:val="16"/>
          <w:b w:val="1"/>
          <w:bCs w:val="1"/>
          <w:i w:val="1"/>
          <w:iCs w:val="1"/>
          <w:color w:val="DC6900"/>
        </w:rPr>
        <w:t>Identified fraud risks</w:t>
      </w:r>
      <w:r>
        <w:rPr>
          <w:sz w:val="20"/>
          <w:szCs w:val="20"/>
          <w:color w:val="auto"/>
        </w:rPr>
        <w:tab/>
      </w:r>
      <w:r>
        <w:rPr>
          <w:rFonts w:ascii="Arial" w:cs="Arial" w:eastAsia="Arial" w:hAnsi="Arial"/>
          <w:sz w:val="14"/>
          <w:szCs w:val="14"/>
          <w:b w:val="1"/>
          <w:bCs w:val="1"/>
          <w:i w:val="1"/>
          <w:iCs w:val="1"/>
          <w:color w:val="DC6900"/>
        </w:rPr>
        <w:t>Our audit work and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26670</wp:posOffset>
            </wp:positionV>
            <wp:extent cx="678053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20"/>
          </w:cols>
          <w:pgMar w:left="340" w:top="1016" w:right="539" w:bottom="1440" w:gutter="0" w:footer="0" w:header="0"/>
        </w:sectPr>
      </w:pPr>
    </w:p>
    <w:p>
      <w:pPr>
        <w:spacing w:after="0" w:line="100"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i w:val="1"/>
          <w:iCs w:val="1"/>
          <w:color w:val="DC6900"/>
        </w:rPr>
        <w:t xml:space="preserve">Risk of management override of controls </w:t>
      </w:r>
      <w:r>
        <w:rPr>
          <w:rFonts w:ascii="Arial" w:cs="Arial" w:eastAsia="Arial" w:hAnsi="Arial"/>
          <w:sz w:val="16"/>
          <w:szCs w:val="16"/>
          <w:color w:val="000000"/>
        </w:rPr>
        <w:t>Management is in a unique</w:t>
      </w:r>
      <w:r>
        <w:rPr>
          <w:rFonts w:ascii="Arial" w:cs="Arial" w:eastAsia="Arial" w:hAnsi="Arial"/>
          <w:sz w:val="16"/>
          <w:szCs w:val="16"/>
          <w:i w:val="1"/>
          <w:iCs w:val="1"/>
          <w:color w:val="DC6900"/>
        </w:rPr>
        <w:t xml:space="preserve"> </w:t>
      </w:r>
      <w:r>
        <w:rPr>
          <w:rFonts w:ascii="Arial" w:cs="Arial" w:eastAsia="Arial" w:hAnsi="Arial"/>
          <w:sz w:val="16"/>
          <w:szCs w:val="16"/>
          <w:color w:val="000000"/>
        </w:rPr>
        <w:t>position to perpetrate fraud because of management’s ability to manipulate accounting records and prepare fraudulent financial statements by overriding controls that otherwise appear to be operating effectively.</w:t>
      </w:r>
    </w:p>
    <w:p>
      <w:pPr>
        <w:spacing w:after="0" w:line="82"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We paid attention to the risk of management override of controls including risks of potential misstatements due to fraud based on an analysis of potential interests of management in areas where management would most likely override controls, i.e., accounting for significant unusual transactions, recording of critical accounting estimates, booking of manual journal entries, or via incomplete/inaccurate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1215390</wp:posOffset>
            </wp:positionV>
            <wp:extent cx="294894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right="180"/>
        <w:spacing w:after="0" w:line="275" w:lineRule="auto"/>
        <w:rPr>
          <w:sz w:val="20"/>
          <w:szCs w:val="20"/>
          <w:color w:val="auto"/>
        </w:rPr>
      </w:pPr>
      <w:r>
        <w:rPr>
          <w:rFonts w:ascii="Arial" w:cs="Arial" w:eastAsia="Arial" w:hAnsi="Arial"/>
          <w:sz w:val="16"/>
          <w:szCs w:val="16"/>
          <w:i w:val="1"/>
          <w:iCs w:val="1"/>
          <w:color w:val="DC6900"/>
        </w:rPr>
        <w:t xml:space="preserve">Risk of unauthorised/fraudulent payments </w:t>
      </w:r>
      <w:r>
        <w:rPr>
          <w:rFonts w:ascii="Arial" w:cs="Arial" w:eastAsia="Arial" w:hAnsi="Arial"/>
          <w:sz w:val="16"/>
          <w:szCs w:val="16"/>
          <w:color w:val="000000"/>
        </w:rPr>
        <w:t>As disclosed in note 4.2</w:t>
      </w:r>
      <w:r>
        <w:rPr>
          <w:rFonts w:ascii="Arial" w:cs="Arial" w:eastAsia="Arial" w:hAnsi="Arial"/>
          <w:sz w:val="16"/>
          <w:szCs w:val="16"/>
          <w:i w:val="1"/>
          <w:iCs w:val="1"/>
          <w:color w:val="DC6900"/>
        </w:rPr>
        <w:t xml:space="preserve"> </w:t>
      </w:r>
      <w:r>
        <w:rPr>
          <w:rFonts w:ascii="Arial" w:cs="Arial" w:eastAsia="Arial" w:hAnsi="Arial"/>
          <w:sz w:val="16"/>
          <w:szCs w:val="16"/>
          <w:color w:val="000000"/>
        </w:rPr>
        <w:t>of the annual report, due to the existence material weaknesses identified in prior year’s audit, which have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remained unremediated as at</w:t>
      </w:r>
    </w:p>
    <w:p>
      <w:pPr>
        <w:spacing w:after="0" w:line="59" w:lineRule="exact"/>
        <w:rPr>
          <w:sz w:val="20"/>
          <w:szCs w:val="20"/>
          <w:color w:val="auto"/>
        </w:rPr>
      </w:pPr>
    </w:p>
    <w:p>
      <w:pPr>
        <w:ind w:left="440" w:right="20"/>
        <w:spacing w:after="0" w:line="293" w:lineRule="auto"/>
        <w:rPr>
          <w:sz w:val="20"/>
          <w:szCs w:val="20"/>
          <w:color w:val="auto"/>
        </w:rPr>
      </w:pPr>
      <w:r>
        <w:rPr>
          <w:rFonts w:ascii="Arial" w:cs="Arial" w:eastAsia="Arial" w:hAnsi="Arial"/>
          <w:sz w:val="16"/>
          <w:szCs w:val="16"/>
          <w:color w:val="auto"/>
        </w:rPr>
        <w:t>31 December 2022, we identified the risk of unauthorised/fraudulent payments as a fraud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629920</wp:posOffset>
            </wp:positionV>
            <wp:extent cx="294894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20"/>
        <w:spacing w:after="0" w:line="328" w:lineRule="auto"/>
        <w:rPr>
          <w:sz w:val="20"/>
          <w:szCs w:val="20"/>
          <w:color w:val="auto"/>
        </w:rPr>
      </w:pPr>
      <w:r>
        <w:rPr>
          <w:rFonts w:ascii="Arial" w:cs="Arial" w:eastAsia="Arial" w:hAnsi="Arial"/>
          <w:sz w:val="15"/>
          <w:szCs w:val="15"/>
          <w:color w:val="auto"/>
        </w:rPr>
        <w:t>We evaluated the design and implementation of the internal control system in the processes of generating and processing journal entries and making estimates.</w:t>
      </w:r>
    </w:p>
    <w:p>
      <w:pPr>
        <w:spacing w:after="0" w:line="42"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We selected journal entries based on risk criteria and conducted specific audit procedures for these entries. These procedures include, among others, inspection of the entries to source documentation.</w:t>
      </w:r>
    </w:p>
    <w:p>
      <w:pPr>
        <w:spacing w:after="0" w:line="76"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We also performed specific audit procedures related to important estimates of management as disclosed in Note 2.19 to the financial statements. We specifically paid attention to the inherent risk of bias of management in estimates.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Where we have identified significant transactions outside the normal course of business we inquired into the nature of the significant transactions and obtained an understanding of the business rationale. We also assessed the terms and conditions under which these have been entered into.</w:t>
      </w:r>
    </w:p>
    <w:p>
      <w:pPr>
        <w:spacing w:after="0" w:line="4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Our audit procedures did not lead to specific indications of fraud or suspicions of fraud with respect to management override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767080</wp:posOffset>
            </wp:positionV>
            <wp:extent cx="382333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evaluated the design and implementation of the internal control system in the purchase and payables business process.</w:t>
      </w:r>
    </w:p>
    <w:p>
      <w:pPr>
        <w:spacing w:after="0" w:line="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performed testing of payments on a sample basis throughout the year to ensure validity and authorization of the payments.</w:t>
      </w:r>
    </w:p>
    <w:p>
      <w:pPr>
        <w:spacing w:after="0" w:line="64" w:lineRule="exact"/>
        <w:rPr>
          <w:sz w:val="20"/>
          <w:szCs w:val="20"/>
          <w:color w:val="auto"/>
        </w:rPr>
      </w:pPr>
    </w:p>
    <w:p>
      <w:pPr>
        <w:jc w:val="both"/>
        <w:ind w:right="280"/>
        <w:spacing w:after="0" w:line="278" w:lineRule="auto"/>
        <w:rPr>
          <w:sz w:val="20"/>
          <w:szCs w:val="20"/>
          <w:color w:val="auto"/>
        </w:rPr>
      </w:pPr>
      <w:r>
        <w:rPr>
          <w:rFonts w:ascii="Arial" w:cs="Arial" w:eastAsia="Arial" w:hAnsi="Arial"/>
          <w:sz w:val="16"/>
          <w:szCs w:val="16"/>
          <w:color w:val="auto"/>
        </w:rPr>
        <w:t>We verified the existence of vendors and appropriateness of payments to these vendors by tracing the vendor information to vendor invoices, external sources, contracts, prior year knowledge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414655</wp:posOffset>
            </wp:positionV>
            <wp:extent cx="3823335"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200"/>
            <w:col w:w="5900"/>
          </w:cols>
          <w:pgMar w:left="340" w:top="1016"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Pharvaris N.V. - DKDS46Y4WH3V-1106799661-16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Page 6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016" w:right="53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4"/>
          <w:szCs w:val="14"/>
          <w:i w:val="1"/>
          <w:iCs w:val="1"/>
          <w:color w:val="auto"/>
        </w:rPr>
        <w:t>Pharvaris N.V. - DKDS46Y4WH3V-1106799661-16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Page 7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91" w:right="1440" w:bottom="1440" w:gutter="0" w:footer="0" w:header="0"/>
        </w:sectPr>
      </w:pPr>
    </w:p>
    <w:bookmarkStart w:id="153" w:name="page154"/>
    <w:bookmarkEnd w:id="153"/>
    <w:p>
      <w:pPr>
        <w:ind w:left="940"/>
        <w:spacing w:after="0"/>
        <w:tabs>
          <w:tab w:leader="none" w:pos="5480" w:val="left"/>
        </w:tabs>
        <w:rPr>
          <w:sz w:val="20"/>
          <w:szCs w:val="20"/>
          <w:color w:val="auto"/>
        </w:rPr>
      </w:pPr>
      <w:r>
        <w:rPr>
          <w:rFonts w:ascii="Arial" w:cs="Arial" w:eastAsia="Arial" w:hAnsi="Arial"/>
          <w:sz w:val="16"/>
          <w:szCs w:val="16"/>
          <w:b w:val="1"/>
          <w:bCs w:val="1"/>
          <w:i w:val="1"/>
          <w:iCs w:val="1"/>
          <w:color w:val="DC6900"/>
        </w:rPr>
        <w:drawing>
          <wp:anchor simplePos="0" relativeHeight="251657728" behindDoc="1" locked="0" layoutInCell="0" allowOverlap="1">
            <wp:simplePos x="0" y="0"/>
            <wp:positionH relativeFrom="page">
              <wp:posOffset>448310</wp:posOffset>
            </wp:positionH>
            <wp:positionV relativeFrom="page">
              <wp:posOffset>663575</wp:posOffset>
            </wp:positionV>
            <wp:extent cx="677227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6772275" cy="8255"/>
                    </a:xfrm>
                    <a:prstGeom prst="rect">
                      <a:avLst/>
                    </a:prstGeom>
                    <a:noFill/>
                  </pic:spPr>
                </pic:pic>
              </a:graphicData>
            </a:graphic>
          </wp:anchor>
        </w:drawing>
        <w:t>Identified fraud risks</w:t>
      </w:r>
      <w:r>
        <w:rPr>
          <w:sz w:val="20"/>
          <w:szCs w:val="20"/>
          <w:color w:val="auto"/>
        </w:rPr>
        <w:tab/>
      </w:r>
      <w:r>
        <w:rPr>
          <w:rFonts w:ascii="Arial" w:cs="Arial" w:eastAsia="Arial" w:hAnsi="Arial"/>
          <w:sz w:val="14"/>
          <w:szCs w:val="14"/>
          <w:b w:val="1"/>
          <w:bCs w:val="1"/>
          <w:i w:val="1"/>
          <w:iCs w:val="1"/>
          <w:color w:val="DC6900"/>
        </w:rPr>
        <w:t>Our audit work and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26670</wp:posOffset>
            </wp:positionV>
            <wp:extent cx="677227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66" w:lineRule="exact"/>
        <w:rPr>
          <w:sz w:val="20"/>
          <w:szCs w:val="20"/>
          <w:color w:val="auto"/>
        </w:rPr>
      </w:pPr>
    </w:p>
    <w:p>
      <w:pPr>
        <w:ind w:left="5020" w:right="120"/>
        <w:spacing w:after="0" w:line="293" w:lineRule="auto"/>
        <w:rPr>
          <w:sz w:val="20"/>
          <w:szCs w:val="20"/>
          <w:color w:val="auto"/>
        </w:rPr>
      </w:pPr>
      <w:r>
        <w:rPr>
          <w:rFonts w:ascii="Arial" w:cs="Arial" w:eastAsia="Arial" w:hAnsi="Arial"/>
          <w:sz w:val="16"/>
          <w:szCs w:val="16"/>
          <w:color w:val="auto"/>
        </w:rPr>
        <w:t>We evaluated the business rationale for the selected payment transactions and ensured that they were incurred in the normal course of business.</w:t>
      </w:r>
    </w:p>
    <w:p>
      <w:pPr>
        <w:spacing w:after="0" w:line="77" w:lineRule="exact"/>
        <w:rPr>
          <w:sz w:val="20"/>
          <w:szCs w:val="20"/>
          <w:color w:val="auto"/>
        </w:rPr>
      </w:pPr>
    </w:p>
    <w:p>
      <w:pPr>
        <w:ind w:left="5020" w:right="340"/>
        <w:spacing w:after="0" w:line="293" w:lineRule="auto"/>
        <w:rPr>
          <w:sz w:val="20"/>
          <w:szCs w:val="20"/>
          <w:color w:val="auto"/>
        </w:rPr>
      </w:pPr>
      <w:r>
        <w:rPr>
          <w:rFonts w:ascii="Arial" w:cs="Arial" w:eastAsia="Arial" w:hAnsi="Arial"/>
          <w:sz w:val="16"/>
          <w:szCs w:val="16"/>
          <w:color w:val="auto"/>
        </w:rPr>
        <w:t>Our audit procedures did not lead to specific indications of fraud or suspicions of fraud with respect to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175260</wp:posOffset>
            </wp:positionV>
            <wp:extent cx="677227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We incorporated an element of unpredictability in our audit. We reviewed lawyer’s letters and correspondence with regulators. During the audit, we remained alert to indications of fraud. We also considered the outcome of our other audit procedures and evaluated whether any findings were indicative of fraud or non-compliance of laws and regulations. Whenever we identify any indications of fraud, we re-evaluate our fraud risk assessment and its impact on our audit procedures.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DC6900"/>
        </w:rPr>
        <w:t>Audit approach going concern</w:t>
      </w:r>
    </w:p>
    <w:p>
      <w:pPr>
        <w:spacing w:after="0" w:line="48" w:lineRule="exact"/>
        <w:rPr>
          <w:sz w:val="20"/>
          <w:szCs w:val="20"/>
          <w:color w:val="auto"/>
        </w:rPr>
      </w:pPr>
    </w:p>
    <w:p>
      <w:pPr>
        <w:ind w:left="380" w:right="280"/>
        <w:spacing w:after="0" w:line="255" w:lineRule="auto"/>
        <w:rPr>
          <w:sz w:val="20"/>
          <w:szCs w:val="20"/>
          <w:color w:val="auto"/>
        </w:rPr>
      </w:pPr>
      <w:r>
        <w:rPr>
          <w:rFonts w:ascii="Arial" w:cs="Arial" w:eastAsia="Arial" w:hAnsi="Arial"/>
          <w:sz w:val="18"/>
          <w:szCs w:val="18"/>
          <w:color w:val="auto"/>
        </w:rPr>
        <w:t>The board of directors prepared the financial statements on the assumption that the entity is a going concern and that it will continue all its operations for at least twelve months from the date of preparation of the financial statements. Our procedures to evaluate the board of directors’ going-concern assessment included, amongst others:</w:t>
      </w:r>
    </w:p>
    <w:p>
      <w:pPr>
        <w:spacing w:after="0" w:line="3" w:lineRule="exact"/>
        <w:rPr>
          <w:sz w:val="20"/>
          <w:szCs w:val="20"/>
          <w:color w:val="auto"/>
        </w:rPr>
      </w:pPr>
    </w:p>
    <w:p>
      <w:pPr>
        <w:ind w:left="980" w:right="80" w:hanging="583"/>
        <w:spacing w:after="0" w:line="250"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considering whether the board of directors identified events or conditions that may cast significant doubt on the entity’s ability to continue as a going concern (hereafter: going-concern risks);</w:t>
      </w:r>
    </w:p>
    <w:p>
      <w:pPr>
        <w:ind w:left="960" w:right="80" w:hanging="563"/>
        <w:spacing w:after="0" w:line="250"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considering whether the board of directors’ going-concern assessment includes all relevant information of which we are aware as a result of our audit by review of the minutes of meetings of the board of directors and inquiring with the board of directors regarding the board of directors’ most important assumptions underlying its going-concern assessment;</w:t>
      </w:r>
    </w:p>
    <w:p>
      <w:pPr>
        <w:spacing w:after="0" w:line="1" w:lineRule="exact"/>
        <w:rPr>
          <w:rFonts w:ascii="Arial" w:cs="Arial" w:eastAsia="Arial" w:hAnsi="Arial"/>
          <w:sz w:val="18"/>
          <w:szCs w:val="18"/>
          <w:color w:val="auto"/>
        </w:rPr>
      </w:pPr>
    </w:p>
    <w:p>
      <w:pPr>
        <w:ind w:left="980" w:right="180" w:hanging="583"/>
        <w:spacing w:after="0" w:line="265" w:lineRule="auto"/>
        <w:tabs>
          <w:tab w:leader="none" w:pos="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evaluating management’s current budget including cash flow forecast for at least twelve months from the date of the financial statements taking into account current developments and all relevant information of which we are aware as a result of our audit;</w:t>
      </w:r>
    </w:p>
    <w:p>
      <w:pPr>
        <w:ind w:left="880" w:hanging="483"/>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obtaining independent external confirmations for the entire cash balance as at 31 December 2022; and</w:t>
      </w:r>
    </w:p>
    <w:p>
      <w:pPr>
        <w:spacing w:after="0" w:line="9" w:lineRule="exact"/>
        <w:rPr>
          <w:rFonts w:ascii="Arial" w:cs="Arial" w:eastAsia="Arial" w:hAnsi="Arial"/>
          <w:sz w:val="18"/>
          <w:szCs w:val="18"/>
          <w:color w:val="auto"/>
        </w:rPr>
      </w:pPr>
    </w:p>
    <w:p>
      <w:pPr>
        <w:ind w:left="980" w:right="3080" w:hanging="583"/>
        <w:spacing w:after="0" w:line="260" w:lineRule="auto"/>
        <w:tabs>
          <w:tab w:leader="none" w:pos="98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performing inquiries of the board of directors as to its knowledge of going-concern risks beyond the period of the board of directors’ assessment.</w:t>
      </w:r>
    </w:p>
    <w:p>
      <w:pPr>
        <w:spacing w:after="0" w:line="199" w:lineRule="exact"/>
        <w:rPr>
          <w:sz w:val="20"/>
          <w:szCs w:val="20"/>
          <w:color w:val="auto"/>
        </w:rPr>
      </w:pPr>
    </w:p>
    <w:p>
      <w:pPr>
        <w:ind w:left="380" w:right="860"/>
        <w:spacing w:after="0" w:line="277" w:lineRule="auto"/>
        <w:rPr>
          <w:sz w:val="20"/>
          <w:szCs w:val="20"/>
          <w:color w:val="auto"/>
        </w:rPr>
      </w:pPr>
      <w:r>
        <w:rPr>
          <w:rFonts w:ascii="Arial" w:cs="Arial" w:eastAsia="Arial" w:hAnsi="Arial"/>
          <w:sz w:val="18"/>
          <w:szCs w:val="18"/>
          <w:color w:val="auto"/>
        </w:rPr>
        <w:t>Our procedures did not result in outcomes contrary to management’s assumptions, judgments used and disclosures made note 2,2 of the consolidated financial statements in the application of the going-concern assumption.</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8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8" w:right="57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DC6900"/>
        </w:rPr>
        <w:t>Key audit matters</w:t>
      </w:r>
    </w:p>
    <w:p>
      <w:pPr>
        <w:spacing w:after="0" w:line="48" w:lineRule="exact"/>
        <w:rPr>
          <w:sz w:val="20"/>
          <w:szCs w:val="20"/>
          <w:color w:val="auto"/>
        </w:rPr>
      </w:pPr>
    </w:p>
    <w:p>
      <w:pPr>
        <w:jc w:val="both"/>
        <w:ind w:left="380" w:right="120"/>
        <w:spacing w:after="0" w:line="259" w:lineRule="auto"/>
        <w:rPr>
          <w:sz w:val="20"/>
          <w:szCs w:val="20"/>
          <w:color w:val="auto"/>
        </w:rPr>
      </w:pPr>
      <w:r>
        <w:rPr>
          <w:rFonts w:ascii="Arial" w:cs="Arial" w:eastAsia="Arial" w:hAnsi="Arial"/>
          <w:sz w:val="18"/>
          <w:szCs w:val="18"/>
          <w:color w:val="auto"/>
        </w:rPr>
        <w:t>Key audit matters are those matters that, in our professional judgement, were of most significance in the audit of the financial statements. We have communicated the key audit matters to the board of directors. The key audit matters are not a comprehensive reflection of all matters identified by our audit and that we discussed. In this section, we described the key audit matters and included a summary of the audit procedures we performed on those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135890</wp:posOffset>
            </wp:positionV>
            <wp:extent cx="677227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5320" w:type="dxa"/>
            <w:vAlign w:val="bottom"/>
            <w:tcBorders>
              <w:bottom w:val="single" w:sz="8" w:color="DC6900"/>
            </w:tcBorders>
          </w:tcPr>
          <w:p>
            <w:pPr>
              <w:spacing w:after="0"/>
              <w:rPr>
                <w:sz w:val="20"/>
                <w:szCs w:val="20"/>
                <w:color w:val="auto"/>
              </w:rPr>
            </w:pPr>
            <w:r>
              <w:rPr>
                <w:rFonts w:ascii="Arial" w:cs="Arial" w:eastAsia="Arial" w:hAnsi="Arial"/>
                <w:sz w:val="16"/>
                <w:szCs w:val="16"/>
                <w:b w:val="1"/>
                <w:bCs w:val="1"/>
                <w:i w:val="1"/>
                <w:iCs w:val="1"/>
                <w:color w:val="DC6900"/>
              </w:rPr>
              <w:t>Key audit matter</w:t>
            </w:r>
          </w:p>
        </w:tc>
        <w:tc>
          <w:tcPr>
            <w:tcW w:w="5340" w:type="dxa"/>
            <w:vAlign w:val="bottom"/>
            <w:tcBorders>
              <w:bottom w:val="single" w:sz="8" w:color="DC6900"/>
            </w:tcBorders>
            <w:gridSpan w:val="2"/>
          </w:tcPr>
          <w:p>
            <w:pPr>
              <w:ind w:left="100"/>
              <w:spacing w:after="0"/>
              <w:rPr>
                <w:sz w:val="20"/>
                <w:szCs w:val="20"/>
                <w:color w:val="auto"/>
              </w:rPr>
            </w:pPr>
            <w:r>
              <w:rPr>
                <w:rFonts w:ascii="Arial" w:cs="Arial" w:eastAsia="Arial" w:hAnsi="Arial"/>
                <w:sz w:val="16"/>
                <w:szCs w:val="16"/>
                <w:b w:val="1"/>
                <w:bCs w:val="1"/>
                <w:i w:val="1"/>
                <w:iCs w:val="1"/>
                <w:color w:val="DC6900"/>
              </w:rPr>
              <w:t>Our audit work and observations</w:t>
            </w:r>
          </w:p>
        </w:tc>
        <w:tc>
          <w:tcPr>
            <w:tcW w:w="0" w:type="dxa"/>
            <w:vAlign w:val="bottom"/>
          </w:tcPr>
          <w:p>
            <w:pPr>
              <w:spacing w:after="0"/>
              <w:rPr>
                <w:sz w:val="1"/>
                <w:szCs w:val="1"/>
                <w:color w:val="auto"/>
              </w:rPr>
            </w:pPr>
          </w:p>
        </w:tc>
      </w:tr>
      <w:tr>
        <w:trPr>
          <w:trHeight w:val="30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DC6900"/>
              </w:rPr>
              <w:t>Share-based payments</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9"/>
              </w:rPr>
              <w:t>We obtained the relevant contracts and grant letters and gained a detailed</w:t>
            </w:r>
          </w:p>
        </w:tc>
        <w:tc>
          <w:tcPr>
            <w:tcW w:w="0" w:type="dxa"/>
            <w:vAlign w:val="bottom"/>
          </w:tcPr>
          <w:p>
            <w:pPr>
              <w:spacing w:after="0"/>
              <w:rPr>
                <w:sz w:val="1"/>
                <w:szCs w:val="1"/>
                <w:color w:val="auto"/>
              </w:rPr>
            </w:pPr>
          </w:p>
        </w:tc>
      </w:tr>
      <w:tr>
        <w:trPr>
          <w:trHeight w:val="233"/>
        </w:trPr>
        <w:tc>
          <w:tcPr>
            <w:tcW w:w="5320" w:type="dxa"/>
            <w:vAlign w:val="bottom"/>
          </w:tcPr>
          <w:p>
            <w:pPr>
              <w:spacing w:after="0"/>
              <w:rPr>
                <w:sz w:val="20"/>
                <w:szCs w:val="20"/>
                <w:color w:val="auto"/>
              </w:rPr>
            </w:pPr>
            <w:r>
              <w:rPr>
                <w:rFonts w:ascii="Arial" w:cs="Arial" w:eastAsia="Arial" w:hAnsi="Arial"/>
                <w:sz w:val="16"/>
                <w:szCs w:val="16"/>
                <w:i w:val="1"/>
                <w:iCs w:val="1"/>
                <w:color w:val="DC6900"/>
                <w:w w:val="97"/>
              </w:rPr>
              <w:t>Refer to note 18 of the consolidated financial statements in the annual report</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8"/>
              </w:rPr>
              <w:t>understanding of the arrangements based on these underlying documents.</w:t>
            </w:r>
          </w:p>
        </w:tc>
        <w:tc>
          <w:tcPr>
            <w:tcW w:w="0" w:type="dxa"/>
            <w:vAlign w:val="bottom"/>
          </w:tcPr>
          <w:p>
            <w:pPr>
              <w:spacing w:after="0"/>
              <w:rPr>
                <w:sz w:val="1"/>
                <w:szCs w:val="1"/>
                <w:color w:val="auto"/>
              </w:rPr>
            </w:pPr>
          </w:p>
        </w:tc>
      </w:tr>
      <w:tr>
        <w:trPr>
          <w:trHeight w:val="280"/>
        </w:trPr>
        <w:tc>
          <w:tcPr>
            <w:tcW w:w="5320" w:type="dxa"/>
            <w:vAlign w:val="bottom"/>
          </w:tcPr>
          <w:p>
            <w:pPr>
              <w:spacing w:after="0"/>
              <w:rPr>
                <w:sz w:val="20"/>
                <w:szCs w:val="20"/>
                <w:color w:val="auto"/>
              </w:rPr>
            </w:pPr>
            <w:r>
              <w:rPr>
                <w:rFonts w:ascii="Arial" w:cs="Arial" w:eastAsia="Arial" w:hAnsi="Arial"/>
                <w:sz w:val="16"/>
                <w:szCs w:val="16"/>
                <w:color w:val="auto"/>
              </w:rPr>
              <w:t>Total share-based compensation expenses for the year</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4"/>
              </w:rPr>
              <w:t>Additionally, we obtained and assessed the related supporting documentation,</w:t>
            </w:r>
          </w:p>
        </w:tc>
        <w:tc>
          <w:tcPr>
            <w:tcW w:w="0" w:type="dxa"/>
            <w:vAlign w:val="bottom"/>
          </w:tcPr>
          <w:p>
            <w:pPr>
              <w:spacing w:after="0"/>
              <w:rPr>
                <w:sz w:val="1"/>
                <w:szCs w:val="1"/>
                <w:color w:val="auto"/>
              </w:rPr>
            </w:pPr>
          </w:p>
        </w:tc>
      </w:tr>
      <w:tr>
        <w:trPr>
          <w:trHeight w:val="203"/>
        </w:trPr>
        <w:tc>
          <w:tcPr>
            <w:tcW w:w="5320" w:type="dxa"/>
            <w:vAlign w:val="bottom"/>
            <w:vMerge w:val="restart"/>
          </w:tcPr>
          <w:p>
            <w:pPr>
              <w:spacing w:after="0"/>
              <w:rPr>
                <w:sz w:val="20"/>
                <w:szCs w:val="20"/>
                <w:color w:val="auto"/>
              </w:rPr>
            </w:pPr>
            <w:r>
              <w:rPr>
                <w:rFonts w:ascii="Arial" w:cs="Arial" w:eastAsia="Arial" w:hAnsi="Arial"/>
                <w:sz w:val="16"/>
                <w:szCs w:val="16"/>
                <w:color w:val="auto"/>
              </w:rPr>
              <w:t>2022 amount to €11.3 million.</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9"/>
              </w:rPr>
              <w:t>such as the plan terms and conditions of the options and RSUs, the option</w:t>
            </w:r>
          </w:p>
        </w:tc>
        <w:tc>
          <w:tcPr>
            <w:tcW w:w="0" w:type="dxa"/>
            <w:vAlign w:val="bottom"/>
          </w:tcPr>
          <w:p>
            <w:pPr>
              <w:spacing w:after="0"/>
              <w:rPr>
                <w:sz w:val="1"/>
                <w:szCs w:val="1"/>
                <w:color w:val="auto"/>
              </w:rPr>
            </w:pPr>
          </w:p>
        </w:tc>
      </w:tr>
      <w:tr>
        <w:trPr>
          <w:trHeight w:val="71"/>
        </w:trPr>
        <w:tc>
          <w:tcPr>
            <w:tcW w:w="5320" w:type="dxa"/>
            <w:vAlign w:val="bottom"/>
            <w:vMerge w:val="continue"/>
          </w:tcPr>
          <w:p>
            <w:pPr>
              <w:spacing w:after="0"/>
              <w:rPr>
                <w:sz w:val="6"/>
                <w:szCs w:val="6"/>
                <w:color w:val="auto"/>
              </w:rPr>
            </w:pPr>
          </w:p>
        </w:tc>
        <w:tc>
          <w:tcPr>
            <w:tcW w:w="5340" w:type="dxa"/>
            <w:vAlign w:val="bottom"/>
            <w:gridSpan w:val="2"/>
            <w:vMerge w:val="restart"/>
          </w:tcPr>
          <w:p>
            <w:pPr>
              <w:ind w:left="100"/>
              <w:spacing w:after="0"/>
              <w:rPr>
                <w:sz w:val="20"/>
                <w:szCs w:val="20"/>
                <w:color w:val="auto"/>
              </w:rPr>
            </w:pPr>
            <w:r>
              <w:rPr>
                <w:rFonts w:ascii="Arial" w:cs="Arial" w:eastAsia="Arial" w:hAnsi="Arial"/>
                <w:sz w:val="16"/>
                <w:szCs w:val="16"/>
                <w:color w:val="auto"/>
                <w:w w:val="92"/>
              </w:rPr>
              <w:t>valuation prepared by the management’s expert using the Black-Scholes pricing</w:t>
            </w: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5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w w:val="91"/>
              </w:rPr>
              <w:t>The Company has an equity-settled share-based compensation plan, under which</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model, including valuation inputs such as exercise price, fair value of the</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w w:val="94"/>
              </w:rPr>
              <w:t>it receives services as consideration for equity instruments (options or restricted</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ordinary shares, expected option life, volatility, risk free rate and dividend</w:t>
            </w:r>
          </w:p>
        </w:tc>
        <w:tc>
          <w:tcPr>
            <w:tcW w:w="0" w:type="dxa"/>
            <w:vAlign w:val="bottom"/>
          </w:tcPr>
          <w:p>
            <w:pPr>
              <w:spacing w:after="0"/>
              <w:rPr>
                <w:sz w:val="1"/>
                <w:szCs w:val="1"/>
                <w:color w:val="auto"/>
              </w:rPr>
            </w:pPr>
          </w:p>
        </w:tc>
      </w:tr>
      <w:tr>
        <w:trPr>
          <w:trHeight w:val="206"/>
        </w:trPr>
        <w:tc>
          <w:tcPr>
            <w:tcW w:w="5320" w:type="dxa"/>
            <w:vAlign w:val="bottom"/>
          </w:tcPr>
          <w:p>
            <w:pPr>
              <w:spacing w:after="0"/>
              <w:rPr>
                <w:sz w:val="20"/>
                <w:szCs w:val="20"/>
                <w:color w:val="auto"/>
              </w:rPr>
            </w:pPr>
            <w:r>
              <w:rPr>
                <w:rFonts w:ascii="Arial" w:cs="Arial" w:eastAsia="Arial" w:hAnsi="Arial"/>
                <w:sz w:val="16"/>
                <w:szCs w:val="16"/>
                <w:color w:val="auto"/>
              </w:rPr>
              <w:t>stock units/RSUs) of the Company.</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yield.</w:t>
            </w:r>
          </w:p>
        </w:tc>
        <w:tc>
          <w:tcPr>
            <w:tcW w:w="0" w:type="dxa"/>
            <w:vAlign w:val="bottom"/>
          </w:tcPr>
          <w:p>
            <w:pPr>
              <w:spacing w:after="0"/>
              <w:rPr>
                <w:sz w:val="1"/>
                <w:szCs w:val="1"/>
                <w:color w:val="auto"/>
              </w:rPr>
            </w:pPr>
          </w:p>
        </w:tc>
      </w:tr>
      <w:tr>
        <w:trPr>
          <w:trHeight w:val="307"/>
        </w:trPr>
        <w:tc>
          <w:tcPr>
            <w:tcW w:w="5320" w:type="dxa"/>
            <w:vAlign w:val="bottom"/>
          </w:tcPr>
          <w:p>
            <w:pPr>
              <w:spacing w:after="0"/>
              <w:rPr>
                <w:sz w:val="20"/>
                <w:szCs w:val="20"/>
                <w:color w:val="auto"/>
              </w:rPr>
            </w:pPr>
            <w:r>
              <w:rPr>
                <w:rFonts w:ascii="Arial" w:cs="Arial" w:eastAsia="Arial" w:hAnsi="Arial"/>
                <w:sz w:val="16"/>
                <w:szCs w:val="16"/>
                <w:color w:val="auto"/>
                <w:w w:val="96"/>
              </w:rPr>
              <w:t>The total amount to be expensed is determined by reference to the grant date</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We assessed the objectivity, independence, and</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fair value of the equity instruments granted, including the impact of any</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competence of management’s expert.</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w w:val="98"/>
              </w:rPr>
              <w:t>market performance vesting conditions and non- vesting conditions. Service</w:t>
            </w:r>
          </w:p>
        </w:tc>
        <w:tc>
          <w:tcPr>
            <w:tcW w:w="5340" w:type="dxa"/>
            <w:vAlign w:val="bottom"/>
            <w:gridSpan w:val="2"/>
            <w:vMerge w:val="restart"/>
          </w:tcPr>
          <w:p>
            <w:pPr>
              <w:ind w:left="100"/>
              <w:spacing w:after="0"/>
              <w:rPr>
                <w:sz w:val="20"/>
                <w:szCs w:val="20"/>
                <w:color w:val="auto"/>
              </w:rPr>
            </w:pPr>
            <w:r>
              <w:rPr>
                <w:rFonts w:ascii="Arial" w:cs="Arial" w:eastAsia="Arial" w:hAnsi="Arial"/>
                <w:sz w:val="16"/>
                <w:szCs w:val="16"/>
                <w:color w:val="auto"/>
                <w:w w:val="92"/>
              </w:rPr>
              <w:t>Together with our valuation specialists, we evaluated the analysis performed by</w:t>
            </w:r>
          </w:p>
        </w:tc>
        <w:tc>
          <w:tcPr>
            <w:tcW w:w="0" w:type="dxa"/>
            <w:vAlign w:val="bottom"/>
          </w:tcPr>
          <w:p>
            <w:pPr>
              <w:spacing w:after="0"/>
              <w:rPr>
                <w:sz w:val="1"/>
                <w:szCs w:val="1"/>
                <w:color w:val="auto"/>
              </w:rPr>
            </w:pPr>
          </w:p>
        </w:tc>
      </w:tr>
      <w:tr>
        <w:trPr>
          <w:trHeight w:val="176"/>
        </w:trPr>
        <w:tc>
          <w:tcPr>
            <w:tcW w:w="5320" w:type="dxa"/>
            <w:vAlign w:val="bottom"/>
          </w:tcPr>
          <w:p>
            <w:pPr>
              <w:spacing w:after="0" w:line="175" w:lineRule="exact"/>
              <w:rPr>
                <w:sz w:val="20"/>
                <w:szCs w:val="20"/>
                <w:color w:val="auto"/>
              </w:rPr>
            </w:pPr>
            <w:r>
              <w:rPr>
                <w:rFonts w:ascii="Arial" w:cs="Arial" w:eastAsia="Arial" w:hAnsi="Arial"/>
                <w:sz w:val="16"/>
                <w:szCs w:val="16"/>
                <w:color w:val="auto"/>
              </w:rPr>
              <w:t>and non-market performance vesting conditions are included in the</w:t>
            </w:r>
          </w:p>
        </w:tc>
        <w:tc>
          <w:tcPr>
            <w:tcW w:w="5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w w:val="95"/>
              </w:rPr>
              <w:t>assumptions about the number of equity instruments that are expected to vest.</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1"/>
              </w:rPr>
              <w:t>management and challenged the key assumptions used by them and their expert</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6"/>
                <w:szCs w:val="16"/>
                <w:color w:val="auto"/>
                <w:w w:val="99"/>
              </w:rPr>
              <w:t>The total expense is recognized over the vesting period, which is the period</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in determining the fair value of the options granted.</w:t>
            </w:r>
          </w:p>
        </w:tc>
        <w:tc>
          <w:tcPr>
            <w:tcW w:w="0" w:type="dxa"/>
            <w:vAlign w:val="bottom"/>
          </w:tcPr>
          <w:p>
            <w:pPr>
              <w:spacing w:after="0"/>
              <w:rPr>
                <w:sz w:val="1"/>
                <w:szCs w:val="1"/>
                <w:color w:val="auto"/>
              </w:rPr>
            </w:pPr>
          </w:p>
        </w:tc>
      </w:tr>
      <w:tr>
        <w:trPr>
          <w:trHeight w:val="206"/>
        </w:trPr>
        <w:tc>
          <w:tcPr>
            <w:tcW w:w="5320" w:type="dxa"/>
            <w:vAlign w:val="bottom"/>
          </w:tcPr>
          <w:p>
            <w:pPr>
              <w:spacing w:after="0"/>
              <w:rPr>
                <w:sz w:val="20"/>
                <w:szCs w:val="20"/>
                <w:color w:val="auto"/>
              </w:rPr>
            </w:pPr>
            <w:r>
              <w:rPr>
                <w:rFonts w:ascii="Arial" w:cs="Arial" w:eastAsia="Arial" w:hAnsi="Arial"/>
                <w:sz w:val="16"/>
                <w:szCs w:val="16"/>
                <w:color w:val="auto"/>
              </w:rPr>
              <w:t>over which all of the specified vesting conditions are to be satisfied.</w:t>
            </w:r>
          </w:p>
        </w:tc>
        <w:tc>
          <w:tcPr>
            <w:tcW w:w="5340" w:type="dxa"/>
            <w:vAlign w:val="bottom"/>
            <w:gridSpan w:val="2"/>
            <w:vMerge w:val="restart"/>
          </w:tcPr>
          <w:p>
            <w:pPr>
              <w:ind w:left="100"/>
              <w:spacing w:after="0"/>
              <w:rPr>
                <w:sz w:val="20"/>
                <w:szCs w:val="20"/>
                <w:color w:val="auto"/>
              </w:rPr>
            </w:pPr>
            <w:r>
              <w:rPr>
                <w:rFonts w:ascii="Arial" w:cs="Arial" w:eastAsia="Arial" w:hAnsi="Arial"/>
                <w:sz w:val="16"/>
                <w:szCs w:val="16"/>
                <w:color w:val="auto"/>
              </w:rPr>
              <w:t>We performed the following procedures:</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5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Arial" w:cs="Arial" w:eastAsia="Arial" w:hAnsi="Arial"/>
                <w:sz w:val="16"/>
                <w:szCs w:val="16"/>
                <w:color w:val="auto"/>
                <w:w w:val="95"/>
              </w:rPr>
              <w:t>The Company has determined the fair value of the equity-settled options at the</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  reconciled the exercise price and the number of options and RSUs</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grant date with assistance of a management expert, considering certain</w:t>
            </w:r>
          </w:p>
        </w:tc>
        <w:tc>
          <w:tcPr>
            <w:tcW w:w="5340" w:type="dxa"/>
            <w:vAlign w:val="bottom"/>
            <w:gridSpan w:val="2"/>
          </w:tcPr>
          <w:p>
            <w:pPr>
              <w:ind w:left="260"/>
              <w:spacing w:after="0"/>
              <w:rPr>
                <w:sz w:val="20"/>
                <w:szCs w:val="20"/>
                <w:color w:val="auto"/>
              </w:rPr>
            </w:pPr>
            <w:r>
              <w:rPr>
                <w:rFonts w:ascii="Arial" w:cs="Arial" w:eastAsia="Arial" w:hAnsi="Arial"/>
                <w:sz w:val="16"/>
                <w:szCs w:val="16"/>
                <w:color w:val="auto"/>
              </w:rPr>
              <w:t>granted to the grant letters and/or board resolutions;</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assumptions relating to the volatility of stock price, the determination of an</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3"/>
              </w:rPr>
              <w:t>•  reconciled the fair value of ordinary shares against the quoted market prices;</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w w:val="97"/>
              </w:rPr>
              <w:t>appropriate risk-free interest rate and expected dividends. The Company has</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7"/>
              </w:rPr>
              <w:t>•  assessed the expected volatility against observable historical volatilities of</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w w:val="97"/>
              </w:rPr>
              <w:t>determined the fair value of the RSUs based on the closing share price at the</w:t>
            </w:r>
          </w:p>
        </w:tc>
        <w:tc>
          <w:tcPr>
            <w:tcW w:w="5340" w:type="dxa"/>
            <w:vAlign w:val="bottom"/>
            <w:gridSpan w:val="2"/>
          </w:tcPr>
          <w:p>
            <w:pPr>
              <w:ind w:left="280"/>
              <w:spacing w:after="0"/>
              <w:rPr>
                <w:sz w:val="20"/>
                <w:szCs w:val="20"/>
                <w:color w:val="auto"/>
              </w:rPr>
            </w:pPr>
            <w:r>
              <w:rPr>
                <w:rFonts w:ascii="Arial" w:cs="Arial" w:eastAsia="Arial" w:hAnsi="Arial"/>
                <w:sz w:val="16"/>
                <w:szCs w:val="16"/>
                <w:color w:val="auto"/>
              </w:rPr>
              <w:t>peer group companies;</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grant date.</w:t>
            </w: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  tested the risk-free rate as of the grant date by comparing to relevant</w:t>
            </w:r>
          </w:p>
        </w:tc>
        <w:tc>
          <w:tcPr>
            <w:tcW w:w="0" w:type="dxa"/>
            <w:vAlign w:val="bottom"/>
          </w:tcPr>
          <w:p>
            <w:pPr>
              <w:spacing w:after="0"/>
              <w:rPr>
                <w:sz w:val="1"/>
                <w:szCs w:val="1"/>
                <w:color w:val="auto"/>
              </w:rPr>
            </w:pPr>
          </w:p>
        </w:tc>
      </w:tr>
      <w:tr>
        <w:trPr>
          <w:trHeight w:val="203"/>
        </w:trPr>
        <w:tc>
          <w:tcPr>
            <w:tcW w:w="5320" w:type="dxa"/>
            <w:vAlign w:val="bottom"/>
            <w:vMerge w:val="restart"/>
          </w:tcPr>
          <w:p>
            <w:pPr>
              <w:spacing w:after="0"/>
              <w:rPr>
                <w:sz w:val="20"/>
                <w:szCs w:val="20"/>
                <w:color w:val="auto"/>
              </w:rPr>
            </w:pPr>
            <w:r>
              <w:rPr>
                <w:rFonts w:ascii="Arial" w:cs="Arial" w:eastAsia="Arial" w:hAnsi="Arial"/>
                <w:sz w:val="16"/>
                <w:szCs w:val="16"/>
                <w:color w:val="auto"/>
                <w:w w:val="94"/>
              </w:rPr>
              <w:t>The proper application of the accounting standard for share-based payments is</w:t>
            </w:r>
          </w:p>
        </w:tc>
        <w:tc>
          <w:tcPr>
            <w:tcW w:w="5340" w:type="dxa"/>
            <w:vAlign w:val="bottom"/>
            <w:gridSpan w:val="2"/>
          </w:tcPr>
          <w:p>
            <w:pPr>
              <w:ind w:left="260"/>
              <w:spacing w:after="0"/>
              <w:rPr>
                <w:sz w:val="20"/>
                <w:szCs w:val="20"/>
                <w:color w:val="auto"/>
              </w:rPr>
            </w:pPr>
            <w:r>
              <w:rPr>
                <w:rFonts w:ascii="Arial" w:cs="Arial" w:eastAsia="Arial" w:hAnsi="Arial"/>
                <w:sz w:val="16"/>
                <w:szCs w:val="16"/>
                <w:color w:val="auto"/>
              </w:rPr>
              <w:t>market data;</w:t>
            </w: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5340" w:type="dxa"/>
            <w:vAlign w:val="bottom"/>
            <w:gridSpan w:val="2"/>
            <w:vMerge w:val="restart"/>
          </w:tcPr>
          <w:p>
            <w:pPr>
              <w:ind w:left="100"/>
              <w:spacing w:after="0"/>
              <w:rPr>
                <w:sz w:val="20"/>
                <w:szCs w:val="20"/>
                <w:color w:val="auto"/>
              </w:rPr>
            </w:pPr>
            <w:r>
              <w:rPr>
                <w:rFonts w:ascii="Arial" w:cs="Arial" w:eastAsia="Arial" w:hAnsi="Arial"/>
                <w:sz w:val="16"/>
                <w:szCs w:val="16"/>
                <w:color w:val="auto"/>
                <w:w w:val="97"/>
              </w:rPr>
              <w:t>•  evaluated management’s assumptions in determining the expected option</w:t>
            </w:r>
          </w:p>
        </w:tc>
        <w:tc>
          <w:tcPr>
            <w:tcW w:w="0" w:type="dxa"/>
            <w:vAlign w:val="bottom"/>
          </w:tcPr>
          <w:p>
            <w:pPr>
              <w:spacing w:after="0"/>
              <w:rPr>
                <w:sz w:val="1"/>
                <w:szCs w:val="1"/>
                <w:color w:val="auto"/>
              </w:rPr>
            </w:pPr>
          </w:p>
        </w:tc>
      </w:tr>
      <w:tr>
        <w:trPr>
          <w:trHeight w:val="94"/>
        </w:trPr>
        <w:tc>
          <w:tcPr>
            <w:tcW w:w="5320" w:type="dxa"/>
            <w:vAlign w:val="bottom"/>
            <w:vMerge w:val="restart"/>
          </w:tcPr>
          <w:p>
            <w:pPr>
              <w:spacing w:after="0"/>
              <w:rPr>
                <w:sz w:val="20"/>
                <w:szCs w:val="20"/>
                <w:color w:val="auto"/>
              </w:rPr>
            </w:pPr>
            <w:r>
              <w:rPr>
                <w:rFonts w:ascii="Arial" w:cs="Arial" w:eastAsia="Arial" w:hAnsi="Arial"/>
                <w:sz w:val="16"/>
                <w:szCs w:val="16"/>
                <w:color w:val="auto"/>
              </w:rPr>
              <w:t>considered to be complex and to a certain extent based on estimates and</w:t>
            </w:r>
          </w:p>
        </w:tc>
        <w:tc>
          <w:tcPr>
            <w:tcW w:w="5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5340" w:type="dxa"/>
            <w:vAlign w:val="bottom"/>
            <w:gridSpan w:val="2"/>
            <w:vMerge w:val="restart"/>
          </w:tcPr>
          <w:p>
            <w:pPr>
              <w:ind w:left="280"/>
              <w:spacing w:after="0"/>
              <w:rPr>
                <w:sz w:val="20"/>
                <w:szCs w:val="20"/>
                <w:color w:val="auto"/>
              </w:rPr>
            </w:pPr>
            <w:r>
              <w:rPr>
                <w:rFonts w:ascii="Arial" w:cs="Arial" w:eastAsia="Arial" w:hAnsi="Arial"/>
                <w:sz w:val="16"/>
                <w:szCs w:val="16"/>
                <w:color w:val="auto"/>
              </w:rPr>
              <w:t>life and dividend yield; and,</w:t>
            </w:r>
          </w:p>
        </w:tc>
        <w:tc>
          <w:tcPr>
            <w:tcW w:w="0" w:type="dxa"/>
            <w:vAlign w:val="bottom"/>
          </w:tcPr>
          <w:p>
            <w:pPr>
              <w:spacing w:after="0"/>
              <w:rPr>
                <w:sz w:val="1"/>
                <w:szCs w:val="1"/>
                <w:color w:val="auto"/>
              </w:rPr>
            </w:pPr>
          </w:p>
        </w:tc>
      </w:tr>
      <w:tr>
        <w:trPr>
          <w:trHeight w:val="94"/>
        </w:trPr>
        <w:tc>
          <w:tcPr>
            <w:tcW w:w="5320" w:type="dxa"/>
            <w:vAlign w:val="bottom"/>
            <w:vMerge w:val="restart"/>
          </w:tcPr>
          <w:p>
            <w:pPr>
              <w:spacing w:after="0"/>
              <w:rPr>
                <w:sz w:val="20"/>
                <w:szCs w:val="20"/>
                <w:color w:val="auto"/>
              </w:rPr>
            </w:pPr>
            <w:r>
              <w:rPr>
                <w:rFonts w:ascii="Arial" w:cs="Arial" w:eastAsia="Arial" w:hAnsi="Arial"/>
                <w:sz w:val="16"/>
                <w:szCs w:val="16"/>
                <w:color w:val="auto"/>
                <w:w w:val="96"/>
              </w:rPr>
              <w:t>assumptions. This matter was therefore of particular significance for our audit.</w:t>
            </w:r>
          </w:p>
        </w:tc>
        <w:tc>
          <w:tcPr>
            <w:tcW w:w="5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5340" w:type="dxa"/>
            <w:vAlign w:val="bottom"/>
            <w:gridSpan w:val="2"/>
            <w:vMerge w:val="restart"/>
          </w:tcPr>
          <w:p>
            <w:pPr>
              <w:ind w:left="100"/>
              <w:spacing w:after="0"/>
              <w:rPr>
                <w:sz w:val="20"/>
                <w:szCs w:val="20"/>
                <w:color w:val="auto"/>
              </w:rPr>
            </w:pPr>
            <w:r>
              <w:rPr>
                <w:rFonts w:ascii="Arial" w:cs="Arial" w:eastAsia="Arial" w:hAnsi="Arial"/>
                <w:sz w:val="16"/>
                <w:szCs w:val="16"/>
                <w:color w:val="auto"/>
                <w:w w:val="95"/>
              </w:rPr>
              <w:t>•  reviewed the disclosures in note 18 to the consolidated financial statements</w:t>
            </w:r>
          </w:p>
        </w:tc>
        <w:tc>
          <w:tcPr>
            <w:tcW w:w="0" w:type="dxa"/>
            <w:vAlign w:val="bottom"/>
          </w:tcPr>
          <w:p>
            <w:pPr>
              <w:spacing w:after="0"/>
              <w:rPr>
                <w:sz w:val="1"/>
                <w:szCs w:val="1"/>
                <w:color w:val="auto"/>
              </w:rPr>
            </w:pPr>
          </w:p>
        </w:tc>
      </w:tr>
      <w:tr>
        <w:trPr>
          <w:trHeight w:val="94"/>
        </w:trPr>
        <w:tc>
          <w:tcPr>
            <w:tcW w:w="5320" w:type="dxa"/>
            <w:vAlign w:val="bottom"/>
            <w:vMerge w:val="restart"/>
          </w:tcPr>
          <w:p>
            <w:pPr>
              <w:spacing w:after="0"/>
              <w:rPr>
                <w:sz w:val="20"/>
                <w:szCs w:val="20"/>
                <w:color w:val="auto"/>
              </w:rPr>
            </w:pPr>
            <w:r>
              <w:rPr>
                <w:rFonts w:ascii="Arial" w:cs="Arial" w:eastAsia="Arial" w:hAnsi="Arial"/>
                <w:sz w:val="16"/>
                <w:szCs w:val="16"/>
                <w:color w:val="auto"/>
              </w:rPr>
              <w:t>Therefore, we considered this as a key audit matter in our audit.</w:t>
            </w:r>
          </w:p>
        </w:tc>
        <w:tc>
          <w:tcPr>
            <w:tcW w:w="5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320" w:type="dxa"/>
            <w:vAlign w:val="bottom"/>
            <w:vMerge w:val="continue"/>
          </w:tcPr>
          <w:p>
            <w:pPr>
              <w:spacing w:after="0"/>
              <w:rPr>
                <w:sz w:val="9"/>
                <w:szCs w:val="9"/>
                <w:color w:val="auto"/>
              </w:rPr>
            </w:pPr>
          </w:p>
        </w:tc>
        <w:tc>
          <w:tcPr>
            <w:tcW w:w="5340" w:type="dxa"/>
            <w:vAlign w:val="bottom"/>
            <w:gridSpan w:val="2"/>
            <w:vMerge w:val="restart"/>
          </w:tcPr>
          <w:p>
            <w:pPr>
              <w:ind w:left="280"/>
              <w:spacing w:after="0"/>
              <w:rPr>
                <w:sz w:val="20"/>
                <w:szCs w:val="20"/>
                <w:color w:val="auto"/>
              </w:rPr>
            </w:pPr>
            <w:r>
              <w:rPr>
                <w:rFonts w:ascii="Arial" w:cs="Arial" w:eastAsia="Arial" w:hAnsi="Arial"/>
                <w:sz w:val="16"/>
                <w:szCs w:val="16"/>
                <w:color w:val="auto"/>
              </w:rPr>
              <w:t>and deemed the disclosures in line with the requirements of IFRS 2;</w:t>
            </w: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5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5320" w:type="dxa"/>
            <w:vAlign w:val="bottom"/>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w w:val="92"/>
              </w:rPr>
              <w:t>We were able to satisfy ourselves that the estimates and assumptions made are</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Arial" w:cs="Arial" w:eastAsia="Arial" w:hAnsi="Arial"/>
                <w:sz w:val="16"/>
                <w:szCs w:val="16"/>
                <w:color w:val="auto"/>
              </w:rPr>
              <w:t>supportable by appropriate documentation for accounting for share-based</w:t>
            </w:r>
          </w:p>
        </w:tc>
        <w:tc>
          <w:tcPr>
            <w:tcW w:w="0" w:type="dxa"/>
            <w:vAlign w:val="bottom"/>
          </w:tcPr>
          <w:p>
            <w:pPr>
              <w:spacing w:after="0"/>
              <w:rPr>
                <w:sz w:val="1"/>
                <w:szCs w:val="1"/>
                <w:color w:val="auto"/>
              </w:rPr>
            </w:pPr>
          </w:p>
        </w:tc>
      </w:tr>
      <w:tr>
        <w:trPr>
          <w:trHeight w:val="172"/>
        </w:trPr>
        <w:tc>
          <w:tcPr>
            <w:tcW w:w="5320" w:type="dxa"/>
            <w:vAlign w:val="bottom"/>
          </w:tcPr>
          <w:p>
            <w:pPr>
              <w:spacing w:after="0"/>
              <w:rPr>
                <w:sz w:val="14"/>
                <w:szCs w:val="14"/>
                <w:color w:val="auto"/>
              </w:rPr>
            </w:pPr>
          </w:p>
        </w:tc>
        <w:tc>
          <w:tcPr>
            <w:tcW w:w="5340" w:type="dxa"/>
            <w:vAlign w:val="bottom"/>
            <w:gridSpan w:val="2"/>
          </w:tcPr>
          <w:p>
            <w:pPr>
              <w:ind w:left="1300"/>
              <w:spacing w:after="0" w:line="172" w:lineRule="exact"/>
              <w:rPr>
                <w:sz w:val="20"/>
                <w:szCs w:val="20"/>
                <w:color w:val="auto"/>
              </w:rPr>
            </w:pPr>
            <w:r>
              <w:rPr>
                <w:rFonts w:ascii="Arial" w:cs="Arial" w:eastAsia="Arial" w:hAnsi="Arial"/>
                <w:sz w:val="16"/>
                <w:szCs w:val="16"/>
                <w:color w:val="auto"/>
              </w:rPr>
              <w:t>payments in accordance with EU-IFRS.</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9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7" w:right="519" w:bottom="1440" w:gutter="0" w:footer="0" w:header="0"/>
        </w:sectPr>
      </w:pPr>
    </w:p>
    <w:bookmarkStart w:id="155" w:name="page156"/>
    <w:bookmarkEnd w:id="155"/>
    <w:p>
      <w:pPr>
        <w:spacing w:after="0"/>
        <w:rPr>
          <w:sz w:val="20"/>
          <w:szCs w:val="20"/>
          <w:color w:val="auto"/>
        </w:rPr>
      </w:pPr>
      <w:r>
        <w:rPr>
          <w:rFonts w:ascii="Arial" w:cs="Arial" w:eastAsia="Arial" w:hAnsi="Arial"/>
          <w:sz w:val="29"/>
          <w:szCs w:val="29"/>
          <w:b w:val="1"/>
          <w:bCs w:val="1"/>
          <w:color w:val="DC6900"/>
        </w:rPr>
        <w:t>Report on the other information included in the annual report</w:t>
      </w:r>
    </w:p>
    <w:p>
      <w:pPr>
        <w:spacing w:after="0" w:line="111" w:lineRule="exact"/>
        <w:rPr>
          <w:sz w:val="20"/>
          <w:szCs w:val="20"/>
          <w:color w:val="auto"/>
        </w:rPr>
      </w:pPr>
    </w:p>
    <w:p>
      <w:pPr>
        <w:ind w:left="380" w:right="3740"/>
        <w:spacing w:after="0" w:line="293" w:lineRule="auto"/>
        <w:rPr>
          <w:sz w:val="20"/>
          <w:szCs w:val="20"/>
          <w:color w:val="auto"/>
        </w:rPr>
      </w:pPr>
      <w:r>
        <w:rPr>
          <w:rFonts w:ascii="Arial" w:cs="Arial" w:eastAsia="Arial" w:hAnsi="Arial"/>
          <w:sz w:val="18"/>
          <w:szCs w:val="18"/>
          <w:color w:val="auto"/>
        </w:rPr>
        <w:t>The annual report contains other information. This includes all information in the annual report in addition to the financial statements and our auditor’s report thereon.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Based on the procedures performed as set out below, we conclude that the other information:</w:t>
      </w:r>
    </w:p>
    <w:p>
      <w:pPr>
        <w:spacing w:after="0" w:line="23" w:lineRule="exact"/>
        <w:rPr>
          <w:sz w:val="20"/>
          <w:szCs w:val="20"/>
          <w:color w:val="auto"/>
        </w:rPr>
      </w:pPr>
    </w:p>
    <w:p>
      <w:pPr>
        <w:ind w:left="980" w:hanging="583"/>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 consistent with the financial statements and does not contain material misstatements; and</w:t>
      </w:r>
    </w:p>
    <w:p>
      <w:pPr>
        <w:spacing w:after="0" w:line="9" w:lineRule="exact"/>
        <w:rPr>
          <w:rFonts w:ascii="Arial" w:cs="Arial" w:eastAsia="Arial" w:hAnsi="Arial"/>
          <w:sz w:val="18"/>
          <w:szCs w:val="18"/>
          <w:color w:val="auto"/>
        </w:rPr>
      </w:pPr>
    </w:p>
    <w:p>
      <w:pPr>
        <w:ind w:left="920" w:right="1100" w:hanging="523"/>
        <w:spacing w:after="0" w:line="260" w:lineRule="auto"/>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contains all the information regarding the report of the board of directors and the other information that is required by Part 9 of Book 2 of the Dutch Civil Code.</w:t>
      </w:r>
    </w:p>
    <w:p>
      <w:pPr>
        <w:spacing w:after="0" w:line="185"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We have read the other information. Based on our knowledge and the understanding obtained in our audit of the financial statements or otherwise, we have considered whether the other information contains material misstatements.</w:t>
      </w:r>
    </w:p>
    <w:p>
      <w:pPr>
        <w:spacing w:after="0" w:line="184" w:lineRule="exact"/>
        <w:rPr>
          <w:sz w:val="20"/>
          <w:szCs w:val="20"/>
          <w:color w:val="auto"/>
        </w:rPr>
      </w:pPr>
    </w:p>
    <w:p>
      <w:pPr>
        <w:jc w:val="both"/>
        <w:ind w:left="380" w:right="120"/>
        <w:spacing w:after="0" w:line="308" w:lineRule="auto"/>
        <w:rPr>
          <w:sz w:val="20"/>
          <w:szCs w:val="20"/>
          <w:color w:val="auto"/>
        </w:rPr>
      </w:pPr>
      <w:r>
        <w:rPr>
          <w:rFonts w:ascii="Arial" w:cs="Arial" w:eastAsia="Arial" w:hAnsi="Arial"/>
          <w:sz w:val="17"/>
          <w:szCs w:val="17"/>
          <w:color w:val="auto"/>
        </w:rPr>
        <w:t>By performing our procedures, we comply with the requirements of Part 9 of Book 2 of the Dutch Civil Code and the Dutch Standard 720. The scope of such procedures was substantially less than the scope of those procedures performed in our audit of the financial statements.</w:t>
      </w:r>
    </w:p>
    <w:p>
      <w:pPr>
        <w:spacing w:after="0" w:line="160" w:lineRule="exact"/>
        <w:rPr>
          <w:sz w:val="20"/>
          <w:szCs w:val="20"/>
          <w:color w:val="auto"/>
        </w:rPr>
      </w:pPr>
    </w:p>
    <w:p>
      <w:pPr>
        <w:ind w:left="380" w:right="700"/>
        <w:spacing w:after="0" w:line="277" w:lineRule="auto"/>
        <w:rPr>
          <w:sz w:val="20"/>
          <w:szCs w:val="20"/>
          <w:color w:val="auto"/>
        </w:rPr>
      </w:pPr>
      <w:r>
        <w:rPr>
          <w:rFonts w:ascii="Arial" w:cs="Arial" w:eastAsia="Arial" w:hAnsi="Arial"/>
          <w:sz w:val="18"/>
          <w:szCs w:val="18"/>
          <w:color w:val="auto"/>
        </w:rPr>
        <w:t>The board of directors is responsible for the preparation of the other information, including the directors’ report and the other information in accordance with Part 9 of Book 2 of the Dutch Civil Code.</w:t>
      </w: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DC6900"/>
        </w:rPr>
        <w:t>Report on other legal and regulatory requirements</w:t>
      </w:r>
    </w:p>
    <w:p>
      <w:pPr>
        <w:spacing w:after="0" w:line="362" w:lineRule="exact"/>
        <w:rPr>
          <w:sz w:val="20"/>
          <w:szCs w:val="20"/>
          <w:color w:val="auto"/>
        </w:rPr>
      </w:pPr>
    </w:p>
    <w:p>
      <w:pPr>
        <w:spacing w:after="0"/>
        <w:rPr>
          <w:sz w:val="20"/>
          <w:szCs w:val="20"/>
          <w:color w:val="auto"/>
        </w:rPr>
      </w:pPr>
      <w:r>
        <w:rPr>
          <w:rFonts w:ascii="Arial" w:cs="Arial" w:eastAsia="Arial" w:hAnsi="Arial"/>
          <w:sz w:val="23"/>
          <w:szCs w:val="23"/>
          <w:color w:val="DC6900"/>
        </w:rPr>
        <w:t>Our appointment</w:t>
      </w:r>
    </w:p>
    <w:p>
      <w:pPr>
        <w:spacing w:after="0" w:line="38" w:lineRule="exact"/>
        <w:rPr>
          <w:sz w:val="20"/>
          <w:szCs w:val="20"/>
          <w:color w:val="auto"/>
        </w:rPr>
      </w:pPr>
    </w:p>
    <w:p>
      <w:pPr>
        <w:jc w:val="both"/>
        <w:ind w:left="380" w:right="120"/>
        <w:spacing w:after="0" w:line="263" w:lineRule="auto"/>
        <w:rPr>
          <w:sz w:val="20"/>
          <w:szCs w:val="20"/>
          <w:color w:val="auto"/>
        </w:rPr>
      </w:pPr>
      <w:r>
        <w:rPr>
          <w:rFonts w:ascii="Arial" w:cs="Arial" w:eastAsia="Arial" w:hAnsi="Arial"/>
          <w:sz w:val="18"/>
          <w:szCs w:val="18"/>
          <w:color w:val="auto"/>
        </w:rPr>
        <w:t>We were appointed as auditors of Pharvaris N.V. This followed the passing of a resolution by the shareholders at the annual general meeting held on 29 June 2022. Our appointment has been renewed annually by shareholders and now represents a total period of uninterrupted engagement of three years.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DC6900"/>
        </w:rPr>
        <w:t>Responsibilities for the financial statements and the audit</w:t>
      </w:r>
    </w:p>
    <w:p>
      <w:pPr>
        <w:spacing w:after="0" w:line="362" w:lineRule="exact"/>
        <w:rPr>
          <w:sz w:val="20"/>
          <w:szCs w:val="20"/>
          <w:color w:val="auto"/>
        </w:rPr>
      </w:pPr>
    </w:p>
    <w:p>
      <w:pPr>
        <w:spacing w:after="0"/>
        <w:rPr>
          <w:sz w:val="20"/>
          <w:szCs w:val="20"/>
          <w:color w:val="auto"/>
        </w:rPr>
      </w:pPr>
      <w:r>
        <w:rPr>
          <w:rFonts w:ascii="Arial" w:cs="Arial" w:eastAsia="Arial" w:hAnsi="Arial"/>
          <w:sz w:val="23"/>
          <w:szCs w:val="23"/>
          <w:color w:val="DC6900"/>
        </w:rPr>
        <w:t>Responsibilities of the board of directors</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board of directors is responsible for:</w:t>
      </w:r>
    </w:p>
    <w:p>
      <w:pPr>
        <w:spacing w:after="0" w:line="23" w:lineRule="exact"/>
        <w:rPr>
          <w:sz w:val="20"/>
          <w:szCs w:val="20"/>
          <w:color w:val="auto"/>
        </w:rPr>
      </w:pPr>
    </w:p>
    <w:p>
      <w:pPr>
        <w:ind w:left="960" w:right="640" w:hanging="563"/>
        <w:spacing w:after="0" w:line="250" w:lineRule="auto"/>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preparation and fair presentation of the financial statements in accordance with EU-IFRS and Part 9 of Book 2 of the Dutch Civil Code; and for</w:t>
      </w:r>
    </w:p>
    <w:p>
      <w:pPr>
        <w:ind w:left="980" w:right="120" w:hanging="583"/>
        <w:spacing w:after="0" w:line="260"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internal control as the board of directors determines is necessary to enable the preparation of the financial statements that are free from material misstatement, whether due to fraud or error.</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part of the preparation of the financial statements, the board of directors is responsible for</w:t>
      </w:r>
    </w:p>
    <w:p>
      <w:pPr>
        <w:spacing w:after="0" w:line="23" w:lineRule="exact"/>
        <w:rPr>
          <w:sz w:val="20"/>
          <w:szCs w:val="20"/>
          <w:color w:val="auto"/>
        </w:rPr>
      </w:pPr>
    </w:p>
    <w:p>
      <w:pPr>
        <w:ind w:left="380" w:right="780"/>
        <w:spacing w:after="0" w:line="301" w:lineRule="auto"/>
        <w:rPr>
          <w:sz w:val="20"/>
          <w:szCs w:val="20"/>
          <w:color w:val="auto"/>
        </w:rPr>
      </w:pPr>
      <w:r>
        <w:rPr>
          <w:rFonts w:ascii="Arial" w:cs="Arial" w:eastAsia="Arial" w:hAnsi="Arial"/>
          <w:sz w:val="16"/>
          <w:szCs w:val="16"/>
          <w:color w:val="auto"/>
        </w:rPr>
        <w:t>assessing the Company’s ability to continue as a going concern. Based on the financial reporting frameworks mentioned, the board of directors should prepare the financial statements using the going-concern basis of accounting unless the board of directors either intends to liquidate the Company or to cease operations or has no realistic alternative but to do so. The board of directors should disclose in the financial statements any event and circumstances that may cast significant doubt on the Company’s ability to continue as a going concern.</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10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2" w:right="419" w:bottom="1440" w:gutter="0" w:footer="0" w:header="0"/>
        </w:sectPr>
      </w:pPr>
    </w:p>
    <w:bookmarkStart w:id="156" w:name="page157"/>
    <w:bookmarkEnd w:id="156"/>
    <w:p>
      <w:pPr>
        <w:spacing w:after="0"/>
        <w:rPr>
          <w:sz w:val="20"/>
          <w:szCs w:val="20"/>
          <w:color w:val="auto"/>
        </w:rPr>
      </w:pPr>
      <w:r>
        <w:rPr>
          <w:rFonts w:ascii="Arial" w:cs="Arial" w:eastAsia="Arial" w:hAnsi="Arial"/>
          <w:sz w:val="23"/>
          <w:szCs w:val="23"/>
          <w:color w:val="DC6900"/>
        </w:rPr>
        <w:t>Our responsibilities for the audit of the financial statements</w:t>
      </w:r>
    </w:p>
    <w:p>
      <w:pPr>
        <w:spacing w:after="0" w:line="38" w:lineRule="exact"/>
        <w:rPr>
          <w:sz w:val="20"/>
          <w:szCs w:val="20"/>
          <w:color w:val="auto"/>
        </w:rPr>
      </w:pPr>
    </w:p>
    <w:p>
      <w:pPr>
        <w:ind w:left="380"/>
        <w:spacing w:after="0" w:line="273" w:lineRule="auto"/>
        <w:rPr>
          <w:sz w:val="20"/>
          <w:szCs w:val="20"/>
          <w:color w:val="auto"/>
        </w:rPr>
      </w:pPr>
      <w:r>
        <w:rPr>
          <w:rFonts w:ascii="Arial" w:cs="Arial" w:eastAsia="Arial" w:hAnsi="Arial"/>
          <w:sz w:val="17"/>
          <w:szCs w:val="17"/>
          <w:color w:val="auto"/>
        </w:rPr>
        <w:t>Our responsibility is to plan and perform an audit engagement in a manner that allows us to obtain sufficient and appropriate audit evidence to provide a basis for our opinion. Our objectives are to obtain reasonable assurance about whether the financial statements as a whole are free from material misstatement, whether due to fraud or error and to issue an auditor’s report that includes our opinion. Reasonable assurance is a high but not absolute level of assurance, which makes it possible that we may not detect all material misstatements. Misstatements may arise due to fraud or error. They are considered material if, individually or in the aggregate, they could reasonably be expected to influence the economic decisions of users taken on the basis of the financial statements.</w:t>
      </w:r>
    </w:p>
    <w:p>
      <w:pPr>
        <w:spacing w:after="0" w:line="191" w:lineRule="exact"/>
        <w:rPr>
          <w:sz w:val="20"/>
          <w:szCs w:val="20"/>
          <w:color w:val="auto"/>
        </w:rPr>
      </w:pPr>
    </w:p>
    <w:p>
      <w:pPr>
        <w:ind w:left="380" w:right="660"/>
        <w:spacing w:after="0" w:line="266" w:lineRule="auto"/>
        <w:rPr>
          <w:sz w:val="20"/>
          <w:szCs w:val="20"/>
          <w:color w:val="auto"/>
        </w:rPr>
      </w:pPr>
      <w:r>
        <w:rPr>
          <w:rFonts w:ascii="Arial" w:cs="Arial" w:eastAsia="Arial" w:hAnsi="Arial"/>
          <w:sz w:val="18"/>
          <w:szCs w:val="18"/>
          <w:color w:val="auto"/>
        </w:rPr>
        <w:t>Materiality affects the nature, timing and extent of our audit procedures and the evaluation of the effect of identified misstatements on our opinion.</w:t>
      </w:r>
    </w:p>
    <w:p>
      <w:pPr>
        <w:ind w:left="380" w:right="2240"/>
        <w:spacing w:after="0" w:line="277" w:lineRule="auto"/>
        <w:rPr>
          <w:sz w:val="20"/>
          <w:szCs w:val="20"/>
          <w:color w:val="auto"/>
        </w:rPr>
      </w:pPr>
      <w:r>
        <w:rPr>
          <w:rFonts w:ascii="Arial" w:cs="Arial" w:eastAsia="Arial" w:hAnsi="Arial"/>
          <w:sz w:val="18"/>
          <w:szCs w:val="18"/>
          <w:color w:val="auto"/>
        </w:rPr>
        <w:t>A more detailed description of our responsibilities is set out in the appendix to our report. Amsterdam, 30 May 2023 PricewaterhouseCoopers Accountants N.V.</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4"/>
          <w:szCs w:val="4"/>
          <w:color w:val="B0B0B0"/>
        </w:rPr>
        <w:t>This document is electronically signed by:</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26"/>
          <w:szCs w:val="26"/>
          <w:i w:val="1"/>
          <w:iCs w:val="1"/>
          <w:color w:val="006FC0"/>
        </w:rPr>
        <w:t>Willem Voorthuijsen</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 Voorthuijsen RA</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11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90" w:right="599" w:bottom="1440" w:gutter="0" w:footer="0" w:header="0"/>
        </w:sectPr>
      </w:pPr>
    </w:p>
    <w:bookmarkStart w:id="157" w:name="page158"/>
    <w:bookmarkEnd w:id="157"/>
    <w:p>
      <w:pPr>
        <w:spacing w:after="0"/>
        <w:rPr>
          <w:sz w:val="20"/>
          <w:szCs w:val="20"/>
          <w:color w:val="auto"/>
        </w:rPr>
      </w:pPr>
      <w:r>
        <w:rPr>
          <w:rFonts w:ascii="Arial" w:cs="Arial" w:eastAsia="Arial" w:hAnsi="Arial"/>
          <w:sz w:val="29"/>
          <w:szCs w:val="29"/>
          <w:b w:val="1"/>
          <w:bCs w:val="1"/>
          <w:color w:val="DC6900"/>
        </w:rPr>
        <w:t>Appendix to our auditor’s report on the financial statements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25"/>
          <w:szCs w:val="25"/>
          <w:b w:val="1"/>
          <w:bCs w:val="1"/>
          <w:i w:val="1"/>
          <w:iCs w:val="1"/>
          <w:color w:val="DC6900"/>
        </w:rPr>
        <w:t>2022 of Pharvaris N.V.</w:t>
      </w:r>
    </w:p>
    <w:p>
      <w:pPr>
        <w:spacing w:after="0" w:line="93" w:lineRule="exact"/>
        <w:rPr>
          <w:sz w:val="20"/>
          <w:szCs w:val="20"/>
          <w:color w:val="auto"/>
        </w:rPr>
      </w:pPr>
    </w:p>
    <w:p>
      <w:pPr>
        <w:ind w:left="380" w:right="3800"/>
        <w:spacing w:after="0" w:line="359" w:lineRule="auto"/>
        <w:rPr>
          <w:sz w:val="20"/>
          <w:szCs w:val="20"/>
          <w:color w:val="auto"/>
        </w:rPr>
      </w:pPr>
      <w:r>
        <w:rPr>
          <w:rFonts w:ascii="Arial" w:cs="Arial" w:eastAsia="Arial" w:hAnsi="Arial"/>
          <w:sz w:val="16"/>
          <w:szCs w:val="16"/>
          <w:color w:val="auto"/>
        </w:rPr>
        <w:t>In addition to what is included in our auditor’s report, we have further set out in this appendix our responsibilities for the audit of the financial statements and explained what an audit involves.</w:t>
      </w:r>
    </w:p>
    <w:p>
      <w:pPr>
        <w:spacing w:after="0" w:line="104" w:lineRule="exact"/>
        <w:rPr>
          <w:sz w:val="20"/>
          <w:szCs w:val="20"/>
          <w:color w:val="auto"/>
        </w:rPr>
      </w:pPr>
    </w:p>
    <w:p>
      <w:pPr>
        <w:ind w:left="380" w:right="360"/>
        <w:spacing w:after="0" w:line="238" w:lineRule="auto"/>
        <w:rPr>
          <w:sz w:val="20"/>
          <w:szCs w:val="20"/>
          <w:color w:val="auto"/>
        </w:rPr>
      </w:pPr>
      <w:r>
        <w:rPr>
          <w:rFonts w:ascii="Arial" w:cs="Arial" w:eastAsia="Arial" w:hAnsi="Arial"/>
          <w:sz w:val="22"/>
          <w:szCs w:val="22"/>
          <w:b w:val="1"/>
          <w:bCs w:val="1"/>
          <w:i w:val="1"/>
          <w:iCs w:val="1"/>
          <w:color w:val="DC6900"/>
        </w:rPr>
        <w:t xml:space="preserve">The auditor’s responsibilities for the audit of the financial statements </w:t>
      </w:r>
      <w:r>
        <w:rPr>
          <w:rFonts w:ascii="Arial" w:cs="Arial" w:eastAsia="Arial" w:hAnsi="Arial"/>
          <w:sz w:val="17"/>
          <w:szCs w:val="17"/>
          <w:color w:val="000000"/>
        </w:rPr>
        <w:t>We have exercised professional judgement and have</w:t>
      </w:r>
      <w:r>
        <w:rPr>
          <w:rFonts w:ascii="Arial" w:cs="Arial" w:eastAsia="Arial" w:hAnsi="Arial"/>
          <w:sz w:val="22"/>
          <w:szCs w:val="22"/>
          <w:b w:val="1"/>
          <w:bCs w:val="1"/>
          <w:i w:val="1"/>
          <w:iCs w:val="1"/>
          <w:color w:val="DC6900"/>
        </w:rPr>
        <w:t xml:space="preserve"> </w:t>
      </w:r>
      <w:r>
        <w:rPr>
          <w:rFonts w:ascii="Arial" w:cs="Arial" w:eastAsia="Arial" w:hAnsi="Arial"/>
          <w:sz w:val="17"/>
          <w:szCs w:val="17"/>
          <w:color w:val="000000"/>
        </w:rPr>
        <w:t>maintained professional scepticism throughout the audit in accordance with Dutch Standards on Auditing, ethical requirements and independence requirements. Our audit consisted, among other things of the following:</w:t>
      </w:r>
    </w:p>
    <w:p>
      <w:pPr>
        <w:spacing w:after="0" w:line="1" w:lineRule="exact"/>
        <w:rPr>
          <w:sz w:val="20"/>
          <w:szCs w:val="20"/>
          <w:color w:val="auto"/>
        </w:rPr>
      </w:pPr>
    </w:p>
    <w:p>
      <w:pPr>
        <w:ind w:left="980" w:hanging="583"/>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Identifying and assessing the risks of material misstatement of the financial statements, whether</w:t>
      </w:r>
    </w:p>
    <w:p>
      <w:pPr>
        <w:spacing w:after="0" w:line="9" w:lineRule="exact"/>
        <w:rPr>
          <w:rFonts w:ascii="Arial" w:cs="Arial" w:eastAsia="Arial" w:hAnsi="Arial"/>
          <w:sz w:val="18"/>
          <w:szCs w:val="18"/>
          <w:color w:val="auto"/>
        </w:rPr>
      </w:pPr>
    </w:p>
    <w:p>
      <w:pPr>
        <w:ind w:left="980" w:right="440"/>
        <w:spacing w:after="0" w:line="254" w:lineRule="auto"/>
        <w:rPr>
          <w:rFonts w:ascii="Arial" w:cs="Arial" w:eastAsia="Arial" w:hAnsi="Arial"/>
          <w:sz w:val="18"/>
          <w:szCs w:val="18"/>
          <w:color w:val="auto"/>
        </w:rPr>
      </w:pPr>
      <w:r>
        <w:rPr>
          <w:rFonts w:ascii="Arial" w:cs="Arial" w:eastAsia="Arial" w:hAnsi="Arial"/>
          <w:sz w:val="18"/>
          <w:szCs w:val="18"/>
          <w:color w:val="auto"/>
        </w:rPr>
        <w:t>due to fraud or error, designing and performing audit procedures responsive to those risks, and obtaining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intentional override of internal control.</w:t>
      </w:r>
    </w:p>
    <w:p>
      <w:pPr>
        <w:spacing w:after="0" w:line="1" w:lineRule="exact"/>
        <w:rPr>
          <w:rFonts w:ascii="Arial" w:cs="Arial" w:eastAsia="Arial" w:hAnsi="Arial"/>
          <w:sz w:val="18"/>
          <w:szCs w:val="18"/>
          <w:color w:val="auto"/>
        </w:rPr>
      </w:pPr>
    </w:p>
    <w:p>
      <w:pPr>
        <w:ind w:left="980" w:right="3540" w:hanging="583"/>
        <w:spacing w:after="0" w:line="276" w:lineRule="auto"/>
        <w:tabs>
          <w:tab w:leader="none" w:pos="98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Obtaining an understanding of internal control relevant to the audit in order to design audit procedures that are appropriate in the circumstances, but not for the purpose of expressing an opinion on the effectiveness of the Company’s internal control.</w:t>
      </w:r>
    </w:p>
    <w:p>
      <w:pPr>
        <w:ind w:left="920" w:right="1800" w:hanging="523"/>
        <w:spacing w:after="0" w:line="250"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Evaluating the appropriateness of accounting policies used and the reasonableness of accounting estimates and related disclosures made by the board of directors.</w:t>
      </w:r>
    </w:p>
    <w:p>
      <w:pPr>
        <w:ind w:left="960" w:right="280" w:hanging="563"/>
        <w:spacing w:after="0" w:line="281" w:lineRule="auto"/>
        <w:tabs>
          <w:tab w:leader="none" w:pos="9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Concluding on the appropriateness of the board of directors’ use of the going-concern basis of accounting, and based on the audit evidence obtained, concluding whether a material uncertainty exists related to events and/or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w:t>
      </w:r>
    </w:p>
    <w:p>
      <w:pPr>
        <w:spacing w:after="0" w:line="2" w:lineRule="exact"/>
        <w:rPr>
          <w:rFonts w:ascii="Arial" w:cs="Arial" w:eastAsia="Arial" w:hAnsi="Arial"/>
          <w:sz w:val="16"/>
          <w:szCs w:val="16"/>
          <w:color w:val="auto"/>
        </w:rPr>
      </w:pPr>
    </w:p>
    <w:p>
      <w:pPr>
        <w:ind w:left="980" w:right="340"/>
        <w:spacing w:after="0" w:line="250" w:lineRule="auto"/>
        <w:rPr>
          <w:rFonts w:ascii="Arial" w:cs="Arial" w:eastAsia="Arial" w:hAnsi="Arial"/>
          <w:sz w:val="16"/>
          <w:szCs w:val="16"/>
          <w:color w:val="auto"/>
        </w:rPr>
      </w:pPr>
      <w:r>
        <w:rPr>
          <w:rFonts w:ascii="Arial" w:cs="Arial" w:eastAsia="Arial" w:hAnsi="Arial"/>
          <w:sz w:val="18"/>
          <w:szCs w:val="18"/>
          <w:color w:val="auto"/>
        </w:rPr>
        <w:t>Our conclusions are based on the audit evidence obtained up to the date of our auditor’s report and are made in the context of our opinion on the financial statements as a whole. However, future events or conditions may cause the Company to cease to continue as a going concern.</w:t>
      </w:r>
    </w:p>
    <w:p>
      <w:pPr>
        <w:spacing w:after="0" w:line="1" w:lineRule="exact"/>
        <w:rPr>
          <w:rFonts w:ascii="Arial" w:cs="Arial" w:eastAsia="Arial" w:hAnsi="Arial"/>
          <w:sz w:val="16"/>
          <w:szCs w:val="16"/>
          <w:color w:val="auto"/>
        </w:rPr>
      </w:pPr>
    </w:p>
    <w:p>
      <w:pPr>
        <w:ind w:left="980" w:hanging="583"/>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Evaluating the overall presentation, structure, and content of the financial statements, including</w:t>
      </w:r>
    </w:p>
    <w:p>
      <w:pPr>
        <w:spacing w:after="0" w:line="9" w:lineRule="exact"/>
        <w:rPr>
          <w:rFonts w:ascii="Arial" w:cs="Arial" w:eastAsia="Arial" w:hAnsi="Arial"/>
          <w:sz w:val="18"/>
          <w:szCs w:val="18"/>
          <w:color w:val="auto"/>
        </w:rPr>
      </w:pPr>
    </w:p>
    <w:p>
      <w:pPr>
        <w:ind w:left="980"/>
        <w:spacing w:after="0" w:line="260" w:lineRule="auto"/>
        <w:rPr>
          <w:rFonts w:ascii="Arial" w:cs="Arial" w:eastAsia="Arial" w:hAnsi="Arial"/>
          <w:sz w:val="18"/>
          <w:szCs w:val="18"/>
          <w:color w:val="auto"/>
        </w:rPr>
      </w:pPr>
      <w:r>
        <w:rPr>
          <w:rFonts w:ascii="Arial" w:cs="Arial" w:eastAsia="Arial" w:hAnsi="Arial"/>
          <w:sz w:val="18"/>
          <w:szCs w:val="18"/>
          <w:color w:val="auto"/>
        </w:rPr>
        <w:t>the disclosures, and evaluating whether the financial statements represent the underlying transactions and events in a manner that achieves fair presentation.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Considering our ultimate responsibility for the opinion on the consolidated financial statements,</w:t>
      </w:r>
    </w:p>
    <w:p>
      <w:pPr>
        <w:spacing w:after="0" w:line="23" w:lineRule="exact"/>
        <w:rPr>
          <w:sz w:val="20"/>
          <w:szCs w:val="20"/>
          <w:color w:val="auto"/>
        </w:rPr>
      </w:pPr>
    </w:p>
    <w:p>
      <w:pPr>
        <w:ind w:left="380" w:right="320"/>
        <w:spacing w:after="0" w:line="275" w:lineRule="auto"/>
        <w:rPr>
          <w:sz w:val="20"/>
          <w:szCs w:val="20"/>
          <w:color w:val="auto"/>
        </w:rPr>
      </w:pPr>
      <w:r>
        <w:rPr>
          <w:rFonts w:ascii="Arial" w:cs="Arial" w:eastAsia="Arial" w:hAnsi="Arial"/>
          <w:sz w:val="17"/>
          <w:szCs w:val="17"/>
          <w:color w:val="auto"/>
        </w:rPr>
        <w:t>we are responsible for the direction, supervision, and performance of the group audit. In this context, we have determined the nature and extent of the audit procedures for components of the Group to ensure that we performed enough work to be able to give an opinion on the financial statements as a whole. Determining factors are the geographic structure of the Group, the significance and/or risk profile of group entities or activities, the accounting processes and controls, and the industry in which the Group operates. On this basis, we selected group entities for which an audit or review of financial information or specific balances was considered necessary.</w:t>
      </w:r>
    </w:p>
    <w:p>
      <w:pPr>
        <w:spacing w:after="0" w:line="175" w:lineRule="exact"/>
        <w:rPr>
          <w:sz w:val="20"/>
          <w:szCs w:val="20"/>
          <w:color w:val="auto"/>
        </w:rPr>
      </w:pPr>
    </w:p>
    <w:p>
      <w:pPr>
        <w:ind w:left="380" w:right="60"/>
        <w:spacing w:after="0" w:line="277" w:lineRule="auto"/>
        <w:rPr>
          <w:sz w:val="20"/>
          <w:szCs w:val="20"/>
          <w:color w:val="auto"/>
        </w:rPr>
      </w:pPr>
      <w:r>
        <w:rPr>
          <w:rFonts w:ascii="Arial" w:cs="Arial" w:eastAsia="Arial" w:hAnsi="Arial"/>
          <w:sz w:val="18"/>
          <w:szCs w:val="18"/>
          <w:color w:val="auto"/>
        </w:rPr>
        <w:t>We communicate with the board of directors regarding, among other matters, the planned scope and timing of the audit and significant audit findings, including any significant deficiencies in internal control that we identify during our audit.</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12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2" w:right="359" w:bottom="1440" w:gutter="0" w:footer="0" w:header="0"/>
        </w:sectPr>
      </w:pPr>
    </w:p>
    <w:bookmarkStart w:id="158" w:name="page159"/>
    <w:bookmarkEnd w:id="158"/>
    <w:p>
      <w:pPr>
        <w:ind w:left="360" w:right="280"/>
        <w:spacing w:after="0" w:line="263" w:lineRule="auto"/>
        <w:rPr>
          <w:sz w:val="20"/>
          <w:szCs w:val="20"/>
          <w:color w:val="auto"/>
        </w:rPr>
      </w:pPr>
      <w:r>
        <w:rPr>
          <w:rFonts w:ascii="Arial" w:cs="Arial" w:eastAsia="Arial" w:hAnsi="Arial"/>
          <w:sz w:val="18"/>
          <w:szCs w:val="18"/>
          <w:color w:val="auto"/>
        </w:rPr>
        <w:t>We provide the board of directors with a statement that we have complied with relevant ethical requirements regarding independence, and to communicate with them all relationships and other matters that may reasonably be thought to bear on our independence, and where applicable, related actions taken to eliminate threats or safeguards applied.</w:t>
      </w:r>
    </w:p>
    <w:p>
      <w:pPr>
        <w:spacing w:after="0" w:line="197" w:lineRule="exact"/>
        <w:rPr>
          <w:sz w:val="20"/>
          <w:szCs w:val="20"/>
          <w:color w:val="auto"/>
        </w:rPr>
      </w:pPr>
    </w:p>
    <w:p>
      <w:pPr>
        <w:ind w:left="360"/>
        <w:spacing w:after="0" w:line="311" w:lineRule="auto"/>
        <w:rPr>
          <w:sz w:val="20"/>
          <w:szCs w:val="20"/>
          <w:color w:val="auto"/>
        </w:rPr>
      </w:pPr>
      <w:r>
        <w:rPr>
          <w:rFonts w:ascii="Arial" w:cs="Arial" w:eastAsia="Arial" w:hAnsi="Arial"/>
          <w:sz w:val="16"/>
          <w:szCs w:val="16"/>
          <w:color w:val="auto"/>
        </w:rPr>
        <w:t>From the matters communicated with the board of directors,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not communicating the matter is in the public interest.</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Pharvaris N.V. - DKDS46Y4WH3V-1106799661-16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Page 13 of NUMPAGES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016" w:right="639" w:bottom="1440"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1."/>
      <w:numFmt w:val="decimal"/>
      <w:start w:val="3"/>
    </w:lvl>
  </w:abstractNum>
  <w:abstractNum w:abstractNumId="2">
    <w:nsid w:val="374A3FE6"/>
    <w:multiLevelType w:val="hybridMultilevel"/>
    <w:lvl w:ilvl="0">
      <w:lvlJc w:val="left"/>
      <w:lvlText w:val="%1."/>
      <w:numFmt w:val="decimal"/>
      <w:start w:val="7"/>
    </w:lvl>
  </w:abstractNum>
  <w:abstractNum w:abstractNumId="3">
    <w:nsid w:val="4F4EF005"/>
    <w:multiLevelType w:val="hybridMultilevel"/>
    <w:lvl w:ilvl="0">
      <w:lvlJc w:val="left"/>
      <w:lvlText w:val="%1."/>
      <w:numFmt w:val="decimal"/>
      <w:start w:val="1"/>
    </w:lvl>
    <w:lvl w:ilvl="1">
      <w:lvlJc w:val="left"/>
      <w:lvlText w:val="%2."/>
      <w:numFmt w:val="lowerLetter"/>
      <w:start w:val="1"/>
    </w:lvl>
  </w:abstractNum>
  <w:abstractNum w:abstractNumId="4">
    <w:nsid w:val="23F9C13C"/>
    <w:multiLevelType w:val="hybridMultilevel"/>
    <w:lvl w:ilvl="0">
      <w:lvlJc w:val="left"/>
      <w:lvlText w:val="%1."/>
      <w:numFmt w:val="decimal"/>
      <w:start w:val="4"/>
    </w:lvl>
  </w:abstractNum>
  <w:abstractNum w:abstractNumId="5">
    <w:nsid w:val="649BB77C"/>
    <w:multiLevelType w:val="hybridMultilevel"/>
    <w:lvl w:ilvl="0">
      <w:lvlJc w:val="left"/>
      <w:lvlText w:val="(%1)"/>
      <w:numFmt w:val="lowerRoman"/>
      <w:start w:val="1"/>
    </w:lvl>
  </w:abstractNum>
  <w:abstractNum w:abstractNumId="6">
    <w:nsid w:val="275AC794"/>
    <w:multiLevelType w:val="hybridMultilevel"/>
    <w:lvl w:ilvl="0">
      <w:lvlJc w:val="left"/>
      <w:lvlText w:val="1"/>
      <w:numFmt w:val="bullet"/>
      <w:start w:val="1"/>
    </w:lvl>
  </w:abstractNum>
  <w:abstractNum w:abstractNumId="7">
    <w:nsid w:val="39386575"/>
    <w:multiLevelType w:val="hybridMultilevel"/>
    <w:lvl w:ilvl="0">
      <w:lvlJc w:val="left"/>
      <w:lvlText w:val="3"/>
      <w:numFmt w:val="bullet"/>
      <w:start w:val="1"/>
    </w:lvl>
  </w:abstractNum>
  <w:abstractNum w:abstractNumId="8">
    <w:nsid w:val="1CF10FD8"/>
    <w:multiLevelType w:val="hybridMultilevel"/>
    <w:lvl w:ilvl="0">
      <w:lvlJc w:val="left"/>
      <w:lvlText w:val="4"/>
      <w:numFmt w:val="bullet"/>
      <w:start w:val="1"/>
    </w:lvl>
  </w:abstractNum>
  <w:abstractNum w:abstractNumId="9">
    <w:nsid w:val="180115BE"/>
    <w:multiLevelType w:val="hybridMultilevel"/>
    <w:lvl w:ilvl="0">
      <w:lvlJc w:val="left"/>
      <w:lvlText w:val="5"/>
      <w:numFmt w:val="bullet"/>
      <w:start w:val="1"/>
    </w:lvl>
  </w:abstractNum>
  <w:abstractNum w:abstractNumId="10">
    <w:nsid w:val="235BA861"/>
    <w:multiLevelType w:val="hybridMultilevel"/>
    <w:lvl w:ilvl="0">
      <w:lvlJc w:val="left"/>
      <w:lvlText w:val="6"/>
      <w:numFmt w:val="bullet"/>
      <w:start w:val="1"/>
    </w:lvl>
  </w:abstractNum>
  <w:abstractNum w:abstractNumId="11">
    <w:nsid w:val="47398C89"/>
    <w:multiLevelType w:val="hybridMultilevel"/>
    <w:lvl w:ilvl="0">
      <w:lvlJc w:val="left"/>
      <w:lvlText w:val="7"/>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decimal"/>
      <w:start w:val="3"/>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1)"/>
      <w:numFmt w:val="lowerLetter"/>
      <w:start w:val="1"/>
    </w:lvl>
  </w:abstractNum>
  <w:abstractNum w:abstractNumId="36">
    <w:nsid w:val="799D0247"/>
    <w:multiLevelType w:val="hybridMultilevel"/>
    <w:lvl w:ilvl="0">
      <w:lvlJc w:val="left"/>
      <w:lvlText w:val="%1)"/>
      <w:numFmt w:val="lowerLetter"/>
      <w:start w:val="2"/>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4"/>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10"/>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4"/>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1."/>
      <w:numFmt w:val="decimal"/>
      <w:start w:val="2"/>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lowerRoman"/>
      <w:start w:val="2"/>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2023-06-01T05:58:08Z</dcterms:created>
  <dcterms:modified xsi:type="dcterms:W3CDTF">2023-06-01T05:58:08Z</dcterms:modified>
</cp:coreProperties>
</file>