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336550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351790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152400</wp:posOffset>
            </wp:positionV>
            <wp:extent cx="25685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168275</wp:posOffset>
            </wp:positionV>
            <wp:extent cx="25685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month of November 2022</w:t>
      </w:r>
    </w:p>
    <w:p>
      <w:pPr>
        <w:spacing w:after="0" w:line="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157480</wp:posOffset>
            </wp:positionV>
            <wp:extent cx="2568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8"/>
          <w:szCs w:val="38"/>
          <w:color w:val="auto"/>
        </w:rPr>
        <w:t>Pharvaris N.V.</w:t>
      </w:r>
    </w:p>
    <w:p>
      <w:pPr>
        <w:spacing w:after="0" w:line="1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156210</wp:posOffset>
            </wp:positionV>
            <wp:extent cx="25685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J.H. Oortweg 21</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2333 CH Leiden</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35" w:lineRule="exact"/>
        <w:rPr>
          <w:sz w:val="24"/>
          <w:szCs w:val="24"/>
          <w:color w:val="auto"/>
        </w:rPr>
      </w:pPr>
    </w:p>
    <w:p>
      <w:pPr>
        <w:spacing w:after="0" w:line="184" w:lineRule="exact"/>
        <w:tabs>
          <w:tab w:leader="none" w:pos="138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15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Note: Regulation S-T Rule 101(b)(1) only permits the submission in paper of a Form 6-K if submitted solely to provide an attached annual report to security holders.</w:t>
      </w:r>
    </w:p>
    <w:p>
      <w:pPr>
        <w:spacing w:after="0" w:line="14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213360</wp:posOffset>
            </wp:positionV>
            <wp:extent cx="718947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180"/>
          </w:cols>
          <w:pgMar w:left="320" w:top="747"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PHARVARIS N.V.</w:t>
      </w:r>
    </w:p>
    <w:p>
      <w:pPr>
        <w:spacing w:after="0" w:line="19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In connection with an investor event on November 1, 2022, Pharvaris N.V. (the “Company”) provided a corporate update included in a corporate presentation on its website, which, among other things, (i) reported that the Company held cash and cash equivalents of approximately $198 million as of September 30, 2022, (ii) provided an update with respect to the Company’s clinical programs, including that a Type A meeting has been scheduled with the U.S. Food &amp; Drug Administration for discussion of the on-demand and prophylactic proposals to address the hold on the clinical trials of PHA121 in the U.S., (iii) provided additional information on the endpoints in the Company’s Phase 2 clinical study for the on-demand treatment of hereditary angioedema using the Company’s investigational drug PHVS416 soft gel capsule (RAPIDe-1), and (iv) provided an update with respect to the Company’s expectations for the announcement of topline data for the RAPIDe-1 clinical study (the Company now expects to announce RAPIDe-1 topline data in December 2022).</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 copy of the corporate presentation is attached hereto as Exhibit 99.1. This Report on Form 6-K (excluding Exhibit 99.1) shall be deemed to be incorporated by reference into the registration statements on Form F-3 (Registration Number 333-263198) and Form S-8 (Registration Number 333-252897).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wp:posOffset>
            </wp:positionV>
            <wp:extent cx="718947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61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2"/>
          </w:tcPr>
          <w:p>
            <w:pPr>
              <w:ind w:left="2040"/>
              <w:spacing w:after="0"/>
              <w:rPr>
                <w:sz w:val="20"/>
                <w:szCs w:val="20"/>
                <w:color w:val="auto"/>
              </w:rPr>
            </w:pPr>
            <w:r>
              <w:rPr>
                <w:rFonts w:ascii="Times New Roman" w:cs="Times New Roman" w:eastAsia="Times New Roman" w:hAnsi="Times New Roman"/>
                <w:sz w:val="16"/>
                <w:szCs w:val="16"/>
                <w:b w:val="1"/>
                <w:bCs w:val="1"/>
                <w:color w:val="auto"/>
              </w:rPr>
              <w:t>PHARVARIS N.V.</w:t>
            </w:r>
          </w:p>
        </w:tc>
      </w:tr>
      <w:tr>
        <w:trPr>
          <w:trHeight w:val="42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 2022</w:t>
            </w:r>
          </w:p>
        </w:tc>
        <w:tc>
          <w:tcPr>
            <w:tcW w:w="29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Berndt Modig</w:t>
            </w:r>
          </w:p>
        </w:tc>
      </w:tr>
      <w:tr>
        <w:trPr>
          <w:trHeight w:val="196"/>
        </w:trPr>
        <w:tc>
          <w:tcPr>
            <w:tcW w:w="3600" w:type="dxa"/>
            <w:vAlign w:val="bottom"/>
          </w:tcPr>
          <w:p>
            <w:pPr>
              <w:spacing w:after="0"/>
              <w:rPr>
                <w:sz w:val="17"/>
                <w:szCs w:val="17"/>
                <w:color w:val="auto"/>
              </w:rPr>
            </w:pPr>
          </w:p>
        </w:tc>
        <w:tc>
          <w:tcPr>
            <w:tcW w:w="29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Name:</w:t>
            </w: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Berndt Modig</w:t>
            </w:r>
          </w:p>
        </w:tc>
      </w:tr>
      <w:tr>
        <w:trPr>
          <w:trHeight w:val="206"/>
        </w:trPr>
        <w:tc>
          <w:tcPr>
            <w:tcW w:w="3600" w:type="dxa"/>
            <w:vAlign w:val="bottom"/>
          </w:tcPr>
          <w:p>
            <w:pPr>
              <w:spacing w:after="0"/>
              <w:rPr>
                <w:sz w:val="17"/>
                <w:szCs w:val="17"/>
                <w:color w:val="auto"/>
              </w:rPr>
            </w:pPr>
          </w:p>
        </w:tc>
        <w:tc>
          <w:tcPr>
            <w:tcW w:w="29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wp:posOffset>
            </wp:positionV>
            <wp:extent cx="718947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61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Press release, dated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618" w:right="319" w:bottom="1440"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80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2022-11-01T05:53:38Z</dcterms:created>
  <dcterms:modified xsi:type="dcterms:W3CDTF">2022-11-01T05:53:38Z</dcterms:modified>
</cp:coreProperties>
</file>