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07379df3asr.htm"/>
        <w:bookmarkStart w:id="1" w:name="ksd807379df3asr"/>
        <w:bookmarkEnd w:id="0"/>
        <w:bookmarkEnd w:id="1"/>
        <w:r>
          <w:rPr>
            <w:rStyle w:val="InternetLink"/>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April 12, 2024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19"/>
        </w:rPr>
      </w:pPr>
      <w:r>
        <w:rPr>
          <w:rFonts w:ascii="Times New Roman" w:hAnsi="Times New Roman"/>
          <w:b/>
          <w:sz w:val="19"/>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8"/>
        </w:rPr>
      </w:pPr>
      <w:r>
        <w:rPr>
          <w:rFonts w:ascii="Times New Roman" w:hAnsi="Times New Roman"/>
          <w:b/>
          <w:sz w:val="28"/>
        </w:rPr>
        <w:t xml:space="preserve">FORM F-3 </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19"/>
        </w:rPr>
      </w:pPr>
      <w:r>
        <w:rPr>
          <w:rFonts w:ascii="Times New Roman" w:hAnsi="Times New Roman"/>
          <w:b/>
          <w:i/>
          <w:sz w:val="19"/>
        </w:rPr>
        <w:t xml:space="preserve">UNDER </w:t>
      </w:r>
    </w:p>
    <w:p>
      <w:pPr>
        <w:pStyle w:val="TextBody"/>
        <w:bidi w:val="0"/>
        <w:spacing w:before="0" w:after="0"/>
        <w:jc w:val="center"/>
        <w:rPr>
          <w:rFonts w:ascii="Times New Roman" w:hAnsi="Times New Roman"/>
          <w:b/>
          <w:i/>
          <w:sz w:val="19"/>
        </w:rPr>
      </w:pPr>
      <w:r>
        <w:rPr>
          <w:rFonts w:ascii="Times New Roman" w:hAnsi="Times New Roman"/>
          <w:b/>
          <w:i/>
          <w:sz w:val="19"/>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40"/>
        </w:rPr>
      </w:pPr>
      <w:r>
        <w:rPr>
          <w:rFonts w:ascii="Times New Roman" w:hAnsi="Times New Roman"/>
          <w:b/>
          <w:sz w:val="40"/>
        </w:rPr>
        <w:t xml:space="preserve">Pharvaris N.V.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Netherlands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Not Applicable</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Emmy Noetherweg 2, </w:t>
      </w:r>
    </w:p>
    <w:p>
      <w:pPr>
        <w:pStyle w:val="TextBody"/>
        <w:bidi w:val="0"/>
        <w:spacing w:before="0" w:after="0"/>
        <w:jc w:val="center"/>
        <w:rPr>
          <w:rFonts w:ascii="Times New Roman" w:hAnsi="Times New Roman"/>
          <w:b/>
          <w:sz w:val="18"/>
        </w:rPr>
      </w:pPr>
      <w:r>
        <w:rPr>
          <w:rFonts w:ascii="Times New Roman" w:hAnsi="Times New Roman"/>
          <w:b/>
          <w:sz w:val="18"/>
        </w:rPr>
        <w:t xml:space="preserve">2333 BK Leiden, The Netherlands </w:t>
      </w:r>
    </w:p>
    <w:p>
      <w:pPr>
        <w:pStyle w:val="TextBody"/>
        <w:bidi w:val="0"/>
        <w:spacing w:before="0" w:after="0"/>
        <w:jc w:val="center"/>
        <w:rPr>
          <w:rFonts w:ascii="Times New Roman" w:hAnsi="Times New Roman"/>
          <w:b/>
          <w:sz w:val="18"/>
        </w:rPr>
      </w:pPr>
      <w:r>
        <w:rPr>
          <w:rFonts w:ascii="Times New Roman" w:hAnsi="Times New Roman"/>
          <w:b/>
          <w:sz w:val="18"/>
        </w:rPr>
        <w:t xml:space="preserve">+31 (0)71 203 6410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Berndt Modig </w:t>
      </w:r>
    </w:p>
    <w:p>
      <w:pPr>
        <w:pStyle w:val="TextBody"/>
        <w:bidi w:val="0"/>
        <w:spacing w:before="0" w:after="0"/>
        <w:jc w:val="center"/>
        <w:rPr>
          <w:rFonts w:ascii="Times New Roman" w:hAnsi="Times New Roman"/>
          <w:b/>
          <w:sz w:val="18"/>
        </w:rPr>
      </w:pPr>
      <w:r>
        <w:rPr>
          <w:rFonts w:ascii="Times New Roman" w:hAnsi="Times New Roman"/>
          <w:b/>
          <w:sz w:val="18"/>
        </w:rPr>
        <w:t xml:space="preserve">Pharvaris N.V. </w:t>
      </w:r>
    </w:p>
    <w:p>
      <w:pPr>
        <w:pStyle w:val="TextBody"/>
        <w:bidi w:val="0"/>
        <w:spacing w:before="0" w:after="0"/>
        <w:jc w:val="center"/>
        <w:rPr>
          <w:rFonts w:ascii="Times New Roman" w:hAnsi="Times New Roman"/>
          <w:b/>
          <w:sz w:val="18"/>
        </w:rPr>
      </w:pPr>
      <w:r>
        <w:rPr>
          <w:rFonts w:ascii="Times New Roman" w:hAnsi="Times New Roman"/>
          <w:b/>
          <w:sz w:val="18"/>
        </w:rPr>
        <w:t xml:space="preserve">Emmy Noetherweg 2, 2333 BK Leiden </w:t>
      </w:r>
    </w:p>
    <w:p>
      <w:pPr>
        <w:pStyle w:val="TextBody"/>
        <w:bidi w:val="0"/>
        <w:spacing w:before="0" w:after="0"/>
        <w:jc w:val="center"/>
        <w:rPr>
          <w:rFonts w:ascii="Times New Roman" w:hAnsi="Times New Roman"/>
          <w:b/>
          <w:sz w:val="18"/>
        </w:rPr>
      </w:pPr>
      <w:r>
        <w:rPr>
          <w:rFonts w:ascii="Times New Roman" w:hAnsi="Times New Roman"/>
          <w:b/>
          <w:sz w:val="18"/>
        </w:rPr>
        <w:t xml:space="preserve">The Netherlands </w:t>
      </w:r>
    </w:p>
    <w:p>
      <w:pPr>
        <w:pStyle w:val="TextBody"/>
        <w:bidi w:val="0"/>
        <w:spacing w:before="0" w:after="0"/>
        <w:jc w:val="center"/>
        <w:rPr>
          <w:rFonts w:ascii="Times New Roman" w:hAnsi="Times New Roman"/>
          <w:b/>
          <w:sz w:val="18"/>
        </w:rPr>
      </w:pPr>
      <w:r>
        <w:rPr>
          <w:rFonts w:ascii="Times New Roman" w:hAnsi="Times New Roman"/>
          <w:b/>
          <w:sz w:val="18"/>
        </w:rPr>
        <w:t xml:space="preserve">+31 (0)71 203 6410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12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120" w:after="0"/>
        <w:jc w:val="center"/>
        <w:rPr>
          <w:rFonts w:ascii="Times New Roman" w:hAnsi="Times New Roman"/>
          <w:b/>
          <w:sz w:val="18"/>
        </w:rPr>
      </w:pPr>
      <w:r>
        <w:rPr>
          <w:rFonts w:ascii="Times New Roman" w:hAnsi="Times New Roman"/>
          <w:b/>
          <w:sz w:val="18"/>
        </w:rPr>
        <w:t xml:space="preserve">Sophia Hudson, P.C. </w:t>
      </w:r>
    </w:p>
    <w:p>
      <w:pPr>
        <w:pStyle w:val="TextBody"/>
        <w:bidi w:val="0"/>
        <w:spacing w:before="0" w:after="0"/>
        <w:jc w:val="center"/>
        <w:rPr>
          <w:rFonts w:ascii="Times New Roman" w:hAnsi="Times New Roman"/>
          <w:b/>
          <w:sz w:val="18"/>
        </w:rPr>
      </w:pPr>
      <w:r>
        <w:rPr>
          <w:rFonts w:ascii="Times New Roman" w:hAnsi="Times New Roman"/>
          <w:b/>
          <w:sz w:val="18"/>
        </w:rPr>
        <w:t xml:space="preserve">Jennifer L. Lee, P.C. </w:t>
      </w:r>
    </w:p>
    <w:p>
      <w:pPr>
        <w:pStyle w:val="TextBody"/>
        <w:bidi w:val="0"/>
        <w:spacing w:before="0" w:after="0"/>
        <w:jc w:val="center"/>
        <w:rPr>
          <w:rFonts w:ascii="Times New Roman" w:hAnsi="Times New Roman"/>
          <w:b/>
          <w:sz w:val="18"/>
        </w:rPr>
      </w:pPr>
      <w:r>
        <w:rPr>
          <w:rFonts w:ascii="Times New Roman" w:hAnsi="Times New Roman"/>
          <w:b/>
          <w:sz w:val="18"/>
        </w:rPr>
        <w:t xml:space="preserve">Kirkland &amp; Ellis LLP </w:t>
      </w:r>
    </w:p>
    <w:p>
      <w:pPr>
        <w:pStyle w:val="TextBody"/>
        <w:bidi w:val="0"/>
        <w:spacing w:before="0" w:after="0"/>
        <w:jc w:val="center"/>
        <w:rPr>
          <w:rFonts w:ascii="Times New Roman" w:hAnsi="Times New Roman"/>
          <w:b/>
          <w:sz w:val="18"/>
        </w:rPr>
      </w:pPr>
      <w:r>
        <w:rPr>
          <w:rFonts w:ascii="Times New Roman" w:hAnsi="Times New Roman"/>
          <w:b/>
          <w:sz w:val="18"/>
        </w:rPr>
        <w:t xml:space="preserve">601 Lexington Avenue </w:t>
      </w:r>
    </w:p>
    <w:p>
      <w:pPr>
        <w:pStyle w:val="TextBody"/>
        <w:bidi w:val="0"/>
        <w:spacing w:before="0" w:after="0"/>
        <w:jc w:val="center"/>
        <w:rPr>
          <w:rFonts w:ascii="Times New Roman" w:hAnsi="Times New Roman"/>
          <w:b/>
          <w:sz w:val="18"/>
        </w:rPr>
      </w:pPr>
      <w:r>
        <w:rPr>
          <w:rFonts w:ascii="Times New Roman" w:hAnsi="Times New Roman"/>
          <w:b/>
          <w:sz w:val="18"/>
        </w:rPr>
        <w:t xml:space="preserve">New York, NY 10022 </w:t>
      </w:r>
    </w:p>
    <w:p>
      <w:pPr>
        <w:pStyle w:val="TextBody"/>
        <w:bidi w:val="0"/>
        <w:spacing w:before="0" w:after="0"/>
        <w:jc w:val="center"/>
        <w:rPr>
          <w:rFonts w:ascii="Times New Roman" w:hAnsi="Times New Roman"/>
          <w:b/>
          <w:sz w:val="18"/>
        </w:rPr>
      </w:pPr>
      <w:r>
        <w:rPr>
          <w:rFonts w:ascii="Times New Roman" w:hAnsi="Times New Roman"/>
          <w:b/>
          <w:sz w:val="18"/>
        </w:rPr>
        <w:t xml:space="preserve">(212) 446-4800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18"/>
        </w:rPr>
      </w:pPr>
      <w:r>
        <w:rPr>
          <w:rFonts w:ascii="Times New Roman" w:hAnsi="Times New Roman"/>
          <w:b/>
          <w:sz w:val="18"/>
        </w:rPr>
        <w:t xml:space="preserve">Approximate date of commencement of proposed sale to the public: </w:t>
      </w:r>
      <w:r>
        <w:rPr>
          <w:rFonts w:ascii="Times New Roman" w:hAnsi="Times New Roman"/>
          <w:sz w:val="18"/>
        </w:rPr>
        <w:t xml:space="preserve">From time to time after this Registration Statement becomes effective. </w:t>
      </w:r>
    </w:p>
    <w:p>
      <w:pPr>
        <w:pStyle w:val="TextBody"/>
        <w:bidi w:val="0"/>
        <w:spacing w:before="12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registration statement pursuant to General Instruction I.C.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an emerging growth company as defined in Rule 405 of the Securities Act of 1933. Emerging growth company ☒ </w:t>
      </w:r>
    </w:p>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sz w:val="18"/>
        </w:rPr>
      </w:pPr>
      <w:r>
        <w:rPr>
          <w:rFonts w:ascii="Times New Roman" w:hAnsi="Times New Roman"/>
          <w:sz w:val="18"/>
        </w:rPr>
        <w:t xml:space="preserve">The registrant is filing this registration statement to replace its existing registration statement (No. 333-263198) on Form F-3. In accordance with Rule 415(a)(6), effectiveness of this registration statement will be deemed to terminate such registration statement. The registrant has elected to carry forward an aggregate of $39,400,000 in unsold securities that were previously registered on the prior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term new or revised financial accounting standard refers to any update issued by the Financial Accounting Standards Board to its Accounting Standards Codification after April 5, 2012.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two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prospectus which covers the offering, issuance and sale of up an unspecified amount of the registrants ordinary shares, debt securities, warrants, purchase contracts and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sales agreement prospectus supplement covering the offering, issuance and sale of up to $175,000,000 of the registrants ordinary shares that may be issued and sold under the sales agreement between the registrant and Leerink Partners LLC.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Ordinary shares, Debt Securities, Warrants, Purchase Contracts and Units </w:t>
      </w:r>
    </w:p>
    <w:p>
      <w:pPr>
        <w:pStyle w:val="TextBody"/>
        <w:bidi w:val="0"/>
        <w:spacing w:before="0" w:after="0"/>
        <w:jc w:val="left"/>
        <w:rPr/>
      </w:pPr>
      <w:r>
        <w:rPr/>
        <w:t> </w:t>
      </w:r>
    </w:p>
    <w:p>
      <w:pPr>
        <w:pStyle w:val="TextBody"/>
        <w:bidi w:val="0"/>
        <w:spacing w:before="0" w:after="0"/>
        <w:jc w:val="center"/>
        <w:rPr/>
      </w:pPr>
      <w:r>
        <w:rPr/>
        <w:drawing>
          <wp:inline distT="0" distB="0" distL="0" distR="0">
            <wp:extent cx="242570" cy="400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570" cy="400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Pharvaris N.V. </w:t>
      </w:r>
    </w:p>
    <w:p>
      <w:pPr>
        <w:pStyle w:val="TextBody"/>
        <w:bidi w:val="0"/>
        <w:spacing w:before="240" w:after="0"/>
        <w:jc w:val="center"/>
        <w:rPr>
          <w:rFonts w:ascii="Times New Roman" w:hAnsi="Times New Roman"/>
          <w:b/>
          <w:sz w:val="28"/>
        </w:rPr>
      </w:pPr>
      <w:r>
        <w:rPr>
          <w:rFonts w:ascii="Times New Roman" w:hAnsi="Times New Roman"/>
          <w:b/>
          <w:sz w:val="28"/>
        </w:rPr>
        <w:t xml:space="preserve">(incorporated in the Netherlands)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in one or more offerings, ordinary shares, senior debt securities, subordinated debt securities, warrants, purchase contracts or units, which we collectively refer to as the securities.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as well as the documents incorporated by reference herein or therein, carefully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37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READ THIS PROSPECTUS AND ANY SUPPLEMENT TO THIS PROSPECTUS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Our ordinary shares are listed on The Nasdaq Global Select Market under the symbol PHVS. On April 11, 2024, the last sale price of our ordinary shares as reported by The Nasdaq Global Select Market was $22.31 per ordinary share.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and a foreign private issuer as defined under the U.S. Securities and Exchange Commission and, as such, we have elected to comply with certain reduced public company reporting requirements for this prospectus supplement and future filings. Please see Pharvaris N.V.Implications of Being an Emerging Growth Company and a Foreign Private Issuer.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0"/>
        </w:rPr>
        <w:t>Investing in our securities involves risks. See </w:t>
      </w:r>
      <w:hyperlink w:anchor="tx807379_5">
        <w:r>
          <w:rPr>
            <w:rStyle w:val="InternetLink"/>
            <w:rFonts w:ascii="Times New Roman" w:hAnsi="Times New Roman"/>
            <w:b/>
            <w:sz w:val="20"/>
          </w:rPr>
          <w:t>Risk Factors</w:t>
        </w:r>
      </w:hyperlink>
      <w:r>
        <w:rPr>
          <w:rFonts w:ascii="Times New Roman" w:hAnsi="Times New Roman"/>
          <w:b/>
          <w:sz w:val="20"/>
        </w:rPr>
        <w:t xml:space="preserve"> beginning on page 7 of this prospectus. In addition, please review any additional risk factors in the accompanying prospectus supplement, any free writing prospectus and any documents we incorporate by reference.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April 12,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We have not authorized anyone to provide any information other than that contained in or incorporated by reference in this prospectus and any related prospectus supplement we provide to you. We have not authorized anyone to provide you with different or additional information.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Pharvaris the Company, our company, we, us or our refer to Pharvaris N.V. and its subsidiaries. </w:t>
      </w:r>
    </w:p>
    <w:p>
      <w:pPr>
        <w:pStyle w:val="TextBody"/>
        <w:bidi w:val="0"/>
        <w:spacing w:before="48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80737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3">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4">
              <w:r>
                <w:rPr>
                  <w:rStyle w:val="InternetLink"/>
                  <w:rFonts w:ascii="Times New Roman" w:hAnsi="Times New Roman"/>
                  <w:sz w:val="20"/>
                </w:rPr>
                <w:t>PHARVARIS N.V.</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7">
              <w:r>
                <w:rPr>
                  <w:rStyle w:val="InternetLink"/>
                  <w:rFonts w:ascii="Times New Roman" w:hAnsi="Times New Roman"/>
                  <w:sz w:val="20"/>
                </w:rPr>
                <w:t>DESCRIPTION OF SHARE CAPITAL AND ARTICLES OF ASSOCIATION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8">
              <w:r>
                <w:rPr>
                  <w:rStyle w:val="InternetLink"/>
                  <w:rFonts w:ascii="Times New Roman" w:hAnsi="Times New Roman"/>
                  <w:sz w:val="20"/>
                </w:rPr>
                <w:t xml:space="preserve">COMPARISON OF DUTCH LAW AND OUR ARTICLES OF ASSOCIATION AND U.S. CORPORATE LAW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9">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10">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11">
              <w:r>
                <w:rPr>
                  <w:rStyle w:val="InternetLink"/>
                  <w:rFonts w:ascii="Times New Roman" w:hAnsi="Times New Roman"/>
                  <w:sz w:val="20"/>
                </w:rPr>
                <w:t>DESCRIPTION OF PURCHASE CONTRACTS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12">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13">
              <w:r>
                <w:rPr>
                  <w:rStyle w:val="InternetLink"/>
                  <w:rFonts w:ascii="Times New Roman" w:hAnsi="Times New Roman"/>
                  <w:sz w:val="20"/>
                </w:rPr>
                <w:t>FORMS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14">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15">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16">
              <w:r>
                <w:rPr>
                  <w:rStyle w:val="InternetLink"/>
                  <w:rFonts w:ascii="Times New Roman" w:hAnsi="Times New Roman"/>
                  <w:sz w:val="20"/>
                </w:rPr>
                <w:t>ENFORCEMENT OF JUDGMENTS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17">
              <w:r>
                <w:rPr>
                  <w:rStyle w:val="InternetLink"/>
                  <w:rFonts w:ascii="Times New Roman" w:hAnsi="Times New Roman"/>
                  <w:sz w:val="20"/>
                </w:rPr>
                <w:t>EXPENSES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18">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07379_19">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x807379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with the Securities and Exchange Commission, or the SEC, as a well-known seasoned issuer as defined in Rule 405 under the Securities Act of 1933, as amended, or the Securities Act. Under the automatic shelf process, we may offer and sell, from time to time,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pursuant to this prospectus, we will provide a prospectus supplement and/or free writing prospectus that will contain specific information about the terms of that offering, including amounts, prices and terms of the securities being offered. The prospectus supplement and/or free writing prospectus may also add, update or change information contained in this prospectus. Any statement made in this prospectus will be modified or superseded by any inconsistent statement made in a prospectus supplement and/or free writing prospectus. If there is any inconsistency between the information in this prospectus and the information in the prospectus supplement or free writing prospectus, you should rely on the information in the prospectus supplement or free writing prospectus, as the case may be. This prospectus may not be used to sell any securities unless accompanied by a prospectus supplement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or incorporated by reference exhibits to the registration statement of which this prospectus forms a part. You should read the exhibits carefully for provisions that may be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any prospectus supplement and free writing prospectus together with the additional information described herein under the heading Where You Can Find More Information and Incorporation of Certain Information by Reference. We have not authorized any person to provide you with different information and we take no responsibility for, and can provide no assurance as to the reliability of, any other information that others may give you. We are not making an offer to sell these securities in any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in this prospectus, any accompanying prospectus supplement or free writing prospectus or any documents we incorporate by reference in this prospectus, any prospectus supplement and free writing prospectus is accurate as of any date other than the date on the front of those documents.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is accurate as of any other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x807379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reports on Form 20-F, reports on Form 6-K, and other information with the SEC under the Securities Exchange Act of 1934, as amended, or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SEC also maintains an Internet site that contains reports and other information about issuers like us who file electronically with the SEC. The address of the site is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are exempt under the Exchange Act from, among other things, the rules prescribing the furnishing and content of proxy statements, and our managing directors and supervisory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x807379_3"/>
      <w:bookmarkEnd w:id="5"/>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financial statements and other documents incorporated by reference in this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and Section 21E of the Exchange Act. Many of the forward-looking statements contained in this prospectus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represent some, but not necessarily all, of the factors that could cause actual results to differ from historical results or those anticipated or predicted by our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timing, progress, or success of our clinical development programs, especially for PHVS416 (immediate-release deucrictibant capsules) and PHVS719 (extended-release deucrictibant tablets), which are in late-stage global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replicate the efficacy and safety demonstrated in the RAPIDe-1 and CHAPTER-1 Phase 2 study in ongoing and future nonclinical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arising from epidemic diseases, such as the COVID-19 pandemic, which may adversely impact our business, nonclinical studies and clinical trials, the outcome and timing of regulatory approvals and the value of our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costs and other limitations involved in obtaining regulatory approval for our product candidates PHVS416 and PHVS719 or any other product candidate that we may develop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market, commercialize and achieve market acceptance for our product candidates PHVS416 and PHVS719 or any of our other product candidates that we may develop in the future,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commercial capabilities or enter into agreements with third parties to market, sell and distribute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third parties to perform critical activities related to the research, nonclinical safety and toxicology studies, development and manufacturing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FDA and other government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expense, time and uncertainty involved in the development and consistent manufacturing and supply of our product candidates, some or all of which may never reach the regulatory approval stage;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capital when needed and on acceptable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any new licensing agreements or to maintain any licensing agreements with respect to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collaboration partners and licensees, whose actions we cannot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private insurers and other payors to provide reimbursement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the European Union and other jurisdictions;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and timing of price negotiations with governmental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in the pharmaceutical industry, including with respect to existing therapies, emerging potentially competitive therapies and with competitive generic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and know-how and operate our business without infringing the intellectual property rights or regulatory exclusivity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side effects or adverse events associated with the use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defend against costly and damaging liability claims resulting from the testing of our product candidates in the clinic or, if, approved, any commercial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any of our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market sizes and anticipated uses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future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anticipated operating losses, future revenues, expenses,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existing or future laws and regulations in a cost-efficient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negative consequences from changes in applicable laws and regulations, including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remediate the material weaknesses in our internal control over financial reporting and to maintain an effective system of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time during which we will be an emerging growth company under the Jumpstart Our Business Startups Act, or the JOBS Act, or a foreign private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and uncertainty in general market, political and economic conditions, including as a result of inflation and the current conflict between Russia and Ukraine and the Hamas attack against Israel and the ensuing war;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 factors discussed herein under Risk Factors or incorporated herein by reference.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x807379_4"/>
      <w:bookmarkEnd w:id="6"/>
      <w:r>
        <w:rPr>
          <w:rFonts w:ascii="Times New Roman" w:hAnsi="Times New Roman"/>
          <w:b/>
          <w:sz w:val="20"/>
        </w:rPr>
        <w:t xml:space="preserve">PHARVARIS N.V. </w:t>
      </w:r>
    </w:p>
    <w:p>
      <w:pPr>
        <w:pStyle w:val="TextBody"/>
        <w:bidi w:val="0"/>
        <w:spacing w:before="240" w:after="0"/>
        <w:jc w:val="left"/>
        <w:rPr>
          <w:rFonts w:ascii="Times New Roman" w:hAnsi="Times New Roman"/>
          <w:b/>
          <w:sz w:val="20"/>
        </w:rPr>
      </w:pPr>
      <w:r>
        <w:rPr>
          <w:rFonts w:ascii="Times New Roman" w:hAnsi="Times New Roman"/>
          <w:b/>
          <w:sz w:val="20"/>
        </w:rPr>
        <w:t xml:space="preserve">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bradykinin-B2-receptor antagonist for the treatment of hereditary angioedema, or HAE. Bradykinin-B2-receptor inhibition is a clinically validated mechanism for the treatment of HAE, as demonstrated by icatibant, which is a bradykinin-B2-receptor antagonist approved in Europe in 2008 and in the United States in 2011 (as FIRAZYR). We designed deucrictibant to improve upon the therapeutic profile of existing therapies and, through oral delivery, to provide patients with quality of life and ease-of-administration that is superior to current standard-of-care HAE treatments, which are injectables. We believe deucrictibant has the potential to provide a safe, effective and easy-to-administer option for both acute and prophylactic treatments of HAE, in the form of our PHVS416 (deucrictibant immediate-release (IR)) on-demand rapid exposure product candidate, and for prophylaxis of HAE, in the form of our PHVS719 (deucrictibant extended-release (ER))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bradykinin-B2-receptor), rather than an upstream signal. By blocking the action of bradykinin, we can prevent its aberrant signaling regardless of the pathway that generates it. </w:t>
      </w:r>
    </w:p>
    <w:p>
      <w:pPr>
        <w:pStyle w:val="TextBody"/>
        <w:bidi w:val="0"/>
        <w:spacing w:before="240" w:after="0"/>
        <w:jc w:val="left"/>
        <w:rPr>
          <w:rFonts w:ascii="Times New Roman" w:hAnsi="Times New Roman"/>
          <w:sz w:val="20"/>
        </w:rPr>
      </w:pPr>
      <w:r>
        <w:rPr>
          <w:rFonts w:ascii="Times New Roman" w:hAnsi="Times New Roman"/>
          <w:sz w:val="20"/>
        </w:rPr>
        <w:t xml:space="preserve">In our completed Phase 1 trials to date, we have observed that deucrictibant was orally bioavailable and well tolerated at all doses studied, with approximately dose-proportional exposure. We also have successfully demonstrated proof-of-concept through a clinical pharmacodynamics, or PD assessment with the bradykinin challenge, which had been utilized as a validated surrogate assessment for dose selection in the icatibant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have also demonstrated clinical efficacy and tolerability in a Phase 2 study (CHAPTER-1) for prophylaxis of HAE attacks. We commenced the CHAPTER-1 Phase 2 clinical trial for prophylaxis in 2021 using twice-daily dosing of the PHVS416 soft capsules and announced positive topline data in December 2023. Our primary objective with this trial was to assess the efficacy and safety profile of PHVS416 dose regimens for prophylactic treatments in HAE patients.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offices of Pharvaris N.V. are located at Emmy Noetherweg 2, 2333 BK Leiden, The Netherlands. Our telephone number is +31 (0)71 203 6410. Investors should contact us for any inquiries at the address and telephone number of our principal executive office. Our principal website is </w:t>
      </w:r>
      <w:r>
        <w:rPr>
          <w:rFonts w:ascii="Times New Roman" w:hAnsi="Times New Roman"/>
          <w:i/>
          <w:sz w:val="20"/>
        </w:rPr>
        <w:t>www.pharvaris.com</w:t>
      </w:r>
      <w:r>
        <w:rPr>
          <w:rFonts w:ascii="Times New Roman" w:hAnsi="Times New Roman"/>
          <w:sz w:val="20"/>
        </w:rPr>
        <w:t xml:space="preserve">. The information contained on our website is not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Implications of Being an Emerging Growth Company and a Foreign Private Issuer </w:t>
      </w:r>
    </w:p>
    <w:p>
      <w:pPr>
        <w:pStyle w:val="TextBody"/>
        <w:bidi w:val="0"/>
        <w:spacing w:before="120" w:after="0"/>
        <w:jc w:val="left"/>
        <w:rPr>
          <w:rFonts w:ascii="Times New Roman" w:hAnsi="Times New Roman"/>
          <w:sz w:val="20"/>
        </w:rPr>
      </w:pPr>
      <w:r>
        <w:rPr>
          <w:rFonts w:ascii="Times New Roman" w:hAnsi="Times New Roman"/>
          <w:sz w:val="20"/>
        </w:rPr>
        <w:t xml:space="preserve">We qualify as an emerging growth company as defined in the JOBS Act. An emerging growth company may take advantage of relief from certain reporting requirements and other burdens that are otherwise applicable generally to public companies. These provisions include an exception from compliance with the auditor attestation requirements of Section 404 of the Sarbanes Oxley Act of 2002, as amended, or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provisions until such time that we cease to qualify as an emerging growth company. We would cease to qualify as an emerging growth company upon the earliest of: (i) the last day of the fiscal year (A) in which we had more than $1.235 billion in annual revenue, (B) we are deemed to be a large accelerated filer under the rules of the SEC, or (C) following the fifth anniversary of the date of the completion of our initial public offering (ii) the date on which we issue more than $1.0 billion of non-convertible debt over a three-year period. We may choose to take advantage of some but not all of these reduced reporting requirements. To the extent that we take advantage of these reduced reporting requirements, the information that we provide shareholders may be different than the information you might obtain from other public companies in which you hold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We also report under the Exchange Act, as a non-U.S. company with foreign private issuer status. Even after we no longer qualify as an emerging growth company, as long as we qualify as a foreign private issuer under the Exchange Act we will continue to be exempt from certain provisions of the Exchange Act that are applicable to U.S. domestic public companies,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rules under the Exchange Act requiring domestic filers to issue financial statements prepared under U.S.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sections of the Exchange Act regulating the solicitation of proxies, consents or authorizations in respect of a security registered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sections of the Exchange Act requiring insiders to file public reports of their stock ownership and trading activities and liability for insiders who profit from trades made in a short period of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rules under the Exchange Act requiring the filing with the SEC of quarterly reports on Form 10-Q containing unaudited financial and other specific information, or current reports on Form 8-K, upon the occurrence of specified significant events.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exemptions until such time as we are no longer a foreign private issuer. We would cease to be a foreign private issuer at such time as (i) more than 50% of our outstanding voting securities are held by U.S. residents and (ii) any of the following three circumstances applies: (A) the majority of our executive officers or directors are U.S. citizens or residents, (B) more than 50% of our assets are located in the United States or (C) our business is administered principally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x807379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making a decision to invest in our securities, you should carefully consider the risks described under Risk Factors in the applicable prospectus supplement, as well as those risks and uncertainties identified in the documents incorporated by reference herein, including our most recent Annual Report on Form 20-F, and in any updates to those risk factors in our reports on Form 6-K incorporated herein, together with all of the other information appearing or incorporated by reference in this prospectus and any applicable prospectus supplement, before making an investment in our securities in light of your particular investment objectives and financial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x807379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use of proceeds will be specified in the applicable prospectus supplement or free writing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x807379_7"/>
      <w:bookmarkEnd w:id="9"/>
      <w:r>
        <w:rPr>
          <w:rFonts w:ascii="Times New Roman" w:hAnsi="Times New Roman"/>
          <w:b/>
          <w:sz w:val="20"/>
        </w:rPr>
        <w:t xml:space="preserve">DESCRIPTION OF SHARE CAPITAL AND ARTICLES OF ASSOCIATION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of the registration statement includes a description of the material terms of Pharvaris articles of association and of applicable Dutch law. The following description is intended as a summary only and does not constitute legal advice regarding those matters and should not be regarded as such. The description is qualified in its entirety by reference to the complete text of Pharvaris articles of association, of which an English translation is included as an exhibit to this registration statement. We urge you to read the full text of Pharvaris articles of association.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Ordinary Shares of the Registrant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have only one class of securities registered under Section 12 of the Securities Exchange Act of 1934, as amended; our registered ordinary shares. </w:t>
      </w:r>
    </w:p>
    <w:p>
      <w:pPr>
        <w:pStyle w:val="TextBody"/>
        <w:bidi w:val="0"/>
        <w:spacing w:before="240" w:after="0"/>
        <w:jc w:val="left"/>
        <w:rPr>
          <w:rFonts w:ascii="Times New Roman" w:hAnsi="Times New Roman"/>
          <w:sz w:val="20"/>
        </w:rPr>
      </w:pPr>
      <w:r>
        <w:rPr>
          <w:rFonts w:ascii="Times New Roman" w:hAnsi="Times New Roman"/>
          <w:sz w:val="20"/>
        </w:rPr>
        <w:t>We are registered with the Trade Register of the Chamber of Commerce (</w:t>
      </w:r>
      <w:r>
        <w:rPr>
          <w:rFonts w:ascii="Times New Roman" w:hAnsi="Times New Roman"/>
          <w:i/>
          <w:sz w:val="20"/>
        </w:rPr>
        <w:t>Kamer van Koophandel</w:t>
      </w:r>
      <w:r>
        <w:rPr>
          <w:rFonts w:ascii="Times New Roman" w:hAnsi="Times New Roman"/>
          <w:sz w:val="20"/>
        </w:rPr>
        <w:t xml:space="preserve">) under number 64239411. Our corporate seat is in Leiden, the Netherlands, and our registered office is also in Leiden, the Netherlands.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ordinary shares is a summary and does not purport to be complete. It is subject to and qualified in its entirety by reference to our Articles of Association, which are incorporated herein by reference to Exhibit 3.1 to the Companys Registration Statement on Form 6-K filed with the SEC March 6,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Ordinary Shares </w:t>
            </w:r>
          </w:p>
        </w:tc>
      </w:tr>
    </w:tbl>
    <w:p>
      <w:pPr>
        <w:pStyle w:val="TextBody"/>
        <w:bidi w:val="0"/>
        <w:spacing w:before="120" w:after="0"/>
        <w:jc w:val="left"/>
        <w:rPr>
          <w:rFonts w:ascii="Times New Roman" w:hAnsi="Times New Roman"/>
          <w:sz w:val="20"/>
        </w:rPr>
      </w:pPr>
      <w:r>
        <w:rPr>
          <w:rFonts w:ascii="Times New Roman" w:hAnsi="Times New Roman"/>
          <w:sz w:val="20"/>
        </w:rPr>
        <w:t>Our ordinary shares shall be in registered form (</w:t>
      </w:r>
      <w:r>
        <w:rPr>
          <w:rFonts w:ascii="Times New Roman" w:hAnsi="Times New Roman"/>
          <w:i/>
          <w:sz w:val="20"/>
        </w:rPr>
        <w:t>op naam</w:t>
      </w:r>
      <w:r>
        <w:rPr>
          <w:rFonts w:ascii="Times New Roman" w:hAnsi="Times New Roman"/>
          <w:sz w:val="20"/>
        </w:rPr>
        <w:t>). We may issue share certificates (</w:t>
      </w:r>
      <w:r>
        <w:rPr>
          <w:rFonts w:ascii="Times New Roman" w:hAnsi="Times New Roman"/>
          <w:i/>
          <w:sz w:val="20"/>
        </w:rPr>
        <w:t>aandeelbewijzen</w:t>
      </w:r>
      <w:r>
        <w:rPr>
          <w:rFonts w:ascii="Times New Roman" w:hAnsi="Times New Roman"/>
          <w:sz w:val="20"/>
        </w:rPr>
        <w:t xml:space="preserve">) for registered shares in such form as may be approved by our board of directors, or the Board. Our authorized share capital amounts to 14,100,000, divided into 117,500,000 ordinary shares, each with a nominal value of 0.12. </w:t>
      </w:r>
    </w:p>
    <w:p>
      <w:pPr>
        <w:pStyle w:val="TextBody"/>
        <w:bidi w:val="0"/>
        <w:spacing w:before="240" w:after="0"/>
        <w:jc w:val="left"/>
        <w:rPr>
          <w:rFonts w:ascii="Times New Roman" w:hAnsi="Times New Roman"/>
          <w:sz w:val="20"/>
        </w:rPr>
      </w:pPr>
      <w:r>
        <w:rPr>
          <w:rFonts w:ascii="Times New Roman" w:hAnsi="Times New Roman"/>
          <w:sz w:val="20"/>
        </w:rPr>
        <w:t xml:space="preserve">Under Dutch law, our authorized share capital is the maximum capital that we may issue without amending our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Our articles of association provide that, for as long as any of our ordinary shares are admitted to trading on Nasdaq, the New York Stock Exchange or on any other regulated stock exchange located in the United States, the laws of the State of New York shall apply to the property law aspects of our ordinary shares reflected in the register administered by our transfer agent, subject to certain overriding exceptions under Dutch law.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the main rights of holders of our ordinary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holder of ordinary shares is entitled to one vote per share on all matters to be voted on by shareholders generally, including the appointment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cumulative 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our ordinary shares are entitled to dividends and other distributions as may be declared from time to time by us out of funds legally available for that purpose,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our liquidation or dissolution, the holders of ordinary shares will be entitled to share ratably in the distribution of all of our assets remaining available for distribution after satisfaction of all our liabilities;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our ordinary shares have preemptive rights in case of share issuances or the grant of rights to subscribe for shares, except if such rights are limited or excluded by the corporate body authorized to do so and except in such cases as provided by Dutch law and our Articles of Association.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Shareholders Register </w:t>
      </w:r>
    </w:p>
    <w:p>
      <w:pPr>
        <w:pStyle w:val="TextBody"/>
        <w:bidi w:val="0"/>
        <w:spacing w:before="120" w:after="0"/>
        <w:jc w:val="left"/>
        <w:rPr>
          <w:rFonts w:ascii="Times New Roman" w:hAnsi="Times New Roman"/>
          <w:sz w:val="20"/>
        </w:rPr>
      </w:pPr>
      <w:r>
        <w:rPr>
          <w:rFonts w:ascii="Times New Roman" w:hAnsi="Times New Roman"/>
          <w:sz w:val="20"/>
        </w:rPr>
        <w:t>Pursuant to Dutch law and our Articles of Association, we must keep our shareholders register accurate and current. The Board keeps our shareholders register and records names and addresses of all holders of registered shares, showing the date on which the shares were acquired, the date of the acknowledgement by or notification of us as well as the amount paid on each share. The register also includes the names and addresses of those with a right of usufruct (</w:t>
      </w:r>
      <w:r>
        <w:rPr>
          <w:rFonts w:ascii="Times New Roman" w:hAnsi="Times New Roman"/>
          <w:i/>
          <w:sz w:val="20"/>
        </w:rPr>
        <w:t>vruchtgebruik</w:t>
      </w:r>
      <w:r>
        <w:rPr>
          <w:rFonts w:ascii="Times New Roman" w:hAnsi="Times New Roman"/>
          <w:sz w:val="20"/>
        </w:rPr>
        <w:t>) on registered shares belonging to another or a pledge (</w:t>
      </w:r>
      <w:r>
        <w:rPr>
          <w:rFonts w:ascii="Times New Roman" w:hAnsi="Times New Roman"/>
          <w:i/>
          <w:sz w:val="20"/>
        </w:rPr>
        <w:t>pandrecht</w:t>
      </w:r>
      <w:r>
        <w:rPr>
          <w:rFonts w:ascii="Times New Roman" w:hAnsi="Times New Roman"/>
          <w:sz w:val="20"/>
        </w:rPr>
        <w:t xml:space="preserve">) in respect of such shares.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Objectives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Articles of Association, our corporate objectives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discover, develop and commercialize treatments, including for hereditary angioedema;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incorporate, participate in, finance or hold any other interest in and to conduct the management or supervision of other entities, companies, partnerships and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acquire, to manage, to invest, to exploit, to encumber and to dispose of assets and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furnish guarantees, to provide security, to warrant performance in any other way and to assume liability, whether jointly and severally or otherwise, in respect of obligations of group companies or other parties;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do anything which, in the widest sense, is connected with or may be conducive to the objects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B.</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to our Articles of Association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amendment to our Articles of Association would require a resolution of the general meeting upon proposal by the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C.</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Limitations on the Rights to Own Ordinary Shares </w:t>
            </w:r>
          </w:p>
        </w:tc>
      </w:tr>
    </w:tbl>
    <w:p>
      <w:pPr>
        <w:pStyle w:val="TextBody"/>
        <w:bidi w:val="0"/>
        <w:spacing w:before="120" w:after="0"/>
        <w:jc w:val="left"/>
        <w:rPr>
          <w:rFonts w:ascii="Times New Roman" w:hAnsi="Times New Roman"/>
          <w:sz w:val="20"/>
        </w:rPr>
      </w:pPr>
      <w:r>
        <w:rPr>
          <w:rFonts w:ascii="Times New Roman" w:hAnsi="Times New Roman"/>
          <w:sz w:val="20"/>
        </w:rPr>
        <w:t>Our ordinary shares may be issued to individuals, corporations, trusts, estates of deceased individuals, partnerships and unincorporated associations of persons. Our Articles of Association contain no limitation on the rights to own our ordinary shares and no limitation on the rights of nonresidents of the Netherlands or foreign shareholders to hold or exercise voting rights.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D.</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Limitation on Liability and Indemnification Matters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Dutch law, our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 Subject to certain exceptions, our Articles of Association provide for indemnification of our current and former directors (and other current and former officers and employees as designated by our Board). No indemnification under our Articles of Association shall be given to an indemnified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competent court or arbitral tribunal has established, without having (or no longer having) the possibility for appeal, that the acts or omissions of such indemnified person that led to the financial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his or her financial losses, damages and expenses are covered under insurance and the relevant insurer has settled, or has provided reimbursement for, these financial losses, damages and expenses (or has irrevocably undertaken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proceedings brought by such indemnified person against the Company, except for proceedings brought to enforce indemnification to which he or she is entitled pursuant to our Articles of Association, pursuant to an agreement between such indemnified person and the Company which has been approved by the Board or pursuant to insurance taken out by the Company for the benefit of such indemnified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financial losses, damages or expenses incurred in connection with a settlement of any proceedings effected without the Companys prior consent.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our Articles of Association, our Board may stipulate additional terms, conditions and restrictions in relation to the indemnification described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Shareholders Meetings and Consents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General Meeting </w:t>
      </w:r>
    </w:p>
    <w:p>
      <w:pPr>
        <w:pStyle w:val="TextBody"/>
        <w:bidi w:val="0"/>
        <w:spacing w:before="120" w:after="0"/>
        <w:jc w:val="left"/>
        <w:rPr>
          <w:rFonts w:ascii="Times New Roman" w:hAnsi="Times New Roman"/>
          <w:sz w:val="20"/>
        </w:rPr>
      </w:pPr>
      <w:r>
        <w:rPr>
          <w:rFonts w:ascii="Times New Roman" w:hAnsi="Times New Roman"/>
          <w:sz w:val="20"/>
        </w:rPr>
        <w:t>General meetings may be held in the Netherlands, in any of the locations specified in our Articles of Association. If and when allowed pursuant to applicable law, those who convene the general meeting may also decide whether (and if so, under what conditions) the general meeting shall also or exclusively be accessible through the use of electronic means.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shareholders equity (</w:t>
      </w:r>
      <w:r>
        <w:rPr>
          <w:rFonts w:ascii="Times New Roman" w:hAnsi="Times New Roman"/>
          <w:i/>
          <w:sz w:val="20"/>
        </w:rPr>
        <w:t>eigen vermogen</w:t>
      </w:r>
      <w:r>
        <w:rPr>
          <w:rFonts w:ascii="Times New Roman" w:hAnsi="Times New Roman"/>
          <w:sz w:val="20"/>
        </w:rPr>
        <w:t xml:space="preserve">) has decreased to an amount equal to or lower than half of our paid-in and called-up share capital, in order to discuss the measures to be taken if so required. </w:t>
      </w:r>
    </w:p>
    <w:p>
      <w:pPr>
        <w:pStyle w:val="TextBody"/>
        <w:bidi w:val="0"/>
        <w:spacing w:before="240" w:after="0"/>
        <w:jc w:val="left"/>
        <w:rPr>
          <w:rFonts w:ascii="Times New Roman" w:hAnsi="Times New Roman"/>
          <w:sz w:val="20"/>
        </w:rPr>
      </w:pPr>
      <w:r>
        <w:rPr>
          <w:rFonts w:ascii="Times New Roman" w:hAnsi="Times New Roman"/>
          <w:sz w:val="20"/>
        </w:rPr>
        <w:t xml:space="preserve">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the statutory annual accounts, appropriation of our profits and proposals relating to the composition of the Board, including the filling of any vacancies in the Board. In addition, the agenda shall include such items as have been included therein by the Board. </w:t>
      </w:r>
    </w:p>
    <w:p>
      <w:pPr>
        <w:pStyle w:val="TextBody"/>
        <w:bidi w:val="0"/>
        <w:spacing w:before="240" w:after="0"/>
        <w:jc w:val="left"/>
        <w:rPr>
          <w:rFonts w:ascii="Times New Roman" w:hAnsi="Times New Roman"/>
          <w:sz w:val="20"/>
        </w:rPr>
      </w:pPr>
      <w:r>
        <w:rPr>
          <w:rFonts w:ascii="Times New Roman" w:hAnsi="Times New Roman"/>
          <w:sz w:val="20"/>
        </w:rPr>
        <w:t xml:space="preserve">The agenda shall also include such items requested by one or more shareholders, or others with meeting rights under Dutch law, representing at least 3% of our issued share capital. These requests must be made in writing or by electronic means and received by the Board at least 60 days before the day of the meeting. No resolutions shall be adopted on items other than those that have been included in the agenda.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 </w:t>
      </w:r>
    </w:p>
    <w:p>
      <w:pPr>
        <w:pStyle w:val="TextBody"/>
        <w:bidi w:val="0"/>
        <w:spacing w:before="240" w:after="0"/>
        <w:jc w:val="left"/>
        <w:rPr>
          <w:rFonts w:ascii="Times New Roman" w:hAnsi="Times New Roman"/>
          <w:sz w:val="20"/>
        </w:rPr>
      </w:pPr>
      <w:r>
        <w:rPr>
          <w:rFonts w:ascii="Times New Roman" w:hAnsi="Times New Roman"/>
          <w:sz w:val="20"/>
        </w:rPr>
        <w:t xml:space="preserve">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 </w:t>
      </w:r>
    </w:p>
    <w:p>
      <w:pPr>
        <w:pStyle w:val="TextBody"/>
        <w:bidi w:val="0"/>
        <w:spacing w:before="240" w:after="0"/>
        <w:jc w:val="left"/>
        <w:rPr>
          <w:rFonts w:ascii="Times New Roman" w:hAnsi="Times New Roman"/>
          <w:sz w:val="20"/>
        </w:rPr>
      </w:pPr>
      <w:r>
        <w:rPr>
          <w:rFonts w:ascii="Times New Roman" w:hAnsi="Times New Roman"/>
          <w:sz w:val="20"/>
        </w:rPr>
        <w:t xml:space="preserve">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in light of the circumstances at hand when the cooling-off period was invoked, could not reasonably have concluded that the relevant proposal or hostile offer constituted a material conflict with the interests of our company and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cannot reasonably believe that a continuation of the cooling-off period would contribute to careful policy-making;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general meeting is presided over by the chairperson of the Board. If no chairperson has been elected or if he or she is not present at the meeting, the general meeting shall be presided over by the vice-chairperson. If no vice-chairperson has been elected or if he or she is not present at the meeting, the general meeting shall be presided over by the chief executive officer. If no vice-chairperson has been elected or if he or she is not present at the meeting, the general meeting shall be presided over by another person designated in accordance with our Articles of Association. Our directors may always attend a general meeting. In these meetings, they have an advisory vote. The chairperson of the meeting may decide at his or her discretion to admit other persons to the meeting. </w:t>
      </w:r>
    </w:p>
    <w:p>
      <w:pPr>
        <w:pStyle w:val="TextBody"/>
        <w:bidi w:val="0"/>
        <w:spacing w:before="240" w:after="0"/>
        <w:jc w:val="left"/>
        <w:rPr>
          <w:rFonts w:ascii="Times New Roman" w:hAnsi="Times New Roman"/>
          <w:sz w:val="20"/>
        </w:rPr>
      </w:pPr>
      <w:r>
        <w:rPr>
          <w:rFonts w:ascii="Times New Roman" w:hAnsi="Times New Roman"/>
          <w:sz w:val="20"/>
        </w:rPr>
        <w:t xml:space="preserve">All shareholders and others with meeting rights under Dutch law are authorized to attend the general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 </w:t>
      </w:r>
    </w:p>
    <w:p>
      <w:pPr>
        <w:pStyle w:val="TextBody"/>
        <w:bidi w:val="0"/>
        <w:spacing w:before="360" w:after="0"/>
        <w:jc w:val="left"/>
        <w:rPr>
          <w:rFonts w:ascii="Times New Roman" w:hAnsi="Times New Roman"/>
          <w:i/>
          <w:sz w:val="20"/>
        </w:rPr>
      </w:pPr>
      <w:r>
        <w:rPr>
          <w:rFonts w:ascii="Times New Roman" w:hAnsi="Times New Roman"/>
          <w:i/>
          <w:sz w:val="20"/>
        </w:rPr>
        <w:t xml:space="preserve">Quorum and voting requirements </w:t>
      </w:r>
    </w:p>
    <w:p>
      <w:pPr>
        <w:pStyle w:val="TextBody"/>
        <w:bidi w:val="0"/>
        <w:spacing w:before="120" w:after="0"/>
        <w:jc w:val="left"/>
        <w:rPr>
          <w:rFonts w:ascii="Times New Roman" w:hAnsi="Times New Roman"/>
          <w:sz w:val="20"/>
        </w:rPr>
      </w:pPr>
      <w:r>
        <w:rPr>
          <w:rFonts w:ascii="Times New Roman" w:hAnsi="Times New Roman"/>
          <w:sz w:val="20"/>
        </w:rPr>
        <w:t>Each ordinary share, confers the right on the holder to cast one vote at the general meeting. Shareholders may vote by proxy. No votes may be cast at a general meeting on shares held by us or our subsidiaries or on shares for which we or our subsidiaries hold depository receipts. Nonetheless, the holders of a right of usufruct (</w:t>
      </w:r>
      <w:r>
        <w:rPr>
          <w:rFonts w:ascii="Times New Roman" w:hAnsi="Times New Roman"/>
          <w:i/>
          <w:sz w:val="20"/>
        </w:rPr>
        <w:t>vruchtgebruik</w:t>
      </w:r>
      <w:r>
        <w:rPr>
          <w:rFonts w:ascii="Times New Roman" w:hAnsi="Times New Roman"/>
          <w:sz w:val="20"/>
        </w:rPr>
        <w:t>) and the holders of a right of pledge (</w:t>
      </w:r>
      <w:r>
        <w:rPr>
          <w:rFonts w:ascii="Times New Roman" w:hAnsi="Times New Roman"/>
          <w:i/>
          <w:sz w:val="20"/>
        </w:rPr>
        <w:t>pandrecht</w:t>
      </w:r>
      <w:r>
        <w:rPr>
          <w:rFonts w:ascii="Times New Roman" w:hAnsi="Times New Roman"/>
          <w:sz w:val="20"/>
        </w:rPr>
        <w:t>) in respect of shares held by us or our subsidiaries in our share capital are not excluded from the right to vote on such shares, if the right of usufruct (</w:t>
      </w:r>
      <w:r>
        <w:rPr>
          <w:rFonts w:ascii="Times New Roman" w:hAnsi="Times New Roman"/>
          <w:i/>
          <w:sz w:val="20"/>
        </w:rPr>
        <w:t>vruchtgebruik</w:t>
      </w:r>
      <w:r>
        <w:rPr>
          <w:rFonts w:ascii="Times New Roman" w:hAnsi="Times New Roman"/>
          <w:sz w:val="20"/>
        </w:rPr>
        <w:t>) or the right of pledge (</w:t>
      </w:r>
      <w:r>
        <w:rPr>
          <w:rFonts w:ascii="Times New Roman" w:hAnsi="Times New Roman"/>
          <w:i/>
          <w:sz w:val="20"/>
        </w:rPr>
        <w:t>pandrecht</w:t>
      </w:r>
      <w:r>
        <w:rPr>
          <w:rFonts w:ascii="Times New Roman" w:hAnsi="Times New Roman"/>
          <w:sz w:val="20"/>
        </w:rPr>
        <w:t>) was granted prior to the time such shares were acquired by us or any of our subsidiaries. Neither we nor any of our subsidiaries may cast votes in respect of a share on which we or such subsidiary holds a right of usufruct (</w:t>
      </w:r>
      <w:r>
        <w:rPr>
          <w:rFonts w:ascii="Times New Roman" w:hAnsi="Times New Roman"/>
          <w:i/>
          <w:sz w:val="20"/>
        </w:rPr>
        <w:t>vruchtgebruik</w:t>
      </w:r>
      <w:r>
        <w:rPr>
          <w:rFonts w:ascii="Times New Roman" w:hAnsi="Times New Roman"/>
          <w:sz w:val="20"/>
        </w:rPr>
        <w:t>) or a right of pledge (</w:t>
      </w:r>
      <w:r>
        <w:rPr>
          <w:rFonts w:ascii="Times New Roman" w:hAnsi="Times New Roman"/>
          <w:i/>
          <w:sz w:val="20"/>
        </w:rPr>
        <w:t>pandrecht</w:t>
      </w:r>
      <w:r>
        <w:rPr>
          <w:rFonts w:ascii="Times New Roman" w:hAnsi="Times New Roman"/>
          <w:sz w:val="20"/>
        </w:rPr>
        <w:t xml:space="preserve">).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Decisions of the general meeting are taken by a simple majority of votes cast, except where Dutch law or our Articles of Association provide for a qualified majority or unanimity. Subject to any provision of mandatory Dutch law and any higher quorum requirement stipulated by our Articles of Association, if we would be subject to the requirement that our general meeting can only pass resolutions if a certain part of our issued share capital is present or represented at such general meeting under applicable securities laws or listing rules, then such resolutions shall be subject to such quorum as specified by such securities laws or listing rules pursuant to our Articles of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F.</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Board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Appointment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 </w:t>
      </w:r>
    </w:p>
    <w:p>
      <w:pPr>
        <w:pStyle w:val="TextBody"/>
        <w:bidi w:val="0"/>
        <w:spacing w:before="240" w:after="0"/>
        <w:jc w:val="left"/>
        <w:rPr>
          <w:rFonts w:ascii="Times New Roman" w:hAnsi="Times New Roman"/>
          <w:sz w:val="20"/>
        </w:rPr>
      </w:pPr>
      <w:r>
        <w:rPr>
          <w:rFonts w:ascii="Times New Roman" w:hAnsi="Times New Roman"/>
          <w:sz w:val="20"/>
        </w:rPr>
        <w:t xml:space="preserve">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 </w:t>
      </w:r>
    </w:p>
    <w:p>
      <w:pPr>
        <w:pStyle w:val="TextBody"/>
        <w:bidi w:val="0"/>
        <w:spacing w:before="360" w:after="0"/>
        <w:jc w:val="left"/>
        <w:rPr>
          <w:rFonts w:ascii="Times New Roman" w:hAnsi="Times New Roman"/>
          <w:i/>
          <w:sz w:val="20"/>
        </w:rPr>
      </w:pPr>
      <w:r>
        <w:rPr>
          <w:rFonts w:ascii="Times New Roman" w:hAnsi="Times New Roman"/>
          <w:i/>
          <w:sz w:val="20"/>
        </w:rPr>
        <w:t xml:space="preserve">Duties and liabilities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Board is charged with the management of the Company, which includes setting the Companys policies and strategy, subject to the restrictions contained in our articles of association. The executive directors manage our day-to-day business and operations and implement our strategy. The non-executive directors focus on the supervision on the policy and functioning of the performance of the duties of all of our directors and our general state of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certain limitations under Dutch law, our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Our Board is entitled to represent our company. The power to represent our company also vests in our chief executive officer individually, as well as in any other two executive directors acting jointly.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G.</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Dividends and Other Distributions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Amount available for distribution </w:t>
      </w:r>
    </w:p>
    <w:p>
      <w:pPr>
        <w:pStyle w:val="TextBody"/>
        <w:bidi w:val="0"/>
        <w:spacing w:before="120" w:after="0"/>
        <w:jc w:val="left"/>
        <w:rPr>
          <w:rFonts w:ascii="Times New Roman" w:hAnsi="Times New Roman"/>
          <w:sz w:val="20"/>
        </w:rPr>
      </w:pPr>
      <w:r>
        <w:rPr>
          <w:rFonts w:ascii="Times New Roman" w:hAnsi="Times New Roman"/>
          <w:sz w:val="20"/>
        </w:rPr>
        <w:t>Under Dutch law, we may only pay dividends and other distributions, from our reserves to the extent our shareholders equity (</w:t>
      </w:r>
      <w:r>
        <w:rPr>
          <w:rFonts w:ascii="Times New Roman" w:hAnsi="Times New Roman"/>
          <w:i/>
          <w:sz w:val="20"/>
        </w:rPr>
        <w:t>eigen vermogen</w:t>
      </w:r>
      <w:r>
        <w:rPr>
          <w:rFonts w:ascii="Times New Roman" w:hAnsi="Times New Roman"/>
          <w:sz w:val="20"/>
        </w:rPr>
        <w:t xml:space="preserve">) exceeds the sum of the paid-in and called-up share capital plus the reserves we must maintain under Dutch law or by our Articles of Association and (if it concerns a distribution of profits) after adoption of our statutory annual accounts by our general meeting from which it appears that such dividend distribution is allowed. </w:t>
      </w:r>
    </w:p>
    <w:p>
      <w:pPr>
        <w:pStyle w:val="TextBody"/>
        <w:bidi w:val="0"/>
        <w:spacing w:before="240" w:after="0"/>
        <w:jc w:val="left"/>
        <w:rPr>
          <w:rFonts w:ascii="Times New Roman" w:hAnsi="Times New Roman"/>
          <w:sz w:val="20"/>
        </w:rPr>
      </w:pPr>
      <w:r>
        <w:rPr>
          <w:rFonts w:ascii="Times New Roman" w:hAnsi="Times New Roman"/>
          <w:sz w:val="20"/>
        </w:rPr>
        <w:t xml:space="preserve">Our Board may decide that all or part of our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 </w:t>
      </w:r>
    </w:p>
    <w:p>
      <w:pPr>
        <w:pStyle w:val="TextBody"/>
        <w:bidi w:val="0"/>
        <w:spacing w:before="240" w:after="0"/>
        <w:jc w:val="left"/>
        <w:rPr>
          <w:rFonts w:ascii="Times New Roman" w:hAnsi="Times New Roman"/>
          <w:sz w:val="20"/>
        </w:rPr>
      </w:pPr>
      <w:r>
        <w:rPr>
          <w:rFonts w:ascii="Times New Roman" w:hAnsi="Times New Roman"/>
          <w:sz w:val="20"/>
        </w:rPr>
        <w:t xml:space="preserve">Our Board is permitted, subject to certain requirements and applicable restrictions of Dutch law, to declare interim dividends without the approval of the general meeting. </w:t>
      </w:r>
    </w:p>
    <w:p>
      <w:pPr>
        <w:pStyle w:val="TextBody"/>
        <w:bidi w:val="0"/>
        <w:spacing w:before="240" w:after="0"/>
        <w:jc w:val="left"/>
        <w:rPr>
          <w:rFonts w:ascii="Times New Roman" w:hAnsi="Times New Roman"/>
          <w:sz w:val="20"/>
        </w:rPr>
      </w:pPr>
      <w:r>
        <w:rPr>
          <w:rFonts w:ascii="Times New Roman" w:hAnsi="Times New Roman"/>
          <w:sz w:val="20"/>
        </w:rPr>
        <w:t>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hAnsi="Times New Roman"/>
          <w:i/>
          <w:sz w:val="20"/>
        </w:rPr>
        <w:t>verjaring</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Exchange controls </w:t>
      </w:r>
    </w:p>
    <w:p>
      <w:pPr>
        <w:pStyle w:val="TextBody"/>
        <w:bidi w:val="0"/>
        <w:spacing w:before="120" w:after="0"/>
        <w:jc w:val="left"/>
        <w:rPr>
          <w:rFonts w:ascii="Times New Roman" w:hAnsi="Times New Roman"/>
          <w:sz w:val="20"/>
        </w:rPr>
      </w:pPr>
      <w:r>
        <w:rPr>
          <w:rFonts w:ascii="Times New Roman" w:hAnsi="Times New Roman"/>
          <w:sz w:val="20"/>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Times New Roman" w:hAnsi="Times New Roman"/>
          <w:i/>
          <w:sz w:val="20"/>
        </w:rPr>
        <w:t>Sanctiewet 1977</w:t>
      </w:r>
      <w:r>
        <w:rPr>
          <w:rFonts w:ascii="Times New Roman" w:hAnsi="Times New Roman"/>
          <w:sz w:val="20"/>
        </w:rPr>
        <w:t xml:space="preserve">)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the Articles of Association or Dutch law that limit the right of shareholders who are not citizens or residents of the Netherlands to hold or vote shares. </w:t>
      </w:r>
    </w:p>
    <w:p>
      <w:pPr>
        <w:pStyle w:val="TextBody"/>
        <w:bidi w:val="0"/>
        <w:spacing w:before="360" w:after="0"/>
        <w:jc w:val="left"/>
        <w:rPr>
          <w:rFonts w:ascii="Times New Roman" w:hAnsi="Times New Roman"/>
          <w:i/>
          <w:sz w:val="20"/>
        </w:rPr>
      </w:pPr>
      <w:r>
        <w:rPr>
          <w:rFonts w:ascii="Times New Roman" w:hAnsi="Times New Roman"/>
          <w:i/>
          <w:sz w:val="20"/>
        </w:rPr>
        <w:t xml:space="preserve">Squeeze-out procedures </w:t>
      </w:r>
    </w:p>
    <w:p>
      <w:pPr>
        <w:pStyle w:val="TextBody"/>
        <w:bidi w:val="0"/>
        <w:spacing w:before="120" w:after="0"/>
        <w:jc w:val="left"/>
        <w:rPr>
          <w:rFonts w:ascii="Times New Roman" w:hAnsi="Times New Roman"/>
          <w:sz w:val="20"/>
        </w:rPr>
      </w:pPr>
      <w:r>
        <w:rPr>
          <w:rFonts w:ascii="Times New Roman" w:hAnsi="Times New Roman"/>
          <w:sz w:val="20"/>
        </w:rPr>
        <w:t xml:space="preserve">A shareholder who holds at least 95% of our issued share capital for his or her own account, alone or together with group companies, may initiate proceedings against our other shareholders jointly for the transfer of their shares to such shareholder. The proceedings are held before the Enterprise Chamber, and can be instituted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by means of a writ of summons served upon each of the other shareholders in accordance with the provisions of the Dutch Code of Civil Procedure (</w:t>
      </w:r>
      <w:r>
        <w:rPr>
          <w:rFonts w:ascii="Times New Roman" w:hAnsi="Times New Roman"/>
          <w:i/>
          <w:sz w:val="20"/>
        </w:rPr>
        <w:t>Wetboek van Burgerlijke Rechtsvordering</w:t>
      </w:r>
      <w:r>
        <w:rPr>
          <w:rFonts w:ascii="Times New Roman" w:hAnsi="Times New Roman"/>
          <w:sz w:val="20"/>
        </w:rPr>
        <w:t xml:space="preserve">).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H.</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Dissolution and Liquidation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of our liabilities, any remaining assets shall be distributed to our shareholders in proportion to their number of shares. </w:t>
      </w:r>
    </w:p>
    <w:p>
      <w:pPr>
        <w:pStyle w:val="TextBody"/>
        <w:bidi w:val="0"/>
        <w:spacing w:before="360" w:after="0"/>
        <w:jc w:val="left"/>
        <w:rPr>
          <w:rFonts w:ascii="Times New Roman" w:hAnsi="Times New Roman"/>
          <w:b/>
          <w:sz w:val="20"/>
        </w:rPr>
      </w:pPr>
      <w:r>
        <w:rPr>
          <w:rFonts w:ascii="Times New Roman" w:hAnsi="Times New Roman"/>
          <w:b/>
          <w:sz w:val="20"/>
        </w:rPr>
        <w:t xml:space="preserve">Dutch Financial Reporting Supervision Act </w:t>
      </w:r>
    </w:p>
    <w:p>
      <w:pPr>
        <w:pStyle w:val="TextBody"/>
        <w:bidi w:val="0"/>
        <w:spacing w:before="120" w:after="0"/>
        <w:jc w:val="left"/>
        <w:rPr>
          <w:rFonts w:ascii="Times New Roman" w:hAnsi="Times New Roman"/>
          <w:sz w:val="20"/>
        </w:rPr>
      </w:pPr>
      <w:r>
        <w:rPr>
          <w:rFonts w:ascii="Times New Roman" w:hAnsi="Times New Roman"/>
          <w:sz w:val="20"/>
        </w:rPr>
        <w:t>On the basis of the Dutch Financial Reporting Supervision Act (</w:t>
      </w:r>
      <w:r>
        <w:rPr>
          <w:rFonts w:ascii="Times New Roman" w:hAnsi="Times New Roman"/>
          <w:i/>
          <w:sz w:val="20"/>
        </w:rPr>
        <w:t>Wet toezicht financiële verslaggeving</w:t>
      </w:r>
      <w:r>
        <w:rPr>
          <w:rFonts w:ascii="Times New Roman" w:hAnsi="Times New Roman"/>
          <w:sz w:val="20"/>
        </w:rPr>
        <w:t>), or the FRSA, the Dutch Authority for the Financial Markets (</w:t>
      </w:r>
      <w:r>
        <w:rPr>
          <w:rFonts w:ascii="Times New Roman" w:hAnsi="Times New Roman"/>
          <w:i/>
          <w:sz w:val="20"/>
        </w:rPr>
        <w:t>Stichting Autoriteit Financiële Markten</w:t>
      </w:r>
      <w:r>
        <w:rPr>
          <w:rFonts w:ascii="Times New Roman" w:hAnsi="Times New Roman"/>
          <w:sz w:val="20"/>
        </w:rPr>
        <w:t xml:space="preserve">), or AFM, supervises the application of financial reporting standards by Dutch companies whose securities are listed on a Dutch or foreign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FRSA, the AFM has an independent right to (i) request an explanation from us regarding our application of the applicable financial reporting standards if, based on publicly known facts or circumstances, it has reason to doubt that our financial reporting meets such standards and (ii) recommend to us the making available of further explanations.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x807379_8"/>
      <w:bookmarkEnd w:id="10"/>
      <w:r>
        <w:rPr>
          <w:rFonts w:ascii="Times New Roman" w:hAnsi="Times New Roman"/>
          <w:b/>
          <w:sz w:val="20"/>
        </w:rPr>
        <w:t xml:space="preserve">COMPARISON OF DUTCH LAW AND OUR ARTICLES OF ASSOCIATION AND </w:t>
      </w:r>
    </w:p>
    <w:p>
      <w:pPr>
        <w:pStyle w:val="TextBody"/>
        <w:bidi w:val="0"/>
        <w:spacing w:before="0" w:after="0"/>
        <w:jc w:val="center"/>
        <w:rPr>
          <w:rFonts w:ascii="Times New Roman" w:hAnsi="Times New Roman"/>
          <w:b/>
          <w:sz w:val="20"/>
        </w:rPr>
      </w:pPr>
      <w:r>
        <w:rPr>
          <w:rFonts w:ascii="Times New Roman" w:hAnsi="Times New Roman"/>
          <w:b/>
          <w:sz w:val="20"/>
        </w:rPr>
        <w:t xml:space="preserve">U.S. CORPORATE LAW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 </w:t>
      </w:r>
    </w:p>
    <w:p>
      <w:pPr>
        <w:pStyle w:val="TextBody"/>
        <w:bidi w:val="0"/>
        <w:spacing w:before="360" w:after="0"/>
        <w:jc w:val="left"/>
        <w:rPr>
          <w:rFonts w:ascii="Times New Roman" w:hAnsi="Times New Roman"/>
          <w:b/>
          <w:sz w:val="20"/>
        </w:rPr>
      </w:pPr>
      <w:r>
        <w:rPr>
          <w:rFonts w:ascii="Times New Roman" w:hAnsi="Times New Roman"/>
          <w:b/>
          <w:sz w:val="20"/>
        </w:rPr>
        <w:t xml:space="preserve">Dutch Corporate Governance Code </w:t>
      </w:r>
    </w:p>
    <w:p>
      <w:pPr>
        <w:pStyle w:val="TextBody"/>
        <w:bidi w:val="0"/>
        <w:spacing w:before="120" w:after="0"/>
        <w:jc w:val="left"/>
        <w:rPr>
          <w:rFonts w:ascii="Times New Roman" w:hAnsi="Times New Roman"/>
          <w:sz w:val="20"/>
        </w:rPr>
      </w:pPr>
      <w:r>
        <w:rPr>
          <w:rFonts w:ascii="Times New Roman" w:hAnsi="Times New Roman"/>
          <w:sz w:val="20"/>
        </w:rPr>
        <w:t>As a listed Dutch public company with limited liability (</w:t>
      </w:r>
      <w:r>
        <w:rPr>
          <w:rFonts w:ascii="Times New Roman" w:hAnsi="Times New Roman"/>
          <w:i/>
          <w:sz w:val="20"/>
        </w:rPr>
        <w:t>naamloze vennootschap</w:t>
      </w:r>
      <w:r>
        <w:rPr>
          <w:rFonts w:ascii="Times New Roman" w:hAnsi="Times New Roman"/>
          <w:sz w:val="20"/>
        </w:rPr>
        <w:t xml:space="preserve">),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statutory annual reports whether they comply with the provisions of the DCGC. If a company subject to the DCGC does not comply with those provisions, that company would be required to give the reasons for such non-compliance. We do not comply with all best practice provisions of the DCGC. As of the date of this prospectus, our main deviations from the DCGC are summarized below, but we cannot exclude the possibility of deviating from additional provisions of the DCGC after the date of this prospectus, including in order to follow market practice or governance practices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 least a two-thirds majority of the votes cast, representing more than half of the issued share capital. However, the DCGC recommends that the general meeting can pass such a resolution by simple majority, representing no more than one-third of the issued share capital. </w:t>
      </w:r>
    </w:p>
    <w:p>
      <w:pPr>
        <w:pStyle w:val="TextBody"/>
        <w:bidi w:val="0"/>
        <w:spacing w:before="240" w:after="0"/>
        <w:jc w:val="left"/>
        <w:rPr>
          <w:rFonts w:ascii="Times New Roman" w:hAnsi="Times New Roman"/>
          <w:sz w:val="20"/>
        </w:rPr>
      </w:pPr>
      <w:r>
        <w:rPr>
          <w:rFonts w:ascii="Times New Roman" w:hAnsi="Times New Roman"/>
          <w:sz w:val="20"/>
        </w:rPr>
        <w:t xml:space="preserve">Under the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 </w:t>
      </w:r>
    </w:p>
    <w:p>
      <w:pPr>
        <w:pStyle w:val="TextBody"/>
        <w:bidi w:val="0"/>
        <w:spacing w:before="240" w:after="0"/>
        <w:jc w:val="left"/>
        <w:rPr>
          <w:rFonts w:ascii="Times New Roman" w:hAnsi="Times New Roman"/>
          <w:sz w:val="20"/>
        </w:rPr>
      </w:pPr>
      <w:r>
        <w:rPr>
          <w:rFonts w:ascii="Times New Roman" w:hAnsi="Times New Roman"/>
          <w:sz w:val="20"/>
        </w:rPr>
        <w:t xml:space="preserve">The DCGC recommends against providing equity awards as part of the compensation of a non-executive director. However, consistent with U.S. market practice, we have granted equity awards to our non-executive directors. </w:t>
      </w:r>
    </w:p>
    <w:p>
      <w:pPr>
        <w:pStyle w:val="TextBody"/>
        <w:bidi w:val="0"/>
        <w:spacing w:before="240" w:after="0"/>
        <w:jc w:val="left"/>
        <w:rPr>
          <w:rFonts w:ascii="Times New Roman" w:hAnsi="Times New Roman"/>
          <w:sz w:val="20"/>
        </w:rPr>
      </w:pPr>
      <w:r>
        <w:rPr>
          <w:rFonts w:ascii="Times New Roman" w:hAnsi="Times New Roman"/>
          <w:sz w:val="20"/>
        </w:rPr>
        <w:t xml:space="preserve">Our equity incentive plan allows us to set the terms and conditions of equity awards granted thereunder. Under our equity incentive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Duties of Directors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We have a one-tier board structure consisting of a board of directors comprising one or more executive directors and one or more non-executive directors. Under Dutch law, our Board is charged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management of the company, which includes setting the companys policies and strategy subject to the restrictions contained in our Articles of Association. The executive directors manage our day-to-day business and operations and implement our strategy. The non-executive directors focus on the supervision on the policy and functioning of the performance of the duties of all of our directors and our general state of affairs. Our directors may divide their tasks among themselves in or pursuant to internal rules applicable.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w:t>
      </w:r>
    </w:p>
    <w:p>
      <w:pPr>
        <w:pStyle w:val="TextBody"/>
        <w:bidi w:val="0"/>
        <w:spacing w:before="240" w:after="0"/>
        <w:jc w:val="left"/>
        <w:rPr>
          <w:rFonts w:ascii="Times New Roman" w:hAnsi="Times New Roman"/>
          <w:sz w:val="20"/>
        </w:rPr>
      </w:pPr>
      <w:r>
        <w:rPr>
          <w:rFonts w:ascii="Times New Roman" w:hAnsi="Times New Roman"/>
          <w:sz w:val="20"/>
        </w:rPr>
        <w:t xml:space="preserve">Our Board is entitled to represent the Company. The power to represent our company also vests in our chief executive officer individually, as well as in any other two executive directors acting jointly. </w:t>
      </w:r>
    </w:p>
    <w:p>
      <w:pPr>
        <w:pStyle w:val="TextBody"/>
        <w:bidi w:val="0"/>
        <w:spacing w:before="240" w:after="0"/>
        <w:jc w:val="left"/>
        <w:rPr>
          <w:rFonts w:ascii="Times New Roman" w:hAnsi="Times New Roman"/>
          <w:sz w:val="20"/>
        </w:rPr>
      </w:pPr>
      <w:r>
        <w:rPr>
          <w:rFonts w:ascii="Times New Roman" w:hAnsi="Times New Roman"/>
          <w:sz w:val="20"/>
        </w:rPr>
        <w:t xml:space="preserve">Any resolution of our Board regarding a material change in our identity or character requires approval of the general meeting. The absence of the approval of the general meeting shall result in the relevant resolution being null and void but shall not affect the powers of representation of the Board or of the executive directors.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terms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The DCGC provides the following best practice recommendations on the terms for tenure of our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directors should be appointed for a maximum period of four years, without limiting the number of consecutive terms executive directors may 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non-executive directors should be appointed for two consecutive periods of no more than four years. Thereafter, non-executive directors may be reappointed for a maximum of two consecutive periods of no more than two years, provided that the reason for any reappointment after an eight-year term of office should be disclosed in the Companys statutory annual report.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our issued share capital, unless the resolution is passed at the proposal of our Board, in which latter case a simple majority of the votes cast is sufficient. If a director is suspended and the general meeting does not resolve to dismiss him or her within three months from the date of such suspension, the suspension shall lapse.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Director vacancies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Our Board can temporarily fill vacancies in its midst caused by temporary absence or incapacity of directors without requiring a shareholder vote. If all of our directors are absent or incapacitated, our management shall be attributed to the person who most recently ceased to hold office as the chairperson of our Board, provided that if such former chairperson is unwilling or unable to accept that position, our management shall be attributed to the person who most recently ceased to hold office as our chief executive officer. If such former chief executive officer is also unwilling or unable to accept that position, our management shall be attributed to one or more persons whom the general meeting has designated for that purpose. The person(s) charged with our management in this manner may designate one or more persons to be charged with our management instead of, or together with, such person(s). </w:t>
      </w:r>
    </w:p>
    <w:p>
      <w:pPr>
        <w:pStyle w:val="TextBody"/>
        <w:bidi w:val="0"/>
        <w:spacing w:before="240" w:after="0"/>
        <w:jc w:val="left"/>
        <w:rPr>
          <w:rFonts w:ascii="Times New Roman" w:hAnsi="Times New Roman"/>
          <w:sz w:val="20"/>
        </w:rPr>
      </w:pPr>
      <w:r>
        <w:rPr>
          <w:rFonts w:ascii="Times New Roman" w:hAnsi="Times New Roman"/>
          <w:sz w:val="20"/>
        </w:rPr>
        <w:t xml:space="preserve">Under Dutch law, directors are appointed and re-appointed by the general meeting. Under our Articles of Association, directors are appointed by the general meeting upon the binding nomination by our Board. However, the general meeting may at all times overrule a binding nomination by a resolution adopted by at least a two-thirds majority of the votes cast, provided such majority represents more than half of the issued share capital. If the general meeting overrules a binding nomination, the Board shall make a new nomination.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The Delaware General Corporation Law provides that vacancies and newly created directorships may be filled by a majority of the directors then in office (even though less than a quorum) unless (i) otherwise provided in the certificate of incorporation or bylaws of the corporation or (ii) the certificate of incorporation directs that a particular class of stock is to elect such director, in which case any other directors elected by such class, or a sole remaining director elected by such class, will fill such vacancy.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Conflict-of-interest transactions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Under Dutch law and our Articles of Association, our directors shall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our Company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latter case, each director is entitled to participate in the discussion and decision-making process and to cast a vote. </w:t>
      </w:r>
    </w:p>
    <w:p>
      <w:pPr>
        <w:pStyle w:val="TextBody"/>
        <w:bidi w:val="0"/>
        <w:spacing w:before="240" w:after="0"/>
        <w:jc w:val="left"/>
        <w:rPr>
          <w:rFonts w:ascii="Times New Roman" w:hAnsi="Times New Roman"/>
          <w:sz w:val="20"/>
        </w:rPr>
      </w:pPr>
      <w:r>
        <w:rPr>
          <w:rFonts w:ascii="Times New Roman" w:hAnsi="Times New Roman"/>
          <w:sz w:val="20"/>
        </w:rPr>
        <w:t xml:space="preserve">The DCGC provides the following best practice recommendations in relation to conflicts of interests in respect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should report any conflict of interest or potential conflict of interest in a transaction that is of material significance to the company and/or to such person to the chairperson of the Board without delay and should provide all relevant information in that regard, including the relevant information pertaining to his or her spouse, registered partner or other life companion, foster child and relatives by blood or marriage up to the second degree. If the chairperson of the Board has a conflict of interest or potential conflict of interest, he or she should report this to the vice-chairperson of the Board without delay;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should decide, outside the presence of the director concerned, whether there is a conflict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 which there are conflicts of interest with directors should be agreed on terms that are customary in the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Decisions to enter into transactions in which there are conflicts of interest with directors that are of material significance to the Company and/or to the relevant directors should require the approval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Board. Such transactions should be published in our statutory annual report, together with a description of the conflict of interest and a declaration that the relevant best practice provisions of the DCGC have been complied with. </w:t>
            </w:r>
          </w:p>
        </w:tc>
      </w:tr>
    </w:tbl>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Under the Delaware General Corporation Law transactions involving a Delaware corporation and an interested director of that corporation would not be voidable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material facts as to the directors relationship or interest are disclosed or known to the board of directors and the board in good faith authorizes the transaction by the affirmative vote of a majority of the disinterested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material facts are disclosed or known as to the directors relationship or interest and the transaction is specifically approved in good faith by vote of the majority of shares entitled to vote thereon;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fair to the corporation at the time it is authorized by the board of directors, a committee of the board of directors or the stockholders.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Proxy voting by directors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An absent director may issue a proxy for a specific Board meeting but only to another director in writing or by electronic means.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A director of a Delaware corporation may not issue a proxy representing the directors voting rights as a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Shareholders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In accordance with Dutch law and our Articles of Association, each issued ordinary share confers the right to cast one vote at the general meeting. No votes may be cast at a general meeting on shares held by us or our subsidiaries or on shares for which we or our subsidiaries hold depository receipts. Nonetheless, the holders of a right of usufruct (</w:t>
      </w:r>
      <w:r>
        <w:rPr>
          <w:rFonts w:ascii="Times New Roman" w:hAnsi="Times New Roman"/>
          <w:i/>
          <w:sz w:val="20"/>
        </w:rPr>
        <w:t>vruchtgebruik</w:t>
      </w:r>
      <w:r>
        <w:rPr>
          <w:rFonts w:ascii="Times New Roman" w:hAnsi="Times New Roman"/>
          <w:sz w:val="20"/>
        </w:rPr>
        <w:t>) and the holders of a right of pledge (</w:t>
      </w:r>
      <w:r>
        <w:rPr>
          <w:rFonts w:ascii="Times New Roman" w:hAnsi="Times New Roman"/>
          <w:i/>
          <w:sz w:val="20"/>
        </w:rPr>
        <w:t>pandrecht</w:t>
      </w:r>
      <w:r>
        <w:rPr>
          <w:rFonts w:ascii="Times New Roman" w:hAnsi="Times New Roman"/>
          <w:sz w:val="20"/>
        </w:rPr>
        <w:t>) in respect of shares held by us or our subsidiaries in our share capital are not excluded from the right to vote on such shares, if the right of usufruct (</w:t>
      </w:r>
      <w:r>
        <w:rPr>
          <w:rFonts w:ascii="Times New Roman" w:hAnsi="Times New Roman"/>
          <w:i/>
          <w:sz w:val="20"/>
        </w:rPr>
        <w:t>vruchtgebruik</w:t>
      </w:r>
      <w:r>
        <w:rPr>
          <w:rFonts w:ascii="Times New Roman" w:hAnsi="Times New Roman"/>
          <w:sz w:val="20"/>
        </w:rPr>
        <w:t>) or the right of pledge (</w:t>
      </w:r>
      <w:r>
        <w:rPr>
          <w:rFonts w:ascii="Times New Roman" w:hAnsi="Times New Roman"/>
          <w:i/>
          <w:sz w:val="20"/>
        </w:rPr>
        <w:t>pandrecht</w:t>
      </w:r>
      <w:r>
        <w:rPr>
          <w:rFonts w:ascii="Times New Roman" w:hAnsi="Times New Roman"/>
          <w:sz w:val="20"/>
        </w:rPr>
        <w:t>) was granted prior to the time such shares were acquired by us or any of our subsidiaries. Neither we nor any of our subsidiaries may cast votes in respect of a share on which we or such subsidiary holds a right of usufruct (</w:t>
      </w:r>
      <w:r>
        <w:rPr>
          <w:rFonts w:ascii="Times New Roman" w:hAnsi="Times New Roman"/>
          <w:i/>
          <w:sz w:val="20"/>
        </w:rPr>
        <w:t>vruchtgebruik</w:t>
      </w:r>
      <w:r>
        <w:rPr>
          <w:rFonts w:ascii="Times New Roman" w:hAnsi="Times New Roman"/>
          <w:sz w:val="20"/>
        </w:rPr>
        <w:t>) or a right of pledge (</w:t>
      </w:r>
      <w:r>
        <w:rPr>
          <w:rFonts w:ascii="Times New Roman" w:hAnsi="Times New Roman"/>
          <w:i/>
          <w:sz w:val="20"/>
        </w:rPr>
        <w:t>pandrecht</w:t>
      </w:r>
      <w:r>
        <w:rPr>
          <w:rFonts w:ascii="Times New Roman" w:hAnsi="Times New Roman"/>
          <w:sz w:val="20"/>
        </w:rPr>
        <w:t xml:space="preserve">).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calendar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Under the Delaware General Corporation Law, each stockholder is entitled to one vote per share of stock, unless the certificate of incorporation provides otherwise. In addition, the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 </w:t>
      </w:r>
    </w:p>
    <w:p>
      <w:pPr>
        <w:pStyle w:val="TextBody"/>
        <w:bidi w:val="0"/>
        <w:spacing w:before="240" w:after="0"/>
        <w:jc w:val="left"/>
        <w:rPr>
          <w:rFonts w:ascii="Times New Roman" w:hAnsi="Times New Roman"/>
          <w:sz w:val="20"/>
        </w:rPr>
      </w:pPr>
      <w:r>
        <w:rPr>
          <w:rFonts w:ascii="Times New Roman" w:hAnsi="Times New Roman"/>
          <w:sz w:val="20"/>
        </w:rPr>
        <w:t xml:space="preserve">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proposals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Pursuant to Dutch law, one or more shareholders or others with meeting rights under Dutch law who jointly represent at least one-tenth of our issued share capital may request us to convene a general meeting, setting out in detail the matters to be discussed. If we have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agenda for a general meeting shall also include such items requested by one or more shareholders or others with meeting rights under Dutch law representing at least 3% of our issued share capital. These requests must be made in writing or by electronic means and received by us at least 60 days before the day of the meeting. No resolutions shall be adopted on items other than those that have been included in the agenda.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Dutch Corporate Governance Code, or DCGC, shareholders who have the right to put an item on the agenda for our general meeting or to request the convening of a general meeting shall not exercise such rights until after they have consulted our Board of directors.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 </w:t>
      </w:r>
    </w:p>
    <w:p>
      <w:pPr>
        <w:pStyle w:val="TextBody"/>
        <w:bidi w:val="0"/>
        <w:spacing w:before="240" w:after="0"/>
        <w:jc w:val="left"/>
        <w:rPr>
          <w:rFonts w:ascii="Times New Roman" w:hAnsi="Times New Roman"/>
          <w:sz w:val="20"/>
        </w:rPr>
      </w:pPr>
      <w:r>
        <w:rPr>
          <w:rFonts w:ascii="Times New Roman" w:hAnsi="Times New Roman"/>
          <w:sz w:val="20"/>
        </w:rPr>
        <w:t xml:space="preserve">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in light of the circumstances at hand when the cooling-off period was invoked, could not reasonably have concluded that the relevant proposal or hostile offer constituted a material conflict with the interests of our company and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cannot reasonably believe that a continuation of the cooling-off period would contribute to careful policy-making;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 </w:t>
            </w:r>
          </w:p>
        </w:tc>
      </w:tr>
    </w:tbl>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Delaware law does not specifically grant stockholders the right to bring business before an annual or special meeting. Delaware law 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Under Dutch law, shareholders resolutions may be adopted in writing without holding a meeting of shareholders, provided that (i) 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Although permitted by Delaware law, publicly listed companies do not typically permit stockholders of a corporation to take action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Subject to certain exceptions, Dutch law does not recognize the concept of appraisal or dissenters rights. However, Dutch law does provide for squeeze-out procedures as described under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The Delaware General Corporation Law provides for stockholder appraisal rights, or the right to demand payment in cash of the judicially determined fair value of the stockholders shares, in connection with certain mergers and consolidations.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suits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In the event a third-party is liable to a Dutch company, only the Company itself 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our directors and officers can still be subject to liability under U.S.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Our Articles of Association provide that the sole and exclusive forum for any complaint asserting a cause of action arising under the U.S. Securities Act of 1933, as amended, to the fullest extent permitted by applicable law, shall be the U.S. federal district courts.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Repurchase of shares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Under Dutch law, when issuing shares, a public company such as ours may not subscribe for newly issued shares in its own capital. Such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w:t>
      </w:r>
      <w:r>
        <w:rPr>
          <w:rFonts w:ascii="Times New Roman" w:hAnsi="Times New Roman"/>
          <w:i/>
          <w:sz w:val="20"/>
        </w:rPr>
        <w:t>eigen vermogen</w:t>
      </w:r>
      <w:r>
        <w:rPr>
          <w:rFonts w:ascii="Times New Roman" w:hAnsi="Times New Roman"/>
          <w:sz w:val="20"/>
        </w:rPr>
        <w:t>) less the payment required to make the acquisition does not fall below the sum of paid-in and called-up share capital plus any reserves required by Dutch law or its Articles of Association and (ii) the aggregate nominal value of shares of the company which the company acquires, holds or on which the company holds a pledge (</w:t>
      </w:r>
      <w:r>
        <w:rPr>
          <w:rFonts w:ascii="Times New Roman" w:hAnsi="Times New Roman"/>
          <w:i/>
          <w:sz w:val="20"/>
        </w:rPr>
        <w:t>pandrecht</w:t>
      </w:r>
      <w:r>
        <w:rPr>
          <w:rFonts w:ascii="Times New Roman" w:hAnsi="Times New Roman"/>
          <w:sz w:val="20"/>
        </w:rPr>
        <w:t xml:space="preserve">) or which are held by a subsidiary of the company, would not exceed 50% of its then-current issued share capital. Such company may only acquire its own shares if its general meeting has granted the Board the authority to effect such acquisitions.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acquisition by us of ordinary shares in our capital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On June 23, 2023, our general meeting adopted a resolution pursuant to which our Board is authorized, for a period of 18 months following June 23, 2023 to cause the repurchase of ordinary shares (or depositary receipts for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 </w:t>
      </w:r>
    </w:p>
    <w:p>
      <w:pPr>
        <w:pStyle w:val="TextBody"/>
        <w:bidi w:val="0"/>
        <w:spacing w:before="240" w:after="0"/>
        <w:jc w:val="left"/>
        <w:rPr>
          <w:rFonts w:ascii="Times New Roman" w:hAnsi="Times New Roman"/>
          <w:sz w:val="20"/>
        </w:rPr>
      </w:pPr>
      <w:r>
        <w:rPr>
          <w:rFonts w:ascii="Times New Roman" w:hAnsi="Times New Roman"/>
          <w:sz w:val="20"/>
        </w:rPr>
        <w:t xml:space="preserve">No authorization of the general meeting is required if fully paid ordinary shares are acquired by us with the intention of transferring such ordinary shares to our employees under an applicable employee stock purchase plan.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Under the Delaware General Corporation Law, a corporation may generally purchase or redeem its own shares unless the capital of the 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Under Dutch law, various protective measures are possible and permissible within the boundaries set by Dutch law and Dutch case law. </w:t>
      </w:r>
    </w:p>
    <w:p>
      <w:pPr>
        <w:pStyle w:val="TextBody"/>
        <w:bidi w:val="0"/>
        <w:spacing w:before="120" w:after="0"/>
        <w:jc w:val="left"/>
        <w:rPr>
          <w:rFonts w:ascii="Times New Roman" w:hAnsi="Times New Roman"/>
          <w:sz w:val="20"/>
        </w:rPr>
      </w:pPr>
      <w:r>
        <w:rPr>
          <w:rFonts w:ascii="Times New Roman" w:hAnsi="Times New Roman"/>
          <w:sz w:val="20"/>
        </w:rPr>
        <w:t xml:space="preserve">In this respect, certain provisions of our Articles of Association may make it more difficult for a third-party to acquire control of us or effect a change in the composition of our Board. These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provision that our directors can only be dismissed at the general meeting by a two-thirds majority of votes cast representing more than half of our issued share capital, unless the dismissal is proposed by our Board in which latter case a simple majority of the votes cast would be sufficient;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provision that our directors can only be appointed on the basis of a binding nomination prepared by our Board which can only be overruled by the general meeting by a resolution adopted by a two-thirds majority of the votes cast representing more than half of the issued share capital (in which case the Board shall make a new nomination);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provision which allows the former chairperson of our Board or our former chief executive officer to be charged with our management if all of our directors are absent or incapacitated;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requirement that certain matters, including an amendment of our Articles of Association, may only be resolved upon by our general meeting if proposed by our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Dutch law also allows for staggered multi-year terms of our directors, as a result of which only part of our directors may be subject to appointment or re-appointment in any given year. </w:t>
      </w:r>
    </w:p>
    <w:p>
      <w:pPr>
        <w:pStyle w:val="TextBody"/>
        <w:bidi w:val="0"/>
        <w:spacing w:before="240" w:after="0"/>
        <w:jc w:val="left"/>
        <w:rPr>
          <w:rFonts w:ascii="Times New Roman" w:hAnsi="Times New Roman"/>
          <w:sz w:val="20"/>
        </w:rPr>
      </w:pPr>
      <w:r>
        <w:rPr>
          <w:rFonts w:ascii="Times New Roman" w:hAnsi="Times New Roman"/>
          <w:sz w:val="20"/>
        </w:rPr>
        <w:t xml:space="preserve">Furthermore, our Board may, under certain circumstances invoke a reasonable period of up to 180 days to respond to certain shareholder proposals or a statutory cooling-off period of up to 250 days to respond to certain shareholder proposals or a hostile bid. See above under Shareholder Proposals.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In addition to other aspects of Delaware law governing fiduciary duties of directors during a potential takeover, the Delaware General Corporation Law also contains provisions that protect Delaware companies from hostile takeovers and from actions following the takeover by prohibiting some transactions once an acquirer has gained a significant holding in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person becomes an interested stockholder, the business combination is approved by the board of directors of the corporation and holders of at least 66.67% of the outstanding voting stock, excluding shares held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 </w:t>
      </w:r>
    </w:p>
    <w:p>
      <w:pPr>
        <w:pStyle w:val="TextBody"/>
        <w:bidi w:val="0"/>
        <w:spacing w:before="360" w:after="0"/>
        <w:jc w:val="left"/>
        <w:rPr>
          <w:rFonts w:ascii="Times New Roman" w:hAnsi="Times New Roman"/>
          <w:b/>
          <w:sz w:val="20"/>
        </w:rPr>
      </w:pPr>
      <w:r>
        <w:rPr>
          <w:rFonts w:ascii="Times New Roman" w:hAnsi="Times New Roman"/>
          <w:b/>
          <w:sz w:val="20"/>
        </w:rPr>
        <w:t xml:space="preserve">Inspection of Books and Records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The Board must provide the general meeting all information that it requires, unless this would be contrary to an overriding interest of our Company. If the Board invokes such an overriding interest, it must give reasons.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Under the Delaware General Corporation Law, any stockholder may inspect for any proper purpose certain of the corporations books and records during the corporations usual hours of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Dismissal of Directors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Under our Articles of Association, our directors can only be dismissed by the general meeting by simple majority, provided that our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Under the Delaware General Corporation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Issuance of Shares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Under Dutch law, a companys general meeting is the corporate body authorized to resolve on the issuance of shares and the granting of rights to subscribe for shares. The general meeting can delegate such authority to another corporate body of the company, such as the Board, for a period not exceeding five years; this authorization may only be extended from time to time for a maximum period of five years. </w:t>
      </w:r>
    </w:p>
    <w:p>
      <w:pPr>
        <w:pStyle w:val="TextBody"/>
        <w:bidi w:val="0"/>
        <w:spacing w:before="240" w:after="0"/>
        <w:jc w:val="left"/>
        <w:rPr>
          <w:rFonts w:ascii="Times New Roman" w:hAnsi="Times New Roman"/>
          <w:sz w:val="20"/>
        </w:rPr>
      </w:pPr>
      <w:r>
        <w:rPr>
          <w:rFonts w:ascii="Times New Roman" w:hAnsi="Times New Roman"/>
          <w:sz w:val="20"/>
        </w:rPr>
        <w:t xml:space="preserve">On February 1, 2021, our general meeting adopted a resolution pursuant to which our Board is authorized, for a period of five years following February 5, 2021, to issue shares or grant rights to subscribe for shares up to our authorized share capital from time to time. We may not subscribe for our own shares on issue.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The issuance of shares requires the board of directors to adopt a resolution or resolutions, authorizing the issuance, pursuant to authority expressly vested in the board of directors by the provisions of the Companys certificate of incorporation.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Under Dutch law, in the event of an issuance of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 or excluded by a resolution of the general meeting upon proposal of the Board.</w:t>
      </w:r>
    </w:p>
    <w:p>
      <w:pPr>
        <w:pStyle w:val="TextBody"/>
        <w:bidi w:val="0"/>
        <w:spacing w:before="240" w:after="0"/>
        <w:jc w:val="left"/>
        <w:rPr>
          <w:rFonts w:ascii="Times New Roman" w:hAnsi="Times New Roman"/>
          <w:sz w:val="20"/>
        </w:rPr>
      </w:pPr>
      <w:r>
        <w:rPr>
          <w:rFonts w:ascii="Times New Roman" w:hAnsi="Times New Roman"/>
          <w:sz w:val="20"/>
        </w:rPr>
        <w:t xml:space="preserve">Another corporate body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On February 1, 2021, our general meeting authorized our Board, for a period of five years following February 5, 2021, to limit or exclude preemptive rights in relation to an issuance of shares or a grant of rights to subscribe for shares that the Board is authorized to resolve upon. See above under Issuance of Shares.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Under the Delaware General Corporation Law, stockholders have no preemptive rights to subscribe for additional issues of stock or to any security convertible into such stock unless, and to the extent that, such rights are expressly provided for in the certificate of incorporation.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Under Dutch law, we may only pay dividends and other distributions from our reserves to the extent our shareholders equity (</w:t>
      </w:r>
      <w:r>
        <w:rPr>
          <w:rFonts w:ascii="Times New Roman" w:hAnsi="Times New Roman"/>
          <w:i/>
          <w:sz w:val="20"/>
        </w:rPr>
        <w:t>eigen vermogen</w:t>
      </w:r>
      <w:r>
        <w:rPr>
          <w:rFonts w:ascii="Times New Roman" w:hAnsi="Times New Roman"/>
          <w:sz w:val="20"/>
        </w:rPr>
        <w:t xml:space="preserve">) exceeds the sum of our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 See Dividend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Under our Articles of Association, our Board may decide that all or part of the profits shown in our adopted statutory annual accounts will be added to our reserves. After reservation of any such profits, any remaining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profits will be at the disposal of the general meeting at the proposal of our Board for distribution on our ordinary shares, subject to applicable restrictions of Dutch law. Our Board is permitted, subject to certain requirements and applicable restrictions of Dutch law, to declare interim dividends without the approval of our general meeting. </w:t>
      </w:r>
    </w:p>
    <w:p>
      <w:pPr>
        <w:pStyle w:val="TextBody"/>
        <w:bidi w:val="0"/>
        <w:spacing w:before="240" w:after="0"/>
        <w:jc w:val="left"/>
        <w:rPr>
          <w:rFonts w:ascii="Times New Roman" w:hAnsi="Times New Roman"/>
          <w:sz w:val="20"/>
        </w:rPr>
      </w:pPr>
      <w:r>
        <w:rPr>
          <w:rFonts w:ascii="Times New Roman" w:hAnsi="Times New Roman"/>
          <w:sz w:val="20"/>
        </w:rPr>
        <w:t>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hAnsi="Times New Roman"/>
          <w:i/>
          <w:sz w:val="20"/>
        </w:rPr>
        <w:t>verjaring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Under the Delaware General Corporation Law, subject to any restrictions contained in the corporations certificate of incorporation,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 Vote on Certain Reorganizations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Under Dutch law, the general meeting must approve resolutions of the Board relating to a significant change in the identity or the character of the Company or the business of the Company, which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transfer of the business or virtually the entire business to a third-party;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absence of such approval shall result in the relevant resolution being null and void but shall not affect the powers of representation of the Board or of the executive directors.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 </w:t>
      </w:r>
    </w:p>
    <w:p>
      <w:pPr>
        <w:pStyle w:val="TextBody"/>
        <w:bidi w:val="0"/>
        <w:spacing w:before="240" w:after="0"/>
        <w:jc w:val="left"/>
        <w:rPr>
          <w:rFonts w:ascii="Times New Roman" w:hAnsi="Times New Roman"/>
          <w:sz w:val="20"/>
        </w:rPr>
      </w:pPr>
      <w:r>
        <w:rPr>
          <w:rFonts w:ascii="Times New Roman" w:hAnsi="Times New Roman"/>
          <w:sz w:val="20"/>
        </w:rPr>
        <w:t xml:space="preserve">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Remuneration of Directors </w:t>
      </w:r>
    </w:p>
    <w:p>
      <w:pPr>
        <w:pStyle w:val="TextBody"/>
        <w:bidi w:val="0"/>
        <w:spacing w:before="120" w:after="0"/>
        <w:jc w:val="left"/>
        <w:rPr>
          <w:rFonts w:ascii="Times New Roman" w:hAnsi="Times New Roman"/>
          <w:sz w:val="20"/>
        </w:rPr>
      </w:pPr>
      <w:r>
        <w:rPr>
          <w:rFonts w:ascii="Times New Roman" w:hAnsi="Times New Roman"/>
          <w:sz w:val="20"/>
          <w:u w:val="single"/>
        </w:rPr>
        <w:t>The Netherlands</w:t>
      </w:r>
      <w:r>
        <w:rPr>
          <w:rFonts w:ascii="Times New Roman" w:hAnsi="Times New Roman"/>
          <w:sz w:val="20"/>
        </w:rPr>
        <w:t xml:space="preserve">. Dutch law does not provide for limitations with respect to the aggregate annual compensation paid to our directors, provided that such compensation is consistent with our compensation policy. Our compensation policy has been adopted by the general meeting with effect from February 5, 2021. Changes to such compensation policy will require a vote of our general meeting by simple majority of votes cast. Our Board determines the remuneration of individual directors with due observance of the compensation policy. A proposal with respect to remuneration schemes in the form of shares or rights to shares in which directors may participate is subject to approval by our general meeting by simple majority of votes cast. Such a proposal must set out at least the maximum number of shares or rights to subscribe for shares to be granted to our directors and the criteria for granting or amendment. </w:t>
      </w:r>
    </w:p>
    <w:p>
      <w:pPr>
        <w:pStyle w:val="TextBody"/>
        <w:bidi w:val="0"/>
        <w:spacing w:before="240" w:after="0"/>
        <w:jc w:val="left"/>
        <w:rPr>
          <w:rFonts w:ascii="Times New Roman" w:hAnsi="Times New Roman"/>
          <w:sz w:val="20"/>
        </w:rPr>
      </w:pPr>
      <w:r>
        <w:rPr>
          <w:rFonts w:ascii="Times New Roman" w:hAnsi="Times New Roman"/>
          <w:sz w:val="20"/>
          <w:u w:val="single"/>
        </w:rPr>
        <w:t>Delaware</w:t>
      </w:r>
      <w:r>
        <w:rPr>
          <w:rFonts w:ascii="Times New Roman" w:hAnsi="Times New Roman"/>
          <w:sz w:val="20"/>
        </w:rPr>
        <w:t xml:space="preserve">. Under the Delaware General Corporation Law, the stockholders do not generally have the right to approve the compensation policy for directors or the senior management of the corporation, although certain aspects of executive compensation may be subject to stockholder vote due to the provisions of U.S. federal securities and tax law, as well as exchange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x807379_9"/>
      <w:bookmarkEnd w:id="11"/>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our direct general obligations. The debt securities will be either senior debt securities or subordinated debt securities and may be secured or unsecured and may be convertible into other securities, including our ordinary shares. The debt securities will be issued under one or more separate indentures between our company and a financial institution that will act as trustee. Senior debt securities will be issued under a senior indenture. Subordinated debt securities will be issued under a subordinated indenture. Each of the senior indenture and the subordinated indenture is referred to individually as an indenture and collectively as the indentures. Each of the senior debt trustee and the subordinated debt trustee is referred to individually as a trustee and collectively as the trustees. The material terms of any indenture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certain terms and provisions of the indentures. The summary is not complete. The indentures are subject to and governed by the Trust Indenture Act of 1939, as amended. The senior indenture and subordinated indenture are substantially identical, except for the provisions relating to subordination. </w:t>
      </w:r>
    </w:p>
    <w:p>
      <w:pPr>
        <w:pStyle w:val="TextBody"/>
        <w:bidi w:val="0"/>
        <w:spacing w:before="240" w:after="0"/>
        <w:jc w:val="left"/>
        <w:rPr>
          <w:rFonts w:ascii="Times New Roman" w:hAnsi="Times New Roman"/>
          <w:sz w:val="20"/>
        </w:rPr>
      </w:pPr>
      <w:r>
        <w:rPr>
          <w:rFonts w:ascii="Times New Roman" w:hAnsi="Times New Roman"/>
          <w:sz w:val="20"/>
        </w:rPr>
        <w:t xml:space="preserve">Neither indenture will limit the amount of debt securities that we may issue. We may issue debt securities up to an aggregate principal amount as we may authorize from time to time. The applicable prospectus supplement will describe the terms of any debt securities being offered. These terms will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classification as senior 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of the specific series of debt securities relative to other outstanding indebtedness, including subsidiaries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subordinated, the aggregate amount of outstanding indebtedness, as of a recent date, that is senior to the subordinated securities, and any limitation on the issuance of additional senior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and authorized denominations;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debt securities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at which the debt securities shall bear interest,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shall accrue, on which such interest shall be payable, and on which a record shall be taken for the determination of holders of the debt securities to whom interest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and interest shall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redeem the debt securities, in whole or in part, at our option and the period or periods within which, the price or prices at which and any terms and conditions upon which such debt securities may be so redeemed, pursuant to any sinking fund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of the Company to redeem, purchase or repay any debt securities pursuant to any mandatory redemption, sinking fund or other provisions or at the option of a holder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$2,000 and any higher integral multiple of $1,000, the denominations in which the debt securities will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currency of the United States, the currency or currencies, in which payment of the principal and interest shall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global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if any, for the defeasance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U.S. federal income tax consequences;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specific terms, including any deletions from, modifications of or additions to the events of default or covenants described below or in the applicable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Senior Debt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under the senior indenture the debt securities that will constitute part of our senior debt. These senior debt securities will rank equally and pari passu with all our other unsecured and unsubordinated debt.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Subordinated Debt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under the subordinated indenture the debt securities that will constitute part of our subordinated debt. These subordinated debt securities will be subordinate and junior in right of payment, to the extent and in the manner set forth in the subordinated indenture, to all our senior indebtedness. Senior indebtedness is defined in the subordinated indenture and generally includes obligations of, or guaranteed by, us for borrowed money, or as evidenced by bonds, debentures, notes or other similar instruments, or in respect of letters of credit or other similar instruments, or to pay the deferred purchase price of property or services, or as a lessee under capital leases, or as secured by a lien on any asset of ours. Senior indebtedness does not include the subordinated debt securities or any other obligations specifically designated as being subordinate in right of payment to, or pari passu with, the subordinated debt securities. In general, the holders of all senior indebtedness are first entitled to receive payment in full of such senior indebtedness before the holders of any of the subordinated debt securities are entitled to receive a payment on account of the principal or interest on the indebtedness evidenced by the subordinated debt securities in certain events. These events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Dutch law, any insolvency or bankruptcy proceedings, or any receivership, dissolution, winding up, total or partial liquidation, reorganization or other similar proceedings in respect of us or a substantial part of our property, whether voluntary or involuntary;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 default having occurred with respect to the payment of principal or interest on or other monetary amounts due and payable with respect to any senior indebtedness or (ii) an event of default (other than a default described in clause (i) above) having occurred with respect to any senior indebtedness that permits the holder or holders of such senior indebtedness to accelerate the maturity of such senior indebtedness. Such a default or event of default must have continued beyond the period of grace, if any, provided in respect of such default or event of default, and such a default or event of default shall not have been cured or waived or shall not have ceased to exist;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of, and accrued interest on, any series of the subordinated debt securities having been declared due and payable upon an event of default pursuant to the subordinated indenture. This declaration must not have been rescinded and annulled as provided in the subordinated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Authentication and Delivery </w:t>
      </w:r>
    </w:p>
    <w:p>
      <w:pPr>
        <w:pStyle w:val="TextBody"/>
        <w:bidi w:val="0"/>
        <w:spacing w:before="120" w:after="0"/>
        <w:jc w:val="left"/>
        <w:rPr>
          <w:rFonts w:ascii="Times New Roman" w:hAnsi="Times New Roman"/>
          <w:sz w:val="20"/>
        </w:rPr>
      </w:pPr>
      <w:r>
        <w:rPr>
          <w:rFonts w:ascii="Times New Roman" w:hAnsi="Times New Roman"/>
          <w:sz w:val="20"/>
        </w:rPr>
        <w:t xml:space="preserve">We will deliver the debt securities to the trustee for authentication, and the trustee will authenticate and deliver the debt securities upon our written order.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When we use the term Event of Default in the indentures with respect to the debt securities of any series, set forth below are some examples of what we mean: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on the debt securities when it becomes due and payable at maturity or otherwise;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interest on the debt securities when it becomes due and payable, and such default continues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covenant in the indenture (other than defaults specified in clauses (1) or (2) above) and the default or breach continues for a period of 90 consecutive days or more after written notice to us by the trustee or to us and the trustee by the holders of 25% or more in aggregate principal amount of the outstanding debt securities of all series affected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certain events of bankruptcy, insolvency, or similar proceedings with respect to us or any substantial part of our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Events of Default that may be set forth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clause (4) above) with respect to the debt securities of any series then outstanding occurs and is continuing, then either the trustee or the holders of not less than 25% in principal amount of the securities of all such series then outstanding in respect of which an Event of Default has occurred may by notice in writing to us declare the entire principal amount of all debt securities of the affected series, and accrued interest, if any, to be due and payable immediately, and upon any such declaration the same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described in clause (4) above occurs and is continuing, then the principal amount of all the debt securities then outstanding and accrued interest shall be and become due immediately and payable without any declaration, notice or other action by any holder of the debt securities or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within 90 days after the occurrence of any default actually known to it, give notice of the default to the holders of the debt securities of that series, unless the default was already cured or waived. Unless there is a default in paying principal or interest when due, the trustee can withhold giving notice to the holders if it determines in good faith that the withholding of notice is in the interest of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Discharge and Defeasance </w:t>
      </w:r>
    </w:p>
    <w:p>
      <w:pPr>
        <w:pStyle w:val="TextBody"/>
        <w:bidi w:val="0"/>
        <w:spacing w:before="120" w:after="0"/>
        <w:jc w:val="left"/>
        <w:rPr>
          <w:rFonts w:ascii="Times New Roman" w:hAnsi="Times New Roman"/>
          <w:sz w:val="20"/>
        </w:rPr>
      </w:pPr>
      <w:r>
        <w:rPr>
          <w:rFonts w:ascii="Times New Roman" w:hAnsi="Times New Roman"/>
          <w:sz w:val="20"/>
        </w:rPr>
        <w:t xml:space="preserve">We may discharge our obligations under each indenture, except as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registration of transfer and exchange of debt securities, and our right of optional redemption,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substitution of mutilated, defaced, destroyed, lost or stolen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holders of the debt securities to receive payments of principal and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obligations and immunities of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the holders of the debt securities as beneficiaries with respect to the property deposited with the trustee payable to them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debt securities of any series issued that have been authenticated and delivered have been delivered by us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debt securities of any series issued that have not been delivered by us to the trustee for cancellation have become due and payable or will become due and payable within one year or are to be called for redemption within one year under arrangements satisfactory to the trustee for the giving of notice of redemption by such trustee in our name and at our expense, and we have irrevocably deposited or caused to be deposited with the trustee as trust funds the entire amount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sufficient to pay at maturity or upon redemption all debt securities of such series not delivered to the trustee for cancellation, including principal and interest due or to become due on or prior to such date of maturity or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then due and payable under such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all conditions precedent under such indenture relating to the satisfaction and discharge of such indenture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unless the applicable prospectus supplement and supplemental indenture otherwise provide, we may elect either (i) to have our obligations under each indenture discharged with respect to the outstanding debt securities of any series (legal defeasance) or (ii) to be released from our obligations under each indenture with respect to certain covenants applicable to the outstanding debt securities of any series (covenant defeasance). Legal defeasance means that we will be deemed to have paid and discharged the entire indebtedness represented by the outstanding debt securities of such series under such indenture and covenant defeasance means that we will no longer be required to comply with the obligations with respect to such covenants (and an omission to comply with such obligations will not constitute a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legal defeasance or covenant defeasance with respect to outstanding debt securities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irrevocably have deposited or caused to be deposited with the trustee as trust funds in trust for the purpose of making the following payments, specifically pledged as security for, and dedicated solely to the benefits of the holders of the debt securities of a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in an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government obligations;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money and U.S. government obligations, in each case sufficient without reinvestment, in the written opinion of a nationally recognized firm of independent public accountants, to pay and discharge, and which shall be applied by the trustee to pay and discharge, all of the principal and interest at due date or maturity or if we have made irrevocable arrangements satisfactory to the trustee for the giving of notice of redemption by the trustee,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opinion of counsel stating that, under then applicable U.S. federal income tax law, the holders of the debt securities of that series will not recognize gain or loss for U.S. federal income tax purposes as a result of the defeasance and will be subject to the same federal income tax as would be the case if the defeasance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relating to bankruptcy or insolvency and, in the case of a covenant defeasance, no other default has occurred and is continuing at any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such time the debt securities of such series are listed on a national securities exchange, we have delivered to the trustee an opinion of counsel to the effect that the debt securities of such series will not be delisted as a result of such defeasance;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stating that all conditions precedent with respect to the defeasance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furnish to each trustee an annual statement as to compliance with all conditions and covenants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x807379_10"/>
      <w:bookmarkEnd w:id="12"/>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debt securities, ordinary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warrants we offer will include specific terms relating to the offering. These terms will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number and terms of the debt securities, ordinary shares or other securities purchasable upon exercise of the warrants and procedures by which those numbers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or periods during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securities with which the warrants are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warrants are issued as a unit with another security, the date on and after which the warrants and the other security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exercise price is not payable in U.S. dollars, the foreign currency, currency unit or composite currency in which the exercise price is denominated;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minimum or maximum amount of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relating to the modification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procedures and limitations relating to the transferability, exchange or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terms of any warrants to be issued and a description of the material provisions of the applicable warrant agreement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x807379_11"/>
      <w:bookmarkEnd w:id="13"/>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purchase contracts for the purchase or sale of debt or equity securities issued by us or securities of third parties, a basket of such securities, an index or indices of such securities or any combination of the above as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purchase contract will entitle the holder thereof to purchase or sell, and obligate us to sell or purchase, on specified dates, such securities at a specified purchase price, which may be based on a formula, all as set forth in the applicable prospectus supplement. A purchase by us or any of our subsidiaries of ordinary shares pursuant to any such purchase contract shall be subject to certain restrictions under Dutch law that generally apply to a repurchase of shares. We may, however, satisfy our obligations, if any, with respect to any purchase contract by delivering the cash value of such purchase contract or the cash value of the property otherwise deliverable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 </w:t>
      </w:r>
    </w:p>
    <w:p>
      <w:pPr>
        <w:pStyle w:val="TextBody"/>
        <w:bidi w:val="0"/>
        <w:spacing w:before="240" w:after="0"/>
        <w:jc w:val="left"/>
        <w:rPr>
          <w:rFonts w:ascii="Times New Roman" w:hAnsi="Times New Roman"/>
          <w:sz w:val="20"/>
        </w:rPr>
      </w:pPr>
      <w:r>
        <w:rPr>
          <w:rFonts w:ascii="Times New Roman" w:hAnsi="Times New Roman"/>
          <w:sz w:val="20"/>
        </w:rPr>
        <w:t xml:space="preserve">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senior indenture or the subordinated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x807379_12"/>
      <w:bookmarkEnd w:id="14"/>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As specified in the applicable prospectus supplement, we may issue units consisting of one or more ordinary shares, debt securities, warrants, purchase contracts or any combination of such securities. The applicable prospectus supplement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units and of the ordinary shares, debt securities, warrants and/or purchase contracts comprising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terms of any unit agreement governing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provisions for the payment, settlement, transfer or exchange of the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x807379_13"/>
      <w:bookmarkEnd w:id="15"/>
      <w:r>
        <w:rPr>
          <w:rFonts w:ascii="Times New Roman" w:hAnsi="Times New Roman"/>
          <w:b/>
          <w:sz w:val="20"/>
        </w:rPr>
        <w:t xml:space="preserve">FORMS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Registered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Pharvaris N.V., its affiliates, the trustees, the warrant agents, the unit agents or any other agent of Pharvaris N.V.,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x807379_14"/>
      <w:bookmarkEnd w:id="1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in one or more of the following ways (or in any combination)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at-the-market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permitted by applicable law and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will state the terms of the offering of the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such securities and the proceeds to be received by us,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or agency fees and other items constituting underwriters or agents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exchanges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 securities will be acquired by the underwriters for their own account and may be resold from time to time in one or more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public offering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a prospectus supplement, the obligations of the underwriters to purchase any securities will be conditioned on customary closing conditions and the underwriters will be obligated to purchase all of such series of securities, if any are purchased.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sold through agents from time to time. The prospectus supplement will name any agent involved in the offer or sale of the securities and any commissions paid to them. Generally, any agent will be acting on commercially reasonable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 </w:t>
      </w:r>
    </w:p>
    <w:p>
      <w:pPr>
        <w:pStyle w:val="TextBody"/>
        <w:bidi w:val="0"/>
        <w:spacing w:before="240" w:after="0"/>
        <w:jc w:val="left"/>
        <w:rPr>
          <w:rFonts w:ascii="Times New Roman" w:hAnsi="Times New Roman"/>
          <w:sz w:val="20"/>
        </w:rPr>
      </w:pPr>
      <w:r>
        <w:rPr>
          <w:rFonts w:ascii="Times New Roman" w:hAnsi="Times New Roman"/>
          <w:sz w:val="20"/>
        </w:rPr>
        <w:t xml:space="preserve">Underwriters and agents may be customers of, engage in transactions with, or perform services for us and our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securities will be a new issue of securities and will have no established trading market, other than our ordinary shares, which are listed on The Nasdaq Global Select Market.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x807379_15"/>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following documents or information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20-F for the fiscal year ended December  31, 2023 filed on </w:t>
            </w:r>
            <w:hyperlink r:id="rId3">
              <w:r>
                <w:rPr>
                  <w:rStyle w:val="InternetLink"/>
                  <w:rFonts w:ascii="Times New Roman" w:hAnsi="Times New Roman"/>
                  <w:sz w:val="20"/>
                </w:rPr>
                <w:t>April 10,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Forms 6-K filed on </w:t>
            </w:r>
            <w:hyperlink r:id="rId4">
              <w:r>
                <w:rPr>
                  <w:rStyle w:val="InternetLink"/>
                  <w:rFonts w:ascii="Times New Roman" w:hAnsi="Times New Roman"/>
                  <w:sz w:val="20"/>
                </w:rPr>
                <w:t>January 8, 2024</w:t>
              </w:r>
            </w:hyperlink>
            <w:r>
              <w:rPr>
                <w:rFonts w:ascii="Times New Roman" w:hAnsi="Times New Roman"/>
                <w:sz w:val="20"/>
              </w:rPr>
              <w:t xml:space="preserve"> (other than exhibit 99.2), </w:t>
            </w:r>
            <w:hyperlink r:id="rId5">
              <w:r>
                <w:rPr>
                  <w:rStyle w:val="InternetLink"/>
                  <w:rFonts w:ascii="Times New Roman" w:hAnsi="Times New Roman"/>
                  <w:sz w:val="20"/>
                </w:rPr>
                <w:t>January  22, 2024</w:t>
              </w:r>
            </w:hyperlink>
            <w:r>
              <w:rPr>
                <w:rFonts w:ascii="Times New Roman" w:hAnsi="Times New Roman"/>
                <w:sz w:val="20"/>
              </w:rPr>
              <w:t xml:space="preserve"> (other than exhibit 99.2), </w:t>
            </w:r>
            <w:hyperlink r:id="rId6">
              <w:r>
                <w:rPr>
                  <w:rStyle w:val="InternetLink"/>
                  <w:rFonts w:ascii="Times New Roman" w:hAnsi="Times New Roman"/>
                  <w:sz w:val="20"/>
                </w:rPr>
                <w:t>February 7, 2024</w:t>
              </w:r>
            </w:hyperlink>
            <w:r>
              <w:rPr>
                <w:rFonts w:ascii="Times New Roman" w:hAnsi="Times New Roman"/>
                <w:sz w:val="20"/>
              </w:rPr>
              <w:t xml:space="preserve">, </w:t>
            </w:r>
            <w:hyperlink r:id="rId7">
              <w:r>
                <w:rPr>
                  <w:rStyle w:val="InternetLink"/>
                  <w:rFonts w:ascii="Times New Roman" w:hAnsi="Times New Roman"/>
                  <w:sz w:val="20"/>
                </w:rPr>
                <w:t>February 16, 2024</w:t>
              </w:r>
            </w:hyperlink>
            <w:r>
              <w:rPr>
                <w:rFonts w:ascii="Times New Roman" w:hAnsi="Times New Roman"/>
                <w:sz w:val="20"/>
              </w:rPr>
              <w:t xml:space="preserve"> (other than exhibits 99.4 and 99.5), </w:t>
            </w:r>
            <w:hyperlink r:id="rId8">
              <w:r>
                <w:rPr>
                  <w:rStyle w:val="InternetLink"/>
                  <w:rFonts w:ascii="Times New Roman" w:hAnsi="Times New Roman"/>
                  <w:sz w:val="20"/>
                </w:rPr>
                <w:t>March  6, 2024</w:t>
              </w:r>
            </w:hyperlink>
            <w:r>
              <w:rPr>
                <w:rFonts w:ascii="Times New Roman" w:hAnsi="Times New Roman"/>
                <w:sz w:val="20"/>
              </w:rPr>
              <w:t xml:space="preserve"> and </w:t>
            </w:r>
            <w:hyperlink r:id="rId9">
              <w:r>
                <w:rPr>
                  <w:rStyle w:val="InternetLink"/>
                  <w:rFonts w:ascii="Times New Roman" w:hAnsi="Times New Roman"/>
                  <w:sz w:val="20"/>
                </w:rPr>
                <w:t>April 10, 2024</w:t>
              </w:r>
            </w:hyperlink>
            <w:r>
              <w:rPr>
                <w:rFonts w:ascii="Times New Roman" w:hAnsi="Times New Roman"/>
                <w:sz w:val="20"/>
              </w:rPr>
              <w:t xml:space="preserve"> (other than exhibit 99.1);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ordinary shares contained in our registration statement on </w:t>
            </w:r>
            <w:hyperlink r:id="rId10">
              <w:r>
                <w:rPr>
                  <w:rStyle w:val="InternetLink"/>
                  <w:rFonts w:ascii="Times New Roman" w:hAnsi="Times New Roman"/>
                  <w:sz w:val="20"/>
                </w:rPr>
                <w:t>Form 8-A</w:t>
              </w:r>
            </w:hyperlink>
            <w:r>
              <w:rPr>
                <w:rFonts w:ascii="Times New Roman" w:hAnsi="Times New Roman"/>
                <w:sz w:val="20"/>
              </w:rPr>
              <w:t xml:space="preserve"> filed with the SEC on February 4, 2021, as updated by the description of our ordinary shares filed as </w:t>
            </w:r>
            <w:hyperlink r:id="rId11">
              <w:r>
                <w:rPr>
                  <w:rStyle w:val="InternetLink"/>
                  <w:rFonts w:ascii="Times New Roman" w:hAnsi="Times New Roman"/>
                  <w:sz w:val="20"/>
                </w:rPr>
                <w:t>Exhibit 2.1</w:t>
              </w:r>
            </w:hyperlink>
            <w:r>
              <w:rPr>
                <w:rFonts w:ascii="Times New Roman" w:hAnsi="Times New Roman"/>
                <w:sz w:val="20"/>
              </w:rPr>
              <w:t xml:space="preserve"> to our Annual Report on Form 20-F for the fiscal year ended December 31,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6-K that it is being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Emmy Noetherweg 2, 2333 BK Leiden, The Netherlands or via telephone at +31 (0)71 203 6410.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x807379_16"/>
      <w:bookmarkEnd w:id="18"/>
      <w:r>
        <w:rPr>
          <w:rFonts w:ascii="Times New Roman" w:hAnsi="Times New Roman"/>
          <w:b/>
          <w:sz w:val="20"/>
        </w:rPr>
        <w:t xml:space="preserve">ENFORCEMENT OF JUDGMENTS </w:t>
      </w:r>
    </w:p>
    <w:p>
      <w:pPr>
        <w:pStyle w:val="TextBody"/>
        <w:bidi w:val="0"/>
        <w:spacing w:before="240" w:after="0"/>
        <w:jc w:val="left"/>
        <w:rPr>
          <w:rFonts w:ascii="Times New Roman" w:hAnsi="Times New Roman"/>
          <w:sz w:val="20"/>
        </w:rPr>
      </w:pPr>
      <w:r>
        <w:rPr>
          <w:rFonts w:ascii="Times New Roman" w:hAnsi="Times New Roman"/>
          <w:sz w:val="20"/>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Times New Roman" w:hAnsi="Times New Roman"/>
          <w:i/>
          <w:sz w:val="20"/>
        </w:rPr>
        <w:t>functionarissen</w:t>
      </w:r>
      <w:r>
        <w:rPr>
          <w:rFonts w:ascii="Times New Roman" w:hAnsi="Times New Roman"/>
          <w:sz w:val="20"/>
        </w:rPr>
        <w:t xml:space="preserve">) (including our directors and executive officers) are governed in certain respects by the laws of the Netherlands. </w:t>
      </w:r>
    </w:p>
    <w:p>
      <w:pPr>
        <w:pStyle w:val="TextBody"/>
        <w:bidi w:val="0"/>
        <w:spacing w:before="240" w:after="0"/>
        <w:jc w:val="left"/>
        <w:rPr>
          <w:rFonts w:ascii="Times New Roman" w:hAnsi="Times New Roman"/>
          <w:sz w:val="20"/>
        </w:rPr>
      </w:pPr>
      <w:r>
        <w:rPr>
          <w:rFonts w:ascii="Times New Roman" w:hAnsi="Times New Roman"/>
          <w:sz w:val="20"/>
        </w:rPr>
        <w:t xml:space="preserve">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Also, service of process against non-residents of the United States can in principle (absent, for example, a valid choice of domicile) not be effected in the United States. </w:t>
      </w:r>
    </w:p>
    <w:p>
      <w:pPr>
        <w:pStyle w:val="TextBody"/>
        <w:bidi w:val="0"/>
        <w:spacing w:before="240" w:after="0"/>
        <w:jc w:val="left"/>
        <w:rPr>
          <w:rFonts w:ascii="Times New Roman" w:hAnsi="Times New Roman"/>
          <w:sz w:val="20"/>
        </w:rPr>
      </w:pPr>
      <w:r>
        <w:rPr>
          <w:rFonts w:ascii="Times New Roman" w:hAnsi="Times New Roman"/>
          <w:sz w:val="20"/>
        </w:rPr>
        <w:t>Furthermore, substantially all of our assets are located outside the United States. As of the date of this prospectus,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hAnsi="Times New Roman"/>
          <w:i/>
          <w:sz w:val="20"/>
        </w:rPr>
        <w:t>behoorlijke rechtspleging</w:t>
      </w:r>
      <w:r>
        <w:rPr>
          <w:rFonts w:ascii="Times New Roman" w:hAnsi="Times New Roman"/>
          <w:sz w:val="20"/>
        </w:rPr>
        <w:t>), (iii) binding effect of such United States judgment is not contrary to Dutch public order (</w:t>
      </w:r>
      <w:r>
        <w:rPr>
          <w:rFonts w:ascii="Times New Roman" w:hAnsi="Times New Roman"/>
          <w:i/>
          <w:sz w:val="20"/>
        </w:rPr>
        <w:t>openbare orde</w:t>
      </w:r>
      <w:r>
        <w:rPr>
          <w:rFonts w:ascii="Times New Roman" w:hAnsi="Times New Roman"/>
          <w:sz w:val="20"/>
        </w:rPr>
        <w:t xml:space="preserve">)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 </w:t>
      </w:r>
    </w:p>
    <w:p>
      <w:pPr>
        <w:pStyle w:val="TextBody"/>
        <w:bidi w:val="0"/>
        <w:spacing w:before="240" w:after="0"/>
        <w:jc w:val="left"/>
        <w:rPr>
          <w:rFonts w:ascii="Times New Roman" w:hAnsi="Times New Roman"/>
          <w:sz w:val="20"/>
        </w:rPr>
      </w:pPr>
      <w:r>
        <w:rPr>
          <w:rFonts w:ascii="Times New Roman" w:hAnsi="Times New Roman"/>
          <w:sz w:val="20"/>
        </w:rPr>
        <w:t xml:space="preserve">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Thus, United States investors may not be able, or experience difficulty, to enforce a judgment obtained in a United States court against us or our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x807379_17"/>
      <w:bookmarkEnd w:id="19"/>
      <w:r>
        <w:rPr>
          <w:rFonts w:ascii="Times New Roman" w:hAnsi="Times New Roman"/>
          <w:b/>
          <w:sz w:val="20"/>
        </w:rPr>
        <w:t xml:space="preserve">EXPENSES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9"/>
        <w:gridCol w:w="397"/>
        <w:gridCol w:w="141"/>
        <w:gridCol w:w="1339"/>
        <w:gridCol w:w="63"/>
      </w:tblGrid>
      <w:tr>
        <w:trPr/>
        <w:tc>
          <w:tcPr>
            <w:tcW w:w="4999"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99"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To Be Paid</w:t>
            </w:r>
          </w:p>
        </w:tc>
        <w:tc>
          <w:tcPr>
            <w:tcW w:w="63" w:type="dxa"/>
            <w:tcBorders/>
            <w:vAlign w:val="bottom"/>
          </w:tcPr>
          <w:p>
            <w:pPr>
              <w:pStyle w:val="TableContents"/>
              <w:bidi w:val="0"/>
              <w:spacing w:before="0" w:after="283"/>
              <w:jc w:val="left"/>
              <w:rPr/>
            </w:pPr>
            <w:r>
              <w:rPr/>
              <w:t> </w:t>
            </w:r>
          </w:p>
        </w:tc>
      </w:tr>
      <w:tr>
        <w:trPr>
          <w:trHeight w:val="120" w:hRule="atLeast"/>
        </w:trPr>
        <w:tc>
          <w:tcPr>
            <w:tcW w:w="4999" w:type="dxa"/>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and Exchange Commission Registration Fee</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39"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999"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33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bidi w:val="0"/>
        <w:spacing w:before="480" w:after="0"/>
        <w:jc w:val="center"/>
        <w:rPr>
          <w:rFonts w:ascii="Times New Roman" w:hAnsi="Times New Roman"/>
          <w:b/>
          <w:sz w:val="20"/>
        </w:rPr>
      </w:pPr>
      <w:bookmarkStart w:id="20" w:name="tx807379_18"/>
      <w:bookmarkEnd w:id="2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ordinary shares and certain other matters of Dutch law will be passed upon for us by NautaDutilh N.V. Certain matters of U.S. federal and New York State law will be passed upon for us by Kirkland  &amp; Ellis LLP, New York, New York. </w:t>
      </w:r>
    </w:p>
    <w:p>
      <w:pPr>
        <w:pStyle w:val="TextBody"/>
        <w:bidi w:val="0"/>
        <w:spacing w:before="480" w:after="0"/>
        <w:jc w:val="center"/>
        <w:rPr>
          <w:rFonts w:ascii="Times New Roman" w:hAnsi="Times New Roman"/>
          <w:b/>
          <w:sz w:val="20"/>
        </w:rPr>
      </w:pPr>
      <w:bookmarkStart w:id="21" w:name="tx807379_19"/>
      <w:bookmarkEnd w:id="2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20-F for the year ended December 31, 2023 have been so incorporated in reliance on the report of PricewaterhouseCoopers Accountants N.V.,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0" w:after="0"/>
        <w:jc w:val="center"/>
        <w:rPr>
          <w:rFonts w:ascii="Times New Roman" w:hAnsi="Times New Roman"/>
          <w:b/>
          <w:sz w:val="48"/>
        </w:rPr>
      </w:pPr>
      <w:r>
        <w:rPr>
          <w:rFonts w:ascii="Times New Roman" w:hAnsi="Times New Roman"/>
          <w:b/>
          <w:sz w:val="48"/>
        </w:rPr>
        <w:t xml:space="preserve">Pharvaris N.V. </w:t>
      </w:r>
    </w:p>
    <w:p>
      <w:pPr>
        <w:pStyle w:val="TextBody"/>
        <w:bidi w:val="0"/>
        <w:spacing w:before="600" w:after="0"/>
        <w:jc w:val="center"/>
        <w:rPr>
          <w:rFonts w:ascii="Times New Roman" w:hAnsi="Times New Roman"/>
          <w:b/>
          <w:sz w:val="32"/>
        </w:rPr>
      </w:pPr>
      <w:r>
        <w:rPr>
          <w:rFonts w:ascii="Times New Roman" w:hAnsi="Times New Roman"/>
          <w:b/>
          <w:sz w:val="32"/>
        </w:rPr>
        <w:t xml:space="preserve">Ordinary shares </w:t>
      </w:r>
    </w:p>
    <w:p>
      <w:pPr>
        <w:pStyle w:val="TextBody"/>
        <w:bidi w:val="0"/>
        <w:spacing w:before="0" w:after="0"/>
        <w:jc w:val="center"/>
        <w:rPr>
          <w:rFonts w:ascii="Times New Roman" w:hAnsi="Times New Roman"/>
          <w:b/>
          <w:sz w:val="32"/>
        </w:rPr>
      </w:pPr>
      <w:r>
        <w:rPr>
          <w:rFonts w:ascii="Times New Roman" w:hAnsi="Times New Roman"/>
          <w:b/>
          <w:sz w:val="32"/>
        </w:rPr>
        <w:t xml:space="preserve">Debt Securities </w:t>
      </w:r>
    </w:p>
    <w:p>
      <w:pPr>
        <w:pStyle w:val="TextBody"/>
        <w:bidi w:val="0"/>
        <w:spacing w:before="0" w:after="0"/>
        <w:jc w:val="center"/>
        <w:rPr>
          <w:rFonts w:ascii="Times New Roman" w:hAnsi="Times New Roman"/>
          <w:b/>
          <w:sz w:val="32"/>
        </w:rPr>
      </w:pPr>
      <w:r>
        <w:rPr>
          <w:rFonts w:ascii="Times New Roman" w:hAnsi="Times New Roman"/>
          <w:b/>
          <w:sz w:val="32"/>
        </w:rPr>
        <w:t xml:space="preserve">Warrants </w:t>
      </w:r>
    </w:p>
    <w:p>
      <w:pPr>
        <w:pStyle w:val="TextBody"/>
        <w:bidi w:val="0"/>
        <w:spacing w:before="0" w:after="0"/>
        <w:jc w:val="center"/>
        <w:rPr>
          <w:rFonts w:ascii="Times New Roman" w:hAnsi="Times New Roman"/>
          <w:b/>
          <w:sz w:val="32"/>
        </w:rPr>
      </w:pPr>
      <w:r>
        <w:rPr>
          <w:rFonts w:ascii="Times New Roman" w:hAnsi="Times New Roman"/>
          <w:b/>
          <w:sz w:val="32"/>
        </w:rPr>
        <w:t xml:space="preserve">Purchase Contracts </w:t>
      </w:r>
    </w:p>
    <w:p>
      <w:pPr>
        <w:pStyle w:val="TextBody"/>
        <w:bidi w:val="0"/>
        <w:spacing w:before="0" w:after="0"/>
        <w:jc w:val="center"/>
        <w:rPr>
          <w:rFonts w:ascii="Times New Roman" w:hAnsi="Times New Roman"/>
          <w:b/>
          <w:sz w:val="32"/>
        </w:rPr>
      </w:pPr>
      <w:r>
        <w:rPr>
          <w:rFonts w:ascii="Times New Roman" w:hAnsi="Times New Roman"/>
          <w:b/>
          <w:sz w:val="32"/>
        </w:rPr>
        <w:t xml:space="preserve">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April 12, 2024) </w:t>
      </w:r>
    </w:p>
    <w:p>
      <w:pPr>
        <w:pStyle w:val="TextBody"/>
        <w:bidi w:val="0"/>
        <w:spacing w:before="120" w:after="0"/>
        <w:jc w:val="center"/>
        <w:rPr>
          <w:rFonts w:ascii="Times New Roman" w:hAnsi="Times New Roman"/>
          <w:b/>
          <w:sz w:val="36"/>
        </w:rPr>
      </w:pPr>
      <w:r>
        <w:rPr>
          <w:rFonts w:ascii="Times New Roman" w:hAnsi="Times New Roman"/>
          <w:b/>
          <w:sz w:val="36"/>
        </w:rPr>
        <w:t xml:space="preserve">Up to $175,000,000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42570" cy="40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242570" cy="4000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8"/>
        </w:rPr>
      </w:pPr>
      <w:r>
        <w:rPr>
          <w:rFonts w:ascii="Times New Roman" w:hAnsi="Times New Roman"/>
          <w:b/>
          <w:sz w:val="28"/>
        </w:rPr>
        <w:t xml:space="preserve">Ordinary shares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with Leerink Partners LLC, or Leerink Partners, dated April 12, 2024, or the Sales Agreement, relating to the sale of our ordinary shares offered by this prospectus supplement and the accompanying prospectus. In accordance with the terms of the Sales Agreement, under this prospectus supplement we may offer and sell our ordinary shares, nominal value 0.12 per share, having an aggregate offering price of up to $175,000,000 from time to time through Leerink Partners, acting as our agent. </w:t>
      </w:r>
    </w:p>
    <w:p>
      <w:pPr>
        <w:pStyle w:val="TextBody"/>
        <w:bidi w:val="0"/>
        <w:spacing w:before="240" w:after="0"/>
        <w:jc w:val="left"/>
        <w:rPr>
          <w:rFonts w:ascii="Times New Roman" w:hAnsi="Times New Roman"/>
          <w:sz w:val="20"/>
        </w:rPr>
      </w:pPr>
      <w:r>
        <w:rPr>
          <w:rFonts w:ascii="Times New Roman" w:hAnsi="Times New Roman"/>
          <w:sz w:val="20"/>
        </w:rPr>
        <w:t xml:space="preserve">Sales of our ordinary shares, if any, under this prospectus supplement will be made by any method permitted that is deemed an at the market offering as defined in Rule 415 under the Securities Act of 1933, as amended, or the Securities Act, including sales made directly on or through The Nasdaq Global Select Market, or Nasdaq, the existing trading market for our ordinary shares, sales made to or through a market maker other than on an exchange or otherwise, and/or any other method permitted by law. Leerink Partners is not required to sell any specific amount, but will act as our sales agent using commercially reasonable efforts consistent with its normal trading and sales practices.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will be entitled to compensation at a commission rate of up to 3.0% of the gross sales price per share sold under the Sales Agreement. See Plan of Distribution beginning on page S-21 for additional information regarding the compensation to be paid to Leerink Partners.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ordinary shares on our behalf, Leerink Partners may be deemed to be an underwriter within the meaning of the Securities Act and the compensation of Leerink Partners may be deemed to be underwriting commissions or discounts. We have also agreed to provide indemnification and contribution to Leerink Partners with respect to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ordinary shares trade on The Nasdaq Global Select Market, or Nasdaq, under the trading symbol PHVS. On April 11, 2024, the last sale price of our ordinary shares as reported on Nasdaq was $22.31 per share.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and a foreign private issuer as defined under the U.S. Securities and Exchange Commission and, as such, we have elected to comply with certain reduced public company reporting requirements for this prospectus supplement and future filings. Please see Pharvaris N.V.Implications of Being an Emerging Growth Company and a Foreign Private Issuer in the accompanying prospectus for more information.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0"/>
        </w:rPr>
        <w:t>Investing in our ordinary shares involves a high degree of risk. You should review carefully the risks and uncertainties described under the header </w:t>
      </w:r>
      <w:hyperlink w:anchor="stx807379_7">
        <w:r>
          <w:rPr>
            <w:rStyle w:val="InternetLink"/>
            <w:rFonts w:ascii="Times New Roman" w:hAnsi="Times New Roman"/>
            <w:b/>
            <w:sz w:val="20"/>
          </w:rPr>
          <w:t>Risk Factors</w:t>
        </w:r>
      </w:hyperlink>
      <w:r>
        <w:rPr>
          <w:rFonts w:ascii="Times New Roman" w:hAnsi="Times New Roman"/>
          <w:b/>
          <w:sz w:val="20"/>
        </w:rPr>
        <w:t xml:space="preserve"> contained in this prospectus supplement beginning on page S-4 and under similar headings in the other documents that are incorporated by reference into this prospectus supplement and the accompanying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read the entire prospectus supplement and the accompanying prospectus, including any information incorporated by reference herein or therein, carefully before you make your investment decision.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or the SEC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Leerink Partners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April 12,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index"/>
      <w:bookmarkEnd w:id="2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tx807379_1">
              <w:r>
                <w:rPr>
                  <w:rStyle w:val="InternetLink"/>
                  <w:rFonts w:ascii="Times New Roman" w:hAnsi="Times New Roman"/>
                  <w:sz w:val="20"/>
                </w:rPr>
                <w:t>PRESENTATION OF FINANCIAL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2">
              <w:r>
                <w:rPr>
                  <w:rStyle w:val="InternetLink"/>
                  <w:rFonts w:ascii="Times New Roman" w:hAnsi="Times New Roman"/>
                  <w:sz w:val="20"/>
                </w:rPr>
                <w:t>TRADEMARKS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3">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4">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5">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6">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7">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8">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9">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10">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11">
              <w:r>
                <w:rPr>
                  <w:rStyle w:val="InternetLink"/>
                  <w:rFonts w:ascii="Times New Roman" w:hAnsi="Times New Roman"/>
                  <w:sz w:val="20"/>
                </w:rPr>
                <w:t>MATERIAL UNITED STATES FEDERAL INCOME TAX AND DUTCH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12">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13">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14">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15">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tx807379_16">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80737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3">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4">
              <w:r>
                <w:rPr>
                  <w:rStyle w:val="InternetLink"/>
                  <w:rFonts w:ascii="Times New Roman" w:hAnsi="Times New Roman"/>
                  <w:sz w:val="20"/>
                </w:rPr>
                <w:t>PHARVARIS N.V.</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7">
              <w:r>
                <w:rPr>
                  <w:rStyle w:val="InternetLink"/>
                  <w:rFonts w:ascii="Times New Roman" w:hAnsi="Times New Roman"/>
                  <w:sz w:val="20"/>
                </w:rPr>
                <w:t>DESCRIPTION OF SHARE CAPITAL AND ARTICLES OF ASSOCIATION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8">
              <w:r>
                <w:rPr>
                  <w:rStyle w:val="InternetLink"/>
                  <w:rFonts w:ascii="Times New Roman" w:hAnsi="Times New Roman"/>
                  <w:sz w:val="20"/>
                </w:rPr>
                <w:t xml:space="preserve">COMPARISON OF DUTCH LAW AND OUR ARTICLES OF ASSOCIATION AND U.S. CORPORATE LAW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9">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10">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11">
              <w:r>
                <w:rPr>
                  <w:rStyle w:val="InternetLink"/>
                  <w:rFonts w:ascii="Times New Roman" w:hAnsi="Times New Roman"/>
                  <w:sz w:val="20"/>
                </w:rPr>
                <w:t>DESCRIPTION OF PURCHASE CONTRACTS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12">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13">
              <w:r>
                <w:rPr>
                  <w:rStyle w:val="InternetLink"/>
                  <w:rFonts w:ascii="Times New Roman" w:hAnsi="Times New Roman"/>
                  <w:sz w:val="20"/>
                </w:rPr>
                <w:t>FORMS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14">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15">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16">
              <w:r>
                <w:rPr>
                  <w:rStyle w:val="InternetLink"/>
                  <w:rFonts w:ascii="Times New Roman" w:hAnsi="Times New Roman"/>
                  <w:sz w:val="20"/>
                </w:rPr>
                <w:t>ENFORCEMENT OF JUDGMENTS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17">
              <w:r>
                <w:rPr>
                  <w:rStyle w:val="InternetLink"/>
                  <w:rFonts w:ascii="Times New Roman" w:hAnsi="Times New Roman"/>
                  <w:sz w:val="20"/>
                </w:rPr>
                <w:t>EXPENSES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18">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807379_19">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stx807379_1"/>
      <w:bookmarkEnd w:id="23"/>
      <w:r>
        <w:rPr>
          <w:rFonts w:ascii="Times New Roman" w:hAnsi="Times New Roman"/>
          <w:b/>
          <w:sz w:val="20"/>
        </w:rPr>
        <w:t xml:space="preserve">PRESENTATION OF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report under IFRS Accounting Standards, or IFRS, as issued by the International Accounting Standards Board, or the IASB. None of the consolidated financial statements incorporated by reference herein were prepared in accordance with generally accepted accounting principles in the United States. We present our consolidated financial statements in euros and in accordance with IFRS as issued by the IASB. We have made rounding adjustments to some of the figures included in this prospectus supplement. Accordingly, numerical figures shown as totals in some tables may not be an arithmetic aggregation of the figures that preceded them.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all references in this prospectus supplement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Solely for the convenience of the reader, certain euro amounts herein have been translated into U.S. dollars at the rate of 1.00 to $1.105, the average exchange rate quoted as of December 31, 2023 by the European Central Bank. These translations should not be considered representations that any such amounts have been, could have been or could be converted into U.S. dollars at that or any other exchange rate as at that or any other date. </w:t>
      </w:r>
    </w:p>
    <w:p>
      <w:pPr>
        <w:pStyle w:val="TextBody"/>
        <w:bidi w:val="0"/>
        <w:spacing w:before="480" w:after="0"/>
        <w:jc w:val="center"/>
        <w:rPr>
          <w:rFonts w:ascii="Times New Roman" w:hAnsi="Times New Roman"/>
          <w:b/>
          <w:sz w:val="20"/>
        </w:rPr>
      </w:pPr>
      <w:bookmarkStart w:id="24" w:name="stx807379_2"/>
      <w:bookmarkEnd w:id="24"/>
      <w:r>
        <w:rPr>
          <w:rFonts w:ascii="Times New Roman" w:hAnsi="Times New Roman"/>
          <w:b/>
          <w:sz w:val="20"/>
        </w:rPr>
        <w:t xml:space="preserve">TRADEMARKS </w:t>
      </w:r>
    </w:p>
    <w:p>
      <w:pPr>
        <w:pStyle w:val="TextBody"/>
        <w:bidi w:val="0"/>
        <w:spacing w:before="240" w:after="0"/>
        <w:jc w:val="left"/>
        <w:rPr>
          <w:rFonts w:ascii="Times New Roman" w:hAnsi="Times New Roman"/>
          <w:sz w:val="20"/>
        </w:rPr>
      </w:pPr>
      <w:r>
        <w:rPr>
          <w:rFonts w:ascii="Times New Roman" w:hAnsi="Times New Roman"/>
          <w:sz w:val="20"/>
        </w:rPr>
        <w:t xml:space="preserve">All trademarks, trade names and service marks appearing in this prospectus supplement are the property of their respective owners. Solely for convenience, the trademarks and trade names in this prospectus supplement are referred to without the symbols ® and ,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stx807379_3"/>
      <w:bookmarkEnd w:id="25"/>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second part is this prospectus supplement, which describes the specific terms of this offering. The first part is the accompanying prospectus. Both documents are part of an automatic shelf registration statement that we filed with the SEC as a well-known seasoned issuer as defined in Rule 405 under the Securities Act. The accompanying prospectus describes more general information, some of which may not apply to this offering. Under this shelf registration process, we may from time to time sell our ordinary shares under a prospectus supplement at prices and on terms to be determined by market conditions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Before buying any of the ordinary shares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any information other than that contained in or incorporated by reference in this prospectus supplement and any related free writing prospectus filed by us with the SEC. We have not, and Leerink Partners has not, authorized anyone to provide you with different information.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all references in this prospectus supplement to Pharvaris N.V., Pharvaris, the Company, we, our, ours, us or similar terms refer to Pharvaris N.V.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stx807379_4"/>
      <w:bookmarkEnd w:id="2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financial statements and other documents incorporated by reference in this prospectus supplement and the accompanying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and Section 21E of the Exchange Act. Many of the forward-looking statements contained in this prospectus supplement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represent some, but not necessarily all, of the factors that could cause actual results to differ from historical results or those anticipated or predicted by our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timing, progress, or success of our clinical development programs, especially for PHVS416 (immediate-release deucrictibant capsules) and PHVS719 (extended-release deucrictibant tablets), which are in late-stage global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replicate the efficacy and safety demonstrated in the RAPIDe-1 and CHAPTER-1 Phase 2 study in ongoing and future nonclinical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arising from epidemic diseases, such as the COVID-19 pandemic, which may adversely impact our business, nonclinical studies and clinical trials, the outcome and timing of regulatory approvals and the value of our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costs and other limitations involved in obtaining regulatory approval for our product candidates PHVS416 and PHVS719 or any other product candidate that we may develop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market, commercialize and achieve market acceptance for our product candidates PHVS416 and PHVS719 or any of our other product candidates that we may develop in the future,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commercial capabilities or enter into agreements with third parties to market, sell and distribute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third parties to perform critical activities related to the research, nonclinical safety and toxicology studies, development and manufacturing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FDA and other government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expense, time and uncertainty involved in the development and consistent manufacturing and supply of our product candidates, some or all of which may never reach the regulatory approval stage;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capital when needed and on acceptable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any new licensing agreements or to maintain any licensing agreements with respect to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collaboration partners and licensees, whose actions we cannot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private insurers and other payors to provide reimbursement for our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the European Union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and timing of price negotiations with governmental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in the pharmaceutical industry, including with respect to existing therapies, emerging potentially competitive therapies and with competitive generic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and know-how and operate our business without infringing the intellectual property rights or regulatory exclusivity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side effects or adverse events associated with the use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defend against costly and damaging liability claims resulting from the testing of our product candidates in the clinic or, if, approved, any commercial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any of our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market sizes and anticipated uses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future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anticipated operating losses, future revenues, expenses,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existing or future laws and regulations in a cost-efficient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negative consequences from changes in applicable laws and regulations, including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remediate the material weaknesses in our internal control over financial reporting and to maintain an effective system of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time during which we will be an emerging growth company under the JOBS Act or a foreign private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and uncertainty in general market, political and economic conditions, including as a result of inflation and the current conflict between Russia and Ukraine and the Hamas attack against Israel and the ensuing war;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 factors discussed herein under Risk Factors or incorporated herein by reference.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particular, you should consider the numerous risks described in our Annual Report on Form 20-F for the period ended December 31, 2023, as filed with the SEC on April 10, 2024, and as described or may be described in any subsequent Annual Report on Form 20-F under the heading Item 3.D. Risk Factors, which are incorporated by reference into this prospectus supplement, and any other documents we file with the SEC that are deemed incorporated by reference into this prospectus and in the Risk Factors section in the applicable prospectus supplement.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7" w:name="stx807379_5"/>
      <w:bookmarkEnd w:id="27"/>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related to this offering discussed under Risk Factors beginning on page S-4 of this prospectus supplement, along with the other risk factors, our consolidated financial statements and notes to those consolidated financial statements and the other information incorporated by reference in this prospectus supplement.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Pharvaris N.V.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bradykinin-B2-receptor antagonist for the treatment of hereditary angioedema, or HAE. Bradykinin-B2-receptor inhibition is a clinically validated mechanism for the treatment of HAE, as demonstrated by icatibant, which is a bradykinin-B2-receptor antagonist approved in Europe in 2008 and in the United States in 2011 (as FIRAZYR). We designed deucrictibant to improve upon the therapeutic profile of existing therapies and, through oral delivery, to provide patients with quality of life and ease-of-administration that is superior to current standard-of-care HAE treatments, which are injectables. We believe deucrictibant has the potential to provide a safe, effective and easy-to-administer option for both acute and prophylactic treatments of HAE, in the form of our PHVS416 (deucrictibant immediate-release (IR)) on-demand rapid exposure product candidate, and for prophylaxis of HAE, in the form of our PHVS719 (deucrictibant extended-release (ER))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bradykinin-B2-receptor), rather than an upstream signal. By blocking the action of bradykinin, we can prevent its aberrant signaling regardless of the pathway that generates it.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our completed Phase 1 trials to date, we have observed that deucrictibant was orally bioavailable and well tolerated at all doses studied, with approximately dose-proportional exposure. We also have successfully demonstrated proof-of-concept through a clinical pharmacodynamics, or PD assessment with the bradykinin challenge, which had been utilized as a validated surrogate assessment for dose selection in the icatibant development program.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have also demonstrated clinical efficacy and tolerability in a Phase 2 study (CHAPTER-1) for prophylaxis of HAE attacks. We commenced the CHAPTER-1 Phase 2 clinical trial for prophylaxis in 2021 using twice-daily dosing of the PHVS416 soft capsules and announced positive topline data in December 2023. Our primary objective with this trial was to assess the efficacy and safety profile of PHVS416 dose regimens for prophylactic treatments in HAE patients.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10, 2024, we announced the appointment of Mr. David W. Nassif to the newly created position of Chief Financial Officer, effective April 15, 2024. As Chief Financial Officer, Mr. Nassif will lead and oversee all of our financial activities and will be responsible for maintaining the financial health of the company.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offices of Pharvaris N.V. are located at Emmy Noetherweg 2, 2333 BK Leiden, The Netherlands. Our telephone number is +31 (0)71 203 6410. Investors should contact us for any inquiries at the address and telephone number of our principal executive office. Our principal website is </w:t>
      </w:r>
      <w:r>
        <w:rPr>
          <w:rFonts w:ascii="Times New Roman" w:hAnsi="Times New Roman"/>
          <w:i/>
          <w:sz w:val="20"/>
          <w:bdr w:val="single" w:sz="8" w:space="1" w:color="000000"/>
        </w:rPr>
        <w:t>www.pharvaris.com</w:t>
      </w:r>
      <w:r>
        <w:rPr>
          <w:rFonts w:ascii="Times New Roman" w:hAnsi="Times New Roman"/>
          <w:sz w:val="20"/>
          <w:bdr w:val="single" w:sz="8" w:space="1" w:color="000000"/>
        </w:rPr>
        <w:t xml:space="preserve">. The information contained on our website is not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8" w:name="stx807379_6"/>
      <w:bookmarkEnd w:id="28"/>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Ordinary shares offered by us </w:t>
            </w:r>
          </w:p>
        </w:tc>
        <w:tc>
          <w:tcPr>
            <w:tcW w:w="6328" w:type="dxa"/>
            <w:tcBorders/>
          </w:tcPr>
          <w:p>
            <w:pPr>
              <w:pStyle w:val="TableContents"/>
              <w:bidi w:val="0"/>
              <w:spacing w:before="0" w:after="283"/>
              <w:jc w:val="left"/>
              <w:rPr/>
            </w:pPr>
            <w:r>
              <w:rPr/>
              <w:t xml:space="preserve">Ordinary shares having an aggregate offering price of up to $175,000,000.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Manner of Offering </w:t>
            </w:r>
          </w:p>
        </w:tc>
        <w:tc>
          <w:tcPr>
            <w:tcW w:w="6328" w:type="dxa"/>
            <w:tcBorders/>
          </w:tcPr>
          <w:p>
            <w:pPr>
              <w:pStyle w:val="TableContents"/>
              <w:bidi w:val="0"/>
              <w:spacing w:before="0" w:after="283"/>
              <w:jc w:val="left"/>
              <w:rPr/>
            </w:pPr>
            <w:r>
              <w:rPr/>
              <w:t xml:space="preserve">At the market offering that may be made from time to time through our sales agent, Leerink Partners.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anticipate that we will use our existing liquidity and the net proceeds of this offering primarily for general corporate purposes and other business opportunities, including Phase 3 pivotal studies and preparations for commercialization. See Use of Proceeds on page S-7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You should read the Risk Factors section on page S-4 of this prospectus supplement, as well as those risks and uncertainties identified in the documents and the other information included in, or incorporated by reference into this prospectus supplement and the accompanying prospectus, including our most recent Annual Report on Form 20-F, for a discussion of certain factors to consider carefully before deciding to purchase our ordinary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Nasdaq Global Select Market Symbol </w:t>
            </w:r>
          </w:p>
        </w:tc>
        <w:tc>
          <w:tcPr>
            <w:tcW w:w="6327" w:type="dxa"/>
            <w:tcBorders/>
          </w:tcPr>
          <w:p>
            <w:pPr>
              <w:pStyle w:val="TableContents"/>
              <w:bidi w:val="0"/>
              <w:spacing w:before="0" w:after="283"/>
              <w:jc w:val="left"/>
              <w:rPr/>
            </w:pPr>
            <w:r>
              <w:rPr/>
              <w:t xml:space="preserve">PHVS. </w:t>
            </w:r>
          </w:p>
        </w:tc>
      </w:tr>
    </w:tbl>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stx807379_7"/>
      <w:bookmarkEnd w:id="29"/>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risks and uncertainties described below, as well as those risks and uncertainties identified in the documents incorporated by reference herein, including our most recent Annual Report on Form 20-F,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Future sales, or the possibility of future sales, of a substantial number of our ordinary shares could adversely affect the price of the shares and dilute shareholders. </w:t>
      </w:r>
    </w:p>
    <w:p>
      <w:pPr>
        <w:pStyle w:val="TextBody"/>
        <w:bidi w:val="0"/>
        <w:spacing w:before="120" w:after="0"/>
        <w:jc w:val="left"/>
        <w:rPr>
          <w:rFonts w:ascii="Times New Roman" w:hAnsi="Times New Roman"/>
          <w:sz w:val="20"/>
        </w:rPr>
      </w:pPr>
      <w:r>
        <w:rPr>
          <w:rFonts w:ascii="Times New Roman" w:hAnsi="Times New Roman"/>
          <w:sz w:val="20"/>
        </w:rPr>
        <w:t xml:space="preserve">Future sales of a substantial number of our ordinary shares, or the perception that such sales will occur, could cause a decline in the market price of our ordinary shares. Pursuant to the at-the-market program, and potentially other offerings, we plan to continue to raise money to fund our operations through the issuance of our equity securities.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 In addition, we have registered on a Form S-8 registration statement all ordinary shares that we may issue under our equity compensation plans. As a result, these shares can be freely sold in the public market upon issuance, subject to volume limitations applicable to affiliates. </w:t>
      </w:r>
    </w:p>
    <w:p>
      <w:pPr>
        <w:pStyle w:val="TextBody"/>
        <w:bidi w:val="0"/>
        <w:spacing w:before="240" w:after="0"/>
        <w:jc w:val="left"/>
        <w:rPr>
          <w:rFonts w:ascii="Times New Roman" w:hAnsi="Times New Roman"/>
          <w:sz w:val="20"/>
        </w:rPr>
      </w:pPr>
      <w:r>
        <w:rPr>
          <w:rFonts w:ascii="Times New Roman" w:hAnsi="Times New Roman"/>
          <w:sz w:val="20"/>
        </w:rPr>
        <w:t xml:space="preserve">If we sell ordinary shares, convertible securities or other equity securities, existing shareholders may be diluted by such sales, and in certain cases new investors could gain rights superior to our existing shareholders. Any sales of our ordinary shares, or the perception that such sales could occur, could have a negative impact on the trading price of our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ordinary shares in this offering, you will suffer immediate dilution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public offering price of our ordinary shares may exceed the as adjusted net tangible book value per ordinary share. Therefore, if you purchase ordinary shares in this offering, you may pay a price per ordinary share that substantially exceeds our as adjusted net tangible book value per ordinary share after this offering. To the extent outstanding options or warrants are exercised, you will incur further dilution. </w:t>
      </w:r>
    </w:p>
    <w:p>
      <w:pPr>
        <w:pStyle w:val="TextBody"/>
        <w:bidi w:val="0"/>
        <w:spacing w:before="240" w:after="0"/>
        <w:jc w:val="left"/>
        <w:rPr>
          <w:rFonts w:ascii="Times New Roman" w:hAnsi="Times New Roman"/>
          <w:sz w:val="20"/>
        </w:rPr>
      </w:pPr>
      <w:r>
        <w:rPr>
          <w:rFonts w:ascii="Times New Roman" w:hAnsi="Times New Roman"/>
          <w:sz w:val="20"/>
        </w:rPr>
        <w:t xml:space="preserve">Assuming that an aggregate of 7,844,016 of our ordinary shares are sold at a price of $22.31 per share pursuant to this prospectus supplement, which was the last reported sale price of our ordinary shares on Nasdaq on April 11, 2024, for aggregate gross proceeds of $175,000,000, after deducting commissions and estimated aggregate offering expenses payable by us, you would experience immediate dilution of $11.25 per ordinary share, representing the difference between our as adjusted net tangible book value per ordinary share as of December 31, 2023, after giving effect to this offering and the assumed offering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a passive foreign investment company, or PFIC, which could result in adverse U.S. federal income tax consequences to U.S. investors. </w:t>
      </w:r>
    </w:p>
    <w:p>
      <w:pPr>
        <w:pStyle w:val="TextBody"/>
        <w:bidi w:val="0"/>
        <w:spacing w:before="120" w:after="0"/>
        <w:jc w:val="left"/>
        <w:rPr>
          <w:rFonts w:ascii="Times New Roman" w:hAnsi="Times New Roman"/>
          <w:sz w:val="20"/>
        </w:rPr>
      </w:pPr>
      <w:r>
        <w:rPr>
          <w:rFonts w:ascii="Times New Roman" w:hAnsi="Times New Roman"/>
          <w:sz w:val="20"/>
        </w:rPr>
        <w:t xml:space="preserve">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assets and activities and the expected price of our ordinary shares in this offering, we do not believe we were a PFIC in 2023 and we do not expect to be a PFIC for our current taxable year or in the foreseeable future. In addition, we may, directly or indirectly, hold equity interests in other PFICs. Whether we or any of our subsidiaries will be a PFIC in 2024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2024 or any future taxable year.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taxable year during which a U.S. Holder (as defined in Material United States Federal Income Tax and Dutch Income Tax ConsiderationsMaterial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 </w:t>
      </w:r>
    </w:p>
    <w:p>
      <w:pPr>
        <w:pStyle w:val="TextBody"/>
        <w:bidi w:val="0"/>
        <w:spacing w:before="240" w:after="0"/>
        <w:jc w:val="left"/>
        <w:rPr>
          <w:rFonts w:ascii="Times New Roman" w:hAnsi="Times New Roman"/>
          <w:sz w:val="20"/>
        </w:rPr>
      </w:pPr>
      <w:r>
        <w:rPr>
          <w:rFonts w:ascii="Times New Roman" w:hAnsi="Times New Roman"/>
          <w:sz w:val="20"/>
        </w:rPr>
        <w:t xml:space="preserve">For further discussion, see Material United States Federal Income Tax and Dutch Tax ConsiderationsMaterial U.S. Federal Income Tax Considerations to U.S.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ordinary shares offered in this offering will be sold in at the market offerings. Investors who purchase our ordinary shares in this offering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our ordinary shares in this offering at different times will likely pay different prices, and so may experience different outcomes in their investment results. We will have discretion, subject to market demand, to vary the timing, prices and numbers of ordinary shares sold, and subject to certain limitations in the Sales Agreement, there is no minimum or maximum sales price. Investors may experience a decline in the value of their ordinary shares and dilution as a result of sales made at prices lower than the prices they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we may not use them effectively. </w:t>
      </w:r>
    </w:p>
    <w:p>
      <w:pPr>
        <w:pStyle w:val="TextBody"/>
        <w:bidi w:val="0"/>
        <w:spacing w:before="120" w:after="0"/>
        <w:jc w:val="left"/>
        <w:rPr>
          <w:rFonts w:ascii="Times New Roman" w:hAnsi="Times New Roman"/>
          <w:sz w:val="20"/>
        </w:rPr>
      </w:pPr>
      <w:r>
        <w:rPr>
          <w:rFonts w:ascii="Times New Roman" w:hAnsi="Times New Roman"/>
          <w:sz w:val="20"/>
        </w:rPr>
        <w:t xml:space="preserve">We currently intend to use the net proceeds from this offering as described in Use of Proceeds. However, our Board and our management retain broad discretion in the application of the net proceeds from this offering and could spend the proceeds in ways that do not improve our results of operations or enhance the value of our ordinary shares. Our failure to apply these funds effectively could result in financial losses, which could have a material adverse effect on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It is not possible to predict the aggregate proceeds resulting from sales made under the Sales Agreement.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Leerink Partners at any time throughout the term of the Sales Agreement. The number of ordinary shares that are sold through Leerink Partners after delivering a placement notice will fluctuate based on a number of factors, including the market price of our ordinary shares during the sales period, any limits we may set with Leerink Partners in any applicable placement notice and the demand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ordinary shares. Because the price per share of each share sold pursuant to the Sales Agreement will fluctuate over time, it is not currently possible to predict the aggregate proceeds to be raised in connection with sales under the Sales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stx807379_8"/>
      <w:bookmarkEnd w:id="3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our ordinary shares from time to time. Because there is no minimum offering amount required as a condition to close this offering, the actual total public offering amount, commissions and proceeds to us, if any, are not determinable at this time.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we had cash and cash equivalents of 391.2 million. We anticipate that we will use our existing liquidity and the net proceeds of this offering primarily for general corporate purposes and other business opportunities, including Phase 3 pivotal studies and preparations for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Our expected use of the net proceeds from this offering represents our current intentions based upon our present plans and business conditions, which could change in the future as our plans and business conditions evolve.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with certainty all of the particular uses for the net proceeds to be received upon the consummation of this offering or the amounts that we will actually spend on the uses set forth above. For example, we may use a portion of the net proceeds to in-license, acquire or invest in complementary technologies, products or assets. However, we have no current plan, commitments or obligations to do so. There is a risk that our development of our product candidates or any other future clinical development or product discovery program may not result in marketing approval. To the extent that we fail to obtain approval to market our product candidates or any other clinical development or product discovery program in a timely manner and have to continue clinical trials over a longer period of time, our research and development expenses may further increase. The amounts and timing of our actual expenditures and the extent of clinical development may vary significantly depending on numerous factors, including the progress, timing and completion of our development efforts, the status of and results from our ongoing clinical trials or any preclinical studies or other clinical trials we may commence in the future, the time and costs involved in obtaining regulatory approval for our product candidates or any other future clinical development or product discovery program, as well as maintaining our existing collaborations and any collaborations that we may enter into with third parties for our product candidates and any unforeseen cash needs. As a result, our Board will have broad discretion in applying the net proceeds of this offering, and investors will be relying on our judgment regarding the application of the net proceeds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Based on our existing cash, cash equivalents and investments, we expect that our existing liquidity will be sufficient to enable us to fund our operations for at least 12 months, subject to certain assumptions, including clinical development plans. We have based this estimate on assumptions that may prove to be incorrect, and we could use our available capital resources sooner than we currently expect. The net proceeds of this offering, if we issue and sell our ordinary shares with maximum aggregate sales proceeds of $175,000,000 as specified in this prospectus supplement, would extend our financial reach, assuming that the plans for our clinical and preclinical activities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Pending their use, we might plan to invest a portion of the net proceeds from this offering in short- and intermediate-term interest-bearing financial assets and certificates of deposit.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stx807379_9"/>
      <w:bookmarkEnd w:id="31"/>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dividends on our ordinary shares. We expect to retain all earnings, if any, generated by our operations for the development and growth of our business and do not anticipate paying any dividends to our shareholders in the foreseeable future. </w:t>
      </w:r>
    </w:p>
    <w:p>
      <w:pPr>
        <w:pStyle w:val="TextBody"/>
        <w:bidi w:val="0"/>
        <w:spacing w:before="240" w:after="0"/>
        <w:jc w:val="left"/>
        <w:rPr>
          <w:rFonts w:ascii="Times New Roman" w:hAnsi="Times New Roman"/>
          <w:sz w:val="20"/>
        </w:rPr>
      </w:pPr>
      <w:r>
        <w:rPr>
          <w:rFonts w:ascii="Times New Roman" w:hAnsi="Times New Roman"/>
          <w:sz w:val="20"/>
        </w:rPr>
        <w:t>Under Dutch law, we may only pay dividends and other distributions from our reserves to the extent our shareholders equity (</w:t>
      </w:r>
      <w:r>
        <w:rPr>
          <w:rFonts w:ascii="Times New Roman" w:hAnsi="Times New Roman"/>
          <w:i/>
          <w:sz w:val="20"/>
        </w:rPr>
        <w:t>eigen vermogen</w:t>
      </w:r>
      <w:r>
        <w:rPr>
          <w:rFonts w:ascii="Times New Roman" w:hAnsi="Times New Roman"/>
          <w:sz w:val="20"/>
        </w:rPr>
        <w:t xml:space="preserve">) exceeds the sum of the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 </w:t>
      </w:r>
    </w:p>
    <w:p>
      <w:pPr>
        <w:pStyle w:val="TextBody"/>
        <w:bidi w:val="0"/>
        <w:spacing w:before="240" w:after="0"/>
        <w:jc w:val="left"/>
        <w:rPr>
          <w:rFonts w:ascii="Times New Roman" w:hAnsi="Times New Roman"/>
          <w:sz w:val="20"/>
        </w:rPr>
      </w:pPr>
      <w:r>
        <w:rPr>
          <w:rFonts w:ascii="Times New Roman" w:hAnsi="Times New Roman"/>
          <w:sz w:val="20"/>
        </w:rPr>
        <w:t>Under our Articles of Association, our Board may decide that all or part of the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 Our Board is permitted, subject to certain requirements and applicable restrictions of Dutch law, to declare interim dividends without the approval of our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hAnsi="Times New Roman"/>
          <w:i/>
          <w:sz w:val="20"/>
        </w:rPr>
        <w:t>verjaring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stx807379_10"/>
      <w:bookmarkEnd w:id="32"/>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ordinary shares in this offering, your ownership interest will be diluted immediately to the extent of the difference between the price you pay in this offering and the net tangible book value per ordinary share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December 31, 2023 was $424 million (384 million), or $7.90 per ordinary share (7.15 per ordinary share), based on 53,665,212 ordinary shares then outstanding, including the ordinary shares issuable upon exercise of the pre-funded warrants. Net tangible book value per share represents the amount of our total assets less our total liabilities, excluding intangible assets, divided by 53,665,212, the total number of our ordinary shares issued and outstanding at December 31, 2023, including the ordinary shares issuable upon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assumed sale by us of our ordinary shares in the aggregate amount of $175 million at an assumed public offering price of $22.31 per share (the last sale price of our ordinary shares on April 11, 2024 as reported on Nasdaq), less the estimated commissions and estimated offering expenses payable by us, our net tangible book value at December 31, 2023 would have been $593.6 million, or $11.06 per ordinary share. This represents an immediate increase in net tangible book value of $3.16 per share to existing shareholders and an immediate dilution of $11.25 per share to investors in this offering. The following table illustrates this per share dilution. The as adjusted information is illustrative only and will adjust based on the actual price to the public, the actual number of shares sold and other terms of the offering determined at the time our ordinary shares are sold pursuant to this prospectus supplement. The shares sold in this offering, if any, will be sold from time to time at various prices.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52"/>
        <w:gridCol w:w="380"/>
        <w:gridCol w:w="145"/>
        <w:gridCol w:w="448"/>
        <w:gridCol w:w="60"/>
        <w:gridCol w:w="380"/>
        <w:gridCol w:w="145"/>
        <w:gridCol w:w="582"/>
        <w:gridCol w:w="63"/>
      </w:tblGrid>
      <w:tr>
        <w:trPr/>
        <w:tc>
          <w:tcPr>
            <w:tcW w:w="5552"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w:t>
            </w:r>
          </w:p>
        </w:tc>
        <w:tc>
          <w:tcPr>
            <w:tcW w:w="3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2" w:type="dxa"/>
            <w:tcBorders/>
            <w:shd w:fill="CCEEFF" w:val="clear"/>
            <w:vAlign w:val="bottom"/>
          </w:tcPr>
          <w:p>
            <w:pPr>
              <w:pStyle w:val="TableContents"/>
              <w:bidi w:val="0"/>
              <w:spacing w:before="0" w:after="283"/>
              <w:jc w:val="right"/>
              <w:rPr/>
            </w:pPr>
            <w:r>
              <w:rPr/>
              <w:t>22.31</w:t>
            </w:r>
          </w:p>
        </w:tc>
        <w:tc>
          <w:tcPr>
            <w:tcW w:w="63" w:type="dxa"/>
            <w:tcBorders/>
            <w:shd w:fill="CCEEFF" w:val="clear"/>
            <w:vAlign w:val="bottom"/>
          </w:tcPr>
          <w:p>
            <w:pPr>
              <w:pStyle w:val="TableContents"/>
              <w:bidi w:val="0"/>
              <w:spacing w:before="0" w:after="283"/>
              <w:jc w:val="left"/>
              <w:rPr/>
            </w:pPr>
            <w:r>
              <w:rPr/>
              <w:t> </w:t>
            </w:r>
          </w:p>
        </w:tc>
      </w:tr>
      <w:tr>
        <w:trPr/>
        <w:tc>
          <w:tcPr>
            <w:tcW w:w="5552"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December 31, 2023</w:t>
            </w:r>
          </w:p>
        </w:tc>
        <w:tc>
          <w:tcPr>
            <w:tcW w:w="3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448" w:type="dxa"/>
            <w:tcBorders/>
            <w:vAlign w:val="bottom"/>
          </w:tcPr>
          <w:p>
            <w:pPr>
              <w:pStyle w:val="TableContents"/>
              <w:bidi w:val="0"/>
              <w:spacing w:before="0" w:after="283"/>
              <w:jc w:val="right"/>
              <w:rPr/>
            </w:pPr>
            <w:r>
              <w:rPr/>
              <w:t>7.90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per share attributable to new investors purchasing shares in this offering</w:t>
            </w:r>
          </w:p>
        </w:tc>
        <w:tc>
          <w:tcPr>
            <w:tcW w:w="3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448" w:type="dxa"/>
            <w:tcBorders/>
            <w:shd w:fill="CCEEFF" w:val="clear"/>
            <w:vAlign w:val="bottom"/>
          </w:tcPr>
          <w:p>
            <w:pPr>
              <w:pStyle w:val="TableContents"/>
              <w:bidi w:val="0"/>
              <w:spacing w:before="0" w:after="283"/>
              <w:jc w:val="right"/>
              <w:rPr/>
            </w:pPr>
            <w:r>
              <w:rPr/>
              <w:t>3.16</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552"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552"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this offering</w:t>
            </w:r>
          </w:p>
        </w:tc>
        <w:tc>
          <w:tcPr>
            <w:tcW w:w="3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2" w:type="dxa"/>
            <w:tcBorders/>
            <w:vAlign w:val="bottom"/>
          </w:tcPr>
          <w:p>
            <w:pPr>
              <w:pStyle w:val="TableContents"/>
              <w:bidi w:val="0"/>
              <w:spacing w:before="0" w:after="283"/>
              <w:jc w:val="right"/>
              <w:rPr/>
            </w:pPr>
            <w:r>
              <w:rPr/>
              <w:t>11.06</w:t>
            </w:r>
          </w:p>
        </w:tc>
        <w:tc>
          <w:tcPr>
            <w:tcW w:w="63" w:type="dxa"/>
            <w:tcBorders/>
            <w:vAlign w:val="bottom"/>
          </w:tcPr>
          <w:p>
            <w:pPr>
              <w:pStyle w:val="TableContents"/>
              <w:bidi w:val="0"/>
              <w:spacing w:before="0" w:after="283"/>
              <w:jc w:val="left"/>
              <w:rPr/>
            </w:pPr>
            <w:r>
              <w:rPr/>
              <w:t> </w:t>
            </w:r>
          </w:p>
        </w:tc>
      </w:tr>
      <w:tr>
        <w:trPr/>
        <w:tc>
          <w:tcPr>
            <w:tcW w:w="5552"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w:t>
            </w:r>
          </w:p>
        </w:tc>
        <w:tc>
          <w:tcPr>
            <w:tcW w:w="3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2" w:type="dxa"/>
            <w:tcBorders/>
            <w:shd w:fill="CCEEFF" w:val="clear"/>
            <w:vAlign w:val="bottom"/>
          </w:tcPr>
          <w:p>
            <w:pPr>
              <w:pStyle w:val="TableContents"/>
              <w:bidi w:val="0"/>
              <w:spacing w:before="0" w:after="283"/>
              <w:jc w:val="right"/>
              <w:rPr/>
            </w:pPr>
            <w:r>
              <w:rPr/>
              <w:t>11.25</w:t>
            </w:r>
          </w:p>
        </w:tc>
        <w:tc>
          <w:tcPr>
            <w:tcW w:w="63" w:type="dxa"/>
            <w:tcBorders/>
            <w:shd w:fill="CCEEFF" w:val="clear"/>
            <w:vAlign w:val="bottom"/>
          </w:tcPr>
          <w:p>
            <w:pPr>
              <w:pStyle w:val="TableContents"/>
              <w:bidi w:val="0"/>
              <w:spacing w:before="0" w:after="283"/>
              <w:jc w:val="left"/>
              <w:rPr/>
            </w:pPr>
            <w:r>
              <w:rPr/>
              <w:t> </w:t>
            </w:r>
          </w:p>
        </w:tc>
      </w:tr>
      <w:tr>
        <w:trPr/>
        <w:tc>
          <w:tcPr>
            <w:tcW w:w="5552"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our actual ordinary shares outstanding as of December 31, 2023, including the ordinary shares issuable upon exercise of the pre-funded warrants,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3.8 million of our ordinary shares issuable upon the exercise of options outstanding as of December 31, 2023, at a weighted-average exercise price of $10.45 per ordinary share (9.46 per ordinary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million ordinary shares issuable upon vesting of restricted stock units under our equity incentive plan as of December 31,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stx807379_11"/>
      <w:bookmarkEnd w:id="33"/>
      <w:r>
        <w:rPr>
          <w:rFonts w:ascii="Times New Roman" w:hAnsi="Times New Roman"/>
          <w:b/>
          <w:sz w:val="20"/>
        </w:rPr>
        <w:t xml:space="preserve">MATERIAL UNITED STATES FEDERAL INCOME TAX AND DUTCH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own tax adviser regarding the applicable tax consequences to you of investing in our ordinary shares under the laws of the United States (federal, state and local), the Netherlands, and any other applicable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This discussion applies only to a U.S. Holder that purchases our ordinary shares in connection with this offering and holds such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or expatriated entities subject to Section 7874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in securities who use a mark-to-market method of tax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ordinary shares as part of a hedging transaction, straddle, wash sale, conversion transaction or other integrated transaction or persons entering into a constructive sale with respect to the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for U.S. federal income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or arrangements classified as partnerships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 retirement accounts, Roth IRAs or other tax-deferred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persons that acquire ordinary shares directly or indirectly in connection with the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are subject to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are deemed to own ten percent or more of our shares (by vote 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and any investors therein, regulated investment companies, real estate investment trusts, real estate mortgage investment conduits;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ordinary shares in connection with a trade or business conducted outside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that is classified as a partnership for U.S. federal income tax purposes holds ordinary shares, the U.S. federal income tax treatment of a partner will generally depend on the status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 and the activities of the partner and the partnership. Partnerships (including entities or arrangements treated as partnerships for United States federal income tax purposes) holding ordinary shares and partners in such partnerships should consult their tax advisers as to the particular U.S. federal income tax consequences of owning and disposing of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administrative pronouncements, judicial decisions, final, temporary and proposed Treasury regulations, and the income tax treaty between the Netherlands and the United States, or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or the Service or IRS,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 </w:t>
      </w:r>
    </w:p>
    <w:p>
      <w:pPr>
        <w:pStyle w:val="TextBody"/>
        <w:bidi w:val="0"/>
        <w:spacing w:before="240" w:after="0"/>
        <w:jc w:val="left"/>
        <w:rPr>
          <w:rFonts w:ascii="Times New Roman" w:hAnsi="Times New Roman"/>
          <w:sz w:val="20"/>
        </w:rPr>
      </w:pPr>
      <w:r>
        <w:rPr>
          <w:rFonts w:ascii="Times New Roman" w:hAnsi="Times New Roman"/>
          <w:sz w:val="20"/>
        </w:rPr>
        <w:t xml:space="preserve">A U.S. Holder is a holder who, for U.S. federal income tax purposes, is a beneficial owner of ordinary shares, who is eligible for the benefits of the Treaty and who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United States, any state therein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IS FOR GENERAL INFORMATION PURPOSES ONLY, AND IS NOT INTENDED TO BE, AND SHOULD NOT BE CONSTRUED TO BE, LEGAL OR TAX ADVICE TO ANY PARTICULAR HOLDER. PROSPECTIVE INVESTORS ARE URGED TO CONSULT THEIR TAX ADVISERS WITH REGARD TO THE APPLICATION OF THE U.S. FEDERAL INCOME TAX LAWS, AS WELL AS THE APPLICATION OF U.S. NON-INCOME TAX LAWS AND THE LAWS OF ANY STATE, LOCAL OR NON-U.S. JURISDICTION, IN LIGHT OF THEIR PARTICULAR SITUATION.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under Dividend Policy, 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generally not be eligible for the dividends-received deduction generally available to U.S. corporations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Disposition of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U.S. Holders who hold different blocks of ordinary shares (ordinary shares purchased or acquired on different dates or at different prices) should consult their tax advisors to determine how the above rules apply to them. This gain or loss will generally be U.S.-source gain or loss for foreign tax credit purposes. The deductibility of capital losses is subject to various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certain non-active rents and royalties and capital gains. Based on the nature of our business, our financial statements, and our expectations about the nature and amount of our income, assets and activities and the expected price of our ordinary shares in this offering, we do not believe we were a PFIC in 2023 and we do not expect to be a PFIC for our current taxable year or in the foreseeable future. In addition, we may, directly or indirectly, hold equity interests in other PFICs, or lower-tier PFICs. Whether we or any of our subsidiaries will be a PFIC in 2024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2024 or any 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threshold requirements for PFIC status, unless under certain circumstances the U.S. Holder makes a valid deemed sale or deemed dividend election under the applicable Treasury regulations with respect to its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 </w:t>
      </w:r>
    </w:p>
    <w:p>
      <w:pPr>
        <w:pStyle w:val="TextBody"/>
        <w:bidi w:val="0"/>
        <w:spacing w:before="240" w:after="0"/>
        <w:jc w:val="left"/>
        <w:rPr>
          <w:rFonts w:ascii="Times New Roman" w:hAnsi="Times New Roman"/>
          <w:sz w:val="20"/>
        </w:rPr>
      </w:pPr>
      <w:r>
        <w:rPr>
          <w:rFonts w:ascii="Times New Roman" w:hAnsi="Times New Roman"/>
          <w:sz w:val="20"/>
        </w:rPr>
        <w:t xml:space="preserve">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 </w:t>
      </w:r>
    </w:p>
    <w:p>
      <w:pPr>
        <w:pStyle w:val="TextBody"/>
        <w:bidi w:val="0"/>
        <w:spacing w:before="240" w:after="0"/>
        <w:jc w:val="left"/>
        <w:rPr>
          <w:rFonts w:ascii="Times New Roman" w:hAnsi="Times New Roman"/>
          <w:sz w:val="20"/>
        </w:rPr>
      </w:pPr>
      <w:r>
        <w:rPr>
          <w:rFonts w:ascii="Times New Roman" w:hAnsi="Times New Roman"/>
          <w:sz w:val="20"/>
        </w:rPr>
        <w:t xml:space="preserve">A U.S. Holder can avoid certain of the adverse rules described above by making a mark-to-market election with respect to its ordinary shares, provided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order to avoid the application of the foregoing rules, a U.S.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U.S. person would be required to make the QEF Election for each PFIC by attaching a separate properly completed IRS Form 8621 for each PFIC to the U.S. persons timely filed U.S. federal income tax return generally for the first taxable year that the entity is treated as a PFIC with respect to the U.S. person. A U.S. Holder generally may make a separate election to defer payment of taxes on the undistributed income inclusion under the QEF rules, but if deferred, any such taxes are subject to an interest charge. If a U.S. person makes a QEF Election with respect to a PFIC, the U.S. person will be currently taxable on its pro rata share of the PFICs ordinary earnings and net capital gain (at ordinary income and capital gain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 </w:t>
      </w:r>
    </w:p>
    <w:p>
      <w:pPr>
        <w:pStyle w:val="TextBody"/>
        <w:bidi w:val="0"/>
        <w:spacing w:before="240" w:after="0"/>
        <w:jc w:val="left"/>
        <w:rPr>
          <w:rFonts w:ascii="Times New Roman" w:hAnsi="Times New Roman"/>
          <w:sz w:val="20"/>
        </w:rPr>
      </w:pPr>
      <w:r>
        <w:rPr>
          <w:rFonts w:ascii="Times New Roman" w:hAnsi="Times New Roman"/>
          <w:sz w:val="20"/>
        </w:rPr>
        <w:t xml:space="preserve">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backup withholding from a payment to a U.S. Holder will be allowed as a credit against the U.S. Holders U.S. federal income tax liability and may entitle it to a refund,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with Respect to Foreign 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Material Dutch Tax Considerations </w:t>
      </w:r>
    </w:p>
    <w:p>
      <w:pPr>
        <w:pStyle w:val="TextBody"/>
        <w:bidi w:val="0"/>
        <w:spacing w:before="120" w:after="0"/>
        <w:jc w:val="left"/>
        <w:rPr>
          <w:rFonts w:ascii="Times New Roman" w:hAnsi="Times New Roman"/>
          <w:i/>
          <w:sz w:val="20"/>
        </w:rPr>
      </w:pPr>
      <w:r>
        <w:rPr>
          <w:rFonts w:ascii="Times New Roman" w:hAnsi="Times New Roman"/>
          <w:i/>
          <w:sz w:val="20"/>
        </w:rPr>
        <w:t xml:space="preserve">Scope of Discussion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this section consists of a statement as to matters of Dutch tax law, this section is the opinion of our Dutch counsel, NautaDutilh N.V., and outlines certain material Dutch tax consequences of the acquisition, holding and disposal of our ordinary shares. It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 </w:t>
      </w:r>
    </w:p>
    <w:p>
      <w:pPr>
        <w:pStyle w:val="TextBody"/>
        <w:bidi w:val="0"/>
        <w:spacing w:before="240" w:after="0"/>
        <w:jc w:val="left"/>
        <w:rPr>
          <w:rFonts w:ascii="Times New Roman" w:hAnsi="Times New Roman"/>
          <w:sz w:val="20"/>
        </w:rPr>
      </w:pPr>
      <w:r>
        <w:rPr>
          <w:rFonts w:ascii="Times New Roman" w:hAnsi="Times New Roman"/>
          <w:sz w:val="20"/>
        </w:rPr>
        <w:t xml:space="preserve">This section is based on the tax laws of the Netherlands, published regulations thereunder and published authoritative case law, all as in effect on the date hereof, including, for the avoidance of doubt, the tax rates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FOR GENERAL INFORMATION PURPOSES ONLY AND IS NOT DUTCH TAX ADVICE OR A COMPLETE DESCRIPTION OF ALL DUTCH TAX CONSEQUENCES RELATING TO THE ACQUISITION, HOLDING AND DISPOSAL OF OUR ORDINARY SHARES. HOLDERS OR PROSPECTIVE HOLDERS OF OUR ORDINARY SHARES SHOULD CONSULT THEIR OWN TAX ADVISORS REGARDING THE DUTCH TAX CONSEQUENCES RELATING TO THE ACQUISITION, HOLDING AND DISPOSAL OF THE ORDINARY SHARES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this section does not describe the Dutch tax consequences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a holder of our ordinary shares if such holder has a substantial interest (</w:t>
            </w:r>
            <w:r>
              <w:rPr>
                <w:rFonts w:ascii="Times New Roman" w:hAnsi="Times New Roman"/>
                <w:i/>
                <w:sz w:val="20"/>
              </w:rPr>
              <w:t>aanmerkelijk belang</w:t>
            </w:r>
            <w:r>
              <w:rPr>
                <w:rFonts w:ascii="Times New Roman" w:hAnsi="Times New Roman"/>
                <w:sz w:val="20"/>
              </w:rPr>
              <w:t>) or deemed substantial interest (</w:t>
            </w:r>
            <w:r>
              <w:rPr>
                <w:rFonts w:ascii="Times New Roman" w:hAnsi="Times New Roman"/>
                <w:i/>
                <w:sz w:val="20"/>
              </w:rPr>
              <w:t>fictief aanmerkelijk belang</w:t>
            </w:r>
            <w:r>
              <w:rPr>
                <w:rFonts w:ascii="Times New Roman" w:hAnsi="Times New Roman"/>
                <w:sz w:val="20"/>
              </w:rPr>
              <w:t>) in us under the Dutch Income Tax Act 2001 (</w:t>
            </w:r>
            <w:r>
              <w:rPr>
                <w:rFonts w:ascii="Times New Roman" w:hAnsi="Times New Roman"/>
                <w:i/>
                <w:sz w:val="20"/>
              </w:rPr>
              <w:t>Wet inkomstenbelasting 2001</w:t>
            </w:r>
            <w:r>
              <w:rPr>
                <w:rFonts w:ascii="Times New Roman" w:hAnsi="Times New Roman"/>
                <w:sz w:val="20"/>
              </w:rPr>
              <w:t xml:space="preserve">). Generally, a holder of securities in a company is considered 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 holder of our ordinary shares, if the ordinary shares held by such holder qualify or qualified as a participation (</w:t>
            </w:r>
            <w:r>
              <w:rPr>
                <w:rFonts w:ascii="Times New Roman" w:hAnsi="Times New Roman"/>
                <w:i/>
                <w:sz w:val="20"/>
              </w:rPr>
              <w:t>deelneming</w:t>
            </w:r>
            <w:r>
              <w:rPr>
                <w:rFonts w:ascii="Times New Roman" w:hAnsi="Times New Roman"/>
                <w:sz w:val="20"/>
              </w:rPr>
              <w:t>) for purposes of the Dutch Corporate Income Tax Act 1969 (</w:t>
            </w:r>
            <w:r>
              <w:rPr>
                <w:rFonts w:ascii="Times New Roman" w:hAnsi="Times New Roman"/>
                <w:i/>
                <w:sz w:val="20"/>
              </w:rPr>
              <w:t>Wet op de vennootschapsbelasting 1969</w:t>
            </w:r>
            <w:r>
              <w:rPr>
                <w:rFonts w:ascii="Times New Roman" w:hAnsi="Times New Roman"/>
                <w:sz w:val="20"/>
              </w:rPr>
              <w:t xml:space="preserve">). Generally, a holders shareholding of 5% or more in a 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 holder of ordinary shares which is or who is entitled to the dividend withholding tax exemption (</w:t>
            </w:r>
            <w:r>
              <w:rPr>
                <w:rFonts w:ascii="Times New Roman" w:hAnsi="Times New Roman"/>
                <w:i/>
                <w:sz w:val="20"/>
              </w:rPr>
              <w:t>inhoudingsvrijstelling</w:t>
            </w:r>
            <w:r>
              <w:rPr>
                <w:rFonts w:ascii="Times New Roman" w:hAnsi="Times New Roman"/>
                <w:sz w:val="20"/>
              </w:rPr>
              <w:t>) with respect to any income (</w:t>
            </w:r>
            <w:r>
              <w:rPr>
                <w:rFonts w:ascii="Times New Roman" w:hAnsi="Times New Roman"/>
                <w:i/>
                <w:sz w:val="20"/>
              </w:rPr>
              <w:t>opbrengst</w:t>
            </w:r>
            <w:r>
              <w:rPr>
                <w:rFonts w:ascii="Times New Roman" w:hAnsi="Times New Roman"/>
                <w:sz w:val="20"/>
              </w:rPr>
              <w:t>) derived from the ordinary shares (as defined in Article 4 of the Dutch Dividend Withholding Tax Act 1965 (</w:t>
            </w:r>
            <w:r>
              <w:rPr>
                <w:rFonts w:ascii="Times New Roman" w:hAnsi="Times New Roman"/>
                <w:i/>
                <w:sz w:val="20"/>
              </w:rPr>
              <w:t>Wet op de dividendbelasting</w:t>
            </w:r>
            <w:r>
              <w:rPr>
                <w:rFonts w:ascii="Times New Roman" w:hAnsi="Times New Roman"/>
                <w:sz w:val="20"/>
              </w:rPr>
              <w:t xml:space="preserve">)). Generally, a holder of ordinary shares may be entitled or required to apply, subject to certain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requirements, the dividend withholding tax exemption if it is an entity and holds an interest of 5% or more in our nominal paid-up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pension funds, investment institutions (</w:t>
            </w:r>
            <w:r>
              <w:rPr>
                <w:rFonts w:ascii="Times New Roman" w:hAnsi="Times New Roman"/>
                <w:i/>
                <w:sz w:val="20"/>
              </w:rPr>
              <w:t>fiscale beleggingsinstellingen</w:t>
            </w:r>
            <w:r>
              <w:rPr>
                <w:rFonts w:ascii="Times New Roman" w:hAnsi="Times New Roman"/>
                <w:sz w:val="20"/>
              </w:rPr>
              <w:t>), exempt investment institutions (</w:t>
            </w:r>
            <w:r>
              <w:rPr>
                <w:rFonts w:ascii="Times New Roman" w:hAnsi="Times New Roman"/>
                <w:i/>
                <w:sz w:val="20"/>
              </w:rPr>
              <w:t>vrijgestelde beleggingsinstellingen</w:t>
            </w:r>
            <w:r>
              <w:rPr>
                <w:rFonts w:ascii="Times New Roman" w:hAnsi="Times New Roman"/>
                <w:sz w:val="20"/>
              </w:rPr>
              <w:t xml:space="preserve">) (each as defined in the Dutch Corporate Income Tax Act 1969) and other entities that are, in whole or in part, not subject to or 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our ordinary shares if such holder is an individual for whom the ordinary shares or any benefit derived from the ordinary shares are a remuneration or deemed to be a remuneration for (employment) activities performed by such holder or certain individuals related to such holder (as defined in the Dutch Income Tax Act 2001);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options for our ordinary shares.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Dividend Withholding Tax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Dividends distributed by us are generally subject to Dutch dividend withholding tax at a rate of 15%. Generally, we are responsible for the withholding of such dividend withholding tax at source; the Dutch dividend withholding tax is for the account of the holder of our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expression dividends distributed includes,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in cash or in kind, deemed and constructive distributions and repayments of paid-in capital not recognized for Dutch dividend withholding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proceeds, proceeds of redemption of our ordinary shares, or proceeds of the repurchase of ordinary shares (other than as temporary portfolio investment; </w:t>
            </w:r>
            <w:r>
              <w:rPr>
                <w:rFonts w:ascii="Times New Roman" w:hAnsi="Times New Roman"/>
                <w:i/>
                <w:sz w:val="20"/>
              </w:rPr>
              <w:t>tijdelijke belegging</w:t>
            </w:r>
            <w:r>
              <w:rPr>
                <w:rFonts w:ascii="Times New Roman" w:hAnsi="Times New Roman"/>
                <w:sz w:val="20"/>
              </w:rPr>
              <w:t xml:space="preserve">) by us or one of our subsidiaries or other affiliated entities, in each case to the extent such proceeds exceed the average paid-in capital of those ordinary shares as recognized for purposes of Dutch dividend withholding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the par value of our ordinary shares issued or an increase of the par value of ordinary shares, to the extent that it does not appear that a contribution, recognized for purposes of Dutch dividend withholding tax, has been made or will be made;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partial repayment of the paid-in capital, recognized for purposes of Dutch dividend withholding tax, if and to the extent that we have net profits (</w:t>
            </w:r>
            <w:r>
              <w:rPr>
                <w:rFonts w:ascii="Times New Roman" w:hAnsi="Times New Roman"/>
                <w:i/>
                <w:sz w:val="20"/>
              </w:rPr>
              <w:t>zuivere winst</w:t>
            </w:r>
            <w:r>
              <w:rPr>
                <w:rFonts w:ascii="Times New Roman" w:hAnsi="Times New Roman"/>
                <w:sz w:val="20"/>
              </w:rPr>
              <w:t xml:space="preserve">),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ordinary shares that are neither resident nor deemed to be resident of the Netherlands (Non-Resident Holders) if the ordinary shares are attributable to a Dutch permanent establishment of such Non-Resident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holder of our ordinary shares resident of a country other than the Netherlands may, depending on such holders specific circumstances, be entitled to exemptions from, reductions of, or full or partial refunds of, Dutch dividend withholding tax under Dutch national tax legislation, EU law, or treaties for the avoidance of double taxation in effect between the Netherlands and such other country. </w:t>
      </w:r>
    </w:p>
    <w:p>
      <w:pPr>
        <w:pStyle w:val="TextBody"/>
        <w:bidi w:val="0"/>
        <w:spacing w:before="360" w:after="0"/>
        <w:jc w:val="left"/>
        <w:rPr>
          <w:rFonts w:ascii="Times New Roman" w:hAnsi="Times New Roman"/>
          <w:i/>
          <w:sz w:val="20"/>
        </w:rPr>
      </w:pPr>
      <w:r>
        <w:rPr>
          <w:rFonts w:ascii="Times New Roman" w:hAnsi="Times New Roman"/>
          <w:i/>
          <w:sz w:val="20"/>
        </w:rPr>
        <w:t xml:space="preserve">Dividend stripping </w:t>
      </w:r>
    </w:p>
    <w:p>
      <w:pPr>
        <w:pStyle w:val="TextBody"/>
        <w:bidi w:val="0"/>
        <w:spacing w:before="120" w:after="0"/>
        <w:jc w:val="left"/>
        <w:rPr>
          <w:rFonts w:ascii="Times New Roman" w:hAnsi="Times New Roman"/>
          <w:sz w:val="20"/>
        </w:rPr>
      </w:pPr>
      <w:r>
        <w:rPr>
          <w:rFonts w:ascii="Times New Roman" w:hAnsi="Times New Roman"/>
          <w:sz w:val="20"/>
        </w:rPr>
        <w:t>According to Dutch domestic anti-dividend stripping rules, no credit against Dutch tax, exemption from, reduction or refund of Dutch dividend withholding tax will be granted if the recipient of the dividends paid by us is not considered the beneficial owner (</w:t>
      </w:r>
      <w:r>
        <w:rPr>
          <w:rFonts w:ascii="Times New Roman" w:hAnsi="Times New Roman"/>
          <w:i/>
          <w:sz w:val="20"/>
        </w:rPr>
        <w:t>uiteindelijk gerechtigde</w:t>
      </w:r>
      <w:r>
        <w:rPr>
          <w:rFonts w:ascii="Times New Roman" w:hAnsi="Times New Roman"/>
          <w:sz w:val="20"/>
        </w:rPr>
        <w:t xml:space="preserve">;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 As of January 1, 2024, more stringent rules apply to the setoff, exemption from, and reduction or refund of Dutch dividend withholding tax to address situations where a claim for setoff, exemption, reduction or refund may align with the letter of Dutch tax law or a double taxation convention but goes against the underlying intention or spirit of the dividend stripping rules, as perceived by the legislator. The burden of proof with respect to beneficial ownership of dividends distributed by us rests on the Dutch tax authorities. If, however, a shareholder would receive dividends, including dividends on the ordinary shares, in a calendar year in respect of which an aggregate amount of  1,000 in Dutch dividend withholding tax would otherwise be due based on the rate of 15%, the burden of proof with respect to beneficial ownership of such dividends lies with the shareholder. Furthermore, for shares traded on a regulated market, including the ordinary shares, it has been codified that the record date is used when determining the person who is entitled to the dividend.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Conditional withholding tax on dividends </w:t>
      </w:r>
    </w:p>
    <w:p>
      <w:pPr>
        <w:pStyle w:val="TextBody"/>
        <w:bidi w:val="0"/>
        <w:spacing w:before="120" w:after="0"/>
        <w:jc w:val="left"/>
        <w:rPr>
          <w:rFonts w:ascii="Times New Roman" w:hAnsi="Times New Roman"/>
          <w:sz w:val="20"/>
        </w:rPr>
      </w:pPr>
      <w:r>
        <w:rPr>
          <w:rFonts w:ascii="Times New Roman" w:hAnsi="Times New Roman"/>
          <w:sz w:val="20"/>
        </w:rPr>
        <w:t>In addition to the regular Dutch dividend withholding tax as described above, a Dutch conditional withholding tax will be imposed on dividends distributed by us to entities related (</w:t>
      </w:r>
      <w:r>
        <w:rPr>
          <w:rFonts w:ascii="Times New Roman" w:hAnsi="Times New Roman"/>
          <w:i/>
          <w:sz w:val="20"/>
        </w:rPr>
        <w:t>gelieerd</w:t>
      </w:r>
      <w:r>
        <w:rPr>
          <w:rFonts w:ascii="Times New Roman" w:hAnsi="Times New Roman"/>
          <w:sz w:val="20"/>
        </w:rPr>
        <w:t xml:space="preserve">) to us (within the meaning of the Dutch Withholding Tax Act 2021; </w:t>
      </w:r>
      <w:r>
        <w:rPr>
          <w:rFonts w:ascii="Times New Roman" w:hAnsi="Times New Roman"/>
          <w:i/>
          <w:sz w:val="20"/>
        </w:rPr>
        <w:t>Wet bronbelasting 2021</w:t>
      </w:r>
      <w:r>
        <w:rPr>
          <w:rFonts w:ascii="Times New Roman" w:hAnsi="Times New Roman"/>
          <w:sz w:val="20"/>
        </w:rPr>
        <w:t xml:space="preserve">), if such related entity: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is considered to be resident (gevestigd) in a jurisdiction that is listed in the yearly updated Dutch Regulation on low-taxing states and non-cooperative jurisdictions for tax purposes (</w:t>
            </w:r>
            <w:r>
              <w:rPr>
                <w:rFonts w:ascii="Times New Roman" w:hAnsi="Times New Roman"/>
                <w:i/>
                <w:sz w:val="20"/>
              </w:rPr>
              <w:t>Regeling laagbelastende staten en niet-coöperatieve rechtsgebieden voor belastingdoeleinden</w:t>
            </w:r>
            <w:r>
              <w:rPr>
                <w:rFonts w:ascii="Times New Roman" w:hAnsi="Times New Roman"/>
                <w:sz w:val="20"/>
              </w:rPr>
              <w:t xml:space="preserve">) (a Listed Jurisdiction);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a permanent establishment located in a Listed Jurisdiction to which the ordinary shares are attributable;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holds the ordinary shares with the main purpose or one of the main purposes of avoiding taxation for another person or entity and there is an artificial arrangement or transaction or a series of artificial arrangements or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considered to be the beneficial owner of the ordinary shares in its jurisdiction of residence because such jurisdiction treats another entity as the beneficial owner of the ordinary shares (a hybrid mismatch);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resident in any jurisdiction (also a hybrid mismatch);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is a reverse hybrid (within the meaning of Article 2(12) of the Dutch Corporate Income Tax Act 1969), if and to the extent (x) there is a participant in the reverse hybrid which is related (</w:t>
            </w:r>
            <w:r>
              <w:rPr>
                <w:rFonts w:ascii="Times New Roman" w:hAnsi="Times New Roman"/>
                <w:i/>
                <w:sz w:val="20"/>
              </w:rPr>
              <w:t>gelieerd</w:t>
            </w:r>
            <w:r>
              <w:rPr>
                <w:rFonts w:ascii="Times New Roman" w:hAnsi="Times New Roman"/>
                <w:sz w:val="20"/>
              </w:rPr>
              <w:t xml:space="preserve">)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all within the meaning of the Dutch Withholding Tax Act 2021.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Dutch conditional withholding tax on dividends will be imposed at the highest Dutch corporate income tax rate in effect at the time of the distribution (2024: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(2024: 25.8%).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Taxes on Income and Capital Gains </w:t>
      </w:r>
    </w:p>
    <w:p>
      <w:pPr>
        <w:pStyle w:val="TextBody"/>
        <w:bidi w:val="0"/>
        <w:spacing w:before="120" w:after="0"/>
        <w:jc w:val="left"/>
        <w:rPr>
          <w:rFonts w:ascii="Times New Roman" w:hAnsi="Times New Roman"/>
          <w:i/>
          <w:sz w:val="20"/>
        </w:rPr>
      </w:pPr>
      <w:r>
        <w:rPr>
          <w:rFonts w:ascii="Times New Roman" w:hAnsi="Times New Roman"/>
          <w:i/>
          <w:sz w:val="20"/>
        </w:rPr>
        <w:t xml:space="preserve">Dutch Resident Entities </w:t>
      </w:r>
    </w:p>
    <w:p>
      <w:pPr>
        <w:pStyle w:val="TextBody"/>
        <w:bidi w:val="0"/>
        <w:spacing w:before="120" w:after="0"/>
        <w:jc w:val="left"/>
        <w:rPr>
          <w:rFonts w:ascii="Times New Roman" w:hAnsi="Times New Roman"/>
          <w:sz w:val="20"/>
        </w:rPr>
      </w:pPr>
      <w:r>
        <w:rPr>
          <w:rFonts w:ascii="Times New Roman" w:hAnsi="Times New Roman"/>
          <w:sz w:val="20"/>
        </w:rPr>
        <w:t xml:space="preserve">Generally,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2024). </w:t>
      </w:r>
    </w:p>
    <w:p>
      <w:pPr>
        <w:pStyle w:val="TextBody"/>
        <w:bidi w:val="0"/>
        <w:spacing w:before="360" w:after="0"/>
        <w:jc w:val="left"/>
        <w:rPr>
          <w:rFonts w:ascii="Times New Roman" w:hAnsi="Times New Roman"/>
          <w:i/>
          <w:sz w:val="20"/>
        </w:rPr>
      </w:pPr>
      <w:r>
        <w:rPr>
          <w:rFonts w:ascii="Times New Roman" w:hAnsi="Times New Roman"/>
          <w:i/>
          <w:sz w:val="20"/>
        </w:rPr>
        <w:t xml:space="preserve">Dutch Resident Individuals </w:t>
      </w:r>
    </w:p>
    <w:p>
      <w:pPr>
        <w:pStyle w:val="TextBody"/>
        <w:bidi w:val="0"/>
        <w:spacing w:before="120" w:after="0"/>
        <w:jc w:val="left"/>
        <w:rPr>
          <w:rFonts w:ascii="Times New Roman" w:hAnsi="Times New Roman"/>
          <w:sz w:val="20"/>
        </w:rPr>
      </w:pPr>
      <w:r>
        <w:rPr>
          <w:rFonts w:ascii="Times New Roman" w:hAnsi="Times New Roman"/>
          <w:sz w:val="20"/>
        </w:rPr>
        <w:t xml:space="preserve">If the holder of our ordinary shares is a Dutch Resident Individual, any income derived or deemed to be derived from the ordinary shares or any capital gains realized on the disposal or deemed disposal of the ordinary shares is subject to Dutch income tax at the progressive rates (with a maximum of 49.5% in 2024),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ordinary shares are attributable to an enterprise from which the holder of ordinary shares derives a share of the profit, whether as an entrepreneur (</w:t>
            </w:r>
            <w:r>
              <w:rPr>
                <w:rFonts w:ascii="Times New Roman" w:hAnsi="Times New Roman"/>
                <w:i/>
                <w:sz w:val="20"/>
              </w:rPr>
              <w:t>ondernemer</w:t>
            </w:r>
            <w:r>
              <w:rPr>
                <w:rFonts w:ascii="Times New Roman" w:hAnsi="Times New Roman"/>
                <w:sz w:val="20"/>
              </w:rPr>
              <w:t>) or as a person who has a co-entitlement to the net worth (</w:t>
            </w:r>
            <w:r>
              <w:rPr>
                <w:rFonts w:ascii="Times New Roman" w:hAnsi="Times New Roman"/>
                <w:i/>
                <w:sz w:val="20"/>
              </w:rPr>
              <w:t>medegerechtigd tot het vermogen</w:t>
            </w:r>
            <w:r>
              <w:rPr>
                <w:rFonts w:ascii="Times New Roman" w:hAnsi="Times New Roman"/>
                <w:sz w:val="20"/>
              </w:rPr>
              <w:t xml:space="preserve">) of such enterprise without being a shareholder (as defined in the Dutch Income Tax Act 2001);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holder of ordinary shares is considered to perform activities with respect to the ordinary shares that go beyond ordinary asset management (</w:t>
            </w:r>
            <w:r>
              <w:rPr>
                <w:rFonts w:ascii="Times New Roman" w:hAnsi="Times New Roman"/>
                <w:i/>
                <w:sz w:val="20"/>
              </w:rPr>
              <w:t>normaal, actief vermogensbeheer</w:t>
            </w:r>
            <w:r>
              <w:rPr>
                <w:rFonts w:ascii="Times New Roman" w:hAnsi="Times New Roman"/>
                <w:sz w:val="20"/>
              </w:rPr>
              <w:t>) or otherwise derives benefits from the ordinary shares that are taxable as benefits from miscellaneous activities (</w:t>
            </w:r>
            <w:r>
              <w:rPr>
                <w:rFonts w:ascii="Times New Roman" w:hAnsi="Times New Roman"/>
                <w:i/>
                <w:sz w:val="20"/>
              </w:rPr>
              <w:t>resultaat uit overige werkzaamheden</w:t>
            </w:r>
            <w:r>
              <w:rPr>
                <w:rFonts w:ascii="Times New Roman" w:hAnsi="Times New Roman"/>
                <w:sz w:val="20"/>
              </w:rPr>
              <w:t xml:space="preserve">).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Taxation of savings and investments </w:t>
      </w:r>
    </w:p>
    <w:p>
      <w:pPr>
        <w:pStyle w:val="TextBody"/>
        <w:bidi w:val="0"/>
        <w:spacing w:before="120" w:after="0"/>
        <w:jc w:val="left"/>
        <w:rPr>
          <w:rFonts w:ascii="Times New Roman" w:hAnsi="Times New Roman"/>
          <w:sz w:val="20"/>
        </w:rPr>
      </w:pPr>
      <w:r>
        <w:rPr>
          <w:rFonts w:ascii="Times New Roman" w:hAnsi="Times New Roman"/>
          <w:sz w:val="20"/>
        </w:rPr>
        <w:t>If the above-mentioned conditions (i) and (ii) do not apply to the Dutch Resident Individual, the ordinary shares will be subject to an annual Dutch income tax under the regime for savings and investments (</w:t>
      </w:r>
      <w:r>
        <w:rPr>
          <w:rFonts w:ascii="Times New Roman" w:hAnsi="Times New Roman"/>
          <w:i/>
          <w:sz w:val="20"/>
        </w:rPr>
        <w:t>inkomen uit sparen en beleggen</w:t>
      </w:r>
      <w:r>
        <w:rPr>
          <w:rFonts w:ascii="Times New Roman" w:hAnsi="Times New Roman"/>
          <w:sz w:val="20"/>
        </w:rPr>
        <w:t>). Taxation only occurs insofar the Dutch Resident Individuals net investment assets for the year exceed a statutory threshold (</w:t>
      </w:r>
      <w:r>
        <w:rPr>
          <w:rFonts w:ascii="Times New Roman" w:hAnsi="Times New Roman"/>
          <w:i/>
          <w:sz w:val="20"/>
        </w:rPr>
        <w:t>heffingvrij vermogen</w:t>
      </w:r>
      <w:r>
        <w:rPr>
          <w:rFonts w:ascii="Times New Roman" w:hAnsi="Times New Roman"/>
          <w:sz w:val="20"/>
        </w:rPr>
        <w:t xml:space="preserve">). The net investment assets for the year are the fair market value of the investment assets </w:t>
      </w:r>
      <w:r>
        <w:rPr>
          <w:rFonts w:ascii="Times New Roman" w:hAnsi="Times New Roman"/>
          <w:i/>
          <w:sz w:val="20"/>
        </w:rPr>
        <w:t>less</w:t>
      </w:r>
      <w:r>
        <w:rPr>
          <w:rFonts w:ascii="Times New Roman" w:hAnsi="Times New Roman"/>
          <w:sz w:val="20"/>
        </w:rPr>
        <w:t xml:space="preserve"> the fair market value of the liabilities on January 1 of the relevant calendar year (reference date: </w:t>
      </w:r>
      <w:r>
        <w:rPr>
          <w:rFonts w:ascii="Times New Roman" w:hAnsi="Times New Roman"/>
          <w:i/>
          <w:sz w:val="20"/>
        </w:rPr>
        <w:t>peildatum</w:t>
      </w:r>
      <w:r>
        <w:rPr>
          <w:rFonts w:ascii="Times New Roman" w:hAnsi="Times New Roman"/>
          <w:sz w:val="20"/>
        </w:rPr>
        <w:t xml:space="preserve">). Actual income or capital gains realized in respect of the ordinary shares are as such not subject to Dutch income tax. </w:t>
      </w:r>
    </w:p>
    <w:p>
      <w:pPr>
        <w:pStyle w:val="TextBody"/>
        <w:bidi w:val="0"/>
        <w:spacing w:before="240" w:after="0"/>
        <w:jc w:val="left"/>
        <w:rPr>
          <w:rFonts w:ascii="Times New Roman" w:hAnsi="Times New Roman"/>
          <w:sz w:val="20"/>
        </w:rPr>
      </w:pPr>
      <w:r>
        <w:rPr>
          <w:rFonts w:ascii="Times New Roman" w:hAnsi="Times New Roman"/>
          <w:sz w:val="20"/>
        </w:rPr>
        <w:t>The Dutch Resident Individuals assets and liabilities taxed under this regime, including the ordinary shares, are allocated over the following three categories: (a) bank savings (</w:t>
      </w:r>
      <w:r>
        <w:rPr>
          <w:rFonts w:ascii="Times New Roman" w:hAnsi="Times New Roman"/>
          <w:i/>
          <w:sz w:val="20"/>
        </w:rPr>
        <w:t>banktegoeden</w:t>
      </w:r>
      <w:r>
        <w:rPr>
          <w:rFonts w:ascii="Times New Roman" w:hAnsi="Times New Roman"/>
          <w:sz w:val="20"/>
        </w:rPr>
        <w:t>), (b) other investments (</w:t>
      </w:r>
      <w:r>
        <w:rPr>
          <w:rFonts w:ascii="Times New Roman" w:hAnsi="Times New Roman"/>
          <w:i/>
          <w:sz w:val="20"/>
        </w:rPr>
        <w:t>overige bezittingen</w:t>
      </w:r>
      <w:r>
        <w:rPr>
          <w:rFonts w:ascii="Times New Roman" w:hAnsi="Times New Roman"/>
          <w:sz w:val="20"/>
        </w:rPr>
        <w:t>), including the ordinary shares, and (c) liabilities (</w:t>
      </w:r>
      <w:r>
        <w:rPr>
          <w:rFonts w:ascii="Times New Roman" w:hAnsi="Times New Roman"/>
          <w:i/>
          <w:sz w:val="20"/>
        </w:rPr>
        <w:t>schulden</w:t>
      </w:r>
      <w:r>
        <w:rPr>
          <w:rFonts w:ascii="Times New Roman" w:hAnsi="Times New Roman"/>
          <w:sz w:val="20"/>
        </w:rPr>
        <w:t>). The taxable benefit for the year (</w:t>
      </w:r>
      <w:r>
        <w:rPr>
          <w:rFonts w:ascii="Times New Roman" w:hAnsi="Times New Roman"/>
          <w:i/>
          <w:sz w:val="20"/>
        </w:rPr>
        <w:t>voordeel uit sparen en beleggen</w:t>
      </w:r>
      <w:r>
        <w:rPr>
          <w:rFonts w:ascii="Times New Roman" w:hAnsi="Times New Roman"/>
          <w:sz w:val="20"/>
        </w:rPr>
        <w:t xml:space="preserve">) is equal to the product of (x) the total deemed return divided by the sum of bank savings, other investments and liabilities and (y) the sum of bank savings, other investments and liabilities minus the statutory threshold, and is taxed at a flat rate of 36% (rate for 2024). </w:t>
      </w:r>
    </w:p>
    <w:p>
      <w:pPr>
        <w:pStyle w:val="TextBody"/>
        <w:bidi w:val="0"/>
        <w:spacing w:before="240" w:after="0"/>
        <w:jc w:val="left"/>
        <w:rPr>
          <w:rFonts w:ascii="Times New Roman" w:hAnsi="Times New Roman"/>
          <w:sz w:val="20"/>
        </w:rPr>
      </w:pPr>
      <w:r>
        <w:rPr>
          <w:rFonts w:ascii="Times New Roman" w:hAnsi="Times New Roman"/>
          <w:sz w:val="20"/>
        </w:rPr>
        <w:t xml:space="preserve">The deemed return applicable to other investments, including the ordinary shares, is set at 6.04% for the calendar year 2024. Transactions in the three-month period before and after January 1 of the relevant calendar year implemented to arbitrate between the deemed return percentages applicable to bank savings, other investments and liabilities will for this purpose be ignored if the holder of ordinary shares cannot sufficiently demonstrate that such transactions are implemented for other than tax reasons.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current Dutch income tax regime for savings and investments was implemented in Dutch tax law following the decision of the Dutch Supreme Court (</w:t>
      </w:r>
      <w:r>
        <w:rPr>
          <w:rFonts w:ascii="Times New Roman" w:hAnsi="Times New Roman"/>
          <w:i/>
          <w:sz w:val="20"/>
        </w:rPr>
        <w:t>Hoge Raad</w:t>
      </w:r>
      <w:r>
        <w:rPr>
          <w:rFonts w:ascii="Times New Roman" w:hAnsi="Times New Roman"/>
          <w:sz w:val="20"/>
        </w:rPr>
        <w:t>) of December 24, 2021 (ECLI:NL:2021:1963) (the Decision). In the Decision, the Dutch Supreme Court ruled that the (old) system of taxation for savings and investments based on a deemed return may under specific circumstances contravene with Section 1 of the First Protocol to the European Convention on Human Rights in combination with Section 14 of the European Convention on Human Rights (the EC-Human Rights). A new court procedure is pending before the Dutch Supreme Court questioning whether the current tax system for savings and investments is in line with the Decision. On September 18, 2023 (ECLI:NL:PHR:2023:655) the Attorney General Wattel concluded that the new tax system is not in line with the Decision, except for the taxation of bank savings, as the system is, in short, still based on a deemed return rather than actual returns, and as a result, the regime violates the EC-Human Rights. The decision of the Dutch Supreme Court is expected mid-2024. In addition, on September 8, 2023, the outgoing (</w:t>
      </w:r>
      <w:r>
        <w:rPr>
          <w:rFonts w:ascii="Times New Roman" w:hAnsi="Times New Roman"/>
          <w:i/>
          <w:sz w:val="20"/>
        </w:rPr>
        <w:t>demissionair</w:t>
      </w:r>
      <w:r>
        <w:rPr>
          <w:rFonts w:ascii="Times New Roman" w:hAnsi="Times New Roman"/>
          <w:sz w:val="20"/>
        </w:rPr>
        <w:t>) cabinet published a law proposal for a new tax system for savings and investments on the basis of actual returns according to an asset accumulation system, the Actual Return Box 3 Act (</w:t>
      </w:r>
      <w:r>
        <w:rPr>
          <w:rFonts w:ascii="Times New Roman" w:hAnsi="Times New Roman"/>
          <w:i/>
          <w:sz w:val="20"/>
        </w:rPr>
        <w:t>Wet werkelijk rendement box 3</w:t>
      </w:r>
      <w:r>
        <w:rPr>
          <w:rFonts w:ascii="Times New Roman" w:hAnsi="Times New Roman"/>
          <w:sz w:val="20"/>
        </w:rPr>
        <w:t xml:space="preserve">). The proposed system is expected to come into effect on January 1, 2027, at the earliest.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ordinary shares are advised to consult their own tax advisor to ensure that the tax in respect of the ordinary shares is levied in accordance with the applicable Dutch tax rules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Non-residents of the Netherlands </w:t>
      </w:r>
    </w:p>
    <w:p>
      <w:pPr>
        <w:pStyle w:val="TextBody"/>
        <w:bidi w:val="0"/>
        <w:spacing w:before="120" w:after="0"/>
        <w:jc w:val="left"/>
        <w:rPr>
          <w:rFonts w:ascii="Times New Roman" w:hAnsi="Times New Roman"/>
          <w:sz w:val="20"/>
        </w:rPr>
      </w:pPr>
      <w:r>
        <w:rPr>
          <w:rFonts w:ascii="Times New Roman" w:hAnsi="Times New Roman"/>
          <w:sz w:val="20"/>
        </w:rPr>
        <w:t xml:space="preserve">A holder of our ordinary shares that is neither a Dutch Resident Entity nor a Dutch Resident Individual will not be subject to Dutch (corporate) income tax in respect of income derived or deemed to be derived from our ordinary shares or in respect of capital gains realized on the disposal or deemed disposal of the ordinary shares,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 does not have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the holder is an individual, such holder does not carry out any activities in the Netherlands with respect to the ordinary shares that go beyond ordinary asset management and does not derive benefits from the ordinary shares that are taxable as benefits from miscellaneous activities in the Netherlands.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Gift and Inheritance Taxes </w:t>
      </w:r>
    </w:p>
    <w:p>
      <w:pPr>
        <w:pStyle w:val="TextBody"/>
        <w:bidi w:val="0"/>
        <w:spacing w:before="120" w:after="0"/>
        <w:jc w:val="left"/>
        <w:rPr>
          <w:rFonts w:ascii="Times New Roman" w:hAnsi="Times New Roman"/>
          <w:i/>
          <w:sz w:val="20"/>
        </w:rPr>
      </w:pPr>
      <w:r>
        <w:rPr>
          <w:rFonts w:ascii="Times New Roman" w:hAnsi="Times New Roman"/>
          <w:i/>
          <w:sz w:val="20"/>
        </w:rPr>
        <w:t xml:space="preserve">Residents of the Netherlands </w:t>
      </w:r>
    </w:p>
    <w:p>
      <w:pPr>
        <w:pStyle w:val="TextBody"/>
        <w:bidi w:val="0"/>
        <w:spacing w:before="120" w:after="0"/>
        <w:jc w:val="left"/>
        <w:rPr>
          <w:rFonts w:ascii="Times New Roman" w:hAnsi="Times New Roman"/>
          <w:sz w:val="20"/>
        </w:rPr>
      </w:pPr>
      <w:r>
        <w:rPr>
          <w:rFonts w:ascii="Times New Roman" w:hAnsi="Times New Roman"/>
          <w:sz w:val="20"/>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Times New Roman" w:hAnsi="Times New Roman"/>
          <w:i/>
          <w:sz w:val="20"/>
        </w:rPr>
        <w:t></w:t>
      </w:r>
      <w:r>
        <w:rPr>
          <w:rFonts w:ascii="Times New Roman" w:hAnsi="Times New Roman"/>
          <w:sz w:val="20"/>
        </w:rPr>
        <w:t xml:space="preserve">s death. </w:t>
      </w:r>
    </w:p>
    <w:p>
      <w:pPr>
        <w:pStyle w:val="TextBody"/>
        <w:bidi w:val="0"/>
        <w:spacing w:before="360" w:after="0"/>
        <w:jc w:val="left"/>
        <w:rPr>
          <w:rFonts w:ascii="Times New Roman" w:hAnsi="Times New Roman"/>
          <w:i/>
          <w:sz w:val="20"/>
        </w:rPr>
      </w:pPr>
      <w:r>
        <w:rPr>
          <w:rFonts w:ascii="Times New Roman" w:hAnsi="Times New Roman"/>
          <w:i/>
          <w:sz w:val="20"/>
        </w:rPr>
        <w:t xml:space="preserve">Non-residents of the Netherlands </w:t>
      </w:r>
    </w:p>
    <w:p>
      <w:pPr>
        <w:pStyle w:val="TextBody"/>
        <w:bidi w:val="0"/>
        <w:spacing w:before="120" w:after="0"/>
        <w:jc w:val="left"/>
        <w:rPr>
          <w:rFonts w:ascii="Times New Roman" w:hAnsi="Times New Roman"/>
          <w:sz w:val="20"/>
        </w:rPr>
      </w:pPr>
      <w:r>
        <w:rPr>
          <w:rFonts w:ascii="Times New Roman" w:hAnsi="Times New Roman"/>
          <w:sz w:val="20"/>
        </w:rPr>
        <w:t xml:space="preserve">No gift or inheritance taxes will arise in the Netherlands with respect to a transfer of our ordinary shares by way of gift by, or on the death of, a holder of ordinary shares who is neither resident nor deemed to be resident of the Netherlands,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gift of our ordinary shares made under a condition precedent, the holder of ordinary shares is resident or deemed to be resident of the Netherlands at the time the condition is fulfilled;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is otherwise construed as a gift or inheritance made by, or on behalf of, a person who, at the time of the gift or death, is or is deemed to be resident of the Netherlands.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Value Added Tax (VAT) </w:t>
      </w:r>
    </w:p>
    <w:p>
      <w:pPr>
        <w:pStyle w:val="TextBody"/>
        <w:bidi w:val="0"/>
        <w:spacing w:before="120" w:after="0"/>
        <w:jc w:val="left"/>
        <w:rPr>
          <w:rFonts w:ascii="Times New Roman" w:hAnsi="Times New Roman"/>
          <w:sz w:val="20"/>
        </w:rPr>
      </w:pPr>
      <w:r>
        <w:rPr>
          <w:rFonts w:ascii="Times New Roman" w:hAnsi="Times New Roman"/>
          <w:sz w:val="20"/>
        </w:rPr>
        <w:t xml:space="preserve">No Dutch value added tax will be payable by a holder of our ordinary shares in respect of any payment in consideration for the holding or disposal of our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Real Property Transfer Tax </w:t>
      </w:r>
    </w:p>
    <w:p>
      <w:pPr>
        <w:pStyle w:val="TextBody"/>
        <w:bidi w:val="0"/>
        <w:spacing w:before="120" w:after="0"/>
        <w:jc w:val="left"/>
        <w:rPr>
          <w:rFonts w:ascii="Times New Roman" w:hAnsi="Times New Roman"/>
          <w:sz w:val="20"/>
        </w:rPr>
      </w:pPr>
      <w:r>
        <w:rPr>
          <w:rFonts w:ascii="Times New Roman" w:hAnsi="Times New Roman"/>
          <w:sz w:val="20"/>
        </w:rPr>
        <w:t>Under circumstances, our ordinary shares could, for the purposes of Dutch real property transfer tax (</w:t>
      </w:r>
      <w:r>
        <w:rPr>
          <w:rFonts w:ascii="Times New Roman" w:hAnsi="Times New Roman"/>
          <w:i/>
          <w:sz w:val="20"/>
        </w:rPr>
        <w:t>overdrachtsbelasting</w:t>
      </w:r>
      <w:r>
        <w:rPr>
          <w:rFonts w:ascii="Times New Roman" w:hAnsi="Times New Roman"/>
          <w:sz w:val="20"/>
        </w:rPr>
        <w:t>), be treated as real property (</w:t>
      </w:r>
      <w:r>
        <w:rPr>
          <w:rFonts w:ascii="Times New Roman" w:hAnsi="Times New Roman"/>
          <w:i/>
          <w:sz w:val="20"/>
        </w:rPr>
        <w:t>fictieve onroerende zaken</w:t>
      </w:r>
      <w:r>
        <w:rPr>
          <w:rFonts w:ascii="Times New Roman" w:hAnsi="Times New Roman"/>
          <w:sz w:val="20"/>
        </w:rPr>
        <w:t xml:space="preserve">) located in the Netherlands, in which case this tax could be payable upon acquisition of our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Our ordinary shares will generally not be treated as real property if at the time of, or at any time during the year preceding, the acquisition of the ordinary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assets do not and did not include real property situated in the Netherlands;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assets only include and included real property, situated either in or outside the Netherlands, that we do not and did not hold, and currently do not intend to hold, predominantly as a financial investment. </w:t>
            </w:r>
          </w:p>
        </w:tc>
      </w:tr>
    </w:tbl>
    <w:p>
      <w:pPr>
        <w:pStyle w:val="TextBody"/>
        <w:bidi w:val="0"/>
        <w:spacing w:before="240" w:after="0"/>
        <w:jc w:val="left"/>
        <w:rPr>
          <w:rFonts w:ascii="Times New Roman" w:hAnsi="Times New Roman"/>
          <w:sz w:val="20"/>
        </w:rPr>
      </w:pPr>
      <w:r>
        <w:rPr>
          <w:rFonts w:ascii="Times New Roman" w:hAnsi="Times New Roman"/>
          <w:sz w:val="20"/>
        </w:rPr>
        <w:t>Real property as referred to under (i) and (ii) above includes legal ownership and more limited legal rights over the property (rights in rem) (</w:t>
      </w:r>
      <w:r>
        <w:rPr>
          <w:rFonts w:ascii="Times New Roman" w:hAnsi="Times New Roman"/>
          <w:i/>
          <w:sz w:val="20"/>
        </w:rPr>
        <w:t>zakelijke rechten</w:t>
      </w:r>
      <w:r>
        <w:rPr>
          <w:rFonts w:ascii="Times New Roman" w:hAnsi="Times New Roman"/>
          <w:sz w:val="20"/>
        </w:rPr>
        <w:t xml:space="preserve">) as well as contractual rights that give us economic exposure to the value of such real property, and certain participations or interests in entities that are treated as real property. </w:t>
      </w:r>
    </w:p>
    <w:p>
      <w:pPr>
        <w:pStyle w:val="TextBody"/>
        <w:bidi w:val="0"/>
        <w:spacing w:before="240" w:after="0"/>
        <w:jc w:val="left"/>
        <w:rPr>
          <w:rFonts w:ascii="Times New Roman" w:hAnsi="Times New Roman"/>
          <w:sz w:val="20"/>
        </w:rPr>
      </w:pPr>
      <w:r>
        <w:rPr>
          <w:rFonts w:ascii="Times New Roman" w:hAnsi="Times New Roman"/>
          <w:sz w:val="20"/>
        </w:rPr>
        <w:t xml:space="preserve">Our assets do not include and have not included real property situated in the Netherlands as described above. Consequently, no Dutch real property transfer tax becomes payable upon an acquisition of our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Stamp Duties </w:t>
      </w:r>
    </w:p>
    <w:p>
      <w:pPr>
        <w:pStyle w:val="TextBody"/>
        <w:bidi w:val="0"/>
        <w:spacing w:before="120" w:after="0"/>
        <w:jc w:val="left"/>
        <w:rPr>
          <w:rFonts w:ascii="Times New Roman" w:hAnsi="Times New Roman"/>
          <w:sz w:val="20"/>
        </w:rPr>
      </w:pPr>
      <w:r>
        <w:rPr>
          <w:rFonts w:ascii="Times New Roman" w:hAnsi="Times New Roman"/>
          <w:sz w:val="20"/>
        </w:rPr>
        <w:t xml:space="preserve">No Dutch documentation taxes (commonly referred to as stamp duties) will be payable by a holder of our ordinary shares in respect of any payment in consideration for the holding or disposal of our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4" w:name="stx807379_12"/>
      <w:bookmarkEnd w:id="3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the Sales Agreement with Leerink Partners, relating to the sale of our ordinary shares offered by this prospectus supplement and the accompanying prospectus. In accordance with the terms of the Sales Agreement, we may offer and sell our ordinary shares, nominal value 0.12 per share, having an aggregate offering price of up to $175,000,000 from time to time through Leerink Partners, acting as our agent. </w:t>
      </w:r>
    </w:p>
    <w:p>
      <w:pPr>
        <w:pStyle w:val="TextBody"/>
        <w:bidi w:val="0"/>
        <w:spacing w:before="240" w:after="0"/>
        <w:jc w:val="left"/>
        <w:rPr>
          <w:rFonts w:ascii="Times New Roman" w:hAnsi="Times New Roman"/>
          <w:sz w:val="20"/>
        </w:rPr>
      </w:pPr>
      <w:r>
        <w:rPr>
          <w:rFonts w:ascii="Times New Roman" w:hAnsi="Times New Roman"/>
          <w:sz w:val="20"/>
        </w:rPr>
        <w:t xml:space="preserve">Sales of our ordinary shares, if any, under this prospectus supplement will be made by any method permitted that is deemed an at the market offering as defined in Rule 415 under the Securities Act, including sales made directly on or through Nasdaq, the existing trading market for our ordinary shares, sales made to or through a market maker other than on an exchange or otherwise, and/or any other method permitted by law. If authorized by us in writing, Leerink Partners may purchase our ordinary shares as principal or in block transactions.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will offer our ordinary shares subject to the terms and conditions of the Sales Agreement on a daily basis or as otherwise agreed upon by us and Leerink Partners. We will designate the maximum number or amount of ordinary shares to be sold through Leerink Partners on a daily basis or otherwise determine such maximum number or amount together with Leerink Partners. Subject to the terms and conditions of the Sales Agreement, Leerink Partners will use commercially reasonable efforts to sell on our behalf all of the ordinary shares requested to be sold by us. Leerink Partners or we may suspend the offering of our ordinary shares being made through Leerink Partners under the Sales Agreement upon proper notice to the other party. Leerink Partners and we each have the right, by giving written notice as specified in the Sales Agreement, to terminate the Sales Agreement in each partys sole discretion at any time. The offering of our ordinary shares pursuant to the Sales Agreement will otherwise terminate upon the termination of the Sales Agreement as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will be entitled to compensation at a commission rate of up to 3.0% of the gross sales price per share sold under the Sales Agreement. We have also agreed to reimburse Leerink Partners for outside legal expenses incurred by Leerink Partners in connection with this offering, including Leerink Partners counsel fees in an amount up to $75,000 in connection with the filing of this prospectus supplement and up to $15,000 each quarter thereafter. In accordance with FINRA Rule 5510, these reimbursed fees and expenses are deemed sales compensation to Leerink Partners in connection with this offering. We estimate that the total expenses of the offering payable by us, excluding any commissions or expense reimbursement payable to Leerink Partners under the Sales Agreement, will be approximately $150,000. </w:t>
      </w:r>
    </w:p>
    <w:p>
      <w:pPr>
        <w:pStyle w:val="TextBody"/>
        <w:bidi w:val="0"/>
        <w:spacing w:before="240" w:after="0"/>
        <w:jc w:val="left"/>
        <w:rPr>
          <w:rFonts w:ascii="Times New Roman" w:hAnsi="Times New Roman"/>
          <w:sz w:val="20"/>
        </w:rPr>
      </w:pPr>
      <w:r>
        <w:rPr>
          <w:rFonts w:ascii="Times New Roman" w:hAnsi="Times New Roman"/>
          <w:sz w:val="20"/>
        </w:rPr>
        <w:t xml:space="preserve">The remaining sale proceeds, after deducting any commissions and expense reimbursement payable to Leerink Partners and any other transaction fees and expenses payable by us, will equal our net proceeds from the sale of such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will provide written confirmation to us before the open on Nasdaq on the day following each day on which our ordinary shares are sold through it as sales agent under the Sales Agreement. Each confirmation will include the number of ordinary shares sold through it as sales agent on that day, the volume-weighted average price of the ordinary shares sold, the percentage of the daily trading volume and the net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ordinary shares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report at least quarterly the number of ordinary shares sold through Leerink Partners under the Sales Agreement, the net proceeds to us and the compensation payable to Leerink Partners in connection with the sales of ordinary shares during the relevant period.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ordinary shares on our behalf, Leerink Partners may be deemed to be an underwriter within the meaning of the Securities Act, and the compensation paid to Leerink Partners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deemed to be underwriting commissions or discounts. We have agreed in the Sales Agreement to provide indemnification and contribution to Leerink Partners against certain civil liabilities, including liabilities under the Securities Act. As sales agent, Leerink Partners will not engage in any transactions that stabilize our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and/or its affiliates have provided, and may in the future provide, various investment banking and other financial services for us for which services they have received, and may in the future receive, customary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5" w:name="stx807379_13"/>
      <w:bookmarkEnd w:id="3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ordinary shares and certain other matters of Dutch law will be passed upon for us by NautaDutilh N.V. Certain matters of U.S. federal and New York State law will be passed upon for us by Kirkland &amp; Ellis LLP, New York, New York. Sidley Austin LLP, San Francisco, California, is counsel to Leerink Partners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6" w:name="stx807379_14"/>
      <w:bookmarkEnd w:id="3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supplement by reference to the Annual Report on Form 20-F for the year ended December 31, 2023, have been so incorporated in reliance on the report of PricewaterhouseCoopers Accountants N.V.,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7" w:name="stx807379_15"/>
      <w:bookmarkEnd w:id="3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U.S. Securities and Exchange Commission a registration statement (including amendments and exhibits to the registration statement) on Form F-3 under the Securities Act. Our SEC filings are available to the public over the Internet at the SECs website at http://www.sec.gov. Copies of certain information filed by us with the SEC are also available on our website at http://www.pharvaris.com. Our website is not a part of this prospectus supplement and is not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8" w:name="stx807379_16"/>
      <w:bookmarkEnd w:id="3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or incorporated by reference subsequent to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following documents or information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20-F for the fiscal year ended December  31, 2023 filed on </w:t>
            </w:r>
            <w:hyperlink r:id="rId13">
              <w:r>
                <w:rPr>
                  <w:rStyle w:val="InternetLink"/>
                  <w:rFonts w:ascii="Times New Roman" w:hAnsi="Times New Roman"/>
                  <w:sz w:val="20"/>
                </w:rPr>
                <w:t>April 10,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Forms 6-K filed on </w:t>
            </w:r>
            <w:hyperlink r:id="rId14">
              <w:r>
                <w:rPr>
                  <w:rStyle w:val="InternetLink"/>
                  <w:rFonts w:ascii="Times New Roman" w:hAnsi="Times New Roman"/>
                  <w:sz w:val="20"/>
                </w:rPr>
                <w:t>January 8, 2024</w:t>
              </w:r>
            </w:hyperlink>
            <w:r>
              <w:rPr>
                <w:rFonts w:ascii="Times New Roman" w:hAnsi="Times New Roman"/>
                <w:sz w:val="20"/>
              </w:rPr>
              <w:t xml:space="preserve"> (other than exhibit 99.2), </w:t>
            </w:r>
            <w:hyperlink r:id="rId15">
              <w:r>
                <w:rPr>
                  <w:rStyle w:val="InternetLink"/>
                  <w:rFonts w:ascii="Times New Roman" w:hAnsi="Times New Roman"/>
                  <w:sz w:val="20"/>
                </w:rPr>
                <w:t>January 22, 2024</w:t>
              </w:r>
            </w:hyperlink>
            <w:r>
              <w:rPr>
                <w:rFonts w:ascii="Times New Roman" w:hAnsi="Times New Roman"/>
                <w:sz w:val="20"/>
              </w:rPr>
              <w:t xml:space="preserve"> (other than exhibit 99.2),  </w:t>
            </w:r>
            <w:hyperlink r:id="rId16">
              <w:r>
                <w:rPr>
                  <w:rStyle w:val="InternetLink"/>
                  <w:rFonts w:ascii="Times New Roman" w:hAnsi="Times New Roman"/>
                  <w:sz w:val="20"/>
                </w:rPr>
                <w:t>February 7, 2024</w:t>
              </w:r>
            </w:hyperlink>
            <w:r>
              <w:rPr>
                <w:rFonts w:ascii="Times New Roman" w:hAnsi="Times New Roman"/>
                <w:sz w:val="20"/>
              </w:rPr>
              <w:t xml:space="preserve">, </w:t>
            </w:r>
            <w:hyperlink r:id="rId17">
              <w:r>
                <w:rPr>
                  <w:rStyle w:val="InternetLink"/>
                  <w:rFonts w:ascii="Times New Roman" w:hAnsi="Times New Roman"/>
                  <w:sz w:val="20"/>
                </w:rPr>
                <w:t>February  16, 2024</w:t>
              </w:r>
            </w:hyperlink>
            <w:r>
              <w:rPr>
                <w:rFonts w:ascii="Times New Roman" w:hAnsi="Times New Roman"/>
                <w:sz w:val="20"/>
              </w:rPr>
              <w:t xml:space="preserve"> (other than exhibits 99.4 and 99.5), </w:t>
            </w:r>
            <w:hyperlink r:id="rId18">
              <w:r>
                <w:rPr>
                  <w:rStyle w:val="InternetLink"/>
                  <w:rFonts w:ascii="Times New Roman" w:hAnsi="Times New Roman"/>
                  <w:sz w:val="20"/>
                </w:rPr>
                <w:t>March  6, 2024</w:t>
              </w:r>
            </w:hyperlink>
            <w:r>
              <w:rPr>
                <w:rFonts w:ascii="Times New Roman" w:hAnsi="Times New Roman"/>
                <w:sz w:val="20"/>
              </w:rPr>
              <w:t xml:space="preserve"> and </w:t>
            </w:r>
            <w:hyperlink r:id="rId19">
              <w:r>
                <w:rPr>
                  <w:rStyle w:val="InternetLink"/>
                  <w:rFonts w:ascii="Times New Roman" w:hAnsi="Times New Roman"/>
                  <w:sz w:val="20"/>
                </w:rPr>
                <w:t>April 10, 2024</w:t>
              </w:r>
            </w:hyperlink>
            <w:r>
              <w:rPr>
                <w:rFonts w:ascii="Times New Roman" w:hAnsi="Times New Roman"/>
                <w:sz w:val="20"/>
              </w:rPr>
              <w:t xml:space="preserve"> (other than exhibit 99.1);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ordinary shares contained in our registration statement on </w:t>
            </w:r>
            <w:hyperlink r:id="rId20">
              <w:r>
                <w:rPr>
                  <w:rStyle w:val="InternetLink"/>
                  <w:rFonts w:ascii="Times New Roman" w:hAnsi="Times New Roman"/>
                  <w:sz w:val="20"/>
                </w:rPr>
                <w:t>Form 8-A</w:t>
              </w:r>
            </w:hyperlink>
            <w:r>
              <w:rPr>
                <w:rFonts w:ascii="Times New Roman" w:hAnsi="Times New Roman"/>
                <w:sz w:val="20"/>
              </w:rPr>
              <w:t xml:space="preserve"> filed with the SEC on February 4, 2021, as updated by the description of our ordinary shares filed as </w:t>
            </w:r>
            <w:hyperlink r:id="rId21">
              <w:r>
                <w:rPr>
                  <w:rStyle w:val="InternetLink"/>
                  <w:rFonts w:ascii="Times New Roman" w:hAnsi="Times New Roman"/>
                  <w:sz w:val="20"/>
                </w:rPr>
                <w:t>Exhibit 2.1</w:t>
              </w:r>
            </w:hyperlink>
            <w:r>
              <w:rPr>
                <w:rFonts w:ascii="Times New Roman" w:hAnsi="Times New Roman"/>
                <w:sz w:val="20"/>
              </w:rPr>
              <w:t xml:space="preserve"> to our Annual Report on Form 20-F for the fiscal year ended December 31,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annual reports we file with the SEC pursuant to the Exchange Act on Form 20-F on or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Form 6-K subsequently submitted to the SEC by identifying in such Form 6-K that it is being incorporated by reference into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in this prospectus supplement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Emmy Noetherweg 2, 2333 BK Leiden, The Netherlands or via telephone at +31 (0)71 203 6410.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600" w:after="0"/>
        <w:jc w:val="center"/>
        <w:rPr>
          <w:rFonts w:ascii="Times New Roman" w:hAnsi="Times New Roman"/>
          <w:b/>
          <w:sz w:val="32"/>
        </w:rPr>
      </w:pPr>
      <w:r>
        <w:rPr>
          <w:rFonts w:ascii="Times New Roman" w:hAnsi="Times New Roman"/>
          <w:b/>
          <w:sz w:val="32"/>
        </w:rPr>
        <w:t xml:space="preserve">$175,000,000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42570" cy="400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242570" cy="40005"/>
                    </a:xfrm>
                    <a:prstGeom prst="rect">
                      <a:avLst/>
                    </a:prstGeom>
                  </pic:spPr>
                </pic:pic>
              </a:graphicData>
            </a:graphic>
          </wp:inline>
        </w:drawing>
      </w:r>
      <w:r>
        <w:rPr/>
        <w:t xml:space="preserve"> </w:t>
      </w:r>
    </w:p>
    <w:p>
      <w:pPr>
        <w:pStyle w:val="TextBody"/>
        <w:bidi w:val="0"/>
        <w:spacing w:before="800" w:after="0"/>
        <w:jc w:val="center"/>
        <w:rPr>
          <w:rFonts w:ascii="Times New Roman" w:hAnsi="Times New Roman"/>
          <w:b/>
          <w:sz w:val="28"/>
        </w:rPr>
      </w:pPr>
      <w:r>
        <w:rPr>
          <w:rFonts w:ascii="Times New Roman" w:hAnsi="Times New Roman"/>
          <w:b/>
          <w:sz w:val="28"/>
        </w:rPr>
        <w:t xml:space="preserve">Ordinary Shares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0" w:after="0"/>
        <w:jc w:val="center"/>
        <w:rPr>
          <w:rFonts w:ascii="Times New Roman" w:hAnsi="Times New Roman"/>
          <w:b/>
          <w:sz w:val="32"/>
        </w:rPr>
      </w:pPr>
      <w:r>
        <w:rPr>
          <w:rFonts w:ascii="Times New Roman" w:hAnsi="Times New Roman"/>
          <w:b/>
          <w:sz w:val="32"/>
        </w:rPr>
        <w:t xml:space="preserve">Leerink Partners </w:t>
      </w:r>
    </w:p>
    <w:p>
      <w:pPr>
        <w:pStyle w:val="TextBody"/>
        <w:bidi w:val="0"/>
        <w:spacing w:before="800" w:after="0"/>
        <w:jc w:val="center"/>
        <w:rPr>
          <w:rFonts w:ascii="Times New Roman" w:hAnsi="Times New Roman"/>
          <w:b/>
          <w:sz w:val="20"/>
        </w:rPr>
      </w:pPr>
      <w:r>
        <w:rPr>
          <w:rFonts w:ascii="Times New Roman" w:hAnsi="Times New Roman"/>
          <w:b/>
          <w:sz w:val="20"/>
        </w:rPr>
        <w:t xml:space="preserve">April 12,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 INFORMATION NOT REQUIRED IN PROSPECTUS </w:t>
      </w:r>
    </w:p>
    <w:p>
      <w:pPr>
        <w:pStyle w:val="TextBody"/>
        <w:bidi w:val="0"/>
        <w:spacing w:before="120" w:after="0"/>
        <w:jc w:val="center"/>
        <w:rPr>
          <w:rFonts w:ascii="Times New Roman" w:hAnsi="Times New Roman"/>
          <w:b/>
          <w:sz w:val="20"/>
        </w:rPr>
      </w:pPr>
      <w:r>
        <w:rPr>
          <w:rFonts w:ascii="Times New Roman" w:hAnsi="Times New Roman"/>
          <w:b/>
          <w:sz w:val="20"/>
        </w:rPr>
        <w:t xml:space="preserve">INDEMNIFICATION OF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Dutch law, our directors may be held liable for damages in the event of improper or negligent performance of their duties. They may be held liable for damages to the Company and to third parties for infringement of the Articles of Association or of certain provisions of Dutch law. In certain circumstances, they may also incur additional specific civil and criminal liabilities. Members of the Board and senior management and certain other officers of the Company and certain subsidiaries are insured under an insurance policy against damages resulting from their conduct when acting in the capacities as such members or officers.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our Articles of Association provide for indemnification for our current and former directors and other current and former officers and employees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 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 </w:t>
      </w:r>
    </w:p>
    <w:p>
      <w:pPr>
        <w:pStyle w:val="TextBody"/>
        <w:bidi w:val="0"/>
        <w:spacing w:before="240" w:after="0"/>
        <w:jc w:val="left"/>
        <w:rPr>
          <w:rFonts w:ascii="Times New Roman" w:hAnsi="Times New Roman"/>
          <w:sz w:val="20"/>
        </w:rPr>
      </w:pPr>
      <w:r>
        <w:rPr>
          <w:rFonts w:ascii="Times New Roman" w:hAnsi="Times New Roman"/>
          <w:sz w:val="20"/>
        </w:rPr>
        <w:t xml:space="preserve">Under our Articles of Association, our Board may stipulate additional terms, conditions and restrictions in relation to the indemnification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filed as part of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5"/>
        <w:gridCol w:w="314"/>
        <w:gridCol w:w="9206"/>
      </w:tblGrid>
      <w:tr>
        <w:trPr/>
        <w:tc>
          <w:tcPr>
            <w:tcW w:w="685"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9206" w:type="dxa"/>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1.1*</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r>
              <w:rPr/>
              <w:t>Form of Underwriting Agreement</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1.2</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807379dex12.htm">
              <w:r>
                <w:rPr>
                  <w:rStyle w:val="InternetLink"/>
                </w:rPr>
                <w:t xml:space="preserve">Sales Agreement, dated as of April 12, 2024, between Pharvaris N.V. and Leerink Partners LLC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4.1</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r:id="rId23">
              <w:r>
                <w:rPr>
                  <w:rStyle w:val="InternetLink"/>
                </w:rPr>
                <w:t xml:space="preserve">Articles of Association of Pharvaris N.V. (English Translation) (incorporated herein by reference to Exhibit  3.1 to the Companys Current Report on Form 6-K filed with the SEC on March 6, 2024)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4.2</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807379dex42.htm">
              <w:r>
                <w:rPr>
                  <w:rStyle w:val="InternetLink"/>
                </w:rPr>
                <w:t xml:space="preserve">Form of Senior Indenture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4.3</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807379dex43.htm">
              <w:r>
                <w:rPr>
                  <w:rStyle w:val="InternetLink"/>
                </w:rPr>
                <w:t xml:space="preserve">Form of Subordinated Indenture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4.4*</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r>
              <w:rPr/>
              <w:t>Form of Senior Note</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4.5*</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r>
              <w:rPr/>
              <w:t>Form of Subordinated Note</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4.6*</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r>
              <w:rPr/>
              <w:t>Form of Warrant Agreement</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4.7*</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r>
              <w:rPr/>
              <w:t>Form of Purchase Contract</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4.8*</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r>
              <w:rPr/>
              <w:t>Form of Unit Agreement</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5.1</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807379dex51.htm">
              <w:r>
                <w:rPr>
                  <w:rStyle w:val="InternetLink"/>
                </w:rPr>
                <w:t xml:space="preserve">Opinion of NautaDutilh N.V.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5.2</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807379dex52.htm">
              <w:r>
                <w:rPr>
                  <w:rStyle w:val="InternetLink"/>
                </w:rPr>
                <w:t xml:space="preserve">Opinion of Kirkland &amp; Ellis LLP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23.1</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807379dex231.htm">
              <w:r>
                <w:rPr>
                  <w:rStyle w:val="InternetLink"/>
                </w:rPr>
                <w:t xml:space="preserve">Consent of PricewaterhouseCoopers Accountants N.V.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23.2</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807379dex51.htm">
              <w:r>
                <w:rPr>
                  <w:rStyle w:val="InternetLink"/>
                </w:rPr>
                <w:t xml:space="preserve">Consent of NautaDutilh N.V. (included in Exhibit 5.1)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23.3</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807379dex52.htm">
              <w:r>
                <w:rPr>
                  <w:rStyle w:val="InternetLink"/>
                </w:rPr>
                <w:t xml:space="preserve">Consent of Kirkland &amp; Ellis LLP (included in Exhibit 5.2)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24.1</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sig">
              <w:r>
                <w:rPr>
                  <w:rStyle w:val="InternetLink"/>
                </w:rPr>
                <w:t xml:space="preserve">Powers of Attorney (included on signature page to the registration statement) </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25.1*</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r>
              <w:rPr/>
              <w:t>Statement of Eligibility on Form T-1 for Senior Indenture</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 </w:t>
            </w:r>
            <w:r>
              <w:rPr/>
              <w:t>25.2*</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r>
              <w:rPr/>
              <w:t>Statement of Eligibility on Form T-1 for Subordinated Indenture</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107</w:t>
            </w:r>
          </w:p>
        </w:tc>
        <w:tc>
          <w:tcPr>
            <w:tcW w:w="314" w:type="dxa"/>
            <w:tcBorders/>
            <w:vAlign w:val="bottom"/>
          </w:tcPr>
          <w:p>
            <w:pPr>
              <w:pStyle w:val="TableContents"/>
              <w:bidi w:val="0"/>
              <w:spacing w:before="0" w:after="283"/>
              <w:jc w:val="left"/>
              <w:rPr/>
            </w:pPr>
            <w:r>
              <w:rPr/>
              <w:t>  </w:t>
            </w:r>
          </w:p>
        </w:tc>
        <w:tc>
          <w:tcPr>
            <w:tcW w:w="9206" w:type="dxa"/>
            <w:tcBorders/>
          </w:tcPr>
          <w:p>
            <w:pPr>
              <w:pStyle w:val="TableContents"/>
              <w:bidi w:val="0"/>
              <w:spacing w:before="0" w:after="283"/>
              <w:jc w:val="left"/>
              <w:rPr/>
            </w:pPr>
            <w:hyperlink w:anchor="d807379dexfilingfees.htm">
              <w:r>
                <w:rPr>
                  <w:rStyle w:val="InternetLink"/>
                </w:rPr>
                <w:t xml:space="preserve">Filing Fee Exhibit </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if necessary, either by amendment to this registration statement or as an exhibit to a document to be incorporated by reference in this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 (b) of this chapter) if, in the aggregate, the changes in volume and price represent no more than 20% change in the maximum aggregate offering price set forth in the Calculation of Registration Fee table in the effective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however, That: </w:t>
      </w:r>
    </w:p>
    <w:p>
      <w:pPr>
        <w:pStyle w:val="TextBody"/>
        <w:bidi w:val="0"/>
        <w:spacing w:before="120" w:after="0"/>
        <w:jc w:val="left"/>
        <w:rPr>
          <w:rFonts w:ascii="Times New Roman" w:hAnsi="Times New Roman"/>
          <w:sz w:val="20"/>
        </w:rPr>
      </w:pPr>
      <w:r>
        <w:rPr>
          <w:rFonts w:ascii="Times New Roman" w:hAnsi="Times New Roman"/>
          <w:sz w:val="20"/>
        </w:rPr>
        <w:t xml:space="preserve">(A) Paragraphs (a)(1)(i), (a)(1)(ii) and (a)(1)(iii) of this section do not apply if the registration statement is on Form S-1(§ 239.11 of this chapter), Form S-3 (§ 239.13 of this chapter), Form SF-3 (§ 239.45 of this chapter) or Form F-3 (§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 230.424(b) of this chapter)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a post-effective amendment to the registration statement to include any financial statements required by Item 8.A of Form 20-F (§ 249.220f of this chapter) at the start of any delayed offering or throughout a continuous offering. Financial statements and information otherwise required by Section 10(a)(3) of the Act (15 U.S.C. 77j(a)(3))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 239.33 of this chapter), a post-effective amendment need not be filed to include financial statements and information required by Section 10(a)(3) of the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 xml:space="preserve">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9" w:name="sig"/>
      <w:bookmarkEnd w:id="39"/>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Amsterdam, The Netherlands on April 12,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Pharvaris N.V.</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p>
            <w:pPr>
              <w:pStyle w:val="TableContents"/>
              <w:bidi w:val="0"/>
              <w:spacing w:before="0" w:after="20"/>
              <w:jc w:val="left"/>
              <w:rPr/>
            </w:pPr>
            <w:r>
              <w:rPr/>
              <w:t> </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Berndt Modig</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Berndt Modig</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Berndt Modig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on April 12, 2024 in the capacities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7"/>
        <w:gridCol w:w="206"/>
        <w:gridCol w:w="5312"/>
      </w:tblGrid>
      <w:tr>
        <w:trPr/>
        <w:tc>
          <w:tcPr>
            <w:tcW w:w="4687"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206" w:type="dxa"/>
            <w:tcBorders/>
            <w:vAlign w:val="bottom"/>
          </w:tcPr>
          <w:p>
            <w:pPr>
              <w:pStyle w:val="TableContents"/>
              <w:bidi w:val="0"/>
              <w:spacing w:before="0" w:after="283"/>
              <w:jc w:val="left"/>
              <w:rPr/>
            </w:pPr>
            <w:r>
              <w:rPr/>
              <w:t>  </w:t>
            </w:r>
          </w:p>
        </w:tc>
        <w:tc>
          <w:tcPr>
            <w:tcW w:w="53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Berndt Modig</w:t>
            </w:r>
          </w:p>
          <w:p>
            <w:pPr>
              <w:pStyle w:val="TableContents"/>
              <w:bidi w:val="0"/>
              <w:spacing w:before="0" w:after="20"/>
              <w:jc w:val="center"/>
              <w:rPr>
                <w:rFonts w:ascii="Times New Roman" w:hAnsi="Times New Roman"/>
                <w:sz w:val="20"/>
              </w:rPr>
            </w:pPr>
            <w:r>
              <w:rPr>
                <w:rFonts w:ascii="Times New Roman" w:hAnsi="Times New Roman"/>
                <w:sz w:val="20"/>
              </w:rPr>
              <w:t>Berndt Modig</w:t>
            </w:r>
          </w:p>
        </w:tc>
        <w:tc>
          <w:tcPr>
            <w:tcW w:w="206"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Anna Nijdam</w:t>
            </w:r>
          </w:p>
          <w:p>
            <w:pPr>
              <w:pStyle w:val="TableContents"/>
              <w:bidi w:val="0"/>
              <w:spacing w:before="0" w:after="20"/>
              <w:jc w:val="center"/>
              <w:rPr>
                <w:rFonts w:ascii="Times New Roman" w:hAnsi="Times New Roman"/>
                <w:sz w:val="20"/>
              </w:rPr>
            </w:pPr>
            <w:r>
              <w:rPr>
                <w:rFonts w:ascii="Times New Roman" w:hAnsi="Times New Roman"/>
                <w:sz w:val="20"/>
              </w:rPr>
              <w:t>Anna Nijdam</w:t>
            </w:r>
          </w:p>
        </w:tc>
        <w:tc>
          <w:tcPr>
            <w:tcW w:w="206"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Head of Strategic Finance and Principal Accounting Officer (principal financial officer and principal accounting officer)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Elisabeth Björk</w:t>
            </w:r>
          </w:p>
          <w:p>
            <w:pPr>
              <w:pStyle w:val="TableContents"/>
              <w:bidi w:val="0"/>
              <w:spacing w:before="0" w:after="20"/>
              <w:jc w:val="center"/>
              <w:rPr>
                <w:rFonts w:ascii="Times New Roman" w:hAnsi="Times New Roman"/>
                <w:sz w:val="20"/>
              </w:rPr>
            </w:pPr>
            <w:r>
              <w:rPr>
                <w:rFonts w:ascii="Times New Roman" w:hAnsi="Times New Roman"/>
                <w:sz w:val="20"/>
              </w:rPr>
              <w:t>Elisabeth Björk</w:t>
            </w:r>
          </w:p>
        </w:tc>
        <w:tc>
          <w:tcPr>
            <w:tcW w:w="206"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Glassman</w:t>
            </w:r>
          </w:p>
          <w:p>
            <w:pPr>
              <w:pStyle w:val="TableContents"/>
              <w:bidi w:val="0"/>
              <w:spacing w:before="0" w:after="20"/>
              <w:jc w:val="center"/>
              <w:rPr>
                <w:rFonts w:ascii="Times New Roman" w:hAnsi="Times New Roman"/>
                <w:sz w:val="20"/>
              </w:rPr>
            </w:pPr>
            <w:r>
              <w:rPr>
                <w:rFonts w:ascii="Times New Roman" w:hAnsi="Times New Roman"/>
                <w:sz w:val="20"/>
              </w:rPr>
              <w:t>Robert Glassman</w:t>
            </w:r>
          </w:p>
        </w:tc>
        <w:tc>
          <w:tcPr>
            <w:tcW w:w="206"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David Meeker</w:t>
            </w:r>
          </w:p>
          <w:p>
            <w:pPr>
              <w:pStyle w:val="TableContents"/>
              <w:bidi w:val="0"/>
              <w:spacing w:before="0" w:after="20"/>
              <w:jc w:val="center"/>
              <w:rPr>
                <w:rFonts w:ascii="Times New Roman" w:hAnsi="Times New Roman"/>
                <w:sz w:val="20"/>
              </w:rPr>
            </w:pPr>
            <w:r>
              <w:rPr>
                <w:rFonts w:ascii="Times New Roman" w:hAnsi="Times New Roman"/>
                <w:sz w:val="20"/>
              </w:rPr>
              <w:t>David Meeker</w:t>
            </w:r>
          </w:p>
        </w:tc>
        <w:tc>
          <w:tcPr>
            <w:tcW w:w="206"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Vivian Monges</w:t>
            </w:r>
          </w:p>
          <w:p>
            <w:pPr>
              <w:pStyle w:val="TableContents"/>
              <w:bidi w:val="0"/>
              <w:spacing w:before="0" w:after="20"/>
              <w:jc w:val="center"/>
              <w:rPr>
                <w:rFonts w:ascii="Times New Roman" w:hAnsi="Times New Roman"/>
                <w:sz w:val="20"/>
              </w:rPr>
            </w:pPr>
            <w:r>
              <w:rPr>
                <w:rFonts w:ascii="Times New Roman" w:hAnsi="Times New Roman"/>
                <w:sz w:val="20"/>
              </w:rPr>
              <w:t>Vivian Monges</w:t>
            </w:r>
          </w:p>
        </w:tc>
        <w:tc>
          <w:tcPr>
            <w:tcW w:w="206"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Hans Schikan</w:t>
            </w:r>
          </w:p>
          <w:p>
            <w:pPr>
              <w:pStyle w:val="TableContents"/>
              <w:bidi w:val="0"/>
              <w:spacing w:before="0" w:after="20"/>
              <w:jc w:val="center"/>
              <w:rPr>
                <w:rFonts w:ascii="Times New Roman" w:hAnsi="Times New Roman"/>
                <w:sz w:val="20"/>
              </w:rPr>
            </w:pPr>
            <w:r>
              <w:rPr>
                <w:rFonts w:ascii="Times New Roman" w:hAnsi="Times New Roman"/>
                <w:sz w:val="20"/>
              </w:rPr>
              <w:t>Hans Schikan</w:t>
            </w:r>
          </w:p>
        </w:tc>
        <w:tc>
          <w:tcPr>
            <w:tcW w:w="206"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Morgan Conn</w:t>
            </w:r>
          </w:p>
          <w:p>
            <w:pPr>
              <w:pStyle w:val="TableContents"/>
              <w:bidi w:val="0"/>
              <w:spacing w:before="0" w:after="20"/>
              <w:jc w:val="center"/>
              <w:rPr>
                <w:rFonts w:ascii="Times New Roman" w:hAnsi="Times New Roman"/>
                <w:sz w:val="20"/>
              </w:rPr>
            </w:pPr>
            <w:r>
              <w:rPr>
                <w:rFonts w:ascii="Times New Roman" w:hAnsi="Times New Roman"/>
                <w:sz w:val="20"/>
              </w:rPr>
              <w:t>Morgan Conn</w:t>
            </w:r>
          </w:p>
        </w:tc>
        <w:tc>
          <w:tcPr>
            <w:tcW w:w="206"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Authorized Representative in the United States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40" w:name="d807379dex12.htm"/>
      <w:bookmarkStart w:id="41" w:name="ksd807379dex12"/>
      <w:bookmarkEnd w:id="40"/>
      <w:bookmarkEnd w:id="41"/>
      <w:r>
        <w:rPr>
          <w:rFonts w:ascii="Times New Roman" w:hAnsi="Times New Roman"/>
          <w:b/>
          <w:sz w:val="20"/>
        </w:rPr>
        <w:t xml:space="preserve">Exhibit 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PHARVARIS N.V. </w:t>
      </w:r>
    </w:p>
    <w:p>
      <w:pPr>
        <w:pStyle w:val="TextBody"/>
        <w:bidi w:val="0"/>
        <w:spacing w:before="0" w:after="0"/>
        <w:jc w:val="center"/>
        <w:rPr>
          <w:rFonts w:ascii="Times New Roman" w:hAnsi="Times New Roman"/>
          <w:sz w:val="20"/>
        </w:rPr>
      </w:pPr>
      <w:r>
        <w:rPr>
          <w:rFonts w:ascii="Times New Roman" w:hAnsi="Times New Roman"/>
          <w:sz w:val="20"/>
        </w:rPr>
        <w:t xml:space="preserve">Ordinary Shares </w:t>
      </w:r>
    </w:p>
    <w:p>
      <w:pPr>
        <w:pStyle w:val="TextBody"/>
        <w:bidi w:val="0"/>
        <w:spacing w:before="0" w:after="0"/>
        <w:jc w:val="center"/>
        <w:rPr>
          <w:rFonts w:ascii="Times New Roman" w:hAnsi="Times New Roman"/>
          <w:sz w:val="20"/>
        </w:rPr>
      </w:pPr>
      <w:r>
        <w:rPr>
          <w:rFonts w:ascii="Times New Roman" w:hAnsi="Times New Roman"/>
          <w:sz w:val="20"/>
        </w:rPr>
        <w:t xml:space="preserve">(nominal value of 0.12 per share)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SALES AGREEMENT </w:t>
      </w:r>
    </w:p>
    <w:p>
      <w:pPr>
        <w:pStyle w:val="TextBody"/>
        <w:bidi w:val="0"/>
        <w:spacing w:before="240" w:after="0"/>
        <w:jc w:val="right"/>
        <w:rPr>
          <w:rFonts w:ascii="Times New Roman" w:hAnsi="Times New Roman"/>
          <w:sz w:val="20"/>
        </w:rPr>
      </w:pPr>
      <w:r>
        <w:rPr>
          <w:rFonts w:ascii="Times New Roman" w:hAnsi="Times New Roman"/>
          <w:sz w:val="20"/>
        </w:rPr>
        <w:t xml:space="preserve">April 12, 2024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12th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Pharvaris N.V., a public limited liability company (</w:t>
      </w:r>
      <w:r>
        <w:rPr>
          <w:rFonts w:ascii="Times New Roman" w:hAnsi="Times New Roman"/>
          <w:i/>
          <w:sz w:val="20"/>
        </w:rPr>
        <w:t>naamloze vennootschap</w:t>
      </w:r>
      <w:r>
        <w:rPr>
          <w:rFonts w:ascii="Times New Roman" w:hAnsi="Times New Roman"/>
          <w:sz w:val="20"/>
        </w:rPr>
        <w:t>) (the </w:t>
      </w:r>
      <w:r>
        <w:rPr>
          <w:rFonts w:ascii="Times New Roman" w:hAnsi="Times New Roman"/>
          <w:b/>
          <w:sz w:val="20"/>
          <w:u w:val="single"/>
        </w:rPr>
        <w:t>Company</w:t>
      </w:r>
      <w:r>
        <w:rPr>
          <w:rFonts w:ascii="Times New Roman" w:hAnsi="Times New Roman"/>
          <w:sz w:val="20"/>
        </w:rPr>
        <w:t>), confirms its agreement (this </w:t>
      </w:r>
      <w:r>
        <w:rPr>
          <w:rFonts w:ascii="Times New Roman" w:hAnsi="Times New Roman"/>
          <w:b/>
          <w:sz w:val="20"/>
          <w:u w:val="single"/>
        </w:rPr>
        <w:t>Agreement</w:t>
      </w:r>
      <w:r>
        <w:rPr>
          <w:rFonts w:ascii="Times New Roman" w:hAnsi="Times New Roman"/>
          <w:sz w:val="20"/>
        </w:rPr>
        <w:t>) with Leerink Partners LLC (the </w:t>
      </w:r>
      <w:r>
        <w:rPr>
          <w:rFonts w:ascii="Times New Roman" w:hAnsi="Times New Roman"/>
          <w:b/>
          <w:sz w:val="20"/>
          <w:u w:val="single"/>
        </w:rPr>
        <w:t>Agent</w:t>
      </w:r>
      <w:r>
        <w:rPr>
          <w:rFonts w:ascii="Times New Roman" w:hAnsi="Times New Roman"/>
          <w:sz w:val="20"/>
        </w:rPr>
        <w:t xml:space="preserv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Issuance and Sale of Shares</w:t>
      </w:r>
      <w:r>
        <w:rPr>
          <w:rFonts w:ascii="Times New Roman" w:hAnsi="Times New Roman"/>
          <w:sz w:val="20"/>
        </w:rPr>
        <w:t>. The Company agrees that, from time to time during the term of this Agreement, on the terms and subject to the conditions set forth herein, it may issue and sell through the Agent up to $175,000,000 of the Companys ordinary shares, nominal value 0.12 per share, of the Company (the </w:t>
      </w:r>
      <w:r>
        <w:rPr>
          <w:rFonts w:ascii="Times New Roman" w:hAnsi="Times New Roman"/>
          <w:b/>
          <w:sz w:val="20"/>
          <w:u w:val="single"/>
        </w:rPr>
        <w:t>Ordinary Shares</w:t>
      </w:r>
      <w:r>
        <w:rPr>
          <w:rFonts w:ascii="Times New Roman" w:hAnsi="Times New Roman"/>
          <w:sz w:val="20"/>
        </w:rPr>
        <w:t>), subject to the limitations set forth in Section 5(c) (the </w:t>
      </w:r>
      <w:r>
        <w:rPr>
          <w:rFonts w:ascii="Times New Roman" w:hAnsi="Times New Roman"/>
          <w:b/>
          <w:sz w:val="20"/>
          <w:u w:val="single"/>
        </w:rPr>
        <w:t>Placement Shares</w:t>
      </w:r>
      <w:r>
        <w:rPr>
          <w:rFonts w:ascii="Times New Roman" w:hAnsi="Times New Roman"/>
          <w:sz w:val="20"/>
        </w:rPr>
        <w:t>). Notwithstanding anything to the contrary contained herein, the 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to be filed by the Company with the Securities and Exchange Commission (the </w:t>
      </w:r>
      <w:r>
        <w:rPr>
          <w:rFonts w:ascii="Times New Roman" w:hAnsi="Times New Roman"/>
          <w:b/>
          <w:sz w:val="20"/>
          <w:u w:val="single"/>
        </w:rPr>
        <w:t>Commission</w:t>
      </w:r>
      <w:r>
        <w:rPr>
          <w:rFonts w:ascii="Times New Roman" w:hAnsi="Times New Roman"/>
          <w:sz w:val="20"/>
        </w:rPr>
        <w:t>) on the date hereof, which will become automatically effective upon filing thereof pursuant to Rule 462(e) of the Securities Act of 1933, as amended, and the rules and regulations thereunder (collectively, the </w:t>
      </w:r>
      <w:r>
        <w:rPr>
          <w:rFonts w:ascii="Times New Roman" w:hAnsi="Times New Roman"/>
          <w:b/>
          <w:sz w:val="20"/>
          <w:u w:val="single"/>
        </w:rPr>
        <w:t>Securities Act</w:t>
      </w:r>
      <w:r>
        <w:rPr>
          <w:rFonts w:ascii="Times New Roman" w:hAnsi="Times New Roman"/>
          <w:sz w:val="20"/>
        </w:rPr>
        <w:t xml:space="preserve">), although nothing in this Agreement shall be construed as requiring the Company to issue any Placement Shares. </w:t>
      </w:r>
    </w:p>
    <w:p>
      <w:pPr>
        <w:pStyle w:val="TextBody"/>
        <w:bidi w:val="0"/>
        <w:spacing w:before="240" w:after="0"/>
        <w:jc w:val="left"/>
        <w:rPr>
          <w:rFonts w:ascii="Times New Roman" w:hAnsi="Times New Roman"/>
          <w:sz w:val="20"/>
        </w:rPr>
      </w:pPr>
      <w:r>
        <w:rPr>
          <w:rFonts w:ascii="Times New Roman" w:hAnsi="Times New Roman"/>
          <w:sz w:val="20"/>
        </w:rPr>
        <w:t>The Company has prepared and will file, in accordance with the provisions of the Securities Act, with the Commission an automatic shelf registration statement as defined under Rule 405 of the Securities Act (</w:t>
      </w:r>
      <w:r>
        <w:rPr>
          <w:rFonts w:ascii="Times New Roman" w:hAnsi="Times New Roman"/>
          <w:b/>
          <w:sz w:val="20"/>
          <w:u w:val="single"/>
        </w:rPr>
        <w:t>Rule 405</w:t>
      </w:r>
      <w:r>
        <w:rPr>
          <w:rFonts w:ascii="Times New Roman" w:hAnsi="Times New Roman"/>
          <w:sz w:val="20"/>
        </w:rPr>
        <w:t>) on Form F-3, which automatic shelf registration statement will become effective under Rule 462(e) of the Securities Act, including (a) a base prospectus, relating to certain securities, including the Ordinary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hAnsi="Times New Roman"/>
          <w:b/>
          <w:sz w:val="20"/>
          <w:u w:val="single"/>
        </w:rPr>
        <w:t>Exchange Act</w:t>
      </w:r>
      <w:r>
        <w:rPr>
          <w:rFonts w:ascii="Times New Roman" w:hAnsi="Times New Roman"/>
          <w:sz w:val="20"/>
        </w:rPr>
        <w:t>), and (b) a prospectus supplement specifically relating to the Placement Shares to be issued from time to time pursuant to this Agreement (the </w:t>
      </w:r>
      <w:r>
        <w:rPr>
          <w:rFonts w:ascii="Times New Roman" w:hAnsi="Times New Roman"/>
          <w:b/>
          <w:sz w:val="20"/>
          <w:u w:val="single"/>
        </w:rPr>
        <w:t>Prospectus Supplement</w:t>
      </w:r>
      <w:r>
        <w:rPr>
          <w:rFonts w:ascii="Times New Roman" w:hAnsi="Times New Roman"/>
          <w:sz w:val="20"/>
        </w:rPr>
        <w:t>) to the base prospectus included as part of such registration statement. The Company will furnish to the Agent, for use by the Agent, copies of the base prospectus included as part of such registration statement at the time it becomes effective, as supplemented by the Prospectus Supplement. Except where the context otherwise requires, such registration statement, including any amendment thereto and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Times New Roman" w:hAnsi="Times New Roman"/>
          <w:b/>
          <w:sz w:val="20"/>
          <w:u w:val="single"/>
        </w:rPr>
        <w:t>Registration Statement</w:t>
      </w:r>
      <w:r>
        <w:rPr>
          <w:rFonts w:ascii="Times New Roman" w:hAnsi="Times New Roman"/>
          <w:sz w:val="20"/>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 w:hAnsi="Times New Roman"/>
          <w:b/>
          <w:sz w:val="20"/>
          <w:u w:val="single"/>
        </w:rPr>
        <w:t>Rule 433</w:t>
      </w:r>
      <w:r>
        <w:rPr>
          <w:rFonts w:ascii="Times New Roman" w:hAnsi="Times New Roman"/>
          <w:sz w:val="20"/>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hAnsi="Times New Roman"/>
          <w:b/>
          <w:sz w:val="20"/>
          <w:u w:val="single"/>
        </w:rPr>
        <w:t>Prospectus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Times New Roman" w:hAnsi="Times New Roman"/>
          <w:b/>
          <w:sz w:val="20"/>
          <w:u w:val="single"/>
        </w:rPr>
        <w:t>Incorporated Documents</w:t>
      </w:r>
      <w:r>
        <w:rPr>
          <w:rFonts w:ascii="Times New Roman" w:hAnsi="Times New Roman"/>
          <w:sz w:val="20"/>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hAnsi="Times New Roman"/>
          <w:b/>
          <w:sz w:val="20"/>
          <w:u w:val="single"/>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Placements</w:t>
      </w:r>
      <w:r>
        <w:rPr>
          <w:rFonts w:ascii="Times New Roman" w:hAnsi="Times New Roman"/>
          <w:sz w:val="20"/>
        </w:rPr>
        <w:t>. Each time that the Company wishes to issue and sell any Placement Shares through the Agent hereunder (each, a </w:t>
      </w:r>
      <w:r>
        <w:rPr>
          <w:rFonts w:ascii="Times New Roman" w:hAnsi="Times New Roman"/>
          <w:b/>
          <w:sz w:val="20"/>
          <w:u w:val="single"/>
        </w:rPr>
        <w:t>Placement</w:t>
      </w:r>
      <w:r>
        <w:rPr>
          <w:rFonts w:ascii="Times New Roman" w:hAnsi="Times New Roman"/>
          <w:sz w:val="20"/>
        </w:rPr>
        <w:t>), it will notify the Agent by email notice (or other method mutually agreed to in writing by the parties) (each such notice, a </w:t>
      </w:r>
      <w:r>
        <w:rPr>
          <w:rFonts w:ascii="Times New Roman" w:hAnsi="Times New Roman"/>
          <w:b/>
          <w:sz w:val="20"/>
          <w:u w:val="single"/>
        </w:rPr>
        <w:t>Placement Notice</w:t>
      </w:r>
      <w:r>
        <w:rPr>
          <w:rFonts w:ascii="Times New Roman" w:hAnsi="Times New Roman"/>
          <w:sz w:val="20"/>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(provided that the Company shall ensure that the minimum sales price must always be such that sales of Placement Shares cannot result in Net Proceeds (as defined below) being less than the aggregate nominal value of such Placement Shares), a form of which containing such minimum sales parameters is attached hereto as </w:t>
      </w:r>
      <w:r>
        <w:rPr>
          <w:rFonts w:ascii="Times New Roman" w:hAnsi="Times New Roman"/>
          <w:b/>
          <w:sz w:val="20"/>
          <w:u w:val="single"/>
        </w:rPr>
        <w:t>Schedule 1</w:t>
      </w:r>
      <w:r>
        <w:rPr>
          <w:rFonts w:ascii="Times New Roman" w:hAnsi="Times New Roman"/>
          <w:sz w:val="20"/>
        </w:rPr>
        <w:t xml:space="preserve">. The Placement Notice must originate from one of the individuals authorized to act on behalf of the Company and set forth on </w:t>
      </w:r>
      <w:r>
        <w:rPr>
          <w:rFonts w:ascii="Times New Roman" w:hAnsi="Times New Roman"/>
          <w:b/>
          <w:sz w:val="20"/>
          <w:u w:val="single"/>
        </w:rPr>
        <w:t>Schedule 2</w:t>
      </w:r>
      <w:r>
        <w:rPr>
          <w:rFonts w:ascii="Times New Roman" w:hAnsi="Times New Roman"/>
          <w:sz w:val="20"/>
        </w:rPr>
        <w:t xml:space="preserve"> (with a copy to each of the other individuals from the Company listed on such </w:t>
      </w:r>
      <w:r>
        <w:rPr>
          <w:rFonts w:ascii="Times New Roman" w:hAnsi="Times New Roman"/>
          <w:b/>
          <w:sz w:val="20"/>
          <w:u w:val="single"/>
        </w:rPr>
        <w:t>Schedule 2</w:t>
      </w:r>
      <w:r>
        <w:rPr>
          <w:rFonts w:ascii="Times New Roman" w:hAnsi="Times New Roman"/>
          <w:sz w:val="20"/>
        </w:rPr>
        <w:t xml:space="preserve">), and shall be addressed to each of the recipients from the Agent set forth on </w:t>
      </w:r>
      <w:r>
        <w:rPr>
          <w:rFonts w:ascii="Times New Roman" w:hAnsi="Times New Roman"/>
          <w:b/>
          <w:sz w:val="20"/>
          <w:u w:val="single"/>
        </w:rPr>
        <w:t>Schedule 2</w:t>
      </w:r>
      <w:r>
        <w:rPr>
          <w:rFonts w:ascii="Times New Roman" w:hAnsi="Times New Roman"/>
          <w:sz w:val="20"/>
        </w:rPr>
        <w:t xml:space="preserve">, as such </w:t>
      </w:r>
      <w:r>
        <w:rPr>
          <w:rFonts w:ascii="Times New Roman" w:hAnsi="Times New Roman"/>
          <w:b/>
          <w:sz w:val="20"/>
          <w:u w:val="single"/>
        </w:rPr>
        <w:t>Schedule 2</w:t>
      </w:r>
      <w:r>
        <w:rPr>
          <w:rFonts w:ascii="Times New Roman" w:hAnsi="Times New Roman"/>
          <w:sz w:val="20"/>
        </w:rPr>
        <w:t xml:space="preserve"> may be updated by either party from time to time by sending a written notice containing a revised </w:t>
      </w:r>
      <w:r>
        <w:rPr>
          <w:rFonts w:ascii="Times New Roman" w:hAnsi="Times New Roman"/>
          <w:b/>
          <w:sz w:val="20"/>
          <w:u w:val="single"/>
        </w:rPr>
        <w:t>Schedule 2</w:t>
      </w:r>
      <w:r>
        <w:rPr>
          <w:rFonts w:ascii="Times New Roman" w:hAnsi="Times New Roman"/>
          <w:sz w:val="20"/>
        </w:rPr>
        <w:t xml:space="preserve"> to the other party in the manner provided in Section 12 (including by email correspondence to each of the individuals of the Company set forth on </w:t>
      </w:r>
      <w:r>
        <w:rPr>
          <w:rFonts w:ascii="Times New Roman" w:hAnsi="Times New Roman"/>
          <w:b/>
          <w:sz w:val="20"/>
          <w:u w:val="single"/>
        </w:rPr>
        <w:t>Schedule 2</w:t>
      </w:r>
      <w:r>
        <w:rPr>
          <w:rFonts w:ascii="Times New Roman" w:hAnsi="Times New Roman"/>
          <w:sz w:val="20"/>
        </w:rPr>
        <w:t xml:space="preserve">,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 the sale of the Placement Shares effected through the Agent shall be calculated in accordance with the terms set forth in </w:t>
      </w:r>
      <w:r>
        <w:rPr>
          <w:rFonts w:ascii="Times New Roman" w:hAnsi="Times New Roman"/>
          <w:b/>
          <w:sz w:val="20"/>
          <w:u w:val="single"/>
        </w:rPr>
        <w:t>Schedule 3</w:t>
      </w:r>
      <w:r>
        <w:rPr>
          <w:rFonts w:ascii="Times New Roman" w:hAnsi="Times New Roman"/>
          <w:sz w:val="20"/>
        </w:rPr>
        <w:t xml:space="preserve">.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Sale of Placement Shares by the Agent</w:t>
      </w:r>
      <w:r>
        <w:rPr>
          <w:rFonts w:ascii="Times New Roman" w:hAnsi="Times New Roman"/>
          <w:sz w:val="20"/>
        </w:rPr>
        <w:t>. On the basis of the representations and warranties herein contained and subject to the terms and conditions herein set forth, including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Select Market (</w:t>
      </w:r>
      <w:r>
        <w:rPr>
          <w:rFonts w:ascii="Times New Roman" w:hAnsi="Times New Roman"/>
          <w:b/>
          <w:sz w:val="20"/>
          <w:u w:val="single"/>
        </w:rPr>
        <w:t>Nasdaq</w:t>
      </w:r>
      <w:r>
        <w:rPr>
          <w:rFonts w:ascii="Times New Roman" w:hAnsi="Times New Roman"/>
          <w:sz w:val="20"/>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Times New Roman" w:hAnsi="Times New Roman"/>
          <w:b/>
          <w:sz w:val="20"/>
          <w:u w:val="single"/>
        </w:rPr>
        <w:t>Schedule 2</w:t>
      </w:r>
      <w:r>
        <w:rPr>
          <w:rFonts w:ascii="Times New Roman" w:hAnsi="Times New Roman"/>
          <w:sz w:val="20"/>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 of the Securities Act, including sales made directly on or through Nasdaq, on or through any other existing trading market for the Ordinary Shares or to or through a market maker. If expressly authorized by the Company (including in a Placement Notice), the Agent may also sell Placement Shares in negotiated transactions or in block transactions. Notwithstanding the provisions of Section 6(rr),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Times New Roman" w:hAnsi="Times New Roman"/>
          <w:b/>
          <w:sz w:val="20"/>
          <w:u w:val="single"/>
        </w:rPr>
        <w:t>Trading Day</w:t>
      </w:r>
      <w:r>
        <w:rPr>
          <w:rFonts w:ascii="Times New Roman" w:hAnsi="Times New Roman"/>
          <w:sz w:val="20"/>
        </w:rPr>
        <w:t xml:space="preserve"> means any day on which the Ordinary Shares are purchased and sold on Nasdaq.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Suspension of Sales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or the Agent may, upon notice to the other party in writing (including by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suspend any sale of Placement Shares;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suspension shall not affect or impair either partys obligations with respect to any Placement Shares sold hereunder prior to the receipt of such notice. Each of the parties agrees that no such notice under this Section 4 shall be effective against the other party unless notice is sent by one of the individuals named on </w:t>
      </w:r>
      <w:r>
        <w:rPr>
          <w:rFonts w:ascii="Times New Roman" w:hAnsi="Times New Roman"/>
          <w:b/>
          <w:sz w:val="20"/>
          <w:u w:val="single"/>
        </w:rPr>
        <w:t>Schedule 2</w:t>
      </w:r>
      <w:r>
        <w:rPr>
          <w:rFonts w:ascii="Times New Roman" w:hAnsi="Times New Roman"/>
          <w:sz w:val="20"/>
        </w:rPr>
        <w:t xml:space="preserve"> hereto to the other party in writing (including by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if receipt of such correspondence is actually acknowledged by any of the individuals to whom the notice is sent, other than via auto-reply).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any other provision of this Agreement, during any period in which the Company is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Settlement and Delivery of the Placement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Settlement of Placement Shares</w:t>
      </w:r>
      <w:r>
        <w:rPr>
          <w:rFonts w:ascii="Times New Roman" w:hAnsi="Times New Roman"/>
          <w:sz w:val="20"/>
        </w:rPr>
        <w:t>. Unless otherwise specified in the applicable Placement Notice, settlement for sales of Placement Shares will occur on the second Trading Day (or such earlier day as is industry practice or as is required for regular-way trading) following the date on which such sales are made (each, a </w:t>
      </w:r>
      <w:r>
        <w:rPr>
          <w:rFonts w:ascii="Times New Roman" w:hAnsi="Times New Roman"/>
          <w:b/>
          <w:sz w:val="20"/>
          <w:u w:val="single"/>
        </w:rPr>
        <w:t>Settlement Date</w:t>
      </w:r>
      <w:r>
        <w:rPr>
          <w:rFonts w:ascii="Times New Roman" w:hAnsi="Times New Roman"/>
          <w:sz w:val="20"/>
        </w:rPr>
        <w:t>). The amount of proceeds to be delivered to the Company on a Settlement Date against receipt of the Placement Shares sold (the </w:t>
      </w:r>
      <w:r>
        <w:rPr>
          <w:rFonts w:ascii="Times New Roman" w:hAnsi="Times New Roman"/>
          <w:b/>
          <w:sz w:val="20"/>
          <w:u w:val="single"/>
        </w:rPr>
        <w:t>Net Proceeds</w:t>
      </w:r>
      <w:r>
        <w:rPr>
          <w:rFonts w:ascii="Times New Roman" w:hAnsi="Times New Roman"/>
          <w:sz w:val="20"/>
        </w:rPr>
        <w:t>) or, if the Net Proceeds cannot be delivered to the Company on or prior to such Settlement Date, delivery of a written confirmation by the Agent that the Agent is keeping such Net Proceeds in escrow for the sole benefit and at the instruction of the Company, with such Net Proceeds in that case to be delivered to the Company promptly following the Settlement Date (the </w:t>
      </w:r>
      <w:r>
        <w:rPr>
          <w:rFonts w:ascii="Times New Roman" w:hAnsi="Times New Roman"/>
          <w:b/>
          <w:sz w:val="20"/>
          <w:u w:val="single"/>
        </w:rPr>
        <w:t>Net Proceeds Confirmation</w:t>
      </w:r>
      <w:r>
        <w:rPr>
          <w:rFonts w:ascii="Times New Roman" w:hAnsi="Times New Roman"/>
          <w:sz w:val="20"/>
        </w:rPr>
        <w:t xml:space="preserve">). The Net Proceeds will be equal to the aggregate gross sales price received by the Agent at which such Placement Shares were sold (provided that the Company shall ensure that the minimum sales price must always be such that sales of Placement Shares cannot result in Net Proceeds being less than the aggregate nominal value of such Placement Shares), after deduction of (i) the Agents commission, discount or other compensation for such sales payable by the Company pursuant to Section 2 hereof, (ii) any other amounts due and payable by the Company to the Agent hereunder pursuant to Section 7(g) hereof and (iii) any transaction fees imposed by any governmental or self-regulatory organization in respect of such sales.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Delivery of Placement Shares</w:t>
      </w:r>
      <w:r>
        <w:rPr>
          <w:rFonts w:ascii="Times New Roman" w:hAnsi="Times New Roman"/>
          <w:sz w:val="20"/>
        </w:rPr>
        <w:t>. On or before each Settlement Date, subject to the delivery of the related Net Proceeds by the Agent to the Company or the Company having received the Net Proceeds Confirmation, the Company will issue the Placement Shares being sold on such date to its transfer agent pursuant to the execution of a deed of issue (each, a </w:t>
      </w:r>
      <w:r>
        <w:rPr>
          <w:rFonts w:ascii="Times New Roman" w:hAnsi="Times New Roman"/>
          <w:b/>
          <w:sz w:val="20"/>
          <w:u w:val="single"/>
        </w:rPr>
        <w:t>Deed of Issue</w:t>
      </w:r>
      <w:r>
        <w:rPr>
          <w:rFonts w:ascii="Times New Roman" w:hAnsi="Times New Roman"/>
          <w:sz w:val="20"/>
        </w:rPr>
        <w:t>) and the Company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Times New Roman" w:hAnsi="Times New Roman"/>
          <w:b/>
          <w:sz w:val="20"/>
          <w:u w:val="single"/>
        </w:rPr>
        <w:t>DWAC</w:t>
      </w:r>
      <w:r>
        <w:rPr>
          <w:rFonts w:ascii="Times New Roman" w:hAnsi="Times New Roman"/>
          <w:sz w:val="20"/>
        </w:rPr>
        <w:t xml:space="preserve">) or by such other means of delivery as may be mutually agreed upon by the parties hereto, which in all cases shall be duly authorized, freely tradeable, transferable, registered Placement Shares in good deliverable form. Subject to the Companys execution and delivery of any additional documentation that the Agent reasonably and in good faith requests pursuant to Section 7(dd) hereto in order to facilitate one or more settlements pursuant to this Agreement, on or before each Settlement Date and in any event before the execution by the Company of the applicable Deed of Issue, the Agent will deliver the related Net Proceeds in same day funds to an account designated by the Company on or prior to the Settlement Date (or, in case a Net Proceeds Confirmation is given, the Net Proceeds will be delivered to the Company promptly following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reasonable and documented expense (including reasonable and documented legal fees and expenses), as incurred, arising out of or in connection with such default by the Company (or its transfer agent (if applicable)) and (iii) pay to the Agent (without duplication) any commission, discount or other compensation to which it would otherwise have been entitled absent such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Limitations on Offering Size</w:t>
      </w:r>
      <w:r>
        <w:rPr>
          <w:rFonts w:ascii="Times New Roman" w:hAnsi="Times New Roman"/>
          <w:sz w:val="20"/>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Ordinary Shares registered pursuant to, and available for offer and sale under, the Registration Statement pursuant to which the offering of Placement Shares is being made, (ii) the number of Ordinary Shares that remain available for issuance under the authorized share capital of the Company (</w:t>
      </w:r>
      <w:r>
        <w:rPr>
          <w:rFonts w:ascii="Times New Roman" w:hAnsi="Times New Roman"/>
          <w:i/>
          <w:sz w:val="20"/>
        </w:rPr>
        <w:t>maatschappelijk kapitaal</w:t>
      </w:r>
      <w:r>
        <w:rPr>
          <w:rFonts w:ascii="Times New Roman" w:hAnsi="Times New Roman"/>
          <w:sz w:val="20"/>
        </w:rPr>
        <w:t xml:space="preserve">) included in its articles of association from time to time (less Ordinary Shares issuable upon exercise, conversion or exchange of any outstanding securities of the Company or otherwise reserved from the Companys authorized share capital, including pursuant to the Companys equity incentive plans), (iii) the number or dollar amount of Ordinary Shares permitted to be offered and sold by the Company under Form F-3 (including General Instruction I.B.5. thereof, if such instruction is applicable), (iv) the number or dollar amount of Ordinary Shares that the Companys board of directors or a duly authorized committee thereof is authorized to issue and sell from time to time, in accordance with the Companys articles of association, applicable resolutions of the Companys shareholders and applicable Dutch law, and notified to the Agent in writing, or (v) the dollar amount of Ordinary Shares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(provided that the Company shall ensure that the minimum sales price must always be such that sales of Placement Shares cannot result in Net Proceeds being less than the aggregate nominal value of such Placement Shares).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 of the Company</w:t>
      </w:r>
      <w:r>
        <w:rPr>
          <w:rFonts w:ascii="Times New Roman" w:hAnsi="Times New Roman"/>
          <w:sz w:val="20"/>
        </w:rPr>
        <w:t>. The Company represents and warrants to, and agrees with, the Agent that as of the date of this Agreement (except for those representations, warranties and agreements that speak solely as of a specific date or time, in which case as of such date or time), and as of (i) each Representation Date (as defined in Section 7(m)), (ii) each date on which a Placement Notice is given, (iii) the date and time of each sale of any Placement Shares pursuant to this Agreement and (iv) each Settlement Date (each such time or date referred to in clauses (i) through (iv), an </w:t>
      </w:r>
      <w:r>
        <w:rPr>
          <w:rFonts w:ascii="Times New Roman" w:hAnsi="Times New Roman"/>
          <w:b/>
          <w:sz w:val="20"/>
          <w:u w:val="single"/>
        </w:rPr>
        <w:t>Applicable Time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the transactions contemplated by this Agreement meet the requirements for, and comply with the conditions for the use of, Form F-3 (including General Instructions I.A and I.B.1.) under the Securities Act. The Company has prepared and will file on the date hereof an automatic shelf registration statement as defined in Rule 405 under the Securities Act on Form F-3, which will become automatically effective upon filing thereof pursuant to Rule 462(e) of the Securities Act prior to the issuance of any Placement Notices by the Company. At the time the Registration Statement was filed and originally becomes effective by the Commission and at the time the Companys most-recent Annual Report on Form 20-F was filed with the Commission, the Company met the then-applicable requirements for use of Form F-3 (including General Instructions I.A and I.B.1.) under the Securities Act. The Registration Statement meets, and the offering and sale of Placement Shares as contemplated hereby comply with, the requirements of Rule 415(a)(5) under the Securities Act. The Agent is named as the agent engaged by the Company in the section entitled Plan of Distribution in the Prospectus Supplement. The Company has not received, and has no notice from the Commission of, any notice pursuant to Rule 401(g)(2) under the Securities Act objecting to the use of the automatic shelf registration statement form. No stop order of the Commission preventing or suspending the use of the base prospectus, the Prospectus Supplement or the Prospectus, or the effectiveness of the Registration Statement, has been issued, and no proceedings for such purpose or pursuant to Section 8A of the Securities Act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Placement Shares that may be sold pursuant to this Agreement, in accordance with Rule 456(b) and 457(r)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Registration Statement and any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in order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required to be stated therein or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Except as disclosed in the Registration Statement and the Prospectus, the Company is and has been an emerging growth company, as defined in Section 2(a) of the Securities Act (an </w:t>
            </w:r>
            <w:r>
              <w:rPr>
                <w:rFonts w:ascii="Times New Roman" w:hAnsi="Times New Roman"/>
                <w:b/>
                <w:sz w:val="20"/>
                <w:u w:val="single"/>
              </w:rPr>
              <w:t>Emerging Growth Company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issuer free writing prospectus,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subject to and in compliance in all material respects with the reporting requirements of Section 13 or Section 15(d) of the Exchange Act. The Ordinary Shares are registered pursuant to Section 12(b) of the Exchange Act and are listed on Nasdaq, and the Company has taken no action designed to, or reasonably likely to have the effect of, terminating the registration of the Ordinary Shares under the Exchange Act or delisting the Ordinary Shares from Nasdaq, nor has the Company received any notification that the Commission or Nasdaq is contemplating terminating such registration or listing. The Company is in compliance in all material respects with the current listing standards of Nasdaq. The Company has filed or will file a Notification of Listing of Additional Shares with Nasdaq with respect to the Placement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person (as such term is defined in Rule 1-02 of Regulation S-X promulgated under the Securities Act) has the right to act as an underwriter, agent or as a financial advisor to the Company in connection with the offer and sale of the Placement Shares hereunder, whether as a result of the filing or effectiveness of the Registration Statement or the sale of the Placement Shares as contemplated hereby or otherwise. Except for the Agent, there is no broker, finder or other party that is entitled to receive from the Company or any of its Subsidiaries (as defined below) any brokerage or finders fee or other fee or commission as a result of any transactions contemplated by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has been duly incorporated and is currently a validly existing public company with limited liability (</w:t>
            </w:r>
            <w:r>
              <w:rPr>
                <w:rFonts w:ascii="Times New Roman" w:hAnsi="Times New Roman"/>
                <w:i/>
                <w:sz w:val="20"/>
              </w:rPr>
              <w:t>naamloze vennootschap</w:t>
            </w:r>
            <w:r>
              <w:rPr>
                <w:rFonts w:ascii="Times New Roman" w:hAnsi="Times New Roman"/>
                <w:sz w:val="20"/>
              </w:rPr>
              <w:t xml:space="preserve">) under the laws of the Netherlands and has the corporate power and authority to own or lease its property and to conduct its business as described in each of the Registration Statement and the Prospectus and is duly qualified to transact business in each jurisdiction in which the conduct of its business or its ownership or leasing of property requires such qualification, except to the extent that the failure to be so qualified would not, singly or in the aggregate, have a material adverse effect on the Company and its subsidiaries,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(j)</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subsidiary of the Company has been duly incorporated, organized or formed, is validly existing as a corporation or other business entity in good standing (to the extent the concept of good standing is applicable in such jurisdiction) under the laws of the jurisdiction of its incorporation, organization or formation, as applicable, has the corporate or other business entity power and authority to own or lease its property and to conduct its business as described in each of the Registration Statement and the Prospectus and is duly qualified to transact business and is in good standing (to the extent the concept of good standing is applicable in such jurisdiction) in each jurisdiction in which the conduct of its business or its ownership or leasing of property requires such qualification, except to the extent that the failure to be so qualified or be in good standing (to the extent the concept of good standing is applicable in such jurisdiction) would not,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(to the extent such concepts are applicable under relevant law) and are owned directly or indirectly by the Company, free and clear of all liens, encumbrances, equities or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has been duly authorized, executed and delivered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authorized, issued and outstanding share capital of the Company conforms in all material respects as to legal matters to the description thereof contained in each of the Registration Statement and 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Shares in the capital of the Company issued and outstanding have been duly authorized and are validly issued, fully paid and non-assessable (meaning, with respect to subsidiaries governed by Dutch law, that the holders of the relevant shares or equity interests will not by reason of merely being such a holder, be subject to assessment or calls by the relevant subsidiary or its creditors for further payment on such shares or equity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(n)</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Placement Shares have been duly authorized and, when issued, delivered and paid for in accordance with the terms of this Agreement, will be validly issued, fully paid and non-assessable (meaning, with respect to subsidiaries governed by Dutch law, that the holders of the relevant shares or equity interests will not by reason of merely being such a holder, be subject to assessment or calls by the relevant subsidiary or its creditors for further payment on such shares or equity interests), and any preemptive or similar rights with respect to the issuance of the Placement Shares are validly excluded.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(o)</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execution and delivery by the Company of, and the performance by the Company of its obligations under, this Agreement will not contravene any provision of (i) applicable law or any judgment, order or decree of any governmental body, agency or court having jurisdiction over the Company or any subsidiary, (ii) the articles of association or by-laws or analogous governing instruments, as applicable) of the Company or (iii) any agreement or other instrument binding upon the Company or any of its subsidiaries that is material to the Company and its subsidiaries, taken as a whole, except in the cases (i) and (iii) for such contraventions that would not, individually or in the aggregate, have a material adverse effect on the Company and its subsidiaries, taken as a whole. No consent, approval, authorization or order of, or qualification with, any governmental body, agency or court is required for the performance by the Company of its obligations under this Agreement, except such as has previously been obtained and such as may be required by the securities or Blue Sky laws of the various states or the rules and regulations of the Financial Industry Regulatory Authority (</w:t>
            </w:r>
            <w:r>
              <w:rPr>
                <w:rFonts w:ascii="Times New Roman" w:hAnsi="Times New Roman"/>
                <w:b/>
                <w:sz w:val="20"/>
                <w:u w:val="single"/>
              </w:rPr>
              <w:t>FINRA</w:t>
            </w:r>
            <w:r>
              <w:rPr>
                <w:rFonts w:ascii="Times New Roman" w:hAnsi="Times New Roman"/>
                <w:sz w:val="20"/>
              </w:rPr>
              <w:t xml:space="preserve">) in connection with the offer and sale of the Placement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(p)</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and the Prospectus and proceedings that would not, singly or in the aggregate, have a material adverse effect on the Company and its subsidiaries, taken as a whole, or a material adverse effect on the power or ability of the Company to perform its obligations under this Agreement or to consummate the transactions contemplated by each of the Registration Statement and the Prospectus or (ii) that are required to be described in the Registration Statement and the Prospectus and are not so described in all material respects; and there are no statutes, regulations, contracts or other documents to which the Company or any of its subsidiaries is subject or by which the Company or any of its subsidiaries is bound that are required to be described in the Registration Statement and the Prospectus or to be filed as exhibits to the Registration Statement that are not described in all material respects or filed as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(q)</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not, and after giving effect to the offering and sale of the Placement Shares and the application of the proceeds thereof as described in each of the Registration Statement and the Prospectus will not be, required to register as an investment company as such term is defined in the Investment Company Act of 1940,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Except as would not singly or in the aggregate have a material adverse effect on the Company and its subsidiaries, taken as a whole, (i) the Company and each of its subsidiaries (w) are in compliance with any and all applicable foreign, federal, state and local laws and rules, regulations, requirements, decisions, orders, decrees, consents and other legally enforceable requirements relating to the protection of the environment, hazardous or toxic substances, wastes, pollutants, chemicals, or contaminants (</w:t>
            </w:r>
            <w:r>
              <w:rPr>
                <w:rFonts w:ascii="Times New Roman" w:hAnsi="Times New Roman"/>
                <w:b/>
                <w:sz w:val="20"/>
                <w:u w:val="single"/>
              </w:rPr>
              <w:t>Hazardous Materials</w:t>
            </w:r>
            <w:r>
              <w:rPr>
                <w:rFonts w:ascii="Times New Roman" w:hAnsi="Times New Roman"/>
                <w:sz w:val="20"/>
              </w:rPr>
              <w:t>) or human health and safety (collectively, </w:t>
            </w:r>
            <w:r>
              <w:rPr>
                <w:rFonts w:ascii="Times New Roman" w:hAnsi="Times New Roman"/>
                <w:b/>
                <w:sz w:val="20"/>
                <w:u w:val="single"/>
              </w:rPr>
              <w:t>Environmental Laws</w:t>
            </w:r>
            <w:r>
              <w:rPr>
                <w:rFonts w:ascii="Times New Roman" w:hAnsi="Times New Roman"/>
                <w:sz w:val="20"/>
              </w:rPr>
              <w:t xml:space="preserve">), (x) have received all permits, licenses or other approvals required of them under applicable Environmental Laws to conduct their respective businesses, (y) are in compliance with all terms and conditions of any such permit, license or approval, and (z) have not received notice of any actual or potential violation, liability or obligation, and there are no pending or to the Companys knowledge, threatened complaint, action, suit, proceeding investigation or claim, under or relating to Environmental Laws, and (ii) there are no costs, obligations or liabilities associated with or arising under Environmental Laws of or relating to the Company or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(s)</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(t)</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described in each of the Registration Statement or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Ordinary Shares registered pursuant to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(u)</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 None of the Company or any of its subsidiaries or controlled affiliates, or any director, officer, or employee thereof, or, to the Companys knowledge,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hAnsi="Times New Roman"/>
                <w:b/>
                <w:sz w:val="20"/>
                <w:u w:val="single"/>
              </w:rPr>
              <w:t>Government Official</w:t>
            </w:r>
            <w:r>
              <w:rPr>
                <w:rFonts w:ascii="Times New Roman" w:hAnsi="Times New Roman"/>
                <w:sz w:val="20"/>
              </w:rPr>
              <w:t xml:space="preserve">) in order to influence official action, or to any person in violation of any applicable anti-corruption laws; (ii) the Company and each of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hAnsi="Times New Roman"/>
                <w:b/>
                <w:sz w:val="20"/>
                <w:u w:val="single"/>
              </w:rPr>
              <w:t>Anti-Money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knowledge of the Company, threatened.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None of the Company, any of its subsidiaries, or any director, officer, or employee thereof, or, to the Companys knowledge, any agent, affiliate or representative of the Company or any of its subsidiaries, is an individual or entity (</w:t>
            </w:r>
            <w:r>
              <w:rPr>
                <w:rFonts w:ascii="Times New Roman" w:hAnsi="Times New Roman"/>
                <w:b/>
                <w:sz w:val="20"/>
                <w:u w:val="single"/>
              </w:rPr>
              <w:t>Person</w:t>
            </w:r>
            <w:r>
              <w:rPr>
                <w:rFonts w:ascii="Times New Roman" w:hAnsi="Times New Roman"/>
                <w:sz w:val="20"/>
              </w:rPr>
              <w:t xml:space="preserve">) that is, or is owned or controlled by one or more Persons that 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subject of any sanctions administered or enforced by the U.S. Department of the Treasurys Office of Foreign Assets Control, the United Nations Security Council, the European Union, His Majestys Treasury, or other relevant sanctions authority (collectively, Sanctions),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located, organized or resident in a country or territory that is the subject of Sanctions (including, without limitation, to the extent applicable, the so-called Donetsk Peoples Republic, the so-called Luhansk Peoples Republic, or any other Covered Region (as defined in Executive Order 14065) of Ukraine identified pursuant to Executive Order 14065, and the Crimea region, Cuba, Iran, North Korea and Syria).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directly or indirectly, use the proceeds of the offering, or lend, contribute or otherwise make available such proceeds to any subsidiary, joint venture partner or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fund or facilitate any activities or business of or with any Person or in any country or territory that, at the time of such funding or facilitation, is the subject of Sanctions;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manner that will result in a violation of Sanctions by any Person (including any Person participating in the offering, whether as agent, advisor, investor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(y)</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each of its subsidiaries have not knowingly engaged in, are not now knowingly engaged in, and will not knowingly engage in, any dealings or transactions with any Person, or in any country or territory, that at the time of the dealing or transaction is or was the subject of Sanctions.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(z)</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Subsequent to the respective dates as of which information is given in each of the Registration Statement and the Prospectus, (i) the Company and its subsidiaries, taken as a whole, have not incurred any material liability or obligation, direct or contingent, nor entered into any material transaction; (ii) the Company has not purchased any of its outstanding share capital, nor declared, paid or otherwise made any dividend or distribution of any kind on its share capital other than ordinary and customary dividends; and (iii) there has not been any material change in the share capital, short-term debt or long-term debt of the Company and its subsidiaries, taken as a whole, other than in connection with the exercise or forfeiture of equity awards outstanding on such respective dates as of which information is given in each of the Registration Statement and 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each of its subsidiaries have good and marketable title to all real property and good and marketable title to all personal property owned by them which is material to the business of the Company and its subsidiaries, taken as a whole, in each case free and clear of all liens, encumbrances and defects except such as do not have a material adverse effect on the Company and its subsidiaries taken as a whole and except for the bank accounts of the Company to which standard bank conditions apply; and any real property and buildings held under lease by the Company and its subsidiaries are held by them under valid, subsisting and enforceable leases, except as would not have a material adverse effect on the Company and its subsidiaries taken as a whole.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 Except as would not have a material adverse effect on the Company and its subsidiaries taken as a whole, the Company and its subsidiaries solely and exclusively own or have a valid, enforceable and exclusive license to all patents, inventions, copyrights, know how (including trade secrets and other unpatented and/or unpatentable proprietary or confidential information or procedures), trademarks, service marks, trade names and all other intellectual property and similar proprietary rights (including all registrations and applications for registration of, and all goodwill associated with, any of the foregoing, as applicable) (collectively, </w:t>
            </w:r>
            <w:r>
              <w:rPr>
                <w:rFonts w:ascii="Times New Roman" w:hAnsi="Times New Roman"/>
                <w:b/>
                <w:sz w:val="20"/>
                <w:u w:val="single"/>
              </w:rPr>
              <w:t>Intellectual Property Rights</w:t>
            </w:r>
            <w:r>
              <w:rPr>
                <w:rFonts w:ascii="Times New Roman" w:hAnsi="Times New Roman"/>
                <w:sz w:val="20"/>
              </w:rPr>
              <w:t xml:space="preserve">) required for the conduct of their businesses as presently conducted or as currently anticipated to be conducted; (ii) except as would not have a material adverse effect on the Company and its subsidiaries taken as a whole, the Intellectual Property Rights owned by the Company or any of its subsidiaries and, to the Companys knowledge, the Intellectual Property Rights licensed to the Company or any of its subsidiaries,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written notice alleging any infringement, misappropriation or other violation of Intellectual Property Rights by the Company or any of its subsidiaries which, singly or in the aggregate, if the subject of an unfavorable decision, ruling or finding, would have a material adverse effect on the Company and its subsidiaries, taken as a whole; (iv) except as would not have a material adverse effect on the Company and its subsidiaries taken as a whole, to the Companys knowledge, no third party is infringing, misappropriating or otherwise violating, or has infringed, misappropriated or otherwise violated, any Intellectual Property Rights owned or controlled by the Company or any of its subsidiaries; (v) to the Companys knowledge, neither the Company nor any of its subsidiaries infringes, misappropriates or otherwise violates, or has infringed, misappropriated or otherwise violated, any valid Intellectual Property Rights of any third party; (vi)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any of its subsidiaries, and to the Companys knowledge no such agreement has been breached or violated; and (vii) the Company and its subsidiaries use, and have used, commercially reasonable efforts to appropriately maintain all information intended to be maintained as a trade secret.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(cc)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statistical and market-related data included in the Registration Statement or the Prospectus are based on or derived from sources that the Company believes, after reasonable inquiry, to be reliable and accurate in all material respects and, to the extent required, the Company has obtained the written consent to the use of such data from such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Except as would not have a material adverse effect on the Company and its subsidiaries, taken as a whole, (i) to the Companys knowledge, the Company and each of its subsidiaries have complied and are presently in compliance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hAnsi="Times New Roman"/>
                <w:b/>
                <w:sz w:val="20"/>
                <w:u w:val="single"/>
              </w:rPr>
              <w:t>Data Security Obligations</w:t>
            </w:r>
            <w:r>
              <w:rPr>
                <w:rFonts w:ascii="Times New Roman" w:hAnsi="Times New Roman"/>
                <w:sz w:val="20"/>
              </w:rPr>
              <w:t>, and such data, </w:t>
            </w:r>
            <w:r>
              <w:rPr>
                <w:rFonts w:ascii="Times New Roman" w:hAnsi="Times New Roman"/>
                <w:b/>
                <w:sz w:val="20"/>
                <w:u w:val="single"/>
              </w:rPr>
              <w:t>Data</w:t>
            </w:r>
            <w:r>
              <w:rPr>
                <w:rFonts w:ascii="Times New Roman" w:hAnsi="Times New Roman"/>
                <w:sz w:val="20"/>
              </w:rPr>
              <w:t xml:space="preserve">); (ii) neither the Company nor any of its subsidiaries has received any notification of or complaint regarding, or is otherwise aware of any other facts that, individually or in the aggregate, would reasonably indicate non-compliance with any Data Security Obligation; and (iii) there is no action, suit, or proceeding by or before any court or governmental agency, authority or body pending or, to the Companys knowledge, threatened against the Company or any of its subsidiaries alleging non-compliance with any Data Security Obligation.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(ee)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To the Companys knowledge, the Companys and its subsidiaries information technology assets and equipment, computers, systems, networks, hardware, software, internet websites, applications and data and databases (including those maintained on behalf of the Company and its subsidiaries by third party vendors) (collectively, </w:t>
            </w:r>
            <w:r>
              <w:rPr>
                <w:rFonts w:ascii="Times New Roman" w:hAnsi="Times New Roman"/>
                <w:b/>
                <w:sz w:val="20"/>
                <w:u w:val="single"/>
              </w:rPr>
              <w:t>IT Systems</w:t>
            </w:r>
            <w:r>
              <w:rPr>
                <w:rFonts w:ascii="Times New Roman" w:hAnsi="Times New Roman"/>
                <w:sz w:val="20"/>
              </w:rPr>
              <w:t>) are adequate for, and operate and perform in all material respects as required in all material respects in connection with, the operation of the business of the Company and its subsidiaries, as it is currently conducted, free and clear of all material bugs, errors, defects, Trojan horses, time bombs, malware and other corruptants. The Company and each of its subsidiaries have taken commercially reasonable technical and organizational measures reasonably necessary to protect the IT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data protection and business continuity/disaster recovery controls, policies and procedures, that are designed to protect against and prevent breach, destruction, loss, unauthorized distribution, use, access, disablement, misappropriation or modification, or other compromise or misuse of or relating to any IT Systems or Data used in connection with the operation of the Companys and its subsidiaries businesses and any other data security incident or data breach as defined by Data Security Obligations (</w:t>
            </w:r>
            <w:r>
              <w:rPr>
                <w:rFonts w:ascii="Times New Roman" w:hAnsi="Times New Roman"/>
                <w:b/>
                <w:sz w:val="20"/>
                <w:u w:val="single"/>
              </w:rPr>
              <w:t>Breach</w:t>
            </w:r>
            <w:r>
              <w:rPr>
                <w:rFonts w:ascii="Times New Roman" w:hAnsi="Times New Roman"/>
                <w:sz w:val="20"/>
              </w:rPr>
              <w:t xml:space="preserve">). To the Companys knowledge, there has been no such Breach, and the Company and its subsidiaries have not been notified in writing of and have no knowledge of any event or condition that would reasonably be expected to result in, any such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(gg)</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each of its subsidiaries are insured by insurers of recognized financial responsibility against such losses and risks and in such amounts as the Company believes are prudent and customary in the businesses in which they are engaged, except where the failure to be insured would not, individually or in the aggregate, have a material adverse effect on the Company and its subsidiaries, taken as a whole;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have a material adverse effect on the Company and its subsidiaries, taken as a whole.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would not have a material adverse effect on the Company and its subsidiaries, taken as a whole, the Company and each of its subsidiaries possess all certificates, authorizations and permits issued by the appropriate federal, state or foreign regulatory authorities necessary to conduct their respective businesses as currently conducted. Neither the Company nor any of its subsidiaries has received any written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and its subsidiaries have operated at all times and are currently in compliance in all material respects with all applicable Health Care Laws (as defined herein), including all statutes, rules, regulations and policies administered by the U.S. Food and Drug Administration (the </w:t>
            </w:r>
            <w:r>
              <w:rPr>
                <w:rFonts w:ascii="Times New Roman" w:hAnsi="Times New Roman"/>
                <w:b/>
                <w:sz w:val="20"/>
                <w:u w:val="single"/>
              </w:rPr>
              <w:t>FDA</w:t>
            </w:r>
            <w:r>
              <w:rPr>
                <w:rFonts w:ascii="Times New Roman" w:hAnsi="Times New Roman"/>
                <w:sz w:val="20"/>
              </w:rPr>
              <w:t>) and comparable foreign regulatory authorities, including the European Medicines Agency and the UK Medicines &amp; Healthcare products Regulatory Agency (collectively, the </w:t>
            </w:r>
            <w:r>
              <w:rPr>
                <w:rFonts w:ascii="Times New Roman" w:hAnsi="Times New Roman"/>
                <w:b/>
                <w:sz w:val="20"/>
                <w:u w:val="single"/>
              </w:rPr>
              <w:t>Regulatory Authorities</w:t>
            </w:r>
            <w:r>
              <w:rPr>
                <w:rFonts w:ascii="Times New Roman" w:hAnsi="Times New Roman"/>
                <w:sz w:val="20"/>
              </w:rPr>
              <w:t>) and all other local, state, federal, national, supranational and foreign laws, relating to the regulation of the Company or its subsidiaries and the ownership, testing, development, manufacture, packaging, processing, use, distribution, marketing, labeling, promotion, sale, offer for sale, storage, import, export or disposal of any product under development, manufactured or distributed by the Company (</w:t>
            </w:r>
            <w:r>
              <w:rPr>
                <w:rFonts w:ascii="Times New Roman" w:hAnsi="Times New Roman"/>
                <w:b/>
                <w:sz w:val="20"/>
                <w:u w:val="single"/>
              </w:rPr>
              <w:t>Health Care Laws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(jj)</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would not have a material adverse effect on the Company and its subsidiaries, taken as a whole, (i) the studies, tests and preclinical and clinical trials conducted by or on behalf of or sponsored by the Company or its subsidiaries or in which the Company or its subsidiaries have participated, that are described in the Registration Statement and the Prospectus, or the results of which are referred to in the Registration Statement and the Prospectus, as applicable, were, and if still pending are, being conducted in accordance with standard medical and experimental protocols, procedures and controls pursuant to accepted professional scientific research standards and procedures, and all applicable Health Care Laws, the rules and regulations of the Regulatory Authorities and applicable good clinical practices and good laboratory practices; (ii) the descriptions of the results of such studies and trials contained in the Registration Statement or the Prospectus are accurate and complete in all material respects and fairly present the data derived from such trials and studies; (iii) the Company has no knowledge of any other studies or trials not described in the Registration Statement and the Prospectus, the results of which are inconsistent with or call into question the results described or referred to in the Registration Statement and the Prospectus; (iv) the Company has provided the Agent with all substantive written notices and correspondence provided to the Company or its subsidiaries from the Regulatory Authorities; and (v) neither the Company nor any of its subsidiaries have received any written notices, correspondence or other communications from the Regulatory Authorities requiring or threatening the termination, modification or suspension of any pre-clinical studies or clinical trials that are described in the Registration Statement and the Prospectus or the results of which are referred to in the Registration Statement and the Prospectus, other than ordinary course communications with respect to modifications in connection with the design and implementation of such studies or trials, and, to the Companys knowledge, there are no reasonable grounds for the same.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(kk)</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Neither the Company nor any of its subsidiaries have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comparable communication from any other Regulatory Authority or governmental entity, nor, to the Companys knowledge, is any such claim, action, suit, proceeding, hearing, enforcement, investigation, arbitration or other action threatened; (ii) neither the Company nor any of its subsidiaries are a party to any corporate integrity agreements, monitoring agreements, consent decrees, settlement orders, or similar agreements with or imposed by any Regulatory Authority or other governmental entity; and (iv) neither the Company, its subsidiaries nor any of their respective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statements included in each of the Registration Statement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international financial reporting standards (</w:t>
            </w:r>
            <w:r>
              <w:rPr>
                <w:rFonts w:ascii="Times New Roman" w:hAnsi="Times New Roman"/>
                <w:b/>
                <w:sz w:val="20"/>
                <w:u w:val="single"/>
              </w:rPr>
              <w:t>IFRS</w:t>
            </w:r>
            <w:r>
              <w:rPr>
                <w:rFonts w:ascii="Times New Roman" w:hAnsi="Times New Roman"/>
                <w:sz w:val="20"/>
              </w:rPr>
              <w:t xml:space="preserve">) applied on a consistent basis throughout the periods covered thereby except for any normal year-end adjustments in the Companys quarterly financial statements. The other financial information included in each of the Registration Statement and the Prospectus has been derived from the accounting records of the Company and its consolidated subsidiaries and presents fairly in all material respects the information shown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accountants who have certified certain financial statements of the Company and its subsidiaries and delivered its report with respect to the audited consolidated financial statements filed with the Commission as part of the Registration Statement and included in each of the Registration Statement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(nn)</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and its subsidiaries on a consolidated basis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as issued by the International Accounting Standard Board (</w:t>
            </w:r>
            <w:r>
              <w:rPr>
                <w:rFonts w:ascii="Times New Roman" w:hAnsi="Times New Roman"/>
                <w:b/>
                <w:sz w:val="20"/>
                <w:u w:val="single"/>
              </w:rPr>
              <w:t>IASB</w:t>
            </w:r>
            <w:r>
              <w:rPr>
                <w:rFonts w:ascii="Times New Roman" w:hAnsi="Times New Roman"/>
                <w:sz w:val="20"/>
              </w:rPr>
              <w:t xml:space="preserve">)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except as disclosed in the Registration Statement and Prospectus, there has been (i) no material weakness in the Companys internal control over financial reporting (whether or not remediated) and (ii) no change in the Companys internal control over financial reporting that has materially and adversely affected, or is reasonably likely to materially and adversely affect, the Companys internal control over financial reporting.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(oo)</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Company nor, to the Companys knowledge, any of its affiliates (within the meaning of Rule 144 under the Securities Act) has, prior to the date hereof, made any offer or sale of any securities which could be integrated (within the meaning of the Securities Act) with the offer and sale of the Placement Shares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(pp)</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(qq)</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each of its subsidiaries have filed all federal, state, local and foreign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pay would not, singly or in the aggregate, have a material adverse effect on the Company and its subsidiaries, taken as a whole, or, except as currently being contested in good faith and for which reserves required by IFRS (as issued by IASB) have been created in the financial statements of the Company), and no tax deficiency has been determined adversely to the Company or any of its subsidiaries which, singly or in the aggregate, has had (nor has the Company nor any of its subsidiaries received any written notice of any unpaid tax deficiency which could reasonably be expected to be determined adversely to the Company or its subsidiaries and which could reasonably be expected to have) a material adverse effect on the Company and its subsidiaries,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(rr)</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acknowledges and agrees that the Agent has informed the Company that the Agent may, to the extent permitted under the Securities Act and the Exchange Act, purchase and sell Ordinary Shares for its own account while this Agreement is in effect; provided,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(ss)</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not a party to any agreement with an agent or underwriter for any other at the market or continuous equity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(tt)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Neither the Company nor any of its subsidiaries has any securities rated by any nationally recognized statistical rating organization, as such term is defined in Section 3(a)(62) of the Securities Exchange Act of 1934, as amended (the </w:t>
            </w:r>
            <w:r>
              <w:rPr>
                <w:rFonts w:ascii="Times New Roman" w:hAnsi="Times New Roman"/>
                <w:b/>
                <w:sz w:val="20"/>
                <w:u w:val="single"/>
              </w:rPr>
              <w:t>Exchange Act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(uu)</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stamp, documentary, issuance, registration, transfer, or other similar documentary taxes or duties are payable by or on behalf of the Agent, the Company or any of its subsidiaries in the Netherlands or to any taxing authority thereof or therein having power to tax in connection with (i) the execution, delivery or consummation of this Agreement, (ii) the creation, allotment and issuance of the Placement Shares, (iii) the issuance, sale and delivery of the Placement Shares to the Agent or purchasers procured by the Agent, or (iv) the resale and delivery of the Placement Shares by the Agent, each in the manner contemplated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payments to the Agent in respect of the obligations of the Company under this Agreement may be made free and clear of, and without withholding or deduction for, or on account of any taxes, duties, assessments or governmental charges by or on behalf of the Netherlands or any political subdivision or authority thereof or therein having power to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(ww)</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does not believe that it was a passive foreign investment company (</w:t>
            </w:r>
            <w:r>
              <w:rPr>
                <w:rFonts w:ascii="Times New Roman" w:hAnsi="Times New Roman"/>
                <w:b/>
                <w:sz w:val="20"/>
                <w:u w:val="single"/>
              </w:rPr>
              <w:t>PFIC</w:t>
            </w:r>
            <w:r>
              <w:rPr>
                <w:rFonts w:ascii="Times New Roman" w:hAnsi="Times New Roman"/>
                <w:sz w:val="20"/>
              </w:rPr>
              <w:t xml:space="preserve">) for U.S. federal income tax purposes in the previous fiscal year for which the information is available, and, subject to the assumptions and qualifications set forth in the Registration Statement and the Prospectus, it does not expect to be a PFIC for its current taxable year or in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(xx)</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It is not necessary under the laws of the Netherlands (i) to enable the Agent to enforce their rights under this Agreement provided that they are not otherwise engaged in business in the Netherlands, or (ii) solely by reason of the execution, delivery or consummation of this Agreement, for the Agent to be qualified or entitled to carry out business in the Netherlands except that any Agent offering Placement Shares or investment services or performing investment activities in or from the Netherlands, should be licensed, excepted or exempted under or pursuant to the Dutch Financial Supervision Act (</w:t>
            </w:r>
            <w:r>
              <w:rPr>
                <w:rFonts w:ascii="Times New Roman" w:hAnsi="Times New Roman"/>
                <w:i/>
                <w:sz w:val="20"/>
              </w:rPr>
              <w:t>Wet op het Financieel Toezicht</w:t>
            </w:r>
            <w:r>
              <w:rPr>
                <w:rFonts w:ascii="Times New Roman" w:hAnsi="Times New Roman"/>
                <w:sz w:val="20"/>
              </w:rPr>
              <w:t>) (</w:t>
            </w:r>
            <w:r>
              <w:rPr>
                <w:rFonts w:ascii="Times New Roman" w:hAnsi="Times New Roman"/>
                <w:b/>
                <w:sz w:val="20"/>
                <w:u w:val="single"/>
              </w:rPr>
              <w:t>DFSA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(yy)</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is in proper form under the laws of the Netherlands for the enforcement thereof against the Company, and to ensure the legality, validity, enforceability or admissibility into evidence in Netherlands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(zz)</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a foreign private issuer as defined in Rule 405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(aaa)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action has been taken or is contemplated to dissolve or liquidate the Company or any of its subsidiaries, and, to the knowledge of the Company no insolvency proceedings have been proposed, commenced or threatened against the Company or any of its subsidiaries and no judgment has been made or is pending declaring the Company or any of its subsidiaries insolvent. No voluntary arrangement has been prosed between the Company or a subsidiary and its creditors and no compromise or arrangement with creditors has been proposed, agreed or sanctioned in respect of the Company or its subsidiaries. Neither the Company nor any of its subsidiaries has, by reason of actual or anticipated financial difficulties, commenced discussions with any third party including any governmental agency to obtain stand-by or emergency funding or has commenced negotiations with its creditors or any class of its creditors with a view to rescheduling any of its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(bbb)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Company nor any of its subsidiaries nor any of its or their properties or assets has any immunity from the jurisdiction of any court or from any legal process (whether through service or notice, attachment prior to judgment, attachment in aid of execution or otherwise) under the laws of the Netherlands. The irrevocable and unconditional waiver and agreement of the Company contained in Section 24(a) not to plead or claim any such immunity in any legal action, suit or proceeding based on this Agreement is valid and binding under the laws of the Netherlands, </w:t>
            </w:r>
            <w:r>
              <w:rPr>
                <w:rFonts w:ascii="Times New Roman" w:hAnsi="Times New Roman"/>
                <w:i/>
                <w:sz w:val="20"/>
              </w:rPr>
              <w:t xml:space="preserve">provided </w:t>
            </w:r>
            <w:r>
              <w:rPr>
                <w:rFonts w:ascii="Times New Roman" w:hAnsi="Times New Roman"/>
                <w:sz w:val="20"/>
              </w:rPr>
              <w:t>that such waiver may not be effective in relation to assets located in the Netherlands that are destined for the public service (</w:t>
            </w:r>
            <w:r>
              <w:rPr>
                <w:rFonts w:ascii="Times New Roman" w:hAnsi="Times New Roman"/>
                <w:i/>
                <w:sz w:val="20"/>
              </w:rPr>
              <w:t>goederen bestemd voor de openbare dienst</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(ccc)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choice of law of the State of New York as the governing law of this Agreement is a valid choice of law under the laws of the Netherlands and will be recognized by the courts of the Netherlands. The Company has the power to submit, and pursuant to Section 24(a) has, to the extent permitted by law, legally, validly, effectively and irrevocably submitted, to the jurisdiction of the Specified Courts (as defined in Section 24(a)), and has the power to designate, appoint and empower, and pursuant to Section 24(b), has legally, validly and effectively designated, appointed and empowered an agent for service of process in any suit or proceeding based on or arising under this Agreement in any of the Specified Courts.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Covenants of the Company</w:t>
      </w:r>
      <w:r>
        <w:rPr>
          <w:rFonts w:ascii="Times New Roman" w:hAnsi="Times New Roman"/>
          <w:sz w:val="20"/>
        </w:rPr>
        <w:t xml:space="preserve">. The Company covenants and agrees with the Agent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 Amendments</w:t>
      </w:r>
      <w:r>
        <w:rPr>
          <w:rFonts w:ascii="Times New Roman" w:hAnsi="Times New Roman"/>
          <w:sz w:val="20"/>
        </w:rPr>
        <w:t xml:space="preserve">.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related to the Placement Shares or for additional information related to the Placement Shares;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the Company shall have no obligation to provide the Agent any advance copy of such filing or to provide the Agent an opportunity to object to such filing if the filing (i) is not an amendment or supplement to the Prospectus Supplement and (ii) does not name the Agent or does not relate to the Placement Shares or the transactions contemplated by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Commission Stop Orders</w:t>
      </w:r>
      <w:r>
        <w:rPr>
          <w:rFonts w:ascii="Times New Roman" w:hAnsi="Times New Roman"/>
          <w:sz w:val="20"/>
        </w:rPr>
        <w:t xml:space="preserve">.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related to the Placement Shares or any amendment or supplements to the Prospectus or for additional information related to the offering of the Placement Shares or for additional information related to the Registration Statement with respect to the Placement Shares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Delivery of Prospectus; Subsequent Changes</w:t>
      </w:r>
      <w:r>
        <w:rPr>
          <w:rFonts w:ascii="Times New Roman" w:hAnsi="Times New Roman"/>
          <w:sz w:val="20"/>
        </w:rPr>
        <w:t xml:space="preserve">.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in all material respects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in order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If the Company has omitted any information from the Registration Statement pursuant to Rule 430B under the Securities Act, it will use its best efforts to comply with the provisions thereof and make all requisite filings with the Commission pursuant to said Rule 430B and to notify the Agent promptly of all such filings if not available on EDGAR.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Listing of Placement Shares</w:t>
      </w:r>
      <w:r>
        <w:rPr>
          <w:rFonts w:ascii="Times New Roman" w:hAnsi="Times New Roman"/>
          <w:sz w:val="20"/>
        </w:rPr>
        <w:t xml:space="preserve">.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Delivery of Registration Statement and Prospectus</w:t>
      </w:r>
      <w:r>
        <w:rPr>
          <w:rFonts w:ascii="Times New Roman" w:hAnsi="Times New Roman"/>
          <w:sz w:val="20"/>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furnish any document (other than the Prospectus) to the Agent to the extent such document is available on 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Earnings Statement</w:t>
      </w:r>
      <w:r>
        <w:rPr>
          <w:rFonts w:ascii="Times New Roman" w:hAnsi="Times New Roman"/>
          <w:sz w:val="20"/>
        </w:rPr>
        <w:t xml:space="preserve">.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Expenses</w:t>
      </w:r>
      <w:r>
        <w:rPr>
          <w:rFonts w:ascii="Times New Roman" w:hAnsi="Times New Roman"/>
          <w:sz w:val="20"/>
        </w:rPr>
        <w:t xml:space="preserve">. The Company, whether or not the transactions contemplated hereunder are consummated or this Agreement is terminated in accordance with the provisions of Section 11 hereunder, will pay all expenses incident to the performance of its obligations hereunder, including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taxes due or payable in connection therewith, (iii) the qualification of the Placement Shares under securities laws in accordance with the provisions of 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Placement Shares, (vii) the fees and associated expenses of the Agents outside legal counsel for filings with the FINRA Corporate Financing Department in an amount not to exceed $15,000 (excluding FINRA filing fees referred to in clause (vi) above and in addition to the fees and disbursements referred to in clause (viii) below), and (viii) the reasonable and documented fees and disbursements of the Agents outside legal counsel (A) in an amount not to exceed $75,000 arising out of executing this Agreement and the Companys delivery of the initial certificate pursuant to Section 7(m) and (B) in an amount not to exceed $15,000 in connection with each Representation Date (as defined below) on which the Company is required to provide a certificate pursuant to Section 7(m) (in addition to the fees and associated expenses referred to in clause (vii) above).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Use of Proceeds</w:t>
      </w:r>
      <w:r>
        <w:rPr>
          <w:rFonts w:ascii="Times New Roman" w:hAnsi="Times New Roman"/>
          <w:sz w:val="20"/>
        </w:rPr>
        <w:t xml:space="preserve">. The Company will use the Net Proceeds as described in the Prospectus in the section entitled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Other Sales</w:t>
      </w:r>
      <w:r>
        <w:rPr>
          <w:rFonts w:ascii="Times New Roman" w:hAnsi="Times New Roman"/>
          <w:sz w:val="20"/>
        </w:rPr>
        <w:t xml:space="preserve">. Without the prior written consent of the Agent, the Company will not, directly or indirectly, offer to sell, sell, contract to sell, grant any option to sell or otherwise dispose of any Ordinary Shares (other than the Placement Shares offered pursuant to this Agreement) or securities convertible into or exchangeable or exercisable for Ordinary Shares, warrants or any rights to purchase or acquire Ordinary Shares during the period beginning on the third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Ordinary Shares (other than the Placement Shares offered pursuant to this Agreement) or securities convertible into or exchangeable or exercisable for Ordinary Shares, warrants or any rights to purchase or acquire, Ordinary Shares prior to the later of the termination of this Agreement and the thirtieth day immediately following the final Settlement Date with respect to Placement Shares sold pursuant to such Placement Notice;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restrictions will not be required in connection with the Companys issuance or sale of (i) Ordinary Shares, options to purchase Ordinary Shares, other securities under the Companys equity incentive plans, or Ordinary Shares issuable upon the exercise of options or vesting of other securities, pursuant to any employee or director share option or benefits plan, share ownership plan or dividend reinvestment plan (but not Ordinary Shares subject to a waiver to exceed plan limits in its dividend reinvestment plan) of the Company whether now in effect or hereafter implemented, (ii) Ordinary Shares issuable upon conversion of securities or the exercise of warrants, options or other rights in effect or outstanding, and disclosed in filings by the Company available on EDGAR or otherwise in writing to the Agent and (iii) Ordinary Shares or securities convertible into or exchangeable for Ordinary Shares as consideration for mergers, acquisitions, other business combinations or strategic alliances occurring after the date of this Agreement which are not issued for capital raising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Change of Circumstances</w:t>
      </w:r>
      <w:r>
        <w:rPr>
          <w:rFonts w:ascii="Times New Roman" w:hAnsi="Times New Roman"/>
          <w:sz w:val="20"/>
        </w:rPr>
        <w:t xml:space="preserve">.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Due Diligence Cooperation</w:t>
      </w:r>
      <w:r>
        <w:rPr>
          <w:rFonts w:ascii="Times New Roman" w:hAnsi="Times New Roman"/>
          <w:sz w:val="20"/>
        </w:rPr>
        <w:t xml:space="preserve">. During the term of this Agreement, the Company will cooperate with any reasonable due diligence review conducted by the Agent, its affiliates agents and counsel from time to time in connection with the transactions contemplated hereby, including providing information and making available documents and senior corporate officers, during regular business hours and at the Companys principal offices, as the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Required Filings Relating to Placement of Placement Shares</w:t>
      </w:r>
      <w:r>
        <w:rPr>
          <w:rFonts w:ascii="Times New Roman" w:hAnsi="Times New Roman"/>
          <w:sz w:val="20"/>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 w:hAnsi="Times New Roman"/>
          <w:i/>
          <w:sz w:val="20"/>
        </w:rPr>
        <w:t>provided</w:t>
      </w:r>
      <w:r>
        <w:rPr>
          <w:rFonts w:ascii="Times New Roman" w:hAnsi="Times New Roman"/>
          <w:sz w:val="20"/>
        </w:rPr>
        <w:t xml:space="preserve">, that, unless a prospectus supplement containing such information is required to be filed under the Securities Act, the requirement of this Section 7(l) may be satisfied by Companys inclusion in the Companys Form 20-F or Form 6-K, as applicable, of the number or amount of Placement Shares sold through the Agent, the Net Proceeds to the Company and the compensation payable by the Company to the Agent with respect to such Placement Shares during the relevant period.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Representation Dates; Certificate</w:t>
      </w:r>
      <w:r>
        <w:rPr>
          <w:rFonts w:ascii="Times New Roman" w:hAnsi="Times New Roman"/>
          <w:sz w:val="20"/>
        </w:rPr>
        <w:t>. On or prior to the date on which the Company first delivers a Placement Notice pursuant to this agreement (the </w:t>
      </w:r>
      <w:r>
        <w:rPr>
          <w:rFonts w:ascii="Times New Roman" w:hAnsi="Times New Roman"/>
          <w:b/>
          <w:sz w:val="20"/>
          <w:u w:val="single"/>
        </w:rPr>
        <w:t>First Placement Notice Date</w:t>
      </w:r>
      <w:r>
        <w:rPr>
          <w:rFonts w:ascii="Times New Roman" w:hAnsi="Times New Roman"/>
          <w:sz w:val="20"/>
        </w:rPr>
        <w:t xml:space="preserve">) and each time the Company: </w:t>
      </w:r>
    </w:p>
    <w:p>
      <w:pPr>
        <w:pStyle w:val="TextBody"/>
        <w:bidi w:val="0"/>
        <w:spacing w:before="120" w:after="0"/>
        <w:jc w:val="left"/>
        <w:rPr>
          <w:rFonts w:ascii="Times New Roman" w:hAnsi="Times New Roman"/>
          <w:sz w:val="20"/>
        </w:rPr>
      </w:pPr>
      <w:r>
        <w:rPr>
          <w:rFonts w:ascii="Times New Roman" w:hAnsi="Times New Roman"/>
          <w:sz w:val="20"/>
        </w:rPr>
        <w:t xml:space="preserve">(i) amends or supplements the Registration Statement or the Prospectus relating to the Placement Shares (other than a prospectus supplement relating solely to an offering of securities other than the Placement Shares) by means of a post-effective amendment, sticker or supplement but not by means of incorporation of document(s) by reference into the Registration Statement or the Prospectus relating to the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(ii) files an annual report on Form 20-F under the Exchange Act (including any Form 20-F/A containing amended financial information or a material amendment to the previously filed Form 20-F); </w:t>
      </w:r>
    </w:p>
    <w:p>
      <w:pPr>
        <w:pStyle w:val="TextBody"/>
        <w:bidi w:val="0"/>
        <w:spacing w:before="240" w:after="0"/>
        <w:jc w:val="left"/>
        <w:rPr>
          <w:rFonts w:ascii="Times New Roman" w:hAnsi="Times New Roman"/>
          <w:sz w:val="20"/>
        </w:rPr>
      </w:pPr>
      <w:r>
        <w:rPr>
          <w:rFonts w:ascii="Times New Roman" w:hAnsi="Times New Roman"/>
          <w:sz w:val="20"/>
        </w:rPr>
        <w:t xml:space="preserve">(iii) files a report on Form 6-K under the Exchange Act containing quarterly financial information (other than an earnings release that is furnished) that is incorporated by reference into the Registration Statement and Prospectus; or </w:t>
      </w:r>
    </w:p>
    <w:p>
      <w:pPr>
        <w:pStyle w:val="TextBody"/>
        <w:bidi w:val="0"/>
        <w:spacing w:before="240" w:after="0"/>
        <w:jc w:val="left"/>
        <w:rPr>
          <w:rFonts w:ascii="Times New Roman" w:hAnsi="Times New Roman"/>
          <w:sz w:val="20"/>
        </w:rPr>
      </w:pPr>
      <w:r>
        <w:rPr>
          <w:rFonts w:ascii="Times New Roman" w:hAnsi="Times New Roman"/>
          <w:sz w:val="20"/>
        </w:rPr>
        <w:t>(iv) files a report on Form 6-K under the Exchange Act containing amended financial information (other than an earnings release that is furnished) that is incorporated by reference into the Registration Statement and Prospectus (each date of filing of one or more of the documents referred to in clauses (i) through (iv) shall be a </w:t>
      </w:r>
      <w:r>
        <w:rPr>
          <w:rFonts w:ascii="Times New Roman" w:hAnsi="Times New Roman"/>
          <w:b/>
          <w:sz w:val="20"/>
          <w:u w:val="single"/>
        </w:rPr>
        <w:t>Representation Date</w:t>
      </w:r>
      <w:r>
        <w:rPr>
          <w:rFonts w:ascii="Times New Roman" w:hAnsi="Times New Roman"/>
          <w:sz w:val="20"/>
        </w:rPr>
        <w:t xml:space="preserve">), the Company shall furnish the Agent (but in the case of clause (iv) above only if (1) a Placement Notice is pending or in effect and (2) the Agent requests such certificate within three Business Days after the filing of such Form 6-K with the Commission) with a certificate, in the form attached hereto as </w:t>
      </w:r>
      <w:r>
        <w:rPr>
          <w:rFonts w:ascii="Times New Roman" w:hAnsi="Times New Roman"/>
          <w:b/>
          <w:sz w:val="20"/>
          <w:u w:val="single"/>
        </w:rPr>
        <w:t>Exhibit 7(m)</w:t>
      </w:r>
      <w:r>
        <w:rPr>
          <w:rFonts w:ascii="Times New Roman" w:hAnsi="Times New Roman"/>
          <w:sz w:val="20"/>
        </w:rPr>
        <w:t xml:space="preserve"> (modified, as necessary, to relate to the Registration Statement and the Prospectus as then amended or supplemented), within two Trading 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Times New Roman" w:hAnsi="Times New Roman"/>
          <w:b/>
          <w:sz w:val="20"/>
          <w:u w:val="single"/>
        </w:rPr>
        <w:t>Exhibit</w:t>
      </w:r>
      <w:r>
        <w:rPr>
          <w:rFonts w:ascii="Times New Roman" w:hAnsi="Times New Roman"/>
          <w:sz w:val="20"/>
          <w:u w:val="single"/>
        </w:rPr>
        <w:t> </w:t>
      </w:r>
      <w:r>
        <w:rPr>
          <w:rFonts w:ascii="Times New Roman" w:hAnsi="Times New Roman"/>
          <w:b/>
          <w:sz w:val="20"/>
          <w:u w:val="single"/>
        </w:rPr>
        <w:t>7(m)</w:t>
      </w:r>
      <w:r>
        <w:rPr>
          <w:rFonts w:ascii="Times New Roman" w:hAnsi="Times New Roman"/>
          <w:sz w:val="20"/>
        </w:rPr>
        <w:t xml:space="preserve">, dated the date of such Placement Notice. Within two Trading Days of each Representation Date, the Company shall have furnished to the Agent such further information, certificates and documents as the Agent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Legal Opinions</w:t>
      </w:r>
      <w:r>
        <w:rPr>
          <w:rFonts w:ascii="Times New Roman" w:hAnsi="Times New Roman"/>
          <w:sz w:val="20"/>
        </w:rPr>
        <w:t>. On or prior to the First Placement Notice Date and on any date which the Company is obligated to deliver a certificate pursuant to Section 7(m) for which no waiver is applicable, the Company shall cause to be furnished to the Agent the written opinion and negative assurance letter of Kirkland &amp; Ellis LLP, U.S. counsel to the Company, and the written opinion of NautaDutilh N.V., Dutch counsel to the Company, or, in either case, such other counsel satisfactory to the Agent (collectively, </w:t>
      </w:r>
      <w:r>
        <w:rPr>
          <w:rFonts w:ascii="Times New Roman" w:hAnsi="Times New Roman"/>
          <w:b/>
          <w:sz w:val="20"/>
          <w:u w:val="single"/>
        </w:rPr>
        <w:t>Company Counsel</w:t>
      </w:r>
      <w:r>
        <w:rPr>
          <w:rFonts w:ascii="Times New Roman" w:hAnsi="Times New Roman"/>
          <w:sz w:val="20"/>
        </w:rPr>
        <w:t xml:space="preserve">), each in form and substance satisfactory to the Agent and its counsel, dated the date that the opinion and negative assurance letter are required to be delivered, modified, as necessary, to relate to the Registration Statement and the Prospectus as then amended or supplemented;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lieu of such opinion and negative assurance letter for subsequent Representation Dates, Company Counsel may furnish the Agent with 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Intellectual Property Opinion</w:t>
      </w:r>
      <w:r>
        <w:rPr>
          <w:rFonts w:ascii="Times New Roman" w:hAnsi="Times New Roman"/>
          <w:sz w:val="20"/>
        </w:rPr>
        <w:t>. On or prior to the First Placement Notice Date and on any date which the Company is obligated to deliver a certificate pursuant to Section 7(m)(ii) for which no waiver is applicable, the Company shall cause to be furnished to the Agent the written opinion of Paustian &amp; Partner, counsel for the Company with respect to intellectual property matters, or such other intellectual property counsel satisfactory to the Agent (</w:t>
      </w:r>
      <w:r>
        <w:rPr>
          <w:rFonts w:ascii="Times New Roman" w:hAnsi="Times New Roman"/>
          <w:b/>
          <w:sz w:val="20"/>
          <w:u w:val="single"/>
        </w:rPr>
        <w:t>Intellectual Property Counsel</w:t>
      </w:r>
      <w:r>
        <w:rPr>
          <w:rFonts w:ascii="Times New Roman" w:hAnsi="Times New Roman"/>
          <w:sz w:val="20"/>
        </w:rPr>
        <w:t xml:space="preserve">), in form and substance satisfactory to the Agent and its counsel, dated the date that the opinion letter is required to be delivered, modified, as necessary, to relate to the Registration Statement and the Prospectus as then amended or supplemented.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Comfort Letter</w:t>
      </w:r>
      <w:r>
        <w:rPr>
          <w:rFonts w:ascii="Times New Roman" w:hAnsi="Times New Roman"/>
          <w:sz w:val="20"/>
        </w:rPr>
        <w:t>. On or prior to the First Placement Notice Date and on any date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letters (the </w:t>
      </w:r>
      <w:r>
        <w:rPr>
          <w:rFonts w:ascii="Times New Roman" w:hAnsi="Times New Roman"/>
          <w:b/>
          <w:sz w:val="20"/>
          <w:u w:val="single"/>
        </w:rPr>
        <w:t>Comfort Letters</w:t>
      </w:r>
      <w:r>
        <w:rPr>
          <w:rFonts w:ascii="Times New Roman" w:hAnsi="Times New Roman"/>
          <w:sz w:val="20"/>
        </w:rPr>
        <w:t xml:space="preserve">), dated the date the Comfort Letter is delivered, which shall meet the requirements set forth in this Section 7(p); </w:t>
      </w:r>
      <w:r>
        <w:rPr>
          <w:rFonts w:ascii="Times New Roman" w:hAnsi="Times New Roman"/>
          <w:i/>
          <w:sz w:val="20"/>
        </w:rPr>
        <w:t>provided</w:t>
      </w:r>
      <w:r>
        <w:rPr>
          <w:rFonts w:ascii="Times New Roman" w:hAnsi="Times New Roman"/>
          <w:sz w:val="20"/>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hAnsi="Times New Roman"/>
          <w:b/>
          <w:sz w:val="20"/>
          <w:u w:val="single"/>
        </w:rPr>
        <w:t>Initial Comfort Letter</w:t>
      </w:r>
      <w:r>
        <w:rPr>
          <w:rFonts w:ascii="Times New Roman" w:hAnsi="Times New Roman"/>
          <w:sz w:val="20"/>
        </w:rPr>
        <w:t xml:space="preserve">) and (iii) update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Market Activities</w:t>
      </w:r>
      <w:r>
        <w:rPr>
          <w:rFonts w:ascii="Times New Roman" w:hAnsi="Times New Roman"/>
          <w:sz w:val="20"/>
        </w:rPr>
        <w:t xml:space="preserve">.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Ordinary Shares or (ii) sell, bid for, or purchase Ordinary Shares in violation of Regulation M, or pay anyone any compensation for soliciting purchases of the Placement Shares other than the Agent;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bid for and purchase Ordinary Shares in accordance with Rule 10b-18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Insurance</w:t>
      </w:r>
      <w:r>
        <w:rPr>
          <w:rFonts w:ascii="Times New Roman" w:hAnsi="Times New Roman"/>
          <w:sz w:val="20"/>
        </w:rPr>
        <w:t xml:space="preserve">. The Company and its Subsidiaries shall maintain, or cause to be maintained, insurance in such amounts and covering such risks as is reasonable and customary for the business for which it is engaged.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Compliance with Laws</w:t>
      </w:r>
      <w:r>
        <w:rPr>
          <w:rFonts w:ascii="Times New Roman" w:hAnsi="Times New Roman"/>
          <w:sz w:val="20"/>
        </w:rPr>
        <w:t>. The Company and each of its Subsidiaries shall maintain, or cause to be maintained, all material environmental certificates, authorizations or permits required by federal, state and local law in order to conduct their businesses as described in the Prospectus (collectively, </w:t>
      </w:r>
      <w:r>
        <w:rPr>
          <w:rFonts w:ascii="Times New Roman" w:hAnsi="Times New Roman"/>
          <w:b/>
          <w:sz w:val="20"/>
          <w:u w:val="single"/>
        </w:rPr>
        <w:t>Permits</w:t>
      </w:r>
      <w:r>
        <w:rPr>
          <w:rFonts w:ascii="Times New Roman" w:hAnsi="Times New Roman"/>
          <w:sz w:val="20"/>
        </w:rPr>
        <w:t xml:space="preserve">), and the Company and each of its Subsidiaries shall conduct their businesses, or cause their businesses to be conducted, in substantial compliance with such Permits and with applicable Environmental Laws, except where the failure to maintain or be in compliance with such Permits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Investment Company Act</w:t>
      </w:r>
      <w:r>
        <w:rPr>
          <w:rFonts w:ascii="Times New Roman" w:hAnsi="Times New Roman"/>
          <w:sz w:val="20"/>
        </w:rPr>
        <w:t xml:space="preserve">. The Company will conduct its affairs in such a manner so as to reasonably ensure that neither it nor any of its Subsidiaries will be or become, at any time prior to the termination of this Agreement, an investment company, as such term is defined in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Securities Act and Exchange Act</w:t>
      </w:r>
      <w:r>
        <w:rPr>
          <w:rFonts w:ascii="Times New Roman" w:hAnsi="Times New Roman"/>
          <w:sz w:val="20"/>
        </w:rPr>
        <w:t xml:space="preserve">.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Offer to Sell</w:t>
      </w:r>
      <w:r>
        <w:rPr>
          <w:rFonts w:ascii="Times New Roman" w:hAnsi="Times New Roman"/>
          <w:sz w:val="20"/>
        </w:rPr>
        <w:t xml:space="preserve">.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Placement Shares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Blue Sky and Other Qualifications</w:t>
      </w:r>
      <w:r>
        <w:rPr>
          <w:rFonts w:ascii="Times New Roman" w:hAnsi="Times New Roman"/>
          <w:sz w:val="20"/>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hAnsi="Times New Roman"/>
          <w:i/>
          <w:sz w:val="20"/>
        </w:rPr>
        <w:t>provided, however</w:t>
      </w:r>
      <w:r>
        <w:rPr>
          <w:rFonts w:ascii="Times New Roman" w:hAnsi="Times New Roman"/>
          <w:sz w:val="20"/>
        </w:rPr>
        <w:t xml:space="preserve">,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Sarbanes-Oxley Act</w:t>
      </w:r>
      <w:r>
        <w:rPr>
          <w:rFonts w:ascii="Times New Roman" w:hAnsi="Times New Roman"/>
          <w:sz w:val="20"/>
        </w:rPr>
        <w:t xml:space="preserve">.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IFRS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IFRS,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Emerging Growth Company</w:t>
      </w:r>
      <w:r>
        <w:rPr>
          <w:rFonts w:ascii="Times New Roman" w:hAnsi="Times New Roman"/>
          <w:sz w:val="20"/>
        </w:rPr>
        <w:t xml:space="preserve">. The Company will promptly notify the Agent if the company ceases to be an Emerging Growth Company at any time prior to the completion of the Agents distribution of the Placement Shares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Renewal of Registration Statement.</w:t>
      </w:r>
      <w:r>
        <w:rPr>
          <w:rFonts w:ascii="Times New Roman" w:hAnsi="Times New Roman"/>
          <w:sz w:val="20"/>
        </w:rPr>
        <w:t xml:space="preserve"> If, immediately prior to the third anniversary of the initial effective date of the Registration Statement (the </w:t>
      </w:r>
      <w:r>
        <w:rPr>
          <w:rFonts w:ascii="Times New Roman" w:hAnsi="Times New Roman"/>
          <w:b/>
          <w:sz w:val="20"/>
          <w:u w:val="single"/>
        </w:rPr>
        <w:t>Renewal Date</w:t>
      </w:r>
      <w:r>
        <w:rPr>
          <w:rFonts w:ascii="Times New Roman" w:hAnsi="Times New Roman"/>
          <w:sz w:val="20"/>
        </w:rPr>
        <w:t xml:space="preserve">), any of the Placement Shares remain unsold and this Agreement has not been terminated, the Company will, prior to the Renewal Date, file a new shelf registration statement or, if applicable, an automatic shelf registration statement relating to the Ordinary Shares that may be offered and sold pursuant to this Agreement (which shall include a prospectus reflecting the number or amount of Placement Shares that may be offered and sold pursuant to this Agreement), in a form reasonably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General Instruction I.B.5. of Form F-3</w:t>
      </w:r>
      <w:r>
        <w:rPr>
          <w:rFonts w:ascii="Times New Roman" w:hAnsi="Times New Roman"/>
          <w:sz w:val="20"/>
        </w:rPr>
        <w:t xml:space="preserve">. If, from and after the date of this Agreement, the Company is no longer eligible to use Form F-3 (including pursuant to General Instruction I.B.5.) at the time it files with the Commission an annual report on Form 20-F or any post-effective amendment to the Registration Statement, then it shall promptly notify the Agent and, within two Business Days after the date of filing of such annual report on Form 20-F or amendment to the Registration Statement, the Company shall file a new prospectus supplement with the Commission reflecting the number of Ordinary Shares available to be offered and sold by the Company under this Agreement pursuant to General Instruction I.B.5. of Form F-3;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delay the filing of any such 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Tax Indemnity</w:t>
      </w:r>
      <w:r>
        <w:rPr>
          <w:rFonts w:ascii="Times New Roman" w:hAnsi="Times New Roman"/>
          <w:sz w:val="20"/>
        </w:rPr>
        <w:t xml:space="preserve">. The Company will indemnify and hold harmless the Agent against any documentary, stamp or similar issue tax, including any interest and penalties, on the issue and sale of the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Transfer Agent</w:t>
      </w:r>
      <w:r>
        <w:rPr>
          <w:rFonts w:ascii="Times New Roman" w:hAnsi="Times New Roman"/>
          <w:sz w:val="20"/>
        </w:rPr>
        <w:t xml:space="preserve">. The Company has engaged and will maintain, at its sole expense, a transfer agent and registrar for the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Settlement Documents</w:t>
      </w:r>
      <w:r>
        <w:rPr>
          <w:rFonts w:ascii="Times New Roman" w:hAnsi="Times New Roman"/>
          <w:sz w:val="20"/>
        </w:rPr>
        <w:t xml:space="preserve">. The Company hereby agrees to execute and deliver any additional document that the Agent reasonably and in good faith requests in order to facilitate one or more settlements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Status under the Securities Act.</w:t>
      </w:r>
      <w:r>
        <w:rPr>
          <w:rFonts w:ascii="Times New Roman" w:hAnsi="Times New Roman"/>
          <w:sz w:val="20"/>
        </w:rPr>
        <w:t xml:space="preserve"> (A) At the time of the original effectiveness of the Registration Statement, (B) at the time of the most recent amendment thereto for the purposes of complying with Section 10(a)(3) of the Securities Act (whether such amendment was by post-effective amendment, incorporated report filed pursuant to Section 13 or 15(d) of the Exchange Act or in the form of a prospectus), (C) at the time the Company or any person acting on its behalf (within the meaning, for this clause only, of Rule 163(c) of the Securities Act) made any offer relating to the Shares in reliance on the exemption of Rule 163 of the Securities Act, (D) at the date of this Agreement, and (E) at each Applicable Time, the Company was and is a well-known seasoned issuer, as defined in Rule 405.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Conditions to the Agents Obligations</w:t>
      </w:r>
      <w:r>
        <w:rPr>
          <w:rFonts w:ascii="Times New Roman" w:hAnsi="Times New Roman"/>
          <w:sz w:val="20"/>
        </w:rPr>
        <w:t xml:space="preserve">.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 Effective</w:t>
      </w:r>
      <w:r>
        <w:rPr>
          <w:rFonts w:ascii="Times New Roman" w:hAnsi="Times New Roman"/>
          <w:sz w:val="20"/>
        </w:rPr>
        <w:t xml:space="preserve">. The Registration Statement shall be effective upon filing in accordance with Rule 462(e) and shall be available for all offers and sales of Placement Shares (i) that have been issued pursuant to all prior Placement Notices and (ii) that will be issued pursuant to any Placement Notice.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Prospectus Supplement</w:t>
      </w:r>
      <w:r>
        <w:rPr>
          <w:rFonts w:ascii="Times New Roman" w:hAnsi="Times New Roman"/>
          <w:sz w:val="20"/>
        </w:rPr>
        <w:t xml:space="preserve">. The Company shall have filed with the Commission the Prospectus Supplement pursuant to Rule 424(b) under the Securities Act not later than the Commissions close of business on the second Business Day following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Notices</w:t>
      </w:r>
      <w:r>
        <w:rPr>
          <w:rFonts w:ascii="Times New Roman" w:hAnsi="Times New Roman"/>
          <w:sz w:val="20"/>
        </w:rPr>
        <w:t xml:space="preserve">.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material changes in the Registration Statement, the Prospectus or Incorporated Documents so that, in the case of the Registration Statement, it will not contain any untrue statement of a material fact or omit to state any material fact required to be stated therein or necessary in order to make the statements therein not misleading and, in the case of the Prospectus, so that it will not contain any untrue statement of a material fact or omit to state any material fact required to be stated therein or necessary in order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Misstatement or Material Omission</w:t>
      </w:r>
      <w:r>
        <w:rPr>
          <w:rFonts w:ascii="Times New Roman" w:hAnsi="Times New Roman"/>
          <w:sz w:val="20"/>
        </w:rPr>
        <w:t xml:space="preserve">. The Agent shall not have advised the Company that the Registration Statement or Prospectus, or any amendment or supplement thereto, contains an untrue statement of a fact that in the Agents opinion is material, or omits to state a fact that in the Agents opinion is material and is required to be stated therein or is necessary in order to make the statements therein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Material Changes</w:t>
      </w:r>
      <w:r>
        <w:rPr>
          <w:rFonts w:ascii="Times New Roman" w:hAnsi="Times New Roman"/>
          <w:sz w:val="20"/>
        </w:rPr>
        <w:t xml:space="preserve">. Except as contemplated in the Prospectus, or disclosed in the Companys reports filed with the Commission, there shall not have been any material adverse change, on a consolidated basis, in the authorized share capital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Company Counsel Legal Opinions</w:t>
      </w:r>
      <w:r>
        <w:rPr>
          <w:rFonts w:ascii="Times New Roman" w:hAnsi="Times New Roman"/>
          <w:sz w:val="20"/>
        </w:rPr>
        <w:t xml:space="preserve">.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Agents Counsel Legal Opinion</w:t>
      </w:r>
      <w:r>
        <w:rPr>
          <w:rFonts w:ascii="Times New Roman" w:hAnsi="Times New Roman"/>
          <w:sz w:val="20"/>
        </w:rPr>
        <w:t xml:space="preserve">. The Agent shall have received from Sidley Austin,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Comfort Letter</w:t>
      </w:r>
      <w:r>
        <w:rPr>
          <w:rFonts w:ascii="Times New Roman" w:hAnsi="Times New Roman"/>
          <w:sz w:val="20"/>
        </w:rPr>
        <w:t xml:space="preserve">. The Agent shall have received the Comfort Letter required to be delivered pursuant to Section 7(p) on or before the date on which such delivery of such Comfort Letter is required pursuant to Section 7(p).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Representation Certificate</w:t>
      </w:r>
      <w:r>
        <w:rPr>
          <w:rFonts w:ascii="Times New Roman" w:hAnsi="Times New Roman"/>
          <w:sz w:val="20"/>
        </w:rPr>
        <w:t xml:space="preserve">. The Agent shall have received the certificate required to be delivered pursuant to Section 7(m) on or before the date on which delivery of such certificate is required pursuant to Section 7(m).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Secretarys Certificate</w:t>
      </w:r>
      <w:r>
        <w:rPr>
          <w:rFonts w:ascii="Times New Roman" w:hAnsi="Times New Roman"/>
          <w:sz w:val="20"/>
        </w:rPr>
        <w:t xml:space="preserve">. On or prior to the First Placement Notice Date, the Agent shall have received a certificate, signed on behalf of the Company by the Secretary of the Company and attested to by an executive officer of the Company, dated as of such date and in form and substance satisfactory to the Agent and its counsel, certifying as to (i) the articles of association of the Company, (ii) the resolutions of the board of directors of the Company or duly authorized committee thereof authorizing the execution, delivery and performance of this Agreement and the issuance and sale of the Placement Shares and (iii) the incumbency of the officers of the Company duly authorized to execute this Agreement and the other documents contemplated by this Agreement (including each of the officers set forth on Schedule 2).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CFO Certificate</w:t>
      </w:r>
      <w:r>
        <w:rPr>
          <w:rFonts w:ascii="Times New Roman" w:hAnsi="Times New Roman"/>
          <w:sz w:val="20"/>
        </w:rPr>
        <w:t xml:space="preserve">. On or prior to the First Placement Notice Date, the Agent shall have received a certificate in form and substance reasonably satisfactory to the Agent, from the Head of Strategic Finance and Principal Accounting Officer of the Company as to the accuracy of certain financial and other information included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Suspension</w:t>
      </w:r>
      <w:r>
        <w:rPr>
          <w:rFonts w:ascii="Times New Roman" w:hAnsi="Times New Roman"/>
          <w:sz w:val="20"/>
        </w:rPr>
        <w:t xml:space="preserve">. The Ordinary Shares shall be duly listed, and admitted and authorized for trading, subject to official notice of issuance, on Nasdaq. Trading in the Ordinary Shares shall not have been suspended on, and the Ordinary Shares shall not have been delisted from, Nasdaq.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Other Materials</w:t>
      </w:r>
      <w:r>
        <w:rPr>
          <w:rFonts w:ascii="Times New Roman" w:hAnsi="Times New Roman"/>
          <w:sz w:val="20"/>
        </w:rPr>
        <w:t xml:space="preserve">.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furnished the Agent with conformed copies of such opinions, certificates, letters and other documents as the Agent may have reasonably requested.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Securities Act Filings Made</w:t>
      </w:r>
      <w:r>
        <w:rPr>
          <w:rFonts w:ascii="Times New Roman" w:hAnsi="Times New Roman"/>
          <w:sz w:val="20"/>
        </w:rPr>
        <w:t xml:space="preserve">.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Approval for Listing</w:t>
      </w:r>
      <w:r>
        <w:rPr>
          <w:rFonts w:ascii="Times New Roman" w:hAnsi="Times New Roman"/>
          <w:sz w:val="20"/>
        </w:rPr>
        <w:t xml:space="preserve">. Either (i) the Placement Shares shall have been approved for listing on Nasdaq, subject only to notice of issuance, or (ii) the Company shall have filed an application for listing of the Placement Shares on Nasdaq at, or prior to, the First Placement Notice Date and Nasdaq shall have reviewed such application and not provided any objections thereto.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FINRA</w:t>
      </w:r>
      <w:r>
        <w:rPr>
          <w:rFonts w:ascii="Times New Roman" w:hAnsi="Times New Roman"/>
          <w:sz w:val="20"/>
        </w:rPr>
        <w:t xml:space="preserve">. FINRA shall have raised no objection to the terms of the offering contemplated hereby and the amount of compensation allowable or payable to the Agent as described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Stamp Taxes</w:t>
      </w:r>
      <w:r>
        <w:rPr>
          <w:rFonts w:ascii="Times New Roman" w:hAnsi="Times New Roman"/>
          <w:sz w:val="20"/>
        </w:rPr>
        <w:t xml:space="preserve">. (i) The Company shall pay, and shall indemnify and hold the Agent harmless against, any stamp, issue, registration, transfer, or other similar documentary taxes or duties (other than taxes or duties imposed on the net income of the Agent) imposed under the laws of the Netherlands or any political sub-division or taxing authority thereof or therein having the power to tax that is payable in connection with (x) the execution, delivery, consummation or enforcement of this Agreement, (y) the creation, allotment and issuance of the Placement Shares, and (z) the sale and delivery of the Placement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All sums payable by the Company to the Agent under this Agreement shall be paid free and clear of and without deductions or withholdings of any present or future taxes or duties, unless the deduction or withholding is required by law. In the event any such taxes are required to be withheld or deducted by the laws of the Netherlands or the laws of any other jurisdiction in which the Company has a taxable presence, the Company shall pay such additional amount as will result in the receipt by the Agent of the full amount that would have been received had no deduction or withholding been made. </w:t>
      </w:r>
    </w:p>
    <w:p>
      <w:pPr>
        <w:pStyle w:val="TextBody"/>
        <w:bidi w:val="0"/>
        <w:spacing w:before="240" w:after="0"/>
        <w:jc w:val="left"/>
        <w:rPr>
          <w:rFonts w:ascii="Times New Roman" w:hAnsi="Times New Roman"/>
          <w:sz w:val="20"/>
        </w:rPr>
      </w:pPr>
      <w:r>
        <w:rPr>
          <w:rFonts w:ascii="Times New Roman" w:hAnsi="Times New Roman"/>
          <w:sz w:val="20"/>
        </w:rPr>
        <w:t xml:space="preserve">(iii) All sums payable to the Agent shall be considered exclusive of any applicable value added or similar taxes unless otherwise provided in this Agreement. Where the Company is obliged to pay any applicable value added or similar tax on any amount payable hereunder to the Agent, the Company shall in addition to the sum payable hereunder pay upon receipt of a proper value added tax invoice issued by the relevant Agent an amount equal to any applicable value added or similar tax to the extent the Company has not otherwise made such payment of applicable value added or similar taxes directly.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No Termination Event</w:t>
      </w:r>
      <w:r>
        <w:rPr>
          <w:rFonts w:ascii="Times New Roman" w:hAnsi="Times New Roman"/>
          <w:sz w:val="20"/>
        </w:rPr>
        <w:t xml:space="preserve">. There shall not have occurred any event that would permit the Agent to terminate this Agreement pursuant to Section 11(a).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Indemnification</w:t>
      </w:r>
      <w:r>
        <w:rPr>
          <w:rFonts w:ascii="Times New Roman" w:hAnsi="Times New Roman"/>
          <w:sz w:val="20"/>
        </w:rPr>
        <w:t xml:space="preserve">.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any and all investigative, legal and other expenses reasonably incurred in connection with, and any and all amounts paid in settlement (in accordance with this Section 9),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Ordinary Shares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 (z) any breach by any of the indemnifying parties of any of their respective representations, warranties or agreements contained in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Agent Indemnification</w:t>
      </w:r>
      <w:r>
        <w:rPr>
          <w:rFonts w:ascii="Times New Roman" w:hAnsi="Times New Roman"/>
          <w:sz w:val="20"/>
        </w:rPr>
        <w:t xml:space="preserve">.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Procedure</w:t>
      </w:r>
      <w:r>
        <w:rPr>
          <w:rFonts w:ascii="Times New Roman" w:hAnsi="Times New Roman"/>
          <w:sz w:val="20"/>
        </w:rPr>
        <w:t xml:space="preserve">.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Settlement Without Consent if Failure to Reimburse</w:t>
      </w:r>
      <w:r>
        <w:rPr>
          <w:rFonts w:ascii="Times New Roman" w:hAnsi="Times New Roman"/>
          <w:i/>
          <w:sz w:val="20"/>
        </w:rPr>
        <w:t xml:space="preserve">. </w:t>
      </w:r>
      <w:r>
        <w:rPr>
          <w:rFonts w:ascii="Times New Roman" w:hAnsi="Times New Roman"/>
          <w:sz w:val="20"/>
        </w:rPr>
        <w:t xml:space="preserve">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Contribution</w:t>
      </w:r>
      <w:r>
        <w:rPr>
          <w:rFonts w:ascii="Times New Roman" w:hAnsi="Times New Roman"/>
          <w:sz w:val="20"/>
        </w:rPr>
        <w:t xml:space="preserve">.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Times New Roman" w:hAnsi="Times New Roman"/>
          <w:i/>
          <w:sz w:val="20"/>
        </w:rPr>
        <w:t>pro rata</w:t>
      </w:r>
      <w:r>
        <w:rPr>
          <w:rFonts w:ascii="Times New Roman" w:hAnsi="Times New Roman"/>
          <w:sz w:val="20"/>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Representations and Agreements to Survive Delivery</w:t>
      </w:r>
      <w:r>
        <w:rPr>
          <w:rFonts w:ascii="Times New Roman" w:hAnsi="Times New Roman"/>
          <w:sz w:val="20"/>
        </w:rPr>
        <w:t xml:space="preserve">.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Agent shall have the right, by giving notice as hereinafter specified, at any time to terminate this Agreement if (i) any material adverse effect, or any development that could reasonably be expected to result in a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(c) 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Unless earlier terminated pursuant to this Section 11, this Agreement shall automatically terminate upon the issuance and sale of all of the Placement Shares through the Agent on the terms and subject to the conditions set forth herein; </w:t>
      </w:r>
      <w:r>
        <w:rPr>
          <w:rFonts w:ascii="Times New Roman" w:hAnsi="Times New Roman"/>
          <w:i/>
          <w:sz w:val="20"/>
        </w:rPr>
        <w:t>provided</w:t>
      </w:r>
      <w:r>
        <w:rPr>
          <w:rFonts w:ascii="Times New Roman" w:hAnsi="Times New Roman"/>
          <w:sz w:val="20"/>
        </w:rPr>
        <w:t xml:space="preserve"> that the provisions of Section 7(g), Section 9, Section 10, Section 11(f), Section 16 and Section 17 hereof shall remain in full force and effect notwithstanding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(e) This Agreement shall remain in full force and effect unless terminated pursuant to Sections 11(a), (b), (c), or (d) above or otherwise by mutual agreement of the parties;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such termination by mutual agreement shall in all cases be deemed to provide that Section 7(g), Section 9, Section 10, Section 11(f), Section 16 and Section 17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(f) Any termination of this Agreement shall be effective on the date specified in such notice of termination; </w:t>
      </w:r>
      <w:r>
        <w:rPr>
          <w:rFonts w:ascii="Times New Roman" w:hAnsi="Times New Roman"/>
          <w:i/>
          <w:sz w:val="20"/>
        </w:rPr>
        <w:t>provided, however</w:t>
      </w:r>
      <w:r>
        <w:rPr>
          <w:rFonts w:ascii="Times New Roman" w:hAnsi="Times New Roman"/>
          <w:sz w:val="20"/>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remain obligated to reimburse the Agents expenses pursuant to Section 7(g).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Notices</w:t>
      </w:r>
      <w:r>
        <w:rPr>
          <w:rFonts w:ascii="Times New Roman" w:hAnsi="Times New Roman"/>
          <w:sz w:val="20"/>
        </w:rPr>
        <w:t xml:space="preserve">. All notices or other communications required or permitted to be given by any party to any other party pursuant to the terms of this Agreement shall be in writing, unless otherwise specified in this Agreement, and if sent to the Agent, shall be delivered to: </w:t>
      </w:r>
    </w:p>
    <w:p>
      <w:pPr>
        <w:pStyle w:val="TextBody"/>
        <w:bidi w:val="0"/>
        <w:spacing w:before="12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12th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Attention: Peter M. Fry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peter.fry@leerink.com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12th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Attention: Stuart R. Nayman, Esq.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stuart.nayman@leerink.com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and if to the Company, shall be delivered to: </w:t>
      </w:r>
    </w:p>
    <w:p>
      <w:pPr>
        <w:pStyle w:val="TextBody"/>
        <w:bidi w:val="0"/>
        <w:spacing w:before="120" w:after="0"/>
        <w:jc w:val="left"/>
        <w:rPr>
          <w:rFonts w:ascii="Times New Roman" w:hAnsi="Times New Roman"/>
          <w:sz w:val="20"/>
        </w:rPr>
      </w:pPr>
      <w:r>
        <w:rPr>
          <w:rFonts w:ascii="Times New Roman" w:hAnsi="Times New Roman"/>
          <w:sz w:val="20"/>
        </w:rPr>
        <w:t xml:space="preserve">Emmy Noetherweg 2 </w:t>
      </w:r>
    </w:p>
    <w:p>
      <w:pPr>
        <w:pStyle w:val="TextBody"/>
        <w:bidi w:val="0"/>
        <w:spacing w:before="0" w:after="0"/>
        <w:jc w:val="left"/>
        <w:rPr>
          <w:rFonts w:ascii="Times New Roman" w:hAnsi="Times New Roman"/>
          <w:sz w:val="20"/>
        </w:rPr>
      </w:pPr>
      <w:r>
        <w:rPr>
          <w:rFonts w:ascii="Times New Roman" w:hAnsi="Times New Roman"/>
          <w:sz w:val="20"/>
        </w:rPr>
        <w:t xml:space="preserve">2333 BK Leiden </w:t>
      </w:r>
    </w:p>
    <w:p>
      <w:pPr>
        <w:pStyle w:val="TextBody"/>
        <w:bidi w:val="0"/>
        <w:spacing w:before="0" w:after="0"/>
        <w:jc w:val="left"/>
        <w:rPr>
          <w:rFonts w:ascii="Times New Roman" w:hAnsi="Times New Roman"/>
          <w:sz w:val="20"/>
        </w:rPr>
      </w:pPr>
      <w:r>
        <w:rPr>
          <w:rFonts w:ascii="Times New Roman" w:hAnsi="Times New Roman"/>
          <w:sz w:val="20"/>
        </w:rPr>
        <w:t xml:space="preserve">The Netherlands </w:t>
      </w:r>
    </w:p>
    <w:p>
      <w:pPr>
        <w:pStyle w:val="TextBody"/>
        <w:bidi w:val="0"/>
        <w:spacing w:before="0" w:after="0"/>
        <w:jc w:val="left"/>
        <w:rPr>
          <w:rFonts w:ascii="Times New Roman" w:hAnsi="Times New Roman"/>
          <w:sz w:val="20"/>
        </w:rPr>
      </w:pPr>
      <w:r>
        <w:rPr>
          <w:rFonts w:ascii="Times New Roman" w:hAnsi="Times New Roman"/>
          <w:sz w:val="20"/>
        </w:rPr>
        <w:t xml:space="preserve">Attention: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Berndt.modig@pharvaris.com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left"/>
        <w:rPr>
          <w:rFonts w:ascii="Times New Roman" w:hAnsi="Times New Roman"/>
          <w:sz w:val="20"/>
        </w:rPr>
      </w:pPr>
      <w:r>
        <w:rPr>
          <w:rFonts w:ascii="Times New Roman" w:hAnsi="Times New Roman"/>
          <w:sz w:val="20"/>
        </w:rPr>
        <w:t xml:space="preserve">Attention: Sophia Hudson, P.C.; Jennifer Lee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Sophia.hudson@kirkland.com</w:t>
      </w:r>
      <w:r>
        <w:rPr>
          <w:rFonts w:ascii="Times New Roman" w:hAnsi="Times New Roman"/>
          <w:sz w:val="20"/>
        </w:rPr>
        <w:t xml:space="preserve">; </w:t>
      </w:r>
      <w:r>
        <w:rPr>
          <w:rFonts w:ascii="Times New Roman" w:hAnsi="Times New Roman"/>
          <w:sz w:val="20"/>
          <w:u w:val="single"/>
        </w:rPr>
        <w:t>Jennifer.lee@kirkland.com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 w:hAnsi="Times New Roman"/>
          <w:b/>
          <w:sz w:val="20"/>
          <w:u w:val="single"/>
        </w:rPr>
        <w:t>Business Day</w:t>
      </w:r>
      <w:r>
        <w:rPr>
          <w:rFonts w:ascii="Times New Roman" w:hAnsi="Times New Roman"/>
          <w:sz w:val="20"/>
        </w:rPr>
        <w:t xml:space="preserve"> shall mean any day on which the Nasdaq and commercial banks in the City of New York are open for business. </w:t>
      </w:r>
    </w:p>
    <w:p>
      <w:pPr>
        <w:pStyle w:val="TextBody"/>
        <w:bidi w:val="0"/>
        <w:spacing w:before="240" w:after="0"/>
        <w:jc w:val="left"/>
        <w:rPr>
          <w:rFonts w:ascii="Times New Roman" w:hAnsi="Times New Roman"/>
          <w:sz w:val="20"/>
        </w:rPr>
      </w:pPr>
      <w:r>
        <w:rPr>
          <w:rFonts w:ascii="Times New Roman" w:hAnsi="Times New Roman"/>
          <w:sz w:val="20"/>
        </w:rPr>
        <w:t>An electronic communication (</w:t>
      </w:r>
      <w:r>
        <w:rPr>
          <w:rFonts w:ascii="Times New Roman" w:hAnsi="Times New Roman"/>
          <w:b/>
          <w:sz w:val="20"/>
          <w:u w:val="single"/>
        </w:rPr>
        <w:t>Electronic Notice</w:t>
      </w:r>
      <w:r>
        <w:rPr>
          <w:rFonts w:ascii="Times New Roman" w:hAnsi="Times New Roman"/>
          <w:sz w:val="20"/>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 w:hAnsi="Times New Roman"/>
          <w:b/>
          <w:sz w:val="20"/>
          <w:u w:val="single"/>
        </w:rPr>
        <w:t>Nonelectronic Notice</w:t>
      </w:r>
      <w:r>
        <w:rPr>
          <w:rFonts w:ascii="Times New Roman" w:hAnsi="Times New Roman"/>
          <w:sz w:val="20"/>
        </w:rPr>
        <w:t xml:space="preserve">), which shall be sent to the requesting party within 10 days of receipt of the written request for Nonelectronic Notice.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Successors and Assigns</w:t>
      </w:r>
      <w:r>
        <w:rPr>
          <w:rFonts w:ascii="Times New Roman" w:hAnsi="Times New Roman"/>
          <w:sz w:val="20"/>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hAnsi="Times New Roman"/>
          <w:i/>
          <w:sz w:val="20"/>
        </w:rPr>
        <w:t>provided, however</w:t>
      </w:r>
      <w:r>
        <w:rPr>
          <w:rFonts w:ascii="Times New Roman" w:hAnsi="Times New Roman"/>
          <w:sz w:val="20"/>
        </w:rPr>
        <w:t xml:space="preserve">, that the Agent may assign its rights and obligations hereunder to an affiliate of the Agent without obtaining the Companys consent, so long as such affiliate is a registered broker-dealer.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Adjustments for Share Splits</w:t>
      </w:r>
      <w:r>
        <w:rPr>
          <w:rFonts w:ascii="Times New Roman" w:hAnsi="Times New Roman"/>
          <w:sz w:val="20"/>
        </w:rPr>
        <w:t xml:space="preserve">. The parties acknowledge and agree that all share-related numbers contained in this Agreement shall be adjusted to take into account any share split, share dividend or similar event effected with respect to the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Entire Agreement; Amendment; Severability; Waiver</w:t>
      </w:r>
      <w:r>
        <w:rPr>
          <w:rFonts w:ascii="Times New Roman" w:hAnsi="Times New Roman"/>
          <w:sz w:val="20"/>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r>
        <w:rPr>
          <w:rFonts w:ascii="Times New Roman" w:hAnsi="Times New Roman"/>
          <w:b/>
          <w:sz w:val="20"/>
          <w:u w:val="single"/>
        </w:rPr>
        <w:t>Schedule 2</w:t>
      </w:r>
      <w:r>
        <w:rPr>
          <w:rFonts w:ascii="Times New Roman" w:hAnsi="Times New Roman"/>
          <w:sz w:val="20"/>
        </w:rPr>
        <w:t xml:space="preserve"> of this Agreement may be amended by either party from time to time by sending a notice containing a revised </w:t>
      </w:r>
      <w:r>
        <w:rPr>
          <w:rFonts w:ascii="Times New Roman" w:hAnsi="Times New Roman"/>
          <w:b/>
          <w:sz w:val="20"/>
          <w:u w:val="single"/>
        </w:rPr>
        <w:t>Schedule 2</w:t>
      </w:r>
      <w:r>
        <w:rPr>
          <w:rFonts w:ascii="Times New Roman" w:hAnsi="Times New Roman"/>
          <w:sz w:val="20"/>
        </w:rPr>
        <w:t xml:space="preserve"> to the other party in the manner provided in Section 12 and, upon such amendment, all references herein to </w:t>
      </w:r>
      <w:r>
        <w:rPr>
          <w:rFonts w:ascii="Times New Roman" w:hAnsi="Times New Roman"/>
          <w:b/>
          <w:sz w:val="20"/>
          <w:u w:val="single"/>
        </w:rPr>
        <w:t>Schedule 2</w:t>
      </w:r>
      <w:r>
        <w:rPr>
          <w:rFonts w:ascii="Times New Roman" w:hAnsi="Times New Roman"/>
          <w:sz w:val="20"/>
        </w:rPr>
        <w:t xml:space="preserve"> shall automatically be deemed to refer to such amended </w:t>
      </w:r>
      <w:r>
        <w:rPr>
          <w:rFonts w:ascii="Times New Roman" w:hAnsi="Times New Roman"/>
          <w:b/>
          <w:sz w:val="20"/>
          <w:u w:val="single"/>
        </w:rPr>
        <w:t>Schedule 2</w:t>
      </w:r>
      <w:r>
        <w:rPr>
          <w:rFonts w:ascii="Times New Roman" w:hAnsi="Times New Roman"/>
          <w:sz w:val="20"/>
        </w:rPr>
        <w:t xml:space="preserve">.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GOVERNING LAW AND TIME; WAIVER OF JURY TRIAL</w:t>
      </w:r>
      <w:r>
        <w:rPr>
          <w:rFonts w:ascii="Times New Roman" w:hAnsi="Times New Roman"/>
          <w:b/>
          <w:sz w:val="20"/>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section and exhibit headings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(b) Words defined in the singular shall have a comparable meaning when used in the plural, and vice versa. </w:t>
      </w:r>
    </w:p>
    <w:p>
      <w:pPr>
        <w:pStyle w:val="TextBody"/>
        <w:bidi w:val="0"/>
        <w:spacing w:before="240" w:after="0"/>
        <w:jc w:val="left"/>
        <w:rPr>
          <w:rFonts w:ascii="Times New Roman" w:hAnsi="Times New Roman"/>
          <w:sz w:val="20"/>
        </w:rPr>
      </w:pPr>
      <w:r>
        <w:rPr>
          <w:rFonts w:ascii="Times New Roman" w:hAnsi="Times New Roman"/>
          <w:sz w:val="20"/>
        </w:rPr>
        <w:t xml:space="preserve">(c) The words hereof, hereto, herein and hereunder and words of similar import, when used in this Agreement, shall refer to this Agreement as a whole and not to any particular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Wherever the word include, includes or including is used in this Agreement, it shall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(e) References herein to any gender shall include each other gender. </w:t>
      </w:r>
    </w:p>
    <w:p>
      <w:pPr>
        <w:pStyle w:val="TextBody"/>
        <w:bidi w:val="0"/>
        <w:spacing w:before="240" w:after="0"/>
        <w:jc w:val="left"/>
        <w:rPr>
          <w:rFonts w:ascii="Times New Roman" w:hAnsi="Times New Roman"/>
          <w:sz w:val="20"/>
        </w:rPr>
      </w:pPr>
      <w:r>
        <w:rPr>
          <w:rFonts w:ascii="Times New Roman" w:hAnsi="Times New Roman"/>
          <w:sz w:val="20"/>
        </w:rPr>
        <w:t xml:space="preserve">(f)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Permitted Free Writing Prospectuses</w:t>
      </w:r>
      <w:r>
        <w:rPr>
          <w:rFonts w:ascii="Times New Roman" w:hAnsi="Times New Roman"/>
          <w:sz w:val="20"/>
        </w:rPr>
        <w:t>. Each of the Company and the Agent represents, warrants and agrees that, unless it obtains the prior written consent of the other party,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Times New Roman" w:hAnsi="Times New Roman"/>
          <w:b/>
          <w:sz w:val="20"/>
          <w:u w:val="single"/>
        </w:rPr>
        <w:t>Permitted Free Writing Prospectus</w:t>
      </w:r>
      <w:r>
        <w:rPr>
          <w:rFonts w:ascii="Times New Roman" w:hAnsi="Times New Roman"/>
          <w:sz w:val="20"/>
        </w:rPr>
        <w:t xml:space="preserve">.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Absence of Fiduciary Relationship</w:t>
      </w:r>
      <w:r>
        <w:rPr>
          <w:rFonts w:ascii="Times New Roman" w:hAnsi="Times New Roman"/>
          <w:sz w:val="20"/>
        </w:rPr>
        <w:t xml:space="preserve">. The Company acknowledges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the Agent has been retained to act as sales agent in connection with the sale of the Placement Shares, the Agent has acted at arms length and no fiduciary or advisory relationship between the Company or any of its respective affiliates, shareholders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capable of evaluating, and understanding and understands and accepts, the terms, risks and conditions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neither the Agent nor its affiliates have provided any legal, accounting, regulatory or tax advice with respect to the transactions contemplated by this Agreement and it has consulted its own legal, accounting, regulatory and tax advisors to the extent it has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 </w:t>
      </w:r>
    </w:p>
    <w:p>
      <w:pPr>
        <w:pStyle w:val="TextBody"/>
        <w:bidi w:val="0"/>
        <w:spacing w:before="240" w:after="0"/>
        <w:jc w:val="left"/>
        <w:rPr>
          <w:rFonts w:ascii="Times New Roman" w:hAnsi="Times New Roman"/>
          <w:sz w:val="20"/>
        </w:rPr>
      </w:pPr>
      <w:r>
        <w:rPr>
          <w:rFonts w:ascii="Times New Roman" w:hAnsi="Times New Roman"/>
          <w:sz w:val="20"/>
        </w:rPr>
        <w:t xml:space="preserve">(e) 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shareholders (or other equity holders), creditors or employees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Recognition of the U.S. Special Resolution Regimes</w:t>
      </w:r>
      <w:r>
        <w:rPr>
          <w:rFonts w:ascii="Times New Roman" w:hAnsi="Times New Roman"/>
          <w:sz w:val="20"/>
        </w:rPr>
        <w:t xml:space="preserve">.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Use of Information</w:t>
      </w:r>
      <w:r>
        <w:rPr>
          <w:rFonts w:ascii="Times New Roman" w:hAnsi="Times New Roman"/>
          <w:sz w:val="20"/>
        </w:rPr>
        <w:t xml:space="preserve">. The Agent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Agents Information</w:t>
      </w:r>
      <w:r>
        <w:rPr>
          <w:rFonts w:ascii="Times New Roman" w:hAnsi="Times New Roman"/>
          <w:sz w:val="20"/>
        </w:rPr>
        <w:t>. As used in this Agreement, </w:t>
      </w:r>
      <w:r>
        <w:rPr>
          <w:rFonts w:ascii="Times New Roman" w:hAnsi="Times New Roman"/>
          <w:b/>
          <w:sz w:val="20"/>
          <w:u w:val="single"/>
        </w:rPr>
        <w:t>Agents Information</w:t>
      </w:r>
      <w:r>
        <w:rPr>
          <w:rFonts w:ascii="Times New Roman" w:hAnsi="Times New Roman"/>
          <w:sz w:val="20"/>
        </w:rPr>
        <w:t xml:space="preserve"> means solely the following information in the Registration Statement and the Prospectus: the last sentence of the eighth paragraph and the ninth paragraph under the heading Plan of Distribution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Consent to Jurisdiction; Appointment of Agents for Service</w:t>
      </w:r>
      <w:r>
        <w:rPr>
          <w:rFonts w:ascii="Times New Roman" w:hAnsi="Times New Roman"/>
          <w:sz w:val="20"/>
        </w:rPr>
        <w:t xml:space="preserve">.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irrevocably appoints Morgan Conn, with offices at PO Box 121, Buckingham, PA 18912 as its agent for service of process in any proceeding relating to this Agreement and agrees that service of process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Judgment Currency</w:t>
      </w:r>
      <w:r>
        <w:rPr>
          <w:rFonts w:ascii="Times New Roman" w:hAnsi="Times New Roman"/>
          <w:sz w:val="20"/>
        </w:rPr>
        <w:t xml:space="preserve">. 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the Agent could purchase United States dollars with such other currency in The City of New York on the business day preceding that on which final judgment is given. The obligation of the Company with respect to any sum due from it to the Agent or any person controlling the Agent shall, notwithstanding any judgment in a currency other than United States dollars, not be discharged until the first business day following receipt by the Agent or controlling person of any sum in such other currency, and only to the extent that the Agent or controlling person may in accordance with normal banking procedures purchase United States dollars with such other currency. If the United States dollars so purchased are less than the sum originally due to the Agent or controlling person hereunder, the Company agrees as a separate obligation and notwithstanding any such judgment, to indemnify the Agent or controlling person against such loss. If the United States dollars so purchased are greater than the sum originally due to the Agent or controlling person hereunder, the Agent or controlling person agrees to pay to the Company an amount equal to the excess of the dollars so purchased over the sum originally due to the Agent or controlling person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Agreement to supplements to the Prospectus shall include any supplements, wrappers or similar materials prepared in connection with any offering, sale or private placement of any Placement Shares by the Agent outside of the United States.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understanding between the Company and the Agent, please so indicate in the space provided below for that purpose, whereupon this letter shall constitute a binding agreement between the Company and the Agent.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0"/>
        <w:gridCol w:w="60"/>
        <w:gridCol w:w="3682"/>
      </w:tblGrid>
      <w:tr>
        <w:trPr/>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PHARVARIS N.V.</w:t>
            </w:r>
          </w:p>
        </w:tc>
      </w:tr>
      <w:tr>
        <w:trPr>
          <w:trHeight w:val="240" w:hRule="atLeast"/>
        </w:trPr>
        <w:tc>
          <w:tcPr>
            <w:tcW w:w="340" w:type="dxa"/>
            <w:tcBorders/>
            <w:vAlign w:val="center"/>
          </w:tcPr>
          <w:p>
            <w:pPr>
              <w:pStyle w:val="TableContents"/>
              <w:bidi w:val="0"/>
              <w:spacing w:before="0" w:after="283"/>
              <w:jc w:val="left"/>
              <w:rPr>
                <w:sz w:val="4"/>
                <w:szCs w:val="4"/>
              </w:rPr>
            </w:pPr>
            <w:r>
              <w:rPr>
                <w:sz w:val="4"/>
                <w:szCs w:val="4"/>
              </w:rPr>
            </w:r>
          </w:p>
        </w:tc>
        <w:tc>
          <w:tcPr>
            <w:tcW w:w="3742"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2" w:type="dxa"/>
            <w:tcBorders>
              <w:bottom w:val="single" w:sz="2" w:space="0" w:color="000000"/>
            </w:tcBorders>
            <w:tcMar>
              <w:bottom w:w="28" w:type="dxa"/>
            </w:tcMar>
            <w:vAlign w:val="bottom"/>
          </w:tcPr>
          <w:p>
            <w:pPr>
              <w:pStyle w:val="TableContents"/>
              <w:bidi w:val="0"/>
              <w:spacing w:before="0" w:after="283"/>
              <w:jc w:val="left"/>
              <w:rPr/>
            </w:pPr>
            <w:r>
              <w:rPr/>
              <w:t>/s/ Berndt Modig</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Name: Berndt Modig</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ACCEPTED as of the date first-above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LEERINK PARTNERS LLC</w:t>
            </w:r>
          </w:p>
        </w:tc>
      </w:tr>
      <w:tr>
        <w:trPr>
          <w:trHeight w:val="240" w:hRule="atLeast"/>
        </w:trPr>
        <w:tc>
          <w:tcPr>
            <w:tcW w:w="340" w:type="dxa"/>
            <w:tcBorders/>
            <w:vAlign w:val="center"/>
          </w:tcPr>
          <w:p>
            <w:pPr>
              <w:pStyle w:val="TableContents"/>
              <w:bidi w:val="0"/>
              <w:spacing w:before="0" w:after="283"/>
              <w:jc w:val="left"/>
              <w:rPr>
                <w:sz w:val="4"/>
                <w:szCs w:val="4"/>
              </w:rPr>
            </w:pPr>
            <w:r>
              <w:rPr>
                <w:sz w:val="4"/>
                <w:szCs w:val="4"/>
              </w:rPr>
            </w:r>
          </w:p>
        </w:tc>
        <w:tc>
          <w:tcPr>
            <w:tcW w:w="3742"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2" w:type="dxa"/>
            <w:tcBorders>
              <w:bottom w:val="single" w:sz="2" w:space="0" w:color="000000"/>
            </w:tcBorders>
            <w:tcMar>
              <w:bottom w:w="28" w:type="dxa"/>
            </w:tcMar>
            <w:vAlign w:val="bottom"/>
          </w:tcPr>
          <w:p>
            <w:pPr>
              <w:pStyle w:val="TableContents"/>
              <w:bidi w:val="0"/>
              <w:spacing w:before="0" w:after="283"/>
              <w:jc w:val="left"/>
              <w:rPr/>
            </w:pPr>
            <w:r>
              <w:rPr/>
              <w:t>/s/ Peter Fry</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Name: Peter Fry</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Senior Managing Director,</w:t>
            </w:r>
          </w:p>
          <w:p>
            <w:pPr>
              <w:pStyle w:val="TableContents"/>
              <w:bidi w:val="0"/>
              <w:spacing w:before="0" w:after="20"/>
              <w:jc w:val="left"/>
              <w:rPr/>
            </w:pPr>
            <w:r>
              <w:rPr/>
              <w:t> </w:t>
            </w:r>
            <w:r>
              <w:rPr>
                <w:rFonts w:ascii="Times New Roman" w:hAnsi="Times New Roman"/>
                <w:sz w:val="20"/>
              </w:rPr>
              <w:t>Head of Alternative Equities</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PLACEMENT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5"/>
        <w:gridCol w:w="120"/>
        <w:gridCol w:w="9360"/>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pPr>
            <w:r>
              <w:rPr/>
              <w:t>From:</w:t>
            </w:r>
          </w:p>
        </w:tc>
        <w:tc>
          <w:tcPr>
            <w:tcW w:w="120" w:type="dxa"/>
            <w:tcBorders/>
            <w:vAlign w:val="bottom"/>
          </w:tcPr>
          <w:p>
            <w:pPr>
              <w:pStyle w:val="TableContents"/>
              <w:bidi w:val="0"/>
              <w:spacing w:before="0" w:after="283"/>
              <w:jc w:val="left"/>
              <w:rPr/>
            </w:pPr>
            <w:r>
              <w:rPr/>
              <w:t>  </w:t>
            </w:r>
          </w:p>
        </w:tc>
        <w:tc>
          <w:tcPr>
            <w:tcW w:w="9360" w:type="dxa"/>
            <w:tcBorders/>
          </w:tcPr>
          <w:p>
            <w:pPr>
              <w:pStyle w:val="TableContents"/>
              <w:bidi w:val="0"/>
              <w:spacing w:before="0" w:after="283"/>
              <w:jc w:val="left"/>
              <w:rPr/>
            </w:pPr>
            <w:r>
              <w:rPr/>
              <w:t>[     ]</w:t>
            </w:r>
          </w:p>
        </w:tc>
      </w:tr>
      <w:tr>
        <w:trPr/>
        <w:tc>
          <w:tcPr>
            <w:tcW w:w="7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60" w:type="dxa"/>
            <w:tcBorders/>
          </w:tcPr>
          <w:p>
            <w:pPr>
              <w:pStyle w:val="TableContents"/>
              <w:bidi w:val="0"/>
              <w:spacing w:before="0" w:after="283"/>
              <w:jc w:val="left"/>
              <w:rPr/>
            </w:pPr>
            <w:r>
              <w:rPr/>
              <w:t>[TITLE]</w:t>
            </w:r>
          </w:p>
        </w:tc>
      </w:tr>
      <w:tr>
        <w:trPr/>
        <w:tc>
          <w:tcPr>
            <w:tcW w:w="7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60" w:type="dxa"/>
            <w:tcBorders/>
          </w:tcPr>
          <w:p>
            <w:pPr>
              <w:pStyle w:val="TableContents"/>
              <w:bidi w:val="0"/>
              <w:spacing w:before="0" w:after="283"/>
              <w:jc w:val="left"/>
              <w:rPr/>
            </w:pPr>
            <w:r>
              <w:rPr/>
              <w:t>[COMPANY NAME]</w:t>
            </w:r>
          </w:p>
        </w:tc>
      </w:tr>
      <w:tr>
        <w:trPr/>
        <w:tc>
          <w:tcPr>
            <w:tcW w:w="725" w:type="dxa"/>
            <w:tcBorders/>
          </w:tcPr>
          <w:p>
            <w:pPr>
              <w:pStyle w:val="TableContents"/>
              <w:bidi w:val="0"/>
              <w:spacing w:before="0" w:after="283"/>
              <w:jc w:val="left"/>
              <w:rPr/>
            </w:pPr>
            <w:r>
              <w:rPr/>
              <w:t>Cc:</w:t>
            </w:r>
          </w:p>
        </w:tc>
        <w:tc>
          <w:tcPr>
            <w:tcW w:w="120" w:type="dxa"/>
            <w:tcBorders/>
            <w:vAlign w:val="bottom"/>
          </w:tcPr>
          <w:p>
            <w:pPr>
              <w:pStyle w:val="TableContents"/>
              <w:bidi w:val="0"/>
              <w:spacing w:before="0" w:after="283"/>
              <w:jc w:val="left"/>
              <w:rPr/>
            </w:pPr>
            <w:r>
              <w:rPr/>
              <w:t>  </w:t>
            </w:r>
          </w:p>
        </w:tc>
        <w:tc>
          <w:tcPr>
            <w:tcW w:w="9360" w:type="dxa"/>
            <w:tcBorders/>
          </w:tcPr>
          <w:p>
            <w:pPr>
              <w:pStyle w:val="TableContents"/>
              <w:bidi w:val="0"/>
              <w:spacing w:before="0" w:after="283"/>
              <w:jc w:val="left"/>
              <w:rPr/>
            </w:pPr>
            <w:r>
              <w:rPr/>
              <w:t>[     ]</w:t>
            </w:r>
          </w:p>
        </w:tc>
      </w:tr>
      <w:tr>
        <w:trPr/>
        <w:tc>
          <w:tcPr>
            <w:tcW w:w="725" w:type="dxa"/>
            <w:tcBorders/>
          </w:tcPr>
          <w:p>
            <w:pPr>
              <w:pStyle w:val="TableContents"/>
              <w:bidi w:val="0"/>
              <w:spacing w:before="0" w:after="283"/>
              <w:jc w:val="left"/>
              <w:rPr/>
            </w:pPr>
            <w:r>
              <w:rPr/>
              <w:t>To:</w:t>
            </w:r>
          </w:p>
        </w:tc>
        <w:tc>
          <w:tcPr>
            <w:tcW w:w="120" w:type="dxa"/>
            <w:tcBorders/>
            <w:vAlign w:val="bottom"/>
          </w:tcPr>
          <w:p>
            <w:pPr>
              <w:pStyle w:val="TableContents"/>
              <w:bidi w:val="0"/>
              <w:spacing w:before="0" w:after="283"/>
              <w:jc w:val="left"/>
              <w:rPr/>
            </w:pPr>
            <w:r>
              <w:rPr/>
              <w:t>  </w:t>
            </w:r>
          </w:p>
        </w:tc>
        <w:tc>
          <w:tcPr>
            <w:tcW w:w="9360" w:type="dxa"/>
            <w:tcBorders/>
          </w:tcPr>
          <w:p>
            <w:pPr>
              <w:pStyle w:val="TableContents"/>
              <w:bidi w:val="0"/>
              <w:spacing w:before="0" w:after="283"/>
              <w:jc w:val="left"/>
              <w:rPr/>
            </w:pPr>
            <w:r>
              <w:rPr/>
              <w:t>atm@leerink.com</w:t>
            </w:r>
          </w:p>
        </w:tc>
      </w:tr>
      <w:tr>
        <w:trPr/>
        <w:tc>
          <w:tcPr>
            <w:tcW w:w="725" w:type="dxa"/>
            <w:tcBorders/>
          </w:tcPr>
          <w:p>
            <w:pPr>
              <w:pStyle w:val="TableContents"/>
              <w:bidi w:val="0"/>
              <w:spacing w:before="0" w:after="283"/>
              <w:jc w:val="left"/>
              <w:rPr/>
            </w:pPr>
            <w:r>
              <w:rPr/>
              <w:t>Subject:</w:t>
            </w:r>
          </w:p>
        </w:tc>
        <w:tc>
          <w:tcPr>
            <w:tcW w:w="120" w:type="dxa"/>
            <w:tcBorders/>
            <w:vAlign w:val="bottom"/>
          </w:tcPr>
          <w:p>
            <w:pPr>
              <w:pStyle w:val="TableContents"/>
              <w:bidi w:val="0"/>
              <w:spacing w:before="0" w:after="283"/>
              <w:jc w:val="left"/>
              <w:rPr/>
            </w:pPr>
            <w:r>
              <w:rPr/>
              <w:t>  </w:t>
            </w:r>
          </w:p>
        </w:tc>
        <w:tc>
          <w:tcPr>
            <w:tcW w:w="9360" w:type="dxa"/>
            <w:tcBorders/>
          </w:tcPr>
          <w:p>
            <w:pPr>
              <w:pStyle w:val="TableContents"/>
              <w:bidi w:val="0"/>
              <w:spacing w:before="0" w:after="283"/>
              <w:jc w:val="left"/>
              <w:rPr/>
            </w:pPr>
            <w:r>
              <w:rPr/>
              <w:t>Leerink PartnersAt the Market OfferingPlacement Notice</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Pursuant to the terms and subject to the conditions contained in the Sales Agreement, dated April 12, 2024 (the </w:t>
      </w:r>
      <w:r>
        <w:rPr>
          <w:rFonts w:ascii="Times New Roman" w:hAnsi="Times New Roman"/>
          <w:b/>
          <w:sz w:val="20"/>
          <w:u w:val="single"/>
        </w:rPr>
        <w:t>Agreement</w:t>
      </w:r>
      <w:r>
        <w:rPr>
          <w:rFonts w:ascii="Times New Roman" w:hAnsi="Times New Roman"/>
          <w:sz w:val="20"/>
        </w:rPr>
        <w:t>), by and between Pharvaris N.V., a public limited liability company (</w:t>
      </w:r>
      <w:r>
        <w:rPr>
          <w:rFonts w:ascii="Times New Roman" w:hAnsi="Times New Roman"/>
          <w:i/>
          <w:sz w:val="20"/>
        </w:rPr>
        <w:t>naamloze vennootschap</w:t>
      </w:r>
      <w:r>
        <w:rPr>
          <w:rFonts w:ascii="Times New Roman" w:hAnsi="Times New Roman"/>
          <w:sz w:val="20"/>
        </w:rPr>
        <w:t>) under Dutch law (the </w:t>
      </w:r>
      <w:r>
        <w:rPr>
          <w:rFonts w:ascii="Times New Roman" w:hAnsi="Times New Roman"/>
          <w:b/>
          <w:sz w:val="20"/>
          <w:u w:val="single"/>
        </w:rPr>
        <w:t>Company</w:t>
      </w:r>
      <w:r>
        <w:rPr>
          <w:rFonts w:ascii="Times New Roman" w:hAnsi="Times New Roman"/>
          <w:sz w:val="20"/>
        </w:rPr>
        <w:t>), and Leerink Partners LLC (</w:t>
      </w:r>
      <w:r>
        <w:rPr>
          <w:rFonts w:ascii="Times New Roman" w:hAnsi="Times New Roman"/>
          <w:b/>
          <w:sz w:val="20"/>
          <w:u w:val="single"/>
        </w:rPr>
        <w:t>Leerink</w:t>
      </w:r>
      <w:r>
        <w:rPr>
          <w:rFonts w:ascii="Times New Roman" w:hAnsi="Times New Roman"/>
          <w:sz w:val="20"/>
        </w:rPr>
        <w:t>), I hereby request on behalf of the Company that Leerink sell up to $[ ] million of Ordinary Shares, nominal value, 0.12 par value per share, of the Company (the </w:t>
      </w:r>
      <w:r>
        <w:rPr>
          <w:rFonts w:ascii="Times New Roman" w:hAnsi="Times New Roman"/>
          <w:b/>
          <w:sz w:val="20"/>
          <w:u w:val="single"/>
        </w:rPr>
        <w:t>Shares</w:t>
      </w:r>
      <w:r>
        <w:rPr>
          <w:rFonts w:ascii="Times New Roman" w:hAnsi="Times New Roman"/>
          <w:sz w:val="20"/>
        </w:rPr>
        <w:t xml:space="preserve">), at a minimum market price of $[ ] per share[; </w:t>
      </w:r>
      <w:r>
        <w:rPr>
          <w:rFonts w:ascii="Times New Roman" w:hAnsi="Times New Roman"/>
          <w:i/>
          <w:sz w:val="20"/>
        </w:rPr>
        <w:t>provided</w:t>
      </w:r>
      <w:r>
        <w:rPr>
          <w:rFonts w:ascii="Times New Roman" w:hAnsi="Times New Roman"/>
          <w:sz w:val="20"/>
        </w:rPr>
        <w:t xml:space="preserve"> that no more than [ ] Shares shall be sold in any one Trading Day (as such term is defined in Section 3 of the Agreement)]. Sales should begin [on the date of this Placement Notice] and end on [DATE] [until all Shares that are the subject of this Placement Notice are sold].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2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Company </w:t>
      </w:r>
    </w:p>
    <w:p>
      <w:pPr>
        <w:pStyle w:val="TextBody"/>
        <w:bidi w:val="0"/>
        <w:spacing w:before="120" w:after="0"/>
        <w:jc w:val="left"/>
        <w:rPr>
          <w:rFonts w:ascii="Times New Roman" w:hAnsi="Times New Roman"/>
          <w:sz w:val="20"/>
        </w:rPr>
      </w:pPr>
      <w:r>
        <w:rPr>
          <w:rFonts w:ascii="Times New Roman" w:hAnsi="Times New Roman"/>
          <w:sz w:val="20"/>
        </w:rPr>
        <w:t xml:space="preserve">Berndt Modig </w:t>
      </w:r>
    </w:p>
    <w:p>
      <w:pPr>
        <w:pStyle w:val="TextBody"/>
        <w:bidi w:val="0"/>
        <w:spacing w:before="0" w:after="0"/>
        <w:jc w:val="left"/>
        <w:rPr>
          <w:rFonts w:ascii="Times New Roman" w:hAnsi="Times New Roman"/>
          <w:sz w:val="20"/>
        </w:rPr>
      </w:pPr>
      <w:r>
        <w:rPr>
          <w:rFonts w:ascii="Times New Roman" w:hAnsi="Times New Roman"/>
          <w:sz w:val="20"/>
        </w:rPr>
        <w:t xml:space="preserve">Morgan Conn </w:t>
      </w:r>
    </w:p>
    <w:p>
      <w:pPr>
        <w:pStyle w:val="TextBody"/>
        <w:bidi w:val="0"/>
        <w:spacing w:before="0" w:after="0"/>
        <w:jc w:val="left"/>
        <w:rPr>
          <w:rFonts w:ascii="Times New Roman" w:hAnsi="Times New Roman"/>
          <w:sz w:val="20"/>
        </w:rPr>
      </w:pPr>
      <w:r>
        <w:rPr>
          <w:rFonts w:ascii="Times New Roman" w:hAnsi="Times New Roman"/>
          <w:sz w:val="20"/>
        </w:rPr>
        <w:t xml:space="preserve">Joan Schmidt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Leerink </w:t>
      </w:r>
    </w:p>
    <w:p>
      <w:pPr>
        <w:pStyle w:val="TextBody"/>
        <w:bidi w:val="0"/>
        <w:spacing w:before="120" w:after="0"/>
        <w:jc w:val="left"/>
        <w:rPr>
          <w:rFonts w:ascii="Times New Roman" w:hAnsi="Times New Roman"/>
          <w:sz w:val="20"/>
        </w:rPr>
      </w:pPr>
      <w:r>
        <w:rPr>
          <w:rFonts w:ascii="Times New Roman" w:hAnsi="Times New Roman"/>
          <w:sz w:val="20"/>
        </w:rPr>
        <w:t xml:space="preserve">Gabriel Cavazos </w:t>
      </w:r>
    </w:p>
    <w:p>
      <w:pPr>
        <w:pStyle w:val="TextBody"/>
        <w:bidi w:val="0"/>
        <w:spacing w:before="0" w:after="0"/>
        <w:jc w:val="left"/>
        <w:rPr>
          <w:rFonts w:ascii="Times New Roman" w:hAnsi="Times New Roman"/>
          <w:sz w:val="20"/>
        </w:rPr>
      </w:pPr>
      <w:r>
        <w:rPr>
          <w:rFonts w:ascii="Times New Roman" w:hAnsi="Times New Roman"/>
          <w:sz w:val="20"/>
        </w:rPr>
        <w:t xml:space="preserve">Brian Swanson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atm@leerink.com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3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Leerink Partners LLC compensation in cash equal to 3% of the gross proceeds from the sales of Placement Shares pursuant to the terms of the Sales Agreement of which this </w:t>
      </w:r>
      <w:r>
        <w:rPr>
          <w:rFonts w:ascii="Times New Roman" w:hAnsi="Times New Roman"/>
          <w:b/>
          <w:sz w:val="20"/>
          <w:u w:val="single"/>
        </w:rPr>
        <w:t>Schedule 3</w:t>
      </w:r>
      <w:r>
        <w:rPr>
          <w:rFonts w:ascii="Times New Roman" w:hAnsi="Times New Roman"/>
          <w:sz w:val="20"/>
        </w:rPr>
        <w:t xml:space="preserve"> forms a part.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7(m)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REPRESENTATION DATE CERTIFICATE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[DATE] </w:t>
      </w:r>
    </w:p>
    <w:p>
      <w:pPr>
        <w:pStyle w:val="TextBody"/>
        <w:bidi w:val="0"/>
        <w:spacing w:before="240" w:after="0"/>
        <w:jc w:val="left"/>
        <w:rPr>
          <w:rFonts w:ascii="Times New Roman" w:hAnsi="Times New Roman"/>
          <w:sz w:val="20"/>
        </w:rPr>
      </w:pPr>
      <w:r>
        <w:rPr>
          <w:rFonts w:ascii="Times New Roman" w:hAnsi="Times New Roman"/>
          <w:sz w:val="20"/>
        </w:rPr>
        <w:t>Each of    , the duly qualified and elected Chief Executive Officer of Pharvaris N.V., a public limited liability (the </w:t>
      </w:r>
      <w:r>
        <w:rPr>
          <w:rFonts w:ascii="Times New Roman" w:hAnsi="Times New Roman"/>
          <w:b/>
          <w:sz w:val="20"/>
          <w:u w:val="single"/>
        </w:rPr>
        <w:t>Company</w:t>
      </w:r>
      <w:r>
        <w:rPr>
          <w:rFonts w:ascii="Times New Roman" w:hAnsi="Times New Roman"/>
          <w:sz w:val="20"/>
        </w:rPr>
        <w:t>), and    , the duly qualified and elected Chief Business Officer of the Company, does hereby certify in his respective capacity and on behalf of the Company, pursuant to Section 7(m) of the Sales Agreement, dated April 12, 2024 (the </w:t>
      </w:r>
      <w:r>
        <w:rPr>
          <w:rFonts w:ascii="Times New Roman" w:hAnsi="Times New Roman"/>
          <w:b/>
          <w:sz w:val="20"/>
          <w:u w:val="single"/>
        </w:rPr>
        <w:t>Sales Agreement</w:t>
      </w:r>
      <w:r>
        <w:rPr>
          <w:rFonts w:ascii="Times New Roman" w:hAnsi="Times New Roman"/>
          <w:sz w:val="20"/>
        </w:rPr>
        <w:t xml:space="preserve">), by and between the Company and Leerink Partners LLC, that, after due inquiry, to the best of the knowledge of the undersigned: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has complied with all agreements and satisfied all conditions on its part to be performed or satisfied pursuant to the Sales Agreement at or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(iii) 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and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 </w:t>
      </w:r>
    </w:p>
    <w:p>
      <w:pPr>
        <w:pStyle w:val="TextBody"/>
        <w:bidi w:val="0"/>
        <w:spacing w:before="240" w:after="0"/>
        <w:jc w:val="left"/>
        <w:rPr>
          <w:rFonts w:ascii="Times New Roman" w:hAnsi="Times New Roman"/>
          <w:sz w:val="20"/>
        </w:rPr>
      </w:pPr>
      <w:r>
        <w:rPr>
          <w:rFonts w:ascii="Times New Roman" w:hAnsi="Times New Roman"/>
          <w:sz w:val="20"/>
        </w:rPr>
        <w:t xml:space="preserve">(iv) 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since the date as of which information is given in the Prospectus, as amended or supplemented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(v) The Company does not possess any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(vi) The maximum amount of Placement Shares that may be sold pursuant to the Sales Agreement has been duly authorized by the Companys board of directors or a duly authorized committee thereof pursuant to a resolution or unanimous written consent in accordance with the Companys amended and restated articles of association and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Capitalized terms used but not defined herein shall have the meanings ascribed to them in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each of the undersigned, in such individuals respective capacity as Chief Executive Officer or Chief Business Officer of the Company, has executed this Officers Certificate on behalf of the Company on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 </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Chief Executive Officer</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Date:</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 </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Chief Business Officer</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Date: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Company Signature Page to Officers Certificate</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2" w:name="d807379dex42.htm"/>
      <w:bookmarkStart w:id="43" w:name="ksd807379dex42"/>
      <w:bookmarkEnd w:id="42"/>
      <w:bookmarkEnd w:id="43"/>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Pharvaris N.V. </w:t>
      </w:r>
    </w:p>
    <w:p>
      <w:pPr>
        <w:pStyle w:val="TextBody"/>
        <w:bidi w:val="0"/>
        <w:spacing w:before="240" w:after="0"/>
        <w:jc w:val="center"/>
        <w:rPr>
          <w:rFonts w:ascii="Times New Roman" w:hAnsi="Times New Roman"/>
          <w:b/>
          <w:sz w:val="20"/>
        </w:rPr>
      </w:pPr>
      <w:r>
        <w:rPr>
          <w:rFonts w:ascii="Times New Roman" w:hAnsi="Times New Roman"/>
          <w:b/>
          <w:sz w:val="20"/>
        </w:rPr>
        <w:t xml:space="preserve">as the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Senior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62"/>
        <w:gridCol w:w="125"/>
        <w:gridCol w:w="7558"/>
        <w:gridCol w:w="175"/>
        <w:gridCol w:w="96"/>
        <w:gridCol w:w="425"/>
        <w:gridCol w:w="64"/>
      </w:tblGrid>
      <w:tr>
        <w:trPr/>
        <w:tc>
          <w:tcPr>
            <w:tcW w:w="176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558"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62"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1"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center"/>
              <w:rPr/>
            </w:pPr>
            <w:r>
              <w:rPr/>
              <w:t>ARTICLE 1</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center"/>
              <w:rPr/>
            </w:pPr>
            <w:r>
              <w:rPr/>
              <w:t>D</w:t>
            </w:r>
            <w:r>
              <w:rPr>
                <w:sz w:val="20"/>
              </w:rPr>
              <w:t>EFINITIONS</w:t>
            </w:r>
            <w:r>
              <w:rPr/>
              <w:t xml:space="preserve"> </w:t>
            </w:r>
            <w:r>
              <w:rPr>
                <w:sz w:val="20"/>
              </w:rPr>
              <w:t>AND</w:t>
            </w:r>
            <w:r>
              <w:rPr/>
              <w:t xml:space="preserve"> I</w:t>
            </w:r>
            <w:r>
              <w:rPr>
                <w:sz w:val="20"/>
              </w:rPr>
              <w:t>NCORPORATION</w:t>
            </w:r>
            <w:r>
              <w:rPr/>
              <w:t xml:space="preserve"> </w:t>
            </w:r>
            <w:r>
              <w:rPr>
                <w:sz w:val="20"/>
              </w:rPr>
              <w:t>BY</w:t>
            </w:r>
            <w:r>
              <w:rPr/>
              <w:t xml:space="preserve"> R</w:t>
            </w:r>
            <w:r>
              <w:rPr>
                <w:sz w:val="20"/>
              </w:rPr>
              <w:t>EFERENCE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1.01.</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1.02.</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Other 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1.03.</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Incorporation by Reference of Trust Indenture Act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1.04.</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Rules of Construction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center"/>
              <w:rPr/>
            </w:pPr>
            <w:r>
              <w:rPr/>
              <w:t>ARTICLE 2</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center"/>
              <w:rPr/>
            </w:pPr>
            <w:r>
              <w:rPr/>
              <w:t>T</w:t>
            </w:r>
            <w:r>
              <w:rPr>
                <w:sz w:val="20"/>
              </w:rPr>
              <w:t>HE</w:t>
            </w:r>
            <w:r>
              <w:rPr/>
              <w:t xml:space="preserve"> S</w:t>
            </w:r>
            <w:r>
              <w:rPr>
                <w:sz w:val="20"/>
              </w:rPr>
              <w:t>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2.01.</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Form and Dating</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2.02.</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Execution and Authentication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2.03.</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Amount Unlimited; Issuable in Series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2.04.</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Denomination and Date of Securities; Payments of Interest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2.05.</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Registrar and Paying Agent; Agents Generally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2.06.</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Paying Agent to Hold Money in Trust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2.07.</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Transfer and Exchange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2.08.</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Replacement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2.09.</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2.10.</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Temporary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2.11.</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Cancellation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2.12.</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CUSIP Numbers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2.13.</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Defaulted Interest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2.14.</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Series May Include Tranches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661"/>
        <w:gridCol w:w="123"/>
        <w:gridCol w:w="7867"/>
        <w:gridCol w:w="165"/>
        <w:gridCol w:w="60"/>
        <w:gridCol w:w="265"/>
        <w:gridCol w:w="64"/>
      </w:tblGrid>
      <w:tr>
        <w:trPr/>
        <w:tc>
          <w:tcPr>
            <w:tcW w:w="16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867"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ARTICLE 3</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R</w:t>
            </w:r>
            <w:r>
              <w:rPr>
                <w:sz w:val="20"/>
              </w:rPr>
              <w:t>EDEMPTION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3.01.</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Applicability of Article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3.02.</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Notice of Redemption; Partial Redemptions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3.03.</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Payment of Securities Called for Redemption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3.04.</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Exclusion of Certain Securities from Eligibility for Selection for Redemption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3.05.</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Mandatory and Optional Sinking Funds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3"/>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ARTICLE 4</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C</w:t>
            </w:r>
            <w:r>
              <w:rPr>
                <w:sz w:val="20"/>
              </w:rPr>
              <w:t>OVENANTS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4.01.</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Payment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4.02.</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Office or Agency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4.03.</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Securityholders Lists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4.04.</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to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4.05.</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the Company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4.06.</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Amounts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3"/>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ARTICLE 5</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S</w:t>
            </w:r>
            <w:r>
              <w:rPr>
                <w:sz w:val="20"/>
              </w:rPr>
              <w:t>UCCESSOR</w:t>
            </w:r>
            <w:r>
              <w:rPr/>
              <w:t xml:space="preserve"> C</w:t>
            </w:r>
            <w:r>
              <w:rPr>
                <w:sz w:val="20"/>
              </w:rPr>
              <w:t>ORPORATION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5.01.</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When Company May Merge,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5.02.</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Successor Substituted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3"/>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ARTICLE 6</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D</w:t>
            </w:r>
            <w:r>
              <w:rPr>
                <w:sz w:val="20"/>
              </w:rPr>
              <w:t>EFAULT</w:t>
            </w:r>
            <w:r>
              <w:rPr/>
              <w:t xml:space="preserve"> </w:t>
            </w:r>
            <w:r>
              <w:rPr>
                <w:sz w:val="20"/>
              </w:rPr>
              <w:t>AND</w:t>
            </w:r>
            <w:r>
              <w:rPr/>
              <w:t xml:space="preserve"> R</w:t>
            </w:r>
            <w:r>
              <w:rPr>
                <w:sz w:val="20"/>
              </w:rPr>
              <w:t>EMEDIES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6.01.</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6.02.</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6.03.</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Other Remedies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6.04.</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Waiver of Past Defaults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6.05.</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Control by Majority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56"/>
        <w:gridCol w:w="123"/>
        <w:gridCol w:w="7874"/>
        <w:gridCol w:w="165"/>
        <w:gridCol w:w="60"/>
        <w:gridCol w:w="263"/>
        <w:gridCol w:w="64"/>
      </w:tblGrid>
      <w:tr>
        <w:trPr/>
        <w:tc>
          <w:tcPr>
            <w:tcW w:w="16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87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6.06.</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Suits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6.07.</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Rights of Holders to Receive Payment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6.08.</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Collection Suit by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6.09.</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Trustee May File Proofs of Claim</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6.10.</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Proceeds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6.11.</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Restoration of Rights and Remedies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6.12.</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Undertaking for Costs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6.13.</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Rights and Remedies Cumulative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6.14.</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Delay or Omission not Waiver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center"/>
              <w:rPr/>
            </w:pPr>
            <w:r>
              <w:rPr/>
              <w:t>ARTICLE 7</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center"/>
              <w:rPr/>
            </w:pPr>
            <w:r>
              <w:rPr/>
              <w:t>T</w:t>
            </w:r>
            <w:r>
              <w:rPr>
                <w:sz w:val="20"/>
              </w:rPr>
              <w: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7.01.</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General</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7.02.</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Certain Rights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7.03.</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Individual Rights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7.04.</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Trustees Disclaimer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7.05.</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Notice of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7.06.</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Trustee to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7.07.</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Indemnity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7.08.</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Replacement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7.09.</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Acceptance of Appointment by Successor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7.10.</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Successor Trustee By Merger,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7.11.</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Eligibility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7.12.</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Money Held in Trust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28"/>
        <w:gridCol w:w="123"/>
        <w:gridCol w:w="7700"/>
        <w:gridCol w:w="165"/>
        <w:gridCol w:w="60"/>
        <w:gridCol w:w="265"/>
        <w:gridCol w:w="64"/>
      </w:tblGrid>
      <w:tr>
        <w:trPr/>
        <w:tc>
          <w:tcPr>
            <w:tcW w:w="182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70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ARTICLE 8</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S</w:t>
            </w:r>
            <w:r>
              <w:rPr>
                <w:sz w:val="20"/>
              </w:rPr>
              <w:t>ATISFACTION</w:t>
            </w:r>
            <w:r>
              <w:rPr/>
              <w:t xml:space="preserve"> </w:t>
            </w:r>
            <w:r>
              <w:rPr>
                <w:sz w:val="20"/>
              </w:rPr>
              <w:t>AND</w:t>
            </w:r>
            <w:r>
              <w:rPr/>
              <w:t xml:space="preserve"> D</w:t>
            </w:r>
            <w:r>
              <w:rPr>
                <w:sz w:val="20"/>
              </w:rPr>
              <w:t>ISCHARGE</w:t>
            </w:r>
            <w:r>
              <w:rPr/>
              <w:t xml:space="preserve"> </w:t>
            </w:r>
            <w:r>
              <w:rPr>
                <w:sz w:val="20"/>
              </w:rPr>
              <w:t>OF</w:t>
            </w:r>
            <w:r>
              <w:rPr/>
              <w:t xml:space="preserve"> I</w:t>
            </w:r>
            <w:r>
              <w:rPr>
                <w:sz w:val="20"/>
              </w:rPr>
              <w:t>NDENTURE</w:t>
            </w:r>
            <w:r>
              <w:rPr/>
              <w:t>; U</w:t>
            </w:r>
            <w:r>
              <w:rPr>
                <w:sz w:val="20"/>
              </w:rPr>
              <w:t>NCLAIMED</w:t>
            </w:r>
            <w:r>
              <w:rPr/>
              <w:t xml:space="preserve"> M</w:t>
            </w:r>
            <w:r>
              <w:rPr>
                <w:sz w:val="20"/>
              </w:rPr>
              <w:t>ONEYS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8.01.</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and Discharge of Indenture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8.02.</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by Trustee of Funds Deposited for Payment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8.03.</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Moneys Held by Paying Agent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8.04.</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Return of Moneys Held by Trustee and Paying Agent Unclaimed for Two Years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8.05.</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Defeasance and Discharge of Indenture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8.06.</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Defeasance of Certain Obligations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8.07.</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Reinstatement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8.08.</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Indemnity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8.09.</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Excess Funds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8.10.</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Qualifying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3"/>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ARTICLE 9</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w:t>
            </w:r>
            <w:r>
              <w:rPr>
                <w:sz w:val="20"/>
              </w:rPr>
              <w:t>MENDMENTS</w:t>
            </w:r>
            <w:r>
              <w:rPr/>
              <w:t>, S</w:t>
            </w:r>
            <w:r>
              <w:rPr>
                <w:sz w:val="20"/>
              </w:rPr>
              <w:t>UPPLEMENTS</w:t>
            </w:r>
            <w:r>
              <w:rPr/>
              <w:t xml:space="preserve"> </w:t>
            </w:r>
            <w:r>
              <w:rPr>
                <w:sz w:val="20"/>
              </w:rPr>
              <w:t>AND</w:t>
            </w:r>
            <w:r>
              <w:rPr/>
              <w:t xml:space="preserve"> W</w:t>
            </w:r>
            <w:r>
              <w:rPr>
                <w:sz w:val="20"/>
              </w:rPr>
              <w:t>AIVERS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9.01.</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Without Consent of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9.02.</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With Consent of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9.03.</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Revocation and Effect of Consent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9.04.</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Notation on or Exchange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9.05.</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Trustee to Sign Amendments,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9.06.</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Conformity with Trust Indenture Act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3"/>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ARTICLE 10</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M</w:t>
            </w:r>
            <w:r>
              <w:rPr>
                <w:sz w:val="20"/>
              </w:rPr>
              <w:t>ISCELLANEOUS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10.01.</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Trust Indenture Act of 1939</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10.02.</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10.03.</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and Opinion as to Conditions Precedent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10.04.</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Statements Required in Certificate or Opinion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10.05.</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Evidence of Ownership</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10.06.</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Rules by Trustee, Paying Agent or Registrar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26"/>
        <w:gridCol w:w="123"/>
        <w:gridCol w:w="7704"/>
        <w:gridCol w:w="165"/>
        <w:gridCol w:w="60"/>
        <w:gridCol w:w="264"/>
        <w:gridCol w:w="63"/>
      </w:tblGrid>
      <w:tr>
        <w:trPr/>
        <w:tc>
          <w:tcPr>
            <w:tcW w:w="182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70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26" w:type="dxa"/>
            <w:tcBorders/>
          </w:tcPr>
          <w:p>
            <w:pPr>
              <w:pStyle w:val="TableContents"/>
              <w:bidi w:val="0"/>
              <w:spacing w:before="0" w:after="283"/>
              <w:jc w:val="left"/>
              <w:rPr/>
            </w:pPr>
            <w:r>
              <w:rPr/>
              <w:t>Section 10.07.</w:t>
            </w:r>
          </w:p>
        </w:tc>
        <w:tc>
          <w:tcPr>
            <w:tcW w:w="123"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0"/>
              <w:jc w:val="left"/>
              <w:rPr>
                <w:rFonts w:ascii="Times New Roman" w:hAnsi="Times New Roman"/>
                <w:sz w:val="20"/>
              </w:rPr>
            </w:pPr>
            <w:r>
              <w:rPr>
                <w:rFonts w:ascii="Times New Roman" w:hAnsi="Times New Roman"/>
                <w:sz w:val="20"/>
              </w:rPr>
              <w:t>Payment Date Other Than a Business Day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826" w:type="dxa"/>
            <w:tcBorders/>
            <w:vAlign w:val="center"/>
          </w:tcPr>
          <w:p>
            <w:pPr>
              <w:pStyle w:val="TableContents"/>
              <w:bidi w:val="0"/>
              <w:spacing w:before="0" w:after="283"/>
              <w:jc w:val="left"/>
              <w:rPr>
                <w:sz w:val="4"/>
                <w:szCs w:val="4"/>
              </w:rPr>
            </w:pPr>
            <w:r>
              <w:rPr>
                <w:sz w:val="4"/>
                <w:szCs w:val="4"/>
              </w:rPr>
            </w:r>
          </w:p>
        </w:tc>
        <w:tc>
          <w:tcPr>
            <w:tcW w:w="782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26" w:type="dxa"/>
            <w:tcBorders/>
          </w:tcPr>
          <w:p>
            <w:pPr>
              <w:pStyle w:val="TableContents"/>
              <w:bidi w:val="0"/>
              <w:spacing w:before="0" w:after="283"/>
              <w:jc w:val="left"/>
              <w:rPr/>
            </w:pPr>
            <w:r>
              <w:rPr/>
              <w:t>Section 10.08.</w:t>
            </w:r>
          </w:p>
        </w:tc>
        <w:tc>
          <w:tcPr>
            <w:tcW w:w="123"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826" w:type="dxa"/>
            <w:tcBorders/>
            <w:vAlign w:val="center"/>
          </w:tcPr>
          <w:p>
            <w:pPr>
              <w:pStyle w:val="TableContents"/>
              <w:bidi w:val="0"/>
              <w:spacing w:before="0" w:after="283"/>
              <w:jc w:val="left"/>
              <w:rPr>
                <w:sz w:val="4"/>
                <w:szCs w:val="4"/>
              </w:rPr>
            </w:pPr>
            <w:r>
              <w:rPr>
                <w:sz w:val="4"/>
                <w:szCs w:val="4"/>
              </w:rPr>
            </w:r>
          </w:p>
        </w:tc>
        <w:tc>
          <w:tcPr>
            <w:tcW w:w="782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26" w:type="dxa"/>
            <w:tcBorders/>
          </w:tcPr>
          <w:p>
            <w:pPr>
              <w:pStyle w:val="TableContents"/>
              <w:bidi w:val="0"/>
              <w:spacing w:before="0" w:after="283"/>
              <w:jc w:val="left"/>
              <w:rPr/>
            </w:pPr>
            <w:r>
              <w:rPr/>
              <w:t>Section 10.09.</w:t>
            </w:r>
          </w:p>
        </w:tc>
        <w:tc>
          <w:tcPr>
            <w:tcW w:w="123"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0"/>
              <w:jc w:val="left"/>
              <w:rPr>
                <w:rFonts w:ascii="Times New Roman" w:hAnsi="Times New Roman"/>
                <w:sz w:val="20"/>
              </w:rPr>
            </w:pPr>
            <w:r>
              <w:rPr>
                <w:rFonts w:ascii="Times New Roman" w:hAnsi="Times New Roman"/>
                <w:sz w:val="20"/>
              </w:rPr>
              <w:t>No Adverse Interpretation of Other Agreements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826" w:type="dxa"/>
            <w:tcBorders/>
            <w:vAlign w:val="center"/>
          </w:tcPr>
          <w:p>
            <w:pPr>
              <w:pStyle w:val="TableContents"/>
              <w:bidi w:val="0"/>
              <w:spacing w:before="0" w:after="283"/>
              <w:jc w:val="left"/>
              <w:rPr>
                <w:sz w:val="4"/>
                <w:szCs w:val="4"/>
              </w:rPr>
            </w:pPr>
            <w:r>
              <w:rPr>
                <w:sz w:val="4"/>
                <w:szCs w:val="4"/>
              </w:rPr>
            </w:r>
          </w:p>
        </w:tc>
        <w:tc>
          <w:tcPr>
            <w:tcW w:w="782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26" w:type="dxa"/>
            <w:tcBorders/>
          </w:tcPr>
          <w:p>
            <w:pPr>
              <w:pStyle w:val="TableContents"/>
              <w:bidi w:val="0"/>
              <w:spacing w:before="0" w:after="283"/>
              <w:jc w:val="left"/>
              <w:rPr/>
            </w:pPr>
            <w:r>
              <w:rPr/>
              <w:t>Section 10.10.</w:t>
            </w:r>
          </w:p>
        </w:tc>
        <w:tc>
          <w:tcPr>
            <w:tcW w:w="123"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0"/>
              <w:jc w:val="left"/>
              <w:rPr>
                <w:rFonts w:ascii="Times New Roman" w:hAnsi="Times New Roman"/>
                <w:sz w:val="20"/>
              </w:rPr>
            </w:pPr>
            <w:r>
              <w:rPr>
                <w:rFonts w:ascii="Times New Roman" w:hAnsi="Times New Roman"/>
                <w:sz w:val="20"/>
              </w:rPr>
              <w:t>Successors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826" w:type="dxa"/>
            <w:tcBorders/>
            <w:vAlign w:val="center"/>
          </w:tcPr>
          <w:p>
            <w:pPr>
              <w:pStyle w:val="TableContents"/>
              <w:bidi w:val="0"/>
              <w:spacing w:before="0" w:after="283"/>
              <w:jc w:val="left"/>
              <w:rPr>
                <w:sz w:val="4"/>
                <w:szCs w:val="4"/>
              </w:rPr>
            </w:pPr>
            <w:r>
              <w:rPr>
                <w:sz w:val="4"/>
                <w:szCs w:val="4"/>
              </w:rPr>
            </w:r>
          </w:p>
        </w:tc>
        <w:tc>
          <w:tcPr>
            <w:tcW w:w="782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26" w:type="dxa"/>
            <w:tcBorders/>
          </w:tcPr>
          <w:p>
            <w:pPr>
              <w:pStyle w:val="TableContents"/>
              <w:bidi w:val="0"/>
              <w:spacing w:before="0" w:after="283"/>
              <w:jc w:val="left"/>
              <w:rPr/>
            </w:pPr>
            <w:r>
              <w:rPr/>
              <w:t>Section 10.11.</w:t>
            </w:r>
          </w:p>
        </w:tc>
        <w:tc>
          <w:tcPr>
            <w:tcW w:w="123"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0"/>
              <w:jc w:val="left"/>
              <w:rPr>
                <w:rFonts w:ascii="Times New Roman" w:hAnsi="Times New Roman"/>
                <w:sz w:val="20"/>
              </w:rPr>
            </w:pPr>
            <w:r>
              <w:rPr>
                <w:rFonts w:ascii="Times New Roman" w:hAnsi="Times New Roman"/>
                <w:sz w:val="20"/>
              </w:rPr>
              <w:t>Duplicate Originals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826" w:type="dxa"/>
            <w:tcBorders/>
            <w:vAlign w:val="center"/>
          </w:tcPr>
          <w:p>
            <w:pPr>
              <w:pStyle w:val="TableContents"/>
              <w:bidi w:val="0"/>
              <w:spacing w:before="0" w:after="283"/>
              <w:jc w:val="left"/>
              <w:rPr>
                <w:sz w:val="4"/>
                <w:szCs w:val="4"/>
              </w:rPr>
            </w:pPr>
            <w:r>
              <w:rPr>
                <w:sz w:val="4"/>
                <w:szCs w:val="4"/>
              </w:rPr>
            </w:r>
          </w:p>
        </w:tc>
        <w:tc>
          <w:tcPr>
            <w:tcW w:w="782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26" w:type="dxa"/>
            <w:tcBorders/>
          </w:tcPr>
          <w:p>
            <w:pPr>
              <w:pStyle w:val="TableContents"/>
              <w:bidi w:val="0"/>
              <w:spacing w:before="0" w:after="283"/>
              <w:jc w:val="left"/>
              <w:rPr/>
            </w:pPr>
            <w:r>
              <w:rPr/>
              <w:t>Section 10.12.</w:t>
            </w:r>
          </w:p>
        </w:tc>
        <w:tc>
          <w:tcPr>
            <w:tcW w:w="123"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0"/>
              <w:jc w:val="left"/>
              <w:rPr>
                <w:rFonts w:ascii="Times New Roman" w:hAnsi="Times New Roman"/>
                <w:sz w:val="20"/>
              </w:rPr>
            </w:pPr>
            <w:r>
              <w:rPr>
                <w:rFonts w:ascii="Times New Roman" w:hAnsi="Times New Roman"/>
                <w:sz w:val="20"/>
              </w:rPr>
              <w:t>Separability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826" w:type="dxa"/>
            <w:tcBorders/>
            <w:vAlign w:val="center"/>
          </w:tcPr>
          <w:p>
            <w:pPr>
              <w:pStyle w:val="TableContents"/>
              <w:bidi w:val="0"/>
              <w:spacing w:before="0" w:after="283"/>
              <w:jc w:val="left"/>
              <w:rPr>
                <w:sz w:val="4"/>
                <w:szCs w:val="4"/>
              </w:rPr>
            </w:pPr>
            <w:r>
              <w:rPr>
                <w:sz w:val="4"/>
                <w:szCs w:val="4"/>
              </w:rPr>
            </w:r>
          </w:p>
        </w:tc>
        <w:tc>
          <w:tcPr>
            <w:tcW w:w="782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26" w:type="dxa"/>
            <w:tcBorders/>
          </w:tcPr>
          <w:p>
            <w:pPr>
              <w:pStyle w:val="TableContents"/>
              <w:bidi w:val="0"/>
              <w:spacing w:before="0" w:after="283"/>
              <w:jc w:val="left"/>
              <w:rPr/>
            </w:pPr>
            <w:r>
              <w:rPr/>
              <w:t>Section 10.13.</w:t>
            </w:r>
          </w:p>
        </w:tc>
        <w:tc>
          <w:tcPr>
            <w:tcW w:w="123"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0"/>
              <w:jc w:val="left"/>
              <w:rPr>
                <w:rFonts w:ascii="Times New Roman" w:hAnsi="Times New Roman"/>
                <w:sz w:val="20"/>
              </w:rPr>
            </w:pPr>
            <w:r>
              <w:rPr>
                <w:rFonts w:ascii="Times New Roman" w:hAnsi="Times New Roman"/>
                <w:sz w:val="20"/>
              </w:rPr>
              <w:t>Table of Contents, Headings,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826" w:type="dxa"/>
            <w:tcBorders/>
            <w:vAlign w:val="center"/>
          </w:tcPr>
          <w:p>
            <w:pPr>
              <w:pStyle w:val="TableContents"/>
              <w:bidi w:val="0"/>
              <w:spacing w:before="0" w:after="283"/>
              <w:jc w:val="left"/>
              <w:rPr>
                <w:sz w:val="4"/>
                <w:szCs w:val="4"/>
              </w:rPr>
            </w:pPr>
            <w:r>
              <w:rPr>
                <w:sz w:val="4"/>
                <w:szCs w:val="4"/>
              </w:rPr>
            </w:r>
          </w:p>
        </w:tc>
        <w:tc>
          <w:tcPr>
            <w:tcW w:w="782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26" w:type="dxa"/>
            <w:tcBorders/>
          </w:tcPr>
          <w:p>
            <w:pPr>
              <w:pStyle w:val="TableContents"/>
              <w:bidi w:val="0"/>
              <w:spacing w:before="0" w:after="283"/>
              <w:jc w:val="left"/>
              <w:rPr/>
            </w:pPr>
            <w:r>
              <w:rPr/>
              <w:t>Section 10.14.</w:t>
            </w:r>
          </w:p>
        </w:tc>
        <w:tc>
          <w:tcPr>
            <w:tcW w:w="123"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0"/>
              <w:jc w:val="left"/>
              <w:rPr>
                <w:rFonts w:ascii="Times New Roman" w:hAnsi="Times New Roman"/>
                <w:sz w:val="20"/>
              </w:rPr>
            </w:pPr>
            <w:r>
              <w:rPr>
                <w:rFonts w:ascii="Times New Roman" w:hAnsi="Times New Roman"/>
                <w:sz w:val="20"/>
              </w:rPr>
              <w:t>Incorporators, Stockholders, Officers and Directors of Company Exempt from Individual Liability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826" w:type="dxa"/>
            <w:tcBorders/>
            <w:vAlign w:val="center"/>
          </w:tcPr>
          <w:p>
            <w:pPr>
              <w:pStyle w:val="TableContents"/>
              <w:bidi w:val="0"/>
              <w:spacing w:before="0" w:after="283"/>
              <w:jc w:val="left"/>
              <w:rPr>
                <w:sz w:val="4"/>
                <w:szCs w:val="4"/>
              </w:rPr>
            </w:pPr>
            <w:r>
              <w:rPr>
                <w:sz w:val="4"/>
                <w:szCs w:val="4"/>
              </w:rPr>
            </w:r>
          </w:p>
        </w:tc>
        <w:tc>
          <w:tcPr>
            <w:tcW w:w="782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26" w:type="dxa"/>
            <w:tcBorders/>
          </w:tcPr>
          <w:p>
            <w:pPr>
              <w:pStyle w:val="TableContents"/>
              <w:bidi w:val="0"/>
              <w:spacing w:before="0" w:after="283"/>
              <w:jc w:val="left"/>
              <w:rPr/>
            </w:pPr>
            <w:r>
              <w:rPr/>
              <w:t>Section 10.15.</w:t>
            </w:r>
          </w:p>
        </w:tc>
        <w:tc>
          <w:tcPr>
            <w:tcW w:w="123"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0"/>
              <w:jc w:val="left"/>
              <w:rPr>
                <w:rFonts w:ascii="Times New Roman" w:hAnsi="Times New Roman"/>
                <w:sz w:val="20"/>
              </w:rPr>
            </w:pPr>
            <w:r>
              <w:rPr>
                <w:rFonts w:ascii="Times New Roman" w:hAnsi="Times New Roman"/>
                <w:sz w:val="20"/>
              </w:rPr>
              <w:t>Judgment Currency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826" w:type="dxa"/>
            <w:tcBorders/>
            <w:vAlign w:val="center"/>
          </w:tcPr>
          <w:p>
            <w:pPr>
              <w:pStyle w:val="TableContents"/>
              <w:bidi w:val="0"/>
              <w:spacing w:before="0" w:after="283"/>
              <w:jc w:val="left"/>
              <w:rPr>
                <w:sz w:val="4"/>
                <w:szCs w:val="4"/>
              </w:rPr>
            </w:pPr>
            <w:r>
              <w:rPr>
                <w:sz w:val="4"/>
                <w:szCs w:val="4"/>
              </w:rPr>
            </w:r>
          </w:p>
        </w:tc>
        <w:tc>
          <w:tcPr>
            <w:tcW w:w="782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26" w:type="dxa"/>
            <w:tcBorders/>
          </w:tcPr>
          <w:p>
            <w:pPr>
              <w:pStyle w:val="TableContents"/>
              <w:bidi w:val="0"/>
              <w:spacing w:before="0" w:after="283"/>
              <w:jc w:val="left"/>
              <w:rPr/>
            </w:pPr>
            <w:r>
              <w:rPr/>
              <w:t>Section 10.16.</w:t>
            </w:r>
          </w:p>
        </w:tc>
        <w:tc>
          <w:tcPr>
            <w:tcW w:w="123"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826" w:type="dxa"/>
            <w:tcBorders/>
            <w:vAlign w:val="center"/>
          </w:tcPr>
          <w:p>
            <w:pPr>
              <w:pStyle w:val="TableContents"/>
              <w:bidi w:val="0"/>
              <w:spacing w:before="0" w:after="283"/>
              <w:jc w:val="left"/>
              <w:rPr>
                <w:sz w:val="4"/>
                <w:szCs w:val="4"/>
              </w:rPr>
            </w:pPr>
            <w:r>
              <w:rPr>
                <w:sz w:val="4"/>
                <w:szCs w:val="4"/>
              </w:rPr>
            </w:r>
          </w:p>
        </w:tc>
        <w:tc>
          <w:tcPr>
            <w:tcW w:w="782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26" w:type="dxa"/>
            <w:tcBorders/>
          </w:tcPr>
          <w:p>
            <w:pPr>
              <w:pStyle w:val="TableContents"/>
              <w:bidi w:val="0"/>
              <w:spacing w:before="0" w:after="283"/>
              <w:jc w:val="left"/>
              <w:rPr/>
            </w:pPr>
            <w:r>
              <w:rPr/>
              <w:t>Section 10.17.</w:t>
            </w:r>
          </w:p>
        </w:tc>
        <w:tc>
          <w:tcPr>
            <w:tcW w:w="123" w:type="dxa"/>
            <w:tcBorders/>
            <w:vAlign w:val="bottom"/>
          </w:tcPr>
          <w:p>
            <w:pPr>
              <w:pStyle w:val="TableContents"/>
              <w:bidi w:val="0"/>
              <w:spacing w:before="0" w:after="283"/>
              <w:jc w:val="left"/>
              <w:rPr/>
            </w:pPr>
            <w:r>
              <w:rPr/>
              <w:t> </w:t>
            </w:r>
          </w:p>
        </w:tc>
        <w:tc>
          <w:tcPr>
            <w:tcW w:w="7704" w:type="dxa"/>
            <w:tcBorders/>
          </w:tcPr>
          <w:p>
            <w:pPr>
              <w:pStyle w:val="TableContents"/>
              <w:bidi w:val="0"/>
              <w:spacing w:before="0" w:after="0"/>
              <w:jc w:val="left"/>
              <w:rPr>
                <w:rFonts w:ascii="Times New Roman" w:hAnsi="Times New Roman"/>
                <w:sz w:val="20"/>
              </w:rPr>
            </w:pPr>
            <w:r>
              <w:rPr>
                <w:rFonts w:ascii="Times New Roman" w:hAnsi="Times New Roman"/>
                <w:sz w:val="20"/>
              </w:rPr>
              <w:t>Force Majeure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SENIOR INDENTURE, dated as of [, ], between Pharvaris N.V., a Dutch public company with limited liability (</w:t>
      </w:r>
      <w:r>
        <w:rPr>
          <w:rFonts w:ascii="Times New Roman" w:hAnsi="Times New Roman"/>
          <w:i/>
          <w:sz w:val="20"/>
        </w:rPr>
        <w:t>naamloze vennootschap</w:t>
      </w:r>
      <w:r>
        <w:rPr>
          <w:rFonts w:ascii="Times New Roman" w:hAnsi="Times New Roman"/>
          <w:sz w:val="20"/>
        </w:rPr>
        <w:t xml:space="preserve">), as the Company, and [], as Trustee.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sz w:val="20"/>
        </w:rPr>
        <w:t>WHEREAS, the Company has duly authorized the issue from time to time of its senior debentures, notes or other evidences of indebtedness to be issued in one or more series (the </w:t>
      </w:r>
      <w:r>
        <w:rPr>
          <w:rFonts w:ascii="Times New Roman" w:hAnsi="Times New Roman"/>
          <w:b/>
          <w:sz w:val="20"/>
        </w:rPr>
        <w:t>Securities</w:t>
      </w:r>
      <w:r>
        <w:rPr>
          <w:rFonts w:ascii="Times New Roman" w:hAnsi="Times New Roman"/>
          <w:sz w:val="20"/>
        </w:rPr>
        <w:t xml:space="preserve">)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 WHEREAS, all things necessary to make this Indenture a valid indenture and agreement according to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w:t>
      </w:r>
    </w:p>
    <w:p>
      <w:pPr>
        <w:pStyle w:val="TextBody"/>
        <w:bidi w:val="0"/>
        <w:spacing w:before="120" w:after="0"/>
        <w:jc w:val="left"/>
        <w:rPr>
          <w:rFonts w:ascii="Times New Roman" w:hAnsi="Times New Roman"/>
          <w:sz w:val="20"/>
        </w:rPr>
      </w:pPr>
      <w:r>
        <w:rPr>
          <w:rFonts w:ascii="Times New Roman" w:hAnsi="Times New Roman"/>
          <w:sz w:val="20"/>
        </w:rPr>
        <w:t xml:space="preserve">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1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Affiliate</w:t>
      </w:r>
      <w:r>
        <w:rPr>
          <w:rFonts w:ascii="Times New Roman" w:hAnsi="Times New Roman"/>
          <w:sz w:val="20"/>
        </w:rPr>
        <w:t xml:space="preserve">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Agent</w:t>
      </w:r>
      <w:r>
        <w:rPr>
          <w:rFonts w:ascii="Times New Roman" w:hAnsi="Times New Roman"/>
          <w:sz w:val="20"/>
        </w:rPr>
        <w:t xml:space="preserve"> means any Registrar, Paying Agent, transfer agent or Authenticating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Board Resolution</w:t>
      </w:r>
      <w:r>
        <w:rPr>
          <w:rFonts w:ascii="Times New Roman" w:hAnsi="Times New Roman"/>
          <w:sz w:val="20"/>
        </w:rPr>
        <w:t xml:space="preserve"> means one or more resolutions of the board of directors of the Company or any authorized committee thereof, certified by the secretary or an assistant secretary to have been duly adopted and to be in full force and effect on the date of certification, and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Business Day</w:t>
      </w:r>
      <w:r>
        <w:rPr>
          <w:rFonts w:ascii="Times New Roman" w:hAnsi="Times New Roman"/>
          <w:sz w:val="20"/>
        </w:rPr>
        <w:t xml:space="preserve"> means any day, other than a Saturday or Sunday, that is neither a legal holiday nor a day on which banking institutions are authorized or required by law or regulation to close (i) with respect to any Security the interest on which is based on the offered quotations in the interbank Eurodollar market for dollar deposits in London or in The City of New York or (ii) with respect to Securities denominated in a specified currency other than United States dollars, in the principal financial center of the country of the specified currency.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Commission</w:t>
      </w:r>
      <w:r>
        <w:rPr>
          <w:rFonts w:ascii="Times New Roman" w:hAnsi="Times New Roman"/>
          <w:sz w:val="20"/>
        </w:rPr>
        <w:t xml:space="preserve">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w:t>
      </w:r>
      <w:r>
        <w:rPr>
          <w:rFonts w:ascii="Times New Roman" w:hAnsi="Times New Roman"/>
          <w:sz w:val="20"/>
        </w:rPr>
        <w:t xml:space="preserve"> means the party named as such in the first paragraph of this Indenture until a successor replaces it pursuant to </w:t>
      </w:r>
      <w:r>
        <w:rPr>
          <w:rFonts w:ascii="Times New Roman" w:hAnsi="Times New Roman"/>
          <w:sz w:val="20"/>
          <w:u w:val="single"/>
        </w:rPr>
        <w:t>Article 5</w:t>
      </w:r>
      <w:r>
        <w:rPr>
          <w:rFonts w:ascii="Times New Roman" w:hAnsi="Times New Roman"/>
          <w:sz w:val="20"/>
        </w:rPr>
        <w:t xml:space="preserve"> of this Indenture and thereafter means the successor.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Corporate Trust Office</w:t>
      </w:r>
      <w:r>
        <w:rPr>
          <w:rFonts w:ascii="Times New Roman" w:hAnsi="Times New Roman"/>
          <w:sz w:val="20"/>
        </w:rPr>
        <w:t xml:space="preserve"> means the office of the Trustee at which the corporate trust business of the Trustee shall, at any particular time, be administered, which office is, at the date of this Indenture, located at [].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Default</w:t>
      </w:r>
      <w:r>
        <w:rPr>
          <w:rFonts w:ascii="Times New Roman" w:hAnsi="Times New Roman"/>
          <w:sz w:val="20"/>
        </w:rPr>
        <w:t xml:space="preserve"> means any event that is, or after notice or passage of time or both would be, an Event of Default.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Depositary</w:t>
      </w:r>
      <w:r>
        <w:rPr>
          <w:rFonts w:ascii="Times New Roman" w:hAnsi="Times New Roman"/>
          <w:sz w:val="20"/>
        </w:rPr>
        <w:t xml:space="preserve"> means, with respect to the Securities of any series issuable or issued in the form of one or more Registered Global Securities, the Person designated as Depositary by the Company pursuant to </w:t>
      </w:r>
      <w:r>
        <w:rPr>
          <w:rFonts w:ascii="Times New Roman" w:hAnsi="Times New Roman"/>
          <w:sz w:val="20"/>
          <w:u w:val="single"/>
        </w:rPr>
        <w:t>Section 2.03</w:t>
      </w:r>
      <w:r>
        <w:rPr>
          <w:rFonts w:ascii="Times New Roman" w:hAnsi="Times New Roman"/>
          <w:sz w:val="20"/>
        </w:rPr>
        <w:t xml:space="preserve"> until a successor Depositary shall have become such pursuant to the applicable provisions of this Indenture, and thereafter </w:t>
      </w:r>
      <w:r>
        <w:rPr>
          <w:rFonts w:ascii="Times New Roman" w:hAnsi="Times New Roman"/>
          <w:b/>
          <w:sz w:val="20"/>
        </w:rPr>
        <w:t>Depositary</w:t>
      </w:r>
      <w:r>
        <w:rPr>
          <w:rFonts w:ascii="Times New Roman" w:hAnsi="Times New Roman"/>
          <w:sz w:val="20"/>
        </w:rPr>
        <w:t> shall mean or include each Person who is then a Depositary hereunder, and if at any time there is more than one such Person, </w:t>
      </w:r>
      <w:r>
        <w:rPr>
          <w:rFonts w:ascii="Times New Roman" w:hAnsi="Times New Roman"/>
          <w:b/>
          <w:sz w:val="20"/>
        </w:rPr>
        <w:t>Depositary</w:t>
      </w:r>
      <w:r>
        <w:rPr>
          <w:rFonts w:ascii="Times New Roman" w:hAnsi="Times New Roman"/>
          <w:sz w:val="20"/>
        </w:rPr>
        <w:t xml:space="preserve"> as used with respect to the Securities of any such series shall mean the Depositary with respect to the Registered Global Securities of that series.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Holder</w:t>
      </w:r>
      <w:r>
        <w:rPr>
          <w:rFonts w:ascii="Times New Roman" w:hAnsi="Times New Roman"/>
          <w:sz w:val="20"/>
        </w:rPr>
        <w:t> or </w:t>
      </w:r>
      <w:r>
        <w:rPr>
          <w:rFonts w:ascii="Times New Roman" w:hAnsi="Times New Roman"/>
          <w:b/>
          <w:sz w:val="20"/>
        </w:rPr>
        <w:t>Securityholder</w:t>
      </w:r>
      <w:r>
        <w:rPr>
          <w:rFonts w:ascii="Times New Roman" w:hAnsi="Times New Roman"/>
          <w:sz w:val="20"/>
        </w:rPr>
        <w:t xml:space="preserve"> means the registered holder of any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IFRS</w:t>
      </w:r>
      <w:r>
        <w:rPr>
          <w:rFonts w:ascii="Times New Roman" w:hAnsi="Times New Roman"/>
          <w:sz w:val="20"/>
        </w:rPr>
        <w:t xml:space="preserve"> means International Financial Reporting Standards as issued by the International Accounting Standards Board, as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Indenture</w:t>
      </w:r>
      <w:r>
        <w:rPr>
          <w:rFonts w:ascii="Times New Roman" w:hAnsi="Times New Roman"/>
          <w:sz w:val="20"/>
        </w:rPr>
        <w:t xml:space="preserve">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w:t>
      </w:r>
      <w:r>
        <w:rPr>
          <w:rFonts w:ascii="Times New Roman" w:hAnsi="Times New Roman"/>
          <w:sz w:val="20"/>
          <w:u w:val="single"/>
        </w:rPr>
        <w:t>Sections 2.01</w:t>
      </w:r>
      <w:r>
        <w:rPr>
          <w:rFonts w:ascii="Times New Roman" w:hAnsi="Times New Roman"/>
          <w:sz w:val="20"/>
        </w:rPr>
        <w:t xml:space="preserve"> and </w:t>
      </w:r>
      <w:r>
        <w:rPr>
          <w:rFonts w:ascii="Times New Roman" w:hAnsi="Times New Roman"/>
          <w:sz w:val="20"/>
          <w:u w:val="single"/>
        </w:rPr>
        <w:t>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Officer</w:t>
      </w:r>
      <w:r>
        <w:rPr>
          <w:rFonts w:ascii="Times New Roman" w:hAnsi="Times New Roman"/>
          <w:sz w:val="20"/>
        </w:rPr>
        <w:t xml:space="preserve"> means, with respect to the Company, the chairman of the board of directors, the president or chief executive officer, any executive vice president, any senior vice president, any vice president, the chief financial officer, the treasurer or any assistant treasurer, or the secretary or any assistant secretary.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Officers Certificate</w:t>
      </w:r>
      <w:r>
        <w:rPr>
          <w:rFonts w:ascii="Times New Roman" w:hAnsi="Times New Roman"/>
          <w:sz w:val="20"/>
        </w:rPr>
        <w:t xml:space="preserve"> means a certificate signed in the name of the Company (i) by the chairman of the board of directors, president or chief executive officer, an executive vice president, a senior vice president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w:t>
      </w:r>
      <w:r>
        <w:rPr>
          <w:rFonts w:ascii="Times New Roman" w:hAnsi="Times New Roman"/>
          <w:sz w:val="20"/>
          <w:u w:val="single"/>
        </w:rPr>
        <w:t>Section 10.04</w:t>
      </w:r>
      <w:r>
        <w:rPr>
          <w:rFonts w:ascii="Times New Roman" w:hAnsi="Times New Roman"/>
          <w:sz w:val="20"/>
        </w:rPr>
        <w:t xml:space="preserve">,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Opinion of Counsel</w:t>
      </w:r>
      <w:r>
        <w:rPr>
          <w:rFonts w:ascii="Times New Roman" w:hAnsi="Times New Roman"/>
          <w:sz w:val="20"/>
        </w:rPr>
        <w:t xml:space="preserve"> means a written opinion signed by legal counsel, who may be an employee of or counsel to the Company, satisfactory to the Trustee. Each such opinion shall comply with Section 314 of the Trust Indenture Act, if applicable, and include the statements provided in </w:t>
      </w:r>
      <w:r>
        <w:rPr>
          <w:rFonts w:ascii="Times New Roman" w:hAnsi="Times New Roman"/>
          <w:sz w:val="20"/>
          <w:u w:val="single"/>
        </w:rPr>
        <w:t>Section 10.04</w:t>
      </w:r>
      <w:r>
        <w:rPr>
          <w:rFonts w:ascii="Times New Roman" w:hAnsi="Times New Roman"/>
          <w:sz w:val="20"/>
        </w:rPr>
        <w:t xml:space="preserve">, if and to the extent required thereby.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original issue date</w:t>
      </w:r>
      <w:r>
        <w:rPr>
          <w:rFonts w:ascii="Times New Roman" w:hAnsi="Times New Roman"/>
          <w:sz w:val="20"/>
        </w:rPr>
        <w:t xml:space="preserve"> of any Security (or portion thereof) means the earlier of (a) the date of authentication of such Security or (b) the date of any Security (or portion thereof) for which such Security was issued (directly or indirectly) on registration of transfer, exchange or substitution.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Original Issue Discount Security</w:t>
      </w:r>
      <w:r>
        <w:rPr>
          <w:rFonts w:ascii="Times New Roman" w:hAnsi="Times New Roman"/>
          <w:sz w:val="20"/>
        </w:rPr>
        <w:t xml:space="preserve"> means any Security that provides for an amount less than the Principal amount thereof to be due and payable upon a declaration of acceleration of the maturity thereof pursuant to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Periodic Offering</w:t>
      </w:r>
      <w:r>
        <w:rPr>
          <w:rFonts w:ascii="Times New Roman" w:hAnsi="Times New Roman"/>
          <w:sz w:val="20"/>
        </w:rPr>
        <w:t xml:space="preserve">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Company or its agents upon the issuance of such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Person</w:t>
      </w:r>
      <w:r>
        <w:rPr>
          <w:rFonts w:ascii="Times New Roman" w:hAnsi="Times New Roman"/>
          <w:sz w:val="20"/>
        </w:rPr>
        <w:t xml:space="preserve"> means an individual, a corporation, a partnership, a limited liability company, an association, a trust or any other entity or organization, including a government or political subdivision or an agency or instrumentality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Principal</w:t>
      </w:r>
      <w:r>
        <w:rPr>
          <w:rFonts w:ascii="Times New Roman" w:hAnsi="Times New Roman"/>
          <w:sz w:val="20"/>
        </w:rPr>
        <w:t xml:space="preserve"> of a Security means the principal amount of, and, unless the context indicates otherwise, includes any premium payable on, the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Registered Global Security</w:t>
      </w:r>
      <w:r>
        <w:rPr>
          <w:rFonts w:ascii="Times New Roman" w:hAnsi="Times New Roman"/>
          <w:sz w:val="20"/>
        </w:rPr>
        <w:t xml:space="preserve"> means a Security evidencing all or a part of a series of Securities, issued to the Depositary for such series in accordance with </w:t>
      </w:r>
      <w:r>
        <w:rPr>
          <w:rFonts w:ascii="Times New Roman" w:hAnsi="Times New Roman"/>
          <w:sz w:val="20"/>
          <w:u w:val="single"/>
        </w:rPr>
        <w:t>Section 2.02</w:t>
      </w:r>
      <w:r>
        <w:rPr>
          <w:rFonts w:ascii="Times New Roman" w:hAnsi="Times New Roman"/>
          <w:sz w:val="20"/>
        </w:rPr>
        <w:t xml:space="preserve">, and bearing the legend prescribed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Responsible Officer</w:t>
      </w:r>
      <w:r>
        <w:rPr>
          <w:rFonts w:ascii="Times New Roman" w:hAnsi="Times New Roman"/>
          <w:sz w:val="20"/>
        </w:rPr>
        <w:t xml:space="preserve">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Securities</w:t>
      </w:r>
      <w:r>
        <w:rPr>
          <w:rFonts w:ascii="Times New Roman" w:hAnsi="Times New Roman"/>
          <w:sz w:val="20"/>
        </w:rPr>
        <w:t xml:space="preserve"> means any of the securities, as defined in the first paragraph of the recitals hereof, that are authenticated and delivered under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Subsidiary</w:t>
      </w:r>
      <w:r>
        <w:rPr>
          <w:rFonts w:ascii="Times New Roman" w:hAnsi="Times New Roman"/>
          <w:sz w:val="20"/>
        </w:rPr>
        <w:t xml:space="preserve">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Trustee</w:t>
      </w:r>
      <w:r>
        <w:rPr>
          <w:rFonts w:ascii="Times New Roman" w:hAnsi="Times New Roman"/>
          <w:sz w:val="20"/>
        </w:rPr>
        <w:t xml:space="preserve"> means the party named as such in the first paragraph of this Indenture until a successor replaces it in accordance with the provisions of </w:t>
      </w:r>
      <w:r>
        <w:rPr>
          <w:rFonts w:ascii="Times New Roman" w:hAnsi="Times New Roman"/>
          <w:sz w:val="20"/>
          <w:u w:val="single"/>
        </w:rPr>
        <w:t>Article 7</w:t>
      </w:r>
      <w:r>
        <w:rPr>
          <w:rFonts w:ascii="Times New Roman" w:hAnsi="Times New Roman"/>
          <w:sz w:val="20"/>
        </w:rPr>
        <w:t xml:space="preserve"> and thereafter shall mean or include each Person who is then a Trustee hereunder, and if at any time there is more than one such Person, </w:t>
      </w:r>
      <w:r>
        <w:rPr>
          <w:rFonts w:ascii="Times New Roman" w:hAnsi="Times New Roman"/>
          <w:b/>
          <w:sz w:val="20"/>
        </w:rPr>
        <w:t>Trustee</w:t>
      </w:r>
      <w:r>
        <w:rPr>
          <w:rFonts w:ascii="Times New Roman" w:hAnsi="Times New Roman"/>
          <w:sz w:val="20"/>
        </w:rPr>
        <w:t xml:space="preserve"> as used with respect to the Securities of any series shall mean the Trustee with respect to Securities of that series.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Trust Indenture Act</w:t>
      </w:r>
      <w:r>
        <w:rPr>
          <w:rFonts w:ascii="Times New Roman" w:hAnsi="Times New Roman"/>
          <w:sz w:val="20"/>
        </w:rPr>
        <w:t xml:space="preserve"> means the Trust Indenture Act of 1939, as amended (15 U.S. Code §§ 77aaa-77bbbb), as it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U.S. Government Obligations</w:t>
      </w:r>
      <w:r>
        <w:rPr>
          <w:rFonts w:ascii="Times New Roman" w:hAnsi="Times New Roman"/>
          <w:sz w:val="20"/>
        </w:rPr>
        <w:t xml:space="preserve">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Yield to Maturity</w:t>
      </w:r>
      <w:r>
        <w:rPr>
          <w:rFonts w:ascii="Times New Roman" w:hAnsi="Times New Roman"/>
          <w:sz w:val="20"/>
        </w:rPr>
        <w:t xml:space="preserve">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Other Definitions</w:t>
      </w:r>
      <w:r>
        <w:rPr>
          <w:rFonts w:ascii="Times New Roman" w:hAnsi="Times New Roman"/>
          <w:sz w:val="20"/>
        </w:rPr>
        <w:t xml:space="preserve">. Each of the following terms is defined in the section set forth opposite such term: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9"/>
        <w:gridCol w:w="441"/>
        <w:gridCol w:w="73"/>
        <w:gridCol w:w="685"/>
        <w:gridCol w:w="341"/>
      </w:tblGrid>
      <w:tr>
        <w:trPr/>
        <w:tc>
          <w:tcPr>
            <w:tcW w:w="5399"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5399" w:type="dxa"/>
            <w:tcBorders/>
            <w:vAlign w:val="bottom"/>
          </w:tcPr>
          <w:p>
            <w:pPr>
              <w:pStyle w:val="TableContents"/>
              <w:bidi w:val="0"/>
              <w:spacing w:before="0" w:after="283"/>
              <w:jc w:val="left"/>
              <w:rPr>
                <w:b/>
              </w:rPr>
            </w:pPr>
            <w:r>
              <w:rPr>
                <w:b/>
              </w:rPr>
              <w:t>Term</w:t>
            </w:r>
          </w:p>
        </w:tc>
        <w:tc>
          <w:tcPr>
            <w:tcW w:w="441" w:type="dxa"/>
            <w:tcBorders/>
            <w:vAlign w:val="bottom"/>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Section</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Authenticating Agent</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2.02</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cash transaction</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7.03</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Event of Default</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6.01</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Judgment Currency</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10.15</w:t>
            </w:r>
          </w:p>
        </w:tc>
        <w:tc>
          <w:tcPr>
            <w:tcW w:w="341" w:type="dxa"/>
            <w:tcBorders/>
            <w:vAlign w:val="bottom"/>
          </w:tcPr>
          <w:p>
            <w:pPr>
              <w:pStyle w:val="TableContents"/>
              <w:bidi w:val="0"/>
              <w:spacing w:before="0" w:after="283"/>
              <w:jc w:val="left"/>
              <w:rPr/>
            </w:pPr>
            <w:r>
              <w:rPr/>
              <w:t>(a)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mandatory sinking fund payment</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3.05</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optional sinking fund payment</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3.05</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Paying Agent</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2.05</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record date</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2.04</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Registrar</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2.05</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Required Currency</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10.15</w:t>
            </w:r>
          </w:p>
        </w:tc>
        <w:tc>
          <w:tcPr>
            <w:tcW w:w="341" w:type="dxa"/>
            <w:tcBorders/>
            <w:vAlign w:val="bottom"/>
          </w:tcPr>
          <w:p>
            <w:pPr>
              <w:pStyle w:val="TableContents"/>
              <w:bidi w:val="0"/>
              <w:spacing w:before="0" w:after="283"/>
              <w:jc w:val="left"/>
              <w:rPr/>
            </w:pPr>
            <w:r>
              <w:rPr/>
              <w:t>(a)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Security Register</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2.05</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self-liquidating paper</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7.03</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sinking fund payment date</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3.05</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Surviving Entity</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5.01</w:t>
            </w:r>
          </w:p>
        </w:tc>
        <w:tc>
          <w:tcPr>
            <w:tcW w:w="341" w:type="dxa"/>
            <w:tcBorders/>
            <w:vAlign w:val="bottom"/>
          </w:tcPr>
          <w:p>
            <w:pPr>
              <w:pStyle w:val="TableContents"/>
              <w:bidi w:val="0"/>
              <w:spacing w:before="0" w:after="283"/>
              <w:jc w:val="left"/>
              <w:rPr/>
            </w:pPr>
            <w:r>
              <w:rPr/>
              <w:t>(a)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tranche</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2.14</w:t>
            </w:r>
          </w:p>
        </w:tc>
        <w:tc>
          <w:tcPr>
            <w:tcW w:w="34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i/>
          <w:sz w:val="20"/>
        </w:rPr>
        <w:t>Incorporation by Reference of Trust Indenture Act</w:t>
      </w:r>
      <w:r>
        <w:rPr>
          <w:rFonts w:ascii="Times New Roman" w:hAnsi="Times New Roman"/>
          <w:sz w:val="20"/>
        </w:rPr>
        <w:t xml:space="preserve">. Whenever this Indenture refers to a provision of the Trust Indenture Act, the provision is incorporated by reference in and made a part of this Indenture. The following terms used in this Indenture that are defined by the Trust Indenture Act have the following meanings: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indenture securities</w:t>
      </w:r>
      <w:r>
        <w:rPr>
          <w:rFonts w:ascii="Times New Roman" w:hAnsi="Times New Roman"/>
          <w:sz w:val="20"/>
        </w:rPr>
        <w:t xml:space="preserve"> means the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indenture security holder</w:t>
      </w:r>
      <w:r>
        <w:rPr>
          <w:rFonts w:ascii="Times New Roman" w:hAnsi="Times New Roman"/>
          <w:sz w:val="20"/>
        </w:rPr>
        <w:t xml:space="preserve"> means a Holder or a Securityholder;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indenture to be qualified</w:t>
      </w:r>
      <w:r>
        <w:rPr>
          <w:rFonts w:ascii="Times New Roman" w:hAnsi="Times New Roman"/>
          <w:sz w:val="20"/>
        </w:rPr>
        <w:t xml:space="preserve"> means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indenture trustee</w:t>
      </w:r>
      <w:r>
        <w:rPr>
          <w:rFonts w:ascii="Times New Roman" w:hAnsi="Times New Roman"/>
          <w:sz w:val="20"/>
        </w:rPr>
        <w:t> or </w:t>
      </w:r>
      <w:r>
        <w:rPr>
          <w:rFonts w:ascii="Times New Roman" w:hAnsi="Times New Roman"/>
          <w:b/>
          <w:sz w:val="20"/>
        </w:rPr>
        <w:t>institutional trustee</w:t>
      </w:r>
      <w:r>
        <w:rPr>
          <w:rFonts w:ascii="Times New Roman" w:hAnsi="Times New Roman"/>
          <w:sz w:val="20"/>
        </w:rPr>
        <w:t> means the Trustee; and </w:t>
      </w:r>
      <w:r>
        <w:rPr>
          <w:rFonts w:ascii="Times New Roman" w:hAnsi="Times New Roman"/>
          <w:b/>
          <w:sz w:val="20"/>
        </w:rPr>
        <w:t>obligor</w:t>
      </w:r>
      <w:r>
        <w:rPr>
          <w:rFonts w:ascii="Times New Roman" w:hAnsi="Times New Roman"/>
          <w:sz w:val="20"/>
        </w:rPr>
        <w:t xml:space="preserve"> on the indenture securities means the Company or any other obligor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Trust Indenture Act, defined by reference in the Trust Indenture Act to another statute or defined by a rule of the Commission and not otherwise defined herein have the meanings assigned to them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i/>
          <w:sz w:val="20"/>
        </w:rPr>
        <w:t>Rules of Construction</w:t>
      </w:r>
      <w:r>
        <w:rPr>
          <w:rFonts w:ascii="Times New Roman" w:hAnsi="Times New Roman"/>
          <w:sz w:val="20"/>
        </w:rPr>
        <w:t xml:space="preserve">.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an accounting term not otherwise defined has the meaning assigned to it in accordance with IFRS; </w:t>
      </w:r>
    </w:p>
    <w:p>
      <w:pPr>
        <w:pStyle w:val="TextBody"/>
        <w:bidi w:val="0"/>
        <w:spacing w:before="240" w:after="0"/>
        <w:jc w:val="left"/>
        <w:rPr>
          <w:rFonts w:ascii="Times New Roman" w:hAnsi="Times New Roman"/>
          <w:sz w:val="20"/>
        </w:rPr>
      </w:pPr>
      <w:r>
        <w:rPr>
          <w:rFonts w:ascii="Times New Roman" w:hAnsi="Times New Roman"/>
          <w:sz w:val="20"/>
        </w:rPr>
        <w:t xml:space="preserve">(b) words in the singular include the plural, and words in the plural include the singular; </w:t>
      </w:r>
    </w:p>
    <w:p>
      <w:pPr>
        <w:pStyle w:val="TextBody"/>
        <w:bidi w:val="0"/>
        <w:spacing w:before="240" w:after="0"/>
        <w:jc w:val="left"/>
        <w:rPr>
          <w:rFonts w:ascii="Times New Roman" w:hAnsi="Times New Roman"/>
          <w:sz w:val="20"/>
        </w:rPr>
      </w:pPr>
      <w:r>
        <w:rPr>
          <w:rFonts w:ascii="Times New Roman" w:hAnsi="Times New Roman"/>
          <w:sz w:val="20"/>
        </w:rPr>
        <w:t xml:space="preserve">(c) herein, hereof and other words of similar import refer to this Indenture as a whole and not to any particular Article, Section or other subdivision; </w:t>
      </w:r>
    </w:p>
    <w:p>
      <w:pPr>
        <w:pStyle w:val="TextBody"/>
        <w:bidi w:val="0"/>
        <w:spacing w:before="240" w:after="0"/>
        <w:jc w:val="left"/>
        <w:rPr>
          <w:rFonts w:ascii="Times New Roman" w:hAnsi="Times New Roman"/>
          <w:sz w:val="20"/>
        </w:rPr>
      </w:pPr>
      <w:r>
        <w:rPr>
          <w:rFonts w:ascii="Times New Roman" w:hAnsi="Times New Roman"/>
          <w:sz w:val="20"/>
        </w:rPr>
        <w:t xml:space="preserve">(d) all references to Sections or Articles refer to Sections or Articles of this Indenture unless otherwise indicated; and </w:t>
      </w:r>
    </w:p>
    <w:p>
      <w:pPr>
        <w:pStyle w:val="TextBody"/>
        <w:bidi w:val="0"/>
        <w:spacing w:before="240" w:after="0"/>
        <w:jc w:val="left"/>
        <w:rPr>
          <w:rFonts w:ascii="Times New Roman" w:hAnsi="Times New Roman"/>
          <w:sz w:val="20"/>
        </w:rPr>
      </w:pPr>
      <w:r>
        <w:rPr>
          <w:rFonts w:ascii="Times New Roman" w:hAnsi="Times New Roman"/>
          <w:sz w:val="20"/>
        </w:rPr>
        <w:t xml:space="preserve">(e) use of masculine, feminine or neuter pronouns should not be deemed a limitation, and the use of any such pronouns should be construed to include, where appropriate, the other pronouns. </w:t>
      </w:r>
    </w:p>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0" w:after="0"/>
        <w:jc w:val="center"/>
        <w:rPr>
          <w:rFonts w:ascii="Times New Roman" w:hAnsi="Times New Roman"/>
          <w:sz w:val="20"/>
        </w:rPr>
      </w:pPr>
      <w:r>
        <w:rPr>
          <w:rFonts w:ascii="Times New Roman" w:hAnsi="Times New Roman"/>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Form and Dating</w:t>
      </w:r>
      <w:r>
        <w:rPr>
          <w:rFonts w:ascii="Times New Roman" w:hAnsi="Times New Roman"/>
          <w:sz w:val="20"/>
        </w:rPr>
        <w:t xml:space="preserve">. 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of any securities exchange or usage, all as may be determined by the Officers executing such Securities as evidenced by their execution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2.02. </w:t>
      </w:r>
      <w:r>
        <w:rPr>
          <w:rFonts w:ascii="Times New Roman" w:hAnsi="Times New Roman"/>
          <w:i/>
          <w:sz w:val="20"/>
        </w:rPr>
        <w:t>Execution and Authentication</w:t>
      </w:r>
      <w:r>
        <w:rPr>
          <w:rFonts w:ascii="Times New Roman" w:hAnsi="Times New Roman"/>
          <w:sz w:val="20"/>
        </w:rPr>
        <w:t xml:space="preserve">. Two Officers shall execute the Securities for the Company by facsimile or manual signature in the name and on behalf of the Company. If an Officer whose signature is on a Security no longer holds that office at the time the Security is authenticated, the Security shall nevertheless be valid. </w:t>
      </w:r>
    </w:p>
    <w:p>
      <w:pPr>
        <w:pStyle w:val="TextBody"/>
        <w:bidi w:val="0"/>
        <w:spacing w:before="240" w:after="0"/>
        <w:jc w:val="left"/>
        <w:rPr>
          <w:rFonts w:ascii="Times New Roman" w:hAnsi="Times New Roman"/>
          <w:sz w:val="20"/>
        </w:rPr>
      </w:pPr>
      <w:r>
        <w:rPr>
          <w:rFonts w:ascii="Times New Roman" w:hAnsi="Times New Roman"/>
          <w:sz w:val="20"/>
        </w:rPr>
        <w:t>The Trustee, at the expense of the Company, may appoint an authenticating agent (the </w:t>
      </w:r>
      <w:r>
        <w:rPr>
          <w:rFonts w:ascii="Times New Roman" w:hAnsi="Times New Roman"/>
          <w:b/>
          <w:sz w:val="20"/>
        </w:rPr>
        <w:t>Authenticating Agent</w:t>
      </w:r>
      <w:r>
        <w:rPr>
          <w:rFonts w:ascii="Times New Roman" w:hAnsi="Times New Roman"/>
          <w:sz w:val="20"/>
        </w:rPr>
        <w:t xml:space="preserve">) to authenticate Securities. The Authenticating Agent may authenticate Securities whenever the Trustee may do so. Each reference in this Indenture to authentication by the Trustee includes authentication by such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the Trustee or Authenticating Agent signs, manually or by facsimile, the certificate of authentication on the Security. The signature shall be conclusive evidence that the Security has been authenticated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Securities of any series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w:t>
      </w:r>
      <w:r>
        <w:rPr>
          <w:rFonts w:ascii="Times New Roman" w:hAnsi="Times New Roman"/>
          <w:sz w:val="20"/>
          <w:u w:val="single"/>
        </w:rPr>
        <w:t>Article 7</w:t>
      </w:r>
      <w:r>
        <w:rPr>
          <w:rFonts w:ascii="Times New Roman" w:hAnsi="Times New Roman"/>
          <w:sz w:val="20"/>
        </w:rPr>
        <w:t xml:space="preserve">) shall be fully protected in relying upon, unless and until such documents have been superseded or revoked: </w:t>
      </w:r>
    </w:p>
    <w:p>
      <w:pPr>
        <w:pStyle w:val="TextBody"/>
        <w:bidi w:val="0"/>
        <w:spacing w:before="120" w:after="0"/>
        <w:jc w:val="left"/>
        <w:rPr>
          <w:rFonts w:ascii="Times New Roman" w:hAnsi="Times New Roman"/>
          <w:sz w:val="20"/>
        </w:rPr>
      </w:pPr>
      <w:r>
        <w:rPr>
          <w:rFonts w:ascii="Times New Roman" w:hAnsi="Times New Roman"/>
          <w:sz w:val="20"/>
        </w:rPr>
        <w:t xml:space="preserve">(a) any Board Resolution and/or executed supplemental indenture referred to in </w:t>
      </w:r>
      <w:r>
        <w:rPr>
          <w:rFonts w:ascii="Times New Roman" w:hAnsi="Times New Roman"/>
          <w:sz w:val="20"/>
          <w:u w:val="single"/>
        </w:rPr>
        <w:t>Sections 2.01</w:t>
      </w:r>
      <w:r>
        <w:rPr>
          <w:rFonts w:ascii="Times New Roman" w:hAnsi="Times New Roman"/>
          <w:sz w:val="20"/>
        </w:rPr>
        <w:t xml:space="preserve"> and </w:t>
      </w:r>
      <w:r>
        <w:rPr>
          <w:rFonts w:ascii="Times New Roman" w:hAnsi="Times New Roman"/>
          <w:sz w:val="20"/>
          <w:u w:val="single"/>
        </w:rPr>
        <w:t>2.03</w:t>
      </w:r>
      <w:r>
        <w:rPr>
          <w:rFonts w:ascii="Times New Roman" w:hAnsi="Times New Roman"/>
          <w:sz w:val="20"/>
        </w:rPr>
        <w:t xml:space="preserve"> by or pursuant to which the forms and terms of the Securities of that series were established; </w:t>
      </w:r>
    </w:p>
    <w:p>
      <w:pPr>
        <w:pStyle w:val="TextBody"/>
        <w:bidi w:val="0"/>
        <w:spacing w:before="240" w:after="0"/>
        <w:jc w:val="left"/>
        <w:rPr>
          <w:rFonts w:ascii="Times New Roman" w:hAnsi="Times New Roman"/>
          <w:sz w:val="20"/>
        </w:rPr>
      </w:pPr>
      <w:r>
        <w:rPr>
          <w:rFonts w:ascii="Times New Roman" w:hAnsi="Times New Roman"/>
          <w:sz w:val="20"/>
        </w:rPr>
        <w:t xml:space="preserve">(b) an Officers Certificate setting forth the form or forms and terms of the Securities, stating that the form or forms and terms of the Securities of such series have been, or, in the case of a Periodic Offering, will be when established in accordance with such procedures as shall be referred to therein, established in compliance with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(c) 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 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provisions of </w:t>
      </w:r>
      <w:r>
        <w:rPr>
          <w:rFonts w:ascii="Times New Roman" w:hAnsi="Times New Roman"/>
          <w:sz w:val="20"/>
          <w:u w:val="single"/>
        </w:rPr>
        <w:t>Sections 2.01</w:t>
      </w:r>
      <w:r>
        <w:rPr>
          <w:rFonts w:ascii="Times New Roman" w:hAnsi="Times New Roman"/>
          <w:sz w:val="20"/>
        </w:rPr>
        <w:t xml:space="preserve"> and </w:t>
      </w:r>
      <w:r>
        <w:rPr>
          <w:rFonts w:ascii="Times New Roman" w:hAnsi="Times New Roman"/>
          <w:sz w:val="20"/>
          <w:u w:val="single"/>
        </w:rPr>
        <w:t>2.02</w:t>
      </w:r>
      <w:r>
        <w:rPr>
          <w:rFonts w:ascii="Times New Roman" w:hAnsi="Times New Roman"/>
          <w:sz w:val="20"/>
        </w:rPr>
        <w:t xml:space="preserve">, if, in connection with a Periodic Offering, all Securities of a series are not to be originally issued at one time, it shall not be necessary to deliver the Board Resolution otherwise required pursuant to </w:t>
      </w:r>
      <w:r>
        <w:rPr>
          <w:rFonts w:ascii="Times New Roman" w:hAnsi="Times New Roman"/>
          <w:sz w:val="20"/>
          <w:u w:val="single"/>
        </w:rPr>
        <w:t>Section 2.01</w:t>
      </w:r>
      <w:r>
        <w:rPr>
          <w:rFonts w:ascii="Times New Roman" w:hAnsi="Times New Roman"/>
          <w:sz w:val="20"/>
        </w:rPr>
        <w:t xml:space="preserve"> or the written order, Officers Certificate and Opinion of Counsel otherwise required pursuant to </w:t>
      </w:r>
      <w:r>
        <w:rPr>
          <w:rFonts w:ascii="Times New Roman" w:hAnsi="Times New Roman"/>
          <w:sz w:val="20"/>
          <w:u w:val="single"/>
        </w:rPr>
        <w:t>Section 2.02</w:t>
      </w:r>
      <w:r>
        <w:rPr>
          <w:rFonts w:ascii="Times New Roman" w:hAnsi="Times New Roman"/>
          <w:sz w:val="20"/>
        </w:rPr>
        <w:t xml:space="preserve"> at or prior to the authentication of each Security of such series if such documents are delivered at or prior to the authentication upon original issuance of the first Security of such series to be issued.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w:t>
      </w:r>
      <w:r>
        <w:rPr>
          <w:rFonts w:ascii="Times New Roman" w:hAnsi="Times New Roman"/>
          <w:sz w:val="20"/>
          <w:u w:val="single"/>
        </w:rPr>
        <w:t>Sections 2.01</w:t>
      </w:r>
      <w:r>
        <w:rPr>
          <w:rFonts w:ascii="Times New Roman" w:hAnsi="Times New Roman"/>
          <w:sz w:val="20"/>
        </w:rPr>
        <w:t xml:space="preserve"> and </w:t>
      </w:r>
      <w:r>
        <w:rPr>
          <w:rFonts w:ascii="Times New Roman" w:hAnsi="Times New Roman"/>
          <w:sz w:val="20"/>
          <w:u w:val="single"/>
        </w:rPr>
        <w:t>2.02</w:t>
      </w:r>
      <w:r>
        <w:rPr>
          <w:rFonts w:ascii="Times New Roman" w:hAnsi="Times New Roman"/>
          <w:sz w:val="20"/>
        </w:rPr>
        <w:t xml:space="preserve">, as applicable, in connection with the first authentication of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establish pursuant to </w:t>
      </w:r>
      <w:r>
        <w:rPr>
          <w:rFonts w:ascii="Times New Roman" w:hAnsi="Times New Roman"/>
          <w:sz w:val="20"/>
          <w:u w:val="single"/>
        </w:rPr>
        <w:t>Section 2.03</w:t>
      </w:r>
      <w:r>
        <w:rPr>
          <w:rFonts w:ascii="Times New Roman" w:hAnsi="Times New Roman"/>
          <w:sz w:val="20"/>
        </w:rPr>
        <w:t xml:space="preserve">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 (iii) shall be delivered by the Trustee to such Depositary or its custodian or pursuant to such Depositarys instructions and (iv) shall (unless provided otherwise in the form of such Security)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i/>
          <w:sz w:val="20"/>
        </w:rPr>
        <w:t>Amount Unlimited; Issuable in Series</w:t>
      </w:r>
      <w:r>
        <w:rPr>
          <w:rFonts w:ascii="Times New Roman" w:hAnsi="Times New Roman"/>
          <w:sz w:val="20"/>
        </w:rPr>
        <w:t xml:space="preserve">. The aggregate Principal amount of Securities that may be authenticated and delivered under this Indenture is unlimited.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issued in one or more series and each such series shall rank equally and </w:t>
      </w:r>
      <w:r>
        <w:rPr>
          <w:rFonts w:ascii="Times New Roman" w:hAnsi="Times New Roman"/>
          <w:i/>
          <w:sz w:val="20"/>
        </w:rPr>
        <w:t xml:space="preserve">pari passu </w:t>
      </w:r>
      <w:r>
        <w:rPr>
          <w:rFonts w:ascii="Times New Roman" w:hAnsi="Times New Roman"/>
          <w:sz w:val="20"/>
        </w:rPr>
        <w:t xml:space="preserve">with all other unsecured and unsubordinated debt of the Company. There shall be established in or pursuant to a Board Resolution or one or more indentures supplemental hereto, prior to the initial issuance of Securities of any series, subject to the last sentence of this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designation of the Securities of the series, which shall distinguish the Securities of the series from the Securities of all other series; </w:t>
      </w:r>
    </w:p>
    <w:p>
      <w:pPr>
        <w:pStyle w:val="TextBody"/>
        <w:bidi w:val="0"/>
        <w:spacing w:before="240" w:after="0"/>
        <w:jc w:val="left"/>
        <w:rPr>
          <w:rFonts w:ascii="Times New Roman" w:hAnsi="Times New Roman"/>
          <w:sz w:val="20"/>
        </w:rPr>
      </w:pPr>
      <w:r>
        <w:rPr>
          <w:rFonts w:ascii="Times New Roman" w:hAnsi="Times New Roman"/>
          <w:sz w:val="20"/>
        </w:rPr>
        <w:t xml:space="preserve">(b) 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date or dates on which the Principal of the Securities of the series is payable (which date or dates may be fixed or extendible); </w:t>
      </w:r>
    </w:p>
    <w:p>
      <w:pPr>
        <w:pStyle w:val="TextBody"/>
        <w:bidi w:val="0"/>
        <w:spacing w:before="240" w:after="0"/>
        <w:jc w:val="left"/>
        <w:rPr>
          <w:rFonts w:ascii="Times New Roman" w:hAnsi="Times New Roman"/>
          <w:sz w:val="20"/>
        </w:rPr>
      </w:pPr>
      <w:r>
        <w:rPr>
          <w:rFonts w:ascii="Times New Roman" w:hAnsi="Times New Roman"/>
          <w:sz w:val="20"/>
        </w:rPr>
        <w:t xml:space="preserve">(d) the rate or rates (which may be fixed or variable) per annum at which the Securities of the series shall bear interest, if any, the date or dates from which such interest shall accrue, on which such interest shall be payable and on which a record shall be taken for the determination of Holders to whom interest is payable and/or the method by which such rate or rates or date or dates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(e) if other than as provided in </w:t>
      </w:r>
      <w:r>
        <w:rPr>
          <w:rFonts w:ascii="Times New Roman" w:hAnsi="Times New Roman"/>
          <w:sz w:val="20"/>
          <w:u w:val="single"/>
        </w:rPr>
        <w:t>Section 4.02</w:t>
      </w:r>
      <w:r>
        <w:rPr>
          <w:rFonts w:ascii="Times New Roman" w:hAnsi="Times New Roman"/>
          <w:sz w:val="20"/>
        </w:rPr>
        <w:t xml:space="preserve">, the place or places where the Principal of and any interest on Securities of the series shall be payable, any Securities of the series may be surrendered for exchange, and notices and demands to or upon the Company in respect of the Securities of the series and this Indenture may be served; </w:t>
      </w:r>
    </w:p>
    <w:p>
      <w:pPr>
        <w:pStyle w:val="TextBody"/>
        <w:bidi w:val="0"/>
        <w:spacing w:before="240" w:after="0"/>
        <w:jc w:val="left"/>
        <w:rPr>
          <w:rFonts w:ascii="Times New Roman" w:hAnsi="Times New Roman"/>
          <w:sz w:val="20"/>
        </w:rPr>
      </w:pPr>
      <w:r>
        <w:rPr>
          <w:rFonts w:ascii="Times New Roman" w:hAnsi="Times New Roman"/>
          <w:sz w:val="20"/>
        </w:rPr>
        <w:t xml:space="preserve">(f) 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 of the series shall be redeemed, purchased or repaid, in whole or in part, pursuant to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(h) if other than denominations of $2,000 and any higher integral multiple of $1,000, the denominations in which Securities of the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(i) if other than the Principal amount thereof, the portion of the Principal amount of Securities of the series which shall be payable upon declaration of acceleration of the maturity thereof; </w:t>
      </w:r>
    </w:p>
    <w:p>
      <w:pPr>
        <w:pStyle w:val="TextBody"/>
        <w:bidi w:val="0"/>
        <w:spacing w:before="240" w:after="0"/>
        <w:jc w:val="left"/>
        <w:rPr>
          <w:rFonts w:ascii="Times New Roman" w:hAnsi="Times New Roman"/>
          <w:sz w:val="20"/>
        </w:rPr>
      </w:pPr>
      <w:r>
        <w:rPr>
          <w:rFonts w:ascii="Times New Roman" w:hAnsi="Times New Roman"/>
          <w:sz w:val="20"/>
        </w:rPr>
        <w:t xml:space="preserve">(j) 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(k) 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whether the Securities of the series or any portion thereof will be issuable as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(m) whether the Securities of the series may be exchangeable for and/or convertible into the common stock of the Company or any other security; </w:t>
      </w:r>
    </w:p>
    <w:p>
      <w:pPr>
        <w:pStyle w:val="TextBody"/>
        <w:bidi w:val="0"/>
        <w:spacing w:before="240" w:after="0"/>
        <w:jc w:val="left"/>
        <w:rPr>
          <w:rFonts w:ascii="Times New Roman" w:hAnsi="Times New Roman"/>
          <w:sz w:val="20"/>
        </w:rPr>
      </w:pPr>
      <w:r>
        <w:rPr>
          <w:rFonts w:ascii="Times New Roman" w:hAnsi="Times New Roman"/>
          <w:sz w:val="20"/>
        </w:rPr>
        <w:t xml:space="preserve">(n) 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 </w:t>
      </w:r>
    </w:p>
    <w:p>
      <w:pPr>
        <w:pStyle w:val="TextBody"/>
        <w:bidi w:val="0"/>
        <w:spacing w:before="240" w:after="0"/>
        <w:jc w:val="left"/>
        <w:rPr>
          <w:rFonts w:ascii="Times New Roman" w:hAnsi="Times New Roman"/>
          <w:sz w:val="20"/>
        </w:rPr>
      </w:pPr>
      <w:r>
        <w:rPr>
          <w:rFonts w:ascii="Times New Roman" w:hAnsi="Times New Roman"/>
          <w:sz w:val="20"/>
        </w:rPr>
        <w:t xml:space="preserve">(o) 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(p) any trustees, depositaries, authenticating or paying agents, transfer agents or the registrar or any other agents with respect to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(q) 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w:t>
      </w:r>
      <w:r>
        <w:rPr>
          <w:rFonts w:ascii="Times New Roman" w:hAnsi="Times New Roman"/>
          <w:sz w:val="20"/>
          <w:u w:val="single"/>
        </w:rPr>
        <w:t>Article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 if the Securities of the series are issuable in whole or in part as one or more Registered Global Securities, the identity of the Depositary or common Depositary for such Registered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(s) any other or alternative Events of Default or covenants with respect to the Securities of the series; and </w:t>
      </w:r>
    </w:p>
    <w:p>
      <w:pPr>
        <w:pStyle w:val="TextBody"/>
        <w:bidi w:val="0"/>
        <w:spacing w:before="240" w:after="0"/>
        <w:jc w:val="left"/>
        <w:rPr>
          <w:rFonts w:ascii="Times New Roman" w:hAnsi="Times New Roman"/>
          <w:sz w:val="20"/>
        </w:rPr>
      </w:pPr>
      <w:r>
        <w:rPr>
          <w:rFonts w:ascii="Times New Roman" w:hAnsi="Times New Roman"/>
          <w:sz w:val="20"/>
        </w:rPr>
        <w:t xml:space="preserve">(t) any other terms of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2.04. </w:t>
      </w:r>
      <w:r>
        <w:rPr>
          <w:rFonts w:ascii="Times New Roman" w:hAnsi="Times New Roman"/>
          <w:i/>
          <w:sz w:val="20"/>
        </w:rPr>
        <w:t>Denomination and Date of Securities; Payments of Interest</w:t>
      </w:r>
      <w:r>
        <w:rPr>
          <w:rFonts w:ascii="Times New Roman" w:hAnsi="Times New Roman"/>
          <w:sz w:val="20"/>
        </w:rPr>
        <w:t xml:space="preserve">. The Securities of each series shall be issuable in denominations established as contemplated by </w:t>
      </w:r>
      <w:r>
        <w:rPr>
          <w:rFonts w:ascii="Times New Roman" w:hAnsi="Times New Roman"/>
          <w:sz w:val="20"/>
          <w:u w:val="single"/>
        </w:rPr>
        <w:t>Section 2.03</w:t>
      </w:r>
      <w:r>
        <w:rPr>
          <w:rFonts w:ascii="Times New Roman" w:hAnsi="Times New Roman"/>
          <w:sz w:val="20"/>
        </w:rPr>
        <w:t xml:space="preserve"> or, if not so established with respect to Securities of any series, in denominations of $2,000 and any higher integral multiple of $1,000. The Securities of each series shall be numbered, lettered or otherwise distinguished in such manner or in accordance with such plan as the Officers of the Company executing the same may determine, as evidenced by their execution thereof.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with respect to a series of Securities, each Security shall be dated the date of its authentication. The Securities of each series shall bear interest, if any, from the date, and such interest shall be payable on the dates, established as contemplated by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Company shall default in the payment of the interest due on such interest payment date for such series, in which case the provisions of </w:t>
      </w:r>
      <w:r>
        <w:rPr>
          <w:rFonts w:ascii="Times New Roman" w:hAnsi="Times New Roman"/>
          <w:sz w:val="20"/>
          <w:u w:val="single"/>
        </w:rPr>
        <w:t>Section 2.13</w:t>
      </w:r>
      <w:r>
        <w:rPr>
          <w:rFonts w:ascii="Times New Roman" w:hAnsi="Times New Roman"/>
          <w:sz w:val="20"/>
        </w:rPr>
        <w:t xml:space="preserve"> shall apply. The term record date as used with respect to any interest payment date (except a date for payment of defaulted interest) for the Securities of any series shall mean the date specified as such in the terms of the Securities of such series established as contemplated by </w:t>
      </w:r>
      <w:r>
        <w:rPr>
          <w:rFonts w:ascii="Times New Roman" w:hAnsi="Times New Roman"/>
          <w:sz w:val="20"/>
          <w:u w:val="single"/>
        </w:rPr>
        <w:t>Section 2.03</w:t>
      </w:r>
      <w:r>
        <w:rPr>
          <w:rFonts w:ascii="Times New Roman" w:hAnsi="Times New Roman"/>
          <w:sz w:val="20"/>
        </w:rPr>
        <w:t xml:space="preserve">, or, if no such date is so established, the fifteenth day next preceding such interest payment date, whether or not such record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i/>
          <w:sz w:val="20"/>
        </w:rPr>
        <w:t>Registrar and Paying Agent; Agents Generally</w:t>
      </w:r>
      <w:r>
        <w:rPr>
          <w:rFonts w:ascii="Times New Roman" w:hAnsi="Times New Roman"/>
          <w:sz w:val="20"/>
        </w:rPr>
        <w:t>. The Company shall maintain an office or agency where Securities may be presented for registration, registration of transfer or for exchange (the </w:t>
      </w:r>
      <w:r>
        <w:rPr>
          <w:rFonts w:ascii="Times New Roman" w:hAnsi="Times New Roman"/>
          <w:b/>
          <w:sz w:val="20"/>
        </w:rPr>
        <w:t>Registrar</w:t>
      </w:r>
      <w:r>
        <w:rPr>
          <w:rFonts w:ascii="Times New Roman" w:hAnsi="Times New Roman"/>
          <w:sz w:val="20"/>
        </w:rPr>
        <w:t>) and an office or agency where Securities may be presented for payment (the </w:t>
      </w:r>
      <w:r>
        <w:rPr>
          <w:rFonts w:ascii="Times New Roman" w:hAnsi="Times New Roman"/>
          <w:b/>
          <w:sz w:val="20"/>
        </w:rPr>
        <w:t>Paying Agent</w:t>
      </w:r>
      <w:r>
        <w:rPr>
          <w:rFonts w:ascii="Times New Roman" w:hAnsi="Times New Roman"/>
          <w:sz w:val="20"/>
        </w:rPr>
        <w:t>), which shall be in the United States of America. The Company shall cause the Registrar to keep a register of the Securities and of their registration, transfer and exchange (the </w:t>
      </w:r>
      <w:r>
        <w:rPr>
          <w:rFonts w:ascii="Times New Roman" w:hAnsi="Times New Roman"/>
          <w:b/>
          <w:sz w:val="20"/>
        </w:rPr>
        <w:t>Security Register</w:t>
      </w:r>
      <w:r>
        <w:rPr>
          <w:rFonts w:ascii="Times New Roman" w:hAnsi="Times New Roman"/>
          <w:sz w:val="20"/>
        </w:rPr>
        <w:t xml:space="preserve">). The Company may have one or more additional Paying Agents or transfer agents with respect to any series.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w:t>
      </w:r>
      <w:r>
        <w:rPr>
          <w:rFonts w:ascii="Times New Roman" w:hAnsi="Times New Roman"/>
          <w:i/>
          <w:sz w:val="20"/>
        </w:rPr>
        <w:t>provided</w:t>
      </w:r>
      <w:r>
        <w:rPr>
          <w:rFonts w:ascii="Times New Roman" w:hAnsi="Times New Roman"/>
          <w:sz w:val="20"/>
        </w:rPr>
        <w:t xml:space="preserve">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w:t>
      </w:r>
      <w:r>
        <w:rPr>
          <w:rFonts w:ascii="Times New Roman" w:hAnsi="Times New Roman"/>
          <w:i/>
          <w:sz w:val="20"/>
        </w:rPr>
        <w:t>provided</w:t>
      </w:r>
      <w:r>
        <w:rPr>
          <w:rFonts w:ascii="Times New Roman" w:hAnsi="Times New Roman"/>
          <w:sz w:val="20"/>
        </w:rPr>
        <w:t xml:space="preserve"> that neither the Company nor an Affiliate of the Company shall act as Paying Agent in connection with the defeasance of the Securities or the discharge of this Indenture under </w:t>
      </w:r>
      <w:r>
        <w:rPr>
          <w:rFonts w:ascii="Times New Roman" w:hAnsi="Times New Roman"/>
          <w:sz w:val="20"/>
          <w:u w:val="single"/>
        </w:rPr>
        <w:t>Article 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i/>
          <w:sz w:val="20"/>
        </w:rPr>
        <w:t>Paying Agent to Hold Money in Trust</w:t>
      </w:r>
      <w:r>
        <w:rPr>
          <w:rFonts w:ascii="Times New Roman" w:hAnsi="Times New Roman"/>
          <w:sz w:val="20"/>
        </w:rPr>
        <w:t xml:space="preserve">. Not later than 10:00 a.m. New York City time on each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this Indenture, and will promptly notify the Trustee in writing of its action or failure to act as required by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i/>
          <w:sz w:val="20"/>
        </w:rPr>
        <w:t>Transfer and Exchange</w:t>
      </w:r>
      <w:r>
        <w:rPr>
          <w:rFonts w:ascii="Times New Roman" w:hAnsi="Times New Roman"/>
          <w:sz w:val="20"/>
        </w:rPr>
        <w:t xml:space="preserve">. At the option of the Holder thereof, Securities of any series (other than a Registered Global Security, except as set forth below) may be exchanged for a Security or Securities of such series and tenor having authorized denominations and an equal aggregate Principal amount, upon surrender of such Securities to be exchanged at the agency of the Company that shall be maintained for such purpose in accordance with </w:t>
      </w:r>
      <w:r>
        <w:rPr>
          <w:rFonts w:ascii="Times New Roman" w:hAnsi="Times New Roman"/>
          <w:sz w:val="20"/>
          <w:u w:val="single"/>
        </w:rPr>
        <w:t>Section 2.05</w:t>
      </w:r>
      <w:r>
        <w:rPr>
          <w:rFonts w:ascii="Times New Roman" w:hAnsi="Times New Roman"/>
          <w:sz w:val="20"/>
        </w:rPr>
        <w:t xml:space="preserve">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registration of transfer of any Security of a series at the agency of the Company that shall be maintained for that purpose in accordance with </w:t>
      </w:r>
      <w:r>
        <w:rPr>
          <w:rFonts w:ascii="Times New Roman" w:hAnsi="Times New Roman"/>
          <w:sz w:val="20"/>
          <w:u w:val="single"/>
        </w:rPr>
        <w:t>Section 2.05</w:t>
      </w:r>
      <w:r>
        <w:rPr>
          <w:rFonts w:ascii="Times New Roman" w:hAnsi="Times New Roman"/>
          <w:sz w:val="20"/>
        </w:rPr>
        <w:t xml:space="preserve"> and upon payment, if the Company shall so require, of the charges hereinafter provided, the Company shall execute, and the Trustee shall authenticate and deliver, in the name of the designated transferee or transferees, one or more new Securities of the same series, of any authorized denominations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require payment of a sum sufficient to cover any tax or other governmental charge that may be imposed in connection with any exchange or registration of transfer of Securities. No service charge shall be made for any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w:t>
      </w:r>
      <w:r>
        <w:rPr>
          <w:rFonts w:ascii="Times New Roman" w:hAnsi="Times New Roman"/>
          <w:sz w:val="20"/>
          <w:u w:val="single"/>
        </w:rPr>
        <w:t>Section 2.07</w:t>
      </w:r>
      <w:r>
        <w:rPr>
          <w:rFonts w:ascii="Times New Roman" w:hAnsi="Times New Roman"/>
          <w:sz w:val="20"/>
        </w:rPr>
        <w:t xml:space="preserve">,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time the Securities of any series are not in the form of Registered Global Securities pursuant to the preceding two paragraphs, the Company agrees to supply the Trustee with a reasonable supply of certificated Securities without the legend required by </w:t>
      </w:r>
      <w:r>
        <w:rPr>
          <w:rFonts w:ascii="Times New Roman" w:hAnsi="Times New Roman"/>
          <w:sz w:val="20"/>
          <w:u w:val="single"/>
        </w:rPr>
        <w:t>Section 2.02</w:t>
      </w:r>
      <w:r>
        <w:rPr>
          <w:rFonts w:ascii="Times New Roman" w:hAnsi="Times New Roman"/>
          <w:sz w:val="20"/>
        </w:rPr>
        <w:t xml:space="preserve"> and the Trustee agrees to hold such Securities in safekeeping until authenticated and delivered pursuant to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If established by the Company pursuant to </w:t>
      </w:r>
      <w:r>
        <w:rPr>
          <w:rFonts w:ascii="Times New Roman" w:hAnsi="Times New Roman"/>
          <w:sz w:val="20"/>
          <w:u w:val="single"/>
        </w:rPr>
        <w:t>Section 2.03</w:t>
      </w:r>
      <w:r>
        <w:rPr>
          <w:rFonts w:ascii="Times New Roman" w:hAnsi="Times New Roman"/>
          <w:sz w:val="20"/>
        </w:rPr>
        <w:t xml:space="preserve"> with respect to any Registered Global Security, the Depositary for such Registered Global Security may surrender such Registered Global Security in exchange in whole or in part for Securities of the same series and tenor in definitive registered form on such terms as are acceptable to the Company and such Depositary. Thereupon, the Company shall execute, and the Trustee shall authenticate and deliver, without service charge,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to the Person specified by such Depositary new certificated Securities of the same series and tenor, of any authorized denominations as requested by such Person, in an aggregate Principal amount equal to and in exchange for such Persons beneficial interest in the Registered Global Security; and </w:t>
      </w:r>
    </w:p>
    <w:p>
      <w:pPr>
        <w:pStyle w:val="TextBody"/>
        <w:bidi w:val="0"/>
        <w:spacing w:before="240" w:after="0"/>
        <w:jc w:val="left"/>
        <w:rPr>
          <w:rFonts w:ascii="Times New Roman" w:hAnsi="Times New Roman"/>
          <w:sz w:val="20"/>
        </w:rPr>
      </w:pPr>
      <w:r>
        <w:rPr>
          <w:rFonts w:ascii="Times New Roman" w:hAnsi="Times New Roman"/>
          <w:sz w:val="20"/>
        </w:rPr>
        <w:t xml:space="preserve">(b) to such Depositary a new Registered Global Security in a denomination equal to the difference, if any, between the Principal amount of the surrendered Registered Global Security and the aggregate Principal amount of certificated Securities authenticated and delivered pursuant to clause (a) above. </w:t>
      </w:r>
    </w:p>
    <w:p>
      <w:pPr>
        <w:pStyle w:val="TextBody"/>
        <w:bidi w:val="0"/>
        <w:spacing w:before="240" w:after="0"/>
        <w:jc w:val="left"/>
        <w:rPr>
          <w:rFonts w:ascii="Times New Roman" w:hAnsi="Times New Roman"/>
          <w:sz w:val="20"/>
        </w:rPr>
      </w:pPr>
      <w:r>
        <w:rPr>
          <w:rFonts w:ascii="Times New Roman" w:hAnsi="Times New Roman"/>
          <w:sz w:val="20"/>
        </w:rPr>
        <w:t xml:space="preserve">Certificated Securities issued in exchange for a Registered Global Security pursuant to this </w:t>
      </w:r>
      <w:r>
        <w:rPr>
          <w:rFonts w:ascii="Times New Roman" w:hAnsi="Times New Roman"/>
          <w:sz w:val="20"/>
          <w:u w:val="single"/>
        </w:rPr>
        <w:t>Section 2.07</w:t>
      </w:r>
      <w:r>
        <w:rPr>
          <w:rFonts w:ascii="Times New Roman" w:hAnsi="Times New Roman"/>
          <w:sz w:val="20"/>
        </w:rPr>
        <w:t xml:space="preserve">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issued upon any transfer or exchange of Securities shall be valid obligations of the Company, evidencing the same debt, and entitled to the same benefits under this Indenture, as the Securities surrendered upon such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i/>
          <w:sz w:val="20"/>
        </w:rPr>
        <w:t>Replacement Securities</w:t>
      </w:r>
      <w:r>
        <w:rPr>
          <w:rFonts w:ascii="Times New Roman" w:hAnsi="Times New Roman"/>
          <w:sz w:val="20"/>
        </w:rPr>
        <w:t xml:space="preserve">. If any mutilated Security is surrendered to the Trustee, the Company shall execute and the Trustee shall authenticate and deliver, in exchange for such mutilated Security,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the Trustee (i) evidence to their satisfaction of the destruction, loss or theft of any Security and (ii) such security 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or in exchange for any mutilated Security shall constitute an original additional contractual obligation of the Company, whether or not the mutilated, destroyed, lost or stolen Security shall be at any time enforceable by anyone, and any such new Security shall be entitled to all the benefits of this Indenture equally and proportionately with any and all other Securities of that series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any other rights and remedies with respect to the replacement or payment of mutilated, destroyed, lost or stolen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i/>
          <w:sz w:val="20"/>
        </w:rPr>
        <w:t>Outstanding Securities</w:t>
      </w:r>
      <w:r>
        <w:rPr>
          <w:rFonts w:ascii="Times New Roman" w:hAnsi="Times New Roman"/>
          <w:sz w:val="20"/>
        </w:rPr>
        <w:t xml:space="preserve">. Securities outstanding at any time are all Securities that have been authenticated by the Trustee except for those cancelled by it, those delivered to it for cancellation, those described in this Section as not outstanding and those that have been defeased pursuant to </w:t>
      </w:r>
      <w:r>
        <w:rPr>
          <w:rFonts w:ascii="Times New Roman" w:hAnsi="Times New Roman"/>
          <w:sz w:val="20"/>
          <w:u w:val="single"/>
        </w:rPr>
        <w:t>Section 8.05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Security is replaced pursuant to </w:t>
      </w:r>
      <w:r>
        <w:rPr>
          <w:rFonts w:ascii="Times New Roman" w:hAnsi="Times New Roman"/>
          <w:sz w:val="20"/>
          <w:u w:val="single"/>
        </w:rPr>
        <w:t>Section 2.08</w:t>
      </w:r>
      <w:r>
        <w:rPr>
          <w:rFonts w:ascii="Times New Roman" w:hAnsi="Times New Roman"/>
          <w:sz w:val="20"/>
        </w:rPr>
        <w:t xml:space="preserve">, it ceases to be outstanding unless and until the Trustee and the Company receive proof satisfactory to them that the replaced Security is held by a holder in due course.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 </w:t>
      </w:r>
    </w:p>
    <w:p>
      <w:pPr>
        <w:pStyle w:val="TextBody"/>
        <w:bidi w:val="0"/>
        <w:spacing w:before="240" w:after="0"/>
        <w:jc w:val="left"/>
        <w:rPr>
          <w:rFonts w:ascii="Times New Roman" w:hAnsi="Times New Roman"/>
          <w:sz w:val="20"/>
        </w:rPr>
      </w:pPr>
      <w:r>
        <w:rPr>
          <w:rFonts w:ascii="Times New Roman" w:hAnsi="Times New Roman"/>
          <w:sz w:val="20"/>
        </w:rPr>
        <w:t xml:space="preserve">A Security does not cease to be outstanding because the Company or one of its affiliates holds such Security,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i/>
          <w:sz w:val="20"/>
        </w:rPr>
        <w:t>Temporary Securities</w:t>
      </w:r>
      <w:r>
        <w:rPr>
          <w:rFonts w:ascii="Times New Roman" w:hAnsi="Times New Roman"/>
          <w:sz w:val="20"/>
        </w:rPr>
        <w:t xml:space="preserve">. 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 definitive Securities of such series to be prepared without unreasonable delay. After the preparation of definitive Securities of any series, the temporary Securities of such series shall be exchangeable for definitive Securities of such series and tenor upon surrender of such temporary Securities at the office or agency of the Company designated for such purpose pursuant to </w:t>
      </w:r>
      <w:r>
        <w:rPr>
          <w:rFonts w:ascii="Times New Roman" w:hAnsi="Times New Roman"/>
          <w:sz w:val="20"/>
          <w:u w:val="single"/>
        </w:rPr>
        <w:t>Section 4.02</w:t>
      </w:r>
      <w:r>
        <w:rPr>
          <w:rFonts w:ascii="Times New Roman" w:hAnsi="Times New Roman"/>
          <w:sz w:val="20"/>
        </w:rPr>
        <w:t xml:space="preserve">, without charge to the Holder. Upon surrender for cancellation of any one or more temporary Securities of any series the Company shall 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i/>
          <w:sz w:val="20"/>
        </w:rPr>
        <w:t>Cancellation</w:t>
      </w:r>
      <w:r>
        <w:rPr>
          <w:rFonts w:ascii="Times New Roman" w:hAnsi="Times New Roman"/>
          <w:sz w:val="20"/>
        </w:rPr>
        <w:t xml:space="preserve">. 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i/>
          <w:sz w:val="20"/>
        </w:rPr>
        <w:t>CUSIP Numbers</w:t>
      </w:r>
      <w:r>
        <w:rPr>
          <w:rFonts w:ascii="Times New Roman" w:hAnsi="Times New Roman"/>
          <w:sz w:val="20"/>
        </w:rPr>
        <w:t xml:space="preserve">. The Company in issuing the Securities may use CUSIP, ISIN and/or CINS numbers (if then generally in use), and the Trustee shall use CUSIP numbers, ISIN numbers or CINS numbers, as the case may be, in notices of redemption or exchange as a convenience to Holders and no representation shall be made as to the correctness of such numbers either as printed on the Securities or as contained in any notice of redemption or exchange.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i/>
          <w:sz w:val="20"/>
        </w:rPr>
        <w:t>Defaulted Interest</w:t>
      </w:r>
      <w:r>
        <w:rPr>
          <w:rFonts w:ascii="Times New Roman" w:hAnsi="Times New Roman"/>
          <w:sz w:val="20"/>
        </w:rPr>
        <w:t xml:space="preserve">. If the Company defaults in a payment of interest on the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w:t>
      </w:r>
      <w:r>
        <w:rPr>
          <w:rFonts w:ascii="Times New Roman" w:hAnsi="Times New Roman"/>
          <w:sz w:val="20"/>
          <w:u w:val="single"/>
        </w:rPr>
        <w:t>Section 2.03</w:t>
      </w:r>
      <w:r>
        <w:rPr>
          <w:rFonts w:ascii="Times New Roman" w:hAnsi="Times New Roman"/>
          <w:sz w:val="20"/>
        </w:rPr>
        <w:t xml:space="preserve">)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Securities and to the Trustee a notice that states the special record date, the payment date and the amount of defaulted interest to be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2.14. </w:t>
      </w:r>
      <w:r>
        <w:rPr>
          <w:rFonts w:ascii="Times New Roman" w:hAnsi="Times New Roman"/>
          <w:i/>
          <w:sz w:val="20"/>
        </w:rPr>
        <w:t>Series May Include Tranches</w:t>
      </w:r>
      <w:r>
        <w:rPr>
          <w:rFonts w:ascii="Times New Roman" w:hAnsi="Times New Roman"/>
          <w:sz w:val="20"/>
        </w:rPr>
        <w:t>. A series of Securities may include one or more tranches (each a </w:t>
      </w:r>
      <w:r>
        <w:rPr>
          <w:rFonts w:ascii="Times New Roman" w:hAnsi="Times New Roman"/>
          <w:b/>
          <w:sz w:val="20"/>
        </w:rPr>
        <w:t>tranche</w:t>
      </w:r>
      <w:r>
        <w:rPr>
          <w:rFonts w:ascii="Times New Roman" w:hAnsi="Times New Roman"/>
          <w:sz w:val="20"/>
        </w:rPr>
        <w:t xml:space="preserve">) of Securities, including Securities issued in a Periodic Offering. The Securities of different tranches may have one or more different terms, including authentication dates and public offering prices, but all the Securities within each such tranche shall have identical terms, including authentication date and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with respect to </w:t>
      </w:r>
      <w:r>
        <w:rPr>
          <w:rFonts w:ascii="Times New Roman" w:hAnsi="Times New Roman"/>
          <w:sz w:val="20"/>
          <w:u w:val="single"/>
        </w:rPr>
        <w:t>Sections 2.02</w:t>
      </w:r>
      <w:r>
        <w:rPr>
          <w:rFonts w:ascii="Times New Roman" w:hAnsi="Times New Roman"/>
          <w:sz w:val="20"/>
        </w:rPr>
        <w:t xml:space="preserve"> (other than the fourth, sixth and seventh paragraphs thereof) through </w:t>
      </w:r>
      <w:r>
        <w:rPr>
          <w:rFonts w:ascii="Times New Roman" w:hAnsi="Times New Roman"/>
          <w:sz w:val="20"/>
          <w:u w:val="single"/>
        </w:rPr>
        <w:t>2.04</w:t>
      </w:r>
      <w:r>
        <w:rPr>
          <w:rFonts w:ascii="Times New Roman" w:hAnsi="Times New Roman"/>
          <w:sz w:val="20"/>
        </w:rPr>
        <w:t xml:space="preserve">, </w:t>
      </w:r>
      <w:r>
        <w:rPr>
          <w:rFonts w:ascii="Times New Roman" w:hAnsi="Times New Roman"/>
          <w:sz w:val="20"/>
          <w:u w:val="single"/>
        </w:rPr>
        <w:t>2.07</w:t>
      </w:r>
      <w:r>
        <w:rPr>
          <w:rFonts w:ascii="Times New Roman" w:hAnsi="Times New Roman"/>
          <w:sz w:val="20"/>
        </w:rPr>
        <w:t xml:space="preserve">, </w:t>
      </w:r>
      <w:r>
        <w:rPr>
          <w:rFonts w:ascii="Times New Roman" w:hAnsi="Times New Roman"/>
          <w:sz w:val="20"/>
          <w:u w:val="single"/>
        </w:rPr>
        <w:t>2.08</w:t>
      </w:r>
      <w:r>
        <w:rPr>
          <w:rFonts w:ascii="Times New Roman" w:hAnsi="Times New Roman"/>
          <w:sz w:val="20"/>
        </w:rPr>
        <w:t xml:space="preserve">, </w:t>
      </w:r>
      <w:r>
        <w:rPr>
          <w:rFonts w:ascii="Times New Roman" w:hAnsi="Times New Roman"/>
          <w:sz w:val="20"/>
          <w:u w:val="single"/>
        </w:rPr>
        <w:t>2.10</w:t>
      </w:r>
      <w:r>
        <w:rPr>
          <w:rFonts w:ascii="Times New Roman" w:hAnsi="Times New Roman"/>
          <w:sz w:val="20"/>
        </w:rPr>
        <w:t xml:space="preserve">, </w:t>
      </w:r>
      <w:r>
        <w:rPr>
          <w:rFonts w:ascii="Times New Roman" w:hAnsi="Times New Roman"/>
          <w:sz w:val="20"/>
          <w:u w:val="single"/>
        </w:rPr>
        <w:t>3.01</w:t>
      </w:r>
      <w:r>
        <w:rPr>
          <w:rFonts w:ascii="Times New Roman" w:hAnsi="Times New Roman"/>
          <w:sz w:val="20"/>
        </w:rPr>
        <w:t xml:space="preserve"> through </w:t>
      </w:r>
      <w:r>
        <w:rPr>
          <w:rFonts w:ascii="Times New Roman" w:hAnsi="Times New Roman"/>
          <w:sz w:val="20"/>
          <w:u w:val="single"/>
        </w:rPr>
        <w:t>3.05</w:t>
      </w:r>
      <w:r>
        <w:rPr>
          <w:rFonts w:ascii="Times New Roman" w:hAnsi="Times New Roman"/>
          <w:sz w:val="20"/>
        </w:rPr>
        <w:t xml:space="preserve">, </w:t>
      </w:r>
      <w:r>
        <w:rPr>
          <w:rFonts w:ascii="Times New Roman" w:hAnsi="Times New Roman"/>
          <w:sz w:val="20"/>
          <w:u w:val="single"/>
        </w:rPr>
        <w:t>4.02</w:t>
      </w:r>
      <w:r>
        <w:rPr>
          <w:rFonts w:ascii="Times New Roman" w:hAnsi="Times New Roman"/>
          <w:sz w:val="20"/>
        </w:rPr>
        <w:t xml:space="preserve">, </w:t>
      </w:r>
      <w:r>
        <w:rPr>
          <w:rFonts w:ascii="Times New Roman" w:hAnsi="Times New Roman"/>
          <w:sz w:val="20"/>
          <w:u w:val="single"/>
        </w:rPr>
        <w:t>6.01</w:t>
      </w:r>
      <w:r>
        <w:rPr>
          <w:rFonts w:ascii="Times New Roman" w:hAnsi="Times New Roman"/>
          <w:sz w:val="20"/>
        </w:rPr>
        <w:t xml:space="preserve"> through </w:t>
      </w:r>
      <w:r>
        <w:rPr>
          <w:rFonts w:ascii="Times New Roman" w:hAnsi="Times New Roman"/>
          <w:sz w:val="20"/>
          <w:u w:val="single"/>
        </w:rPr>
        <w:t>6.14</w:t>
      </w:r>
      <w:r>
        <w:rPr>
          <w:rFonts w:ascii="Times New Roman" w:hAnsi="Times New Roman"/>
          <w:sz w:val="20"/>
        </w:rPr>
        <w:t xml:space="preserve">, </w:t>
      </w:r>
      <w:r>
        <w:rPr>
          <w:rFonts w:ascii="Times New Roman" w:hAnsi="Times New Roman"/>
          <w:sz w:val="20"/>
          <w:u w:val="single"/>
        </w:rPr>
        <w:t>8.01</w:t>
      </w:r>
      <w:r>
        <w:rPr>
          <w:rFonts w:ascii="Times New Roman" w:hAnsi="Times New Roman"/>
          <w:sz w:val="20"/>
        </w:rPr>
        <w:t xml:space="preserve"> through </w:t>
      </w:r>
      <w:r>
        <w:rPr>
          <w:rFonts w:ascii="Times New Roman" w:hAnsi="Times New Roman"/>
          <w:sz w:val="20"/>
          <w:u w:val="single"/>
        </w:rPr>
        <w:t>8.07</w:t>
      </w:r>
      <w:r>
        <w:rPr>
          <w:rFonts w:ascii="Times New Roman" w:hAnsi="Times New Roman"/>
          <w:sz w:val="20"/>
        </w:rPr>
        <w:t xml:space="preserve">, </w:t>
      </w:r>
      <w:r>
        <w:rPr>
          <w:rFonts w:ascii="Times New Roman" w:hAnsi="Times New Roman"/>
          <w:sz w:val="20"/>
          <w:u w:val="single"/>
        </w:rPr>
        <w:t>9.02</w:t>
      </w:r>
      <w:r>
        <w:rPr>
          <w:rFonts w:ascii="Times New Roman" w:hAnsi="Times New Roman"/>
          <w:sz w:val="20"/>
        </w:rPr>
        <w:t xml:space="preserve"> and </w:t>
      </w:r>
      <w:r>
        <w:rPr>
          <w:rFonts w:ascii="Times New Roman" w:hAnsi="Times New Roman"/>
          <w:sz w:val="20"/>
          <w:u w:val="single"/>
        </w:rPr>
        <w:t>10.07</w:t>
      </w:r>
      <w:r>
        <w:rPr>
          <w:rFonts w:ascii="Times New Roman" w:hAnsi="Times New Roman"/>
          <w:sz w:val="20"/>
        </w:rPr>
        <w:t xml:space="preserve">, if any series of Securities includes more than one tranche, all provisions of such sections applicable to any series of Securities shall be deemed equally applicable to each tranche of any series of Securities in the same manner as though originally designated a series unless otherwise provided with respect to such series or tranche pursuant to </w:t>
      </w:r>
      <w:r>
        <w:rPr>
          <w:rFonts w:ascii="Times New Roman" w:hAnsi="Times New Roman"/>
          <w:sz w:val="20"/>
          <w:u w:val="single"/>
        </w:rPr>
        <w:t>Section 2.03</w:t>
      </w:r>
      <w:r>
        <w:rPr>
          <w:rFonts w:ascii="Times New Roman" w:hAnsi="Times New Roman"/>
          <w:sz w:val="20"/>
        </w:rPr>
        <w:t xml:space="preserve">.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 </w:t>
      </w:r>
    </w:p>
    <w:p>
      <w:pPr>
        <w:pStyle w:val="TextBody"/>
        <w:bidi w:val="0"/>
        <w:spacing w:before="480" w:after="0"/>
        <w:jc w:val="center"/>
        <w:rPr>
          <w:rFonts w:ascii="Times New Roman" w:hAnsi="Times New Roman"/>
          <w:sz w:val="20"/>
        </w:rPr>
      </w:pPr>
      <w:r>
        <w:rPr>
          <w:rFonts w:ascii="Times New Roman" w:hAnsi="Times New Roman"/>
          <w:sz w:val="20"/>
        </w:rPr>
        <w:t xml:space="preserve">ARTICLE 3 </w:t>
      </w:r>
    </w:p>
    <w:p>
      <w:pPr>
        <w:pStyle w:val="TextBody"/>
        <w:bidi w:val="0"/>
        <w:spacing w:before="0" w:after="0"/>
        <w:jc w:val="center"/>
        <w:rPr>
          <w:rFonts w:ascii="Times New Roman" w:hAnsi="Times New Roman"/>
          <w:sz w:val="20"/>
        </w:rPr>
      </w:pPr>
      <w:r>
        <w:rPr>
          <w:rFonts w:ascii="Times New Roman" w:hAnsi="Times New Roman"/>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i/>
          <w:sz w:val="20"/>
        </w:rPr>
        <w:t>Applicability of Article</w:t>
      </w:r>
      <w:r>
        <w:rPr>
          <w:rFonts w:ascii="Times New Roman" w:hAnsi="Times New Roman"/>
          <w:sz w:val="20"/>
        </w:rPr>
        <w:t xml:space="preserve">. The provisions of this Article shall be applicable to the Securities of any series that are redeemable before their maturity or to any sinking fund for the retirement of Securities of a series except as otherwise specified as contemplated by </w:t>
      </w:r>
      <w:r>
        <w:rPr>
          <w:rFonts w:ascii="Times New Roman" w:hAnsi="Times New Roman"/>
          <w:sz w:val="20"/>
          <w:u w:val="single"/>
        </w:rPr>
        <w:t>Section 2.03</w:t>
      </w:r>
      <w:r>
        <w:rPr>
          <w:rFonts w:ascii="Times New Roman" w:hAnsi="Times New Roman"/>
          <w:sz w:val="20"/>
        </w:rPr>
        <w:t xml:space="preserve">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i/>
          <w:sz w:val="20"/>
        </w:rPr>
        <w:t>Notice of Redemption; Partial Redemptions</w:t>
      </w:r>
      <w:r>
        <w:rPr>
          <w:rFonts w:ascii="Times New Roman" w:hAnsi="Times New Roman"/>
          <w:sz w:val="20"/>
        </w:rPr>
        <w:t xml:space="preserve">. Notice of redemption to the Holders of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and tenor in Principal amount equal to the unredeemed portion thereof will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notice of redemption of Securities of any series to be redeemed at the option of the Company shall be given by the Company or, at the Companys request, by the Trustee in the name and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or before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as provided in </w:t>
      </w:r>
      <w:r>
        <w:rPr>
          <w:rFonts w:ascii="Times New Roman" w:hAnsi="Times New Roman"/>
          <w:sz w:val="20"/>
          <w:u w:val="single"/>
        </w:rPr>
        <w:t>Section 2.06</w:t>
      </w:r>
      <w:r>
        <w:rPr>
          <w:rFonts w:ascii="Times New Roman" w:hAnsi="Times New Roman"/>
          <w:sz w:val="20"/>
        </w:rPr>
        <w:t xml:space="preserve">)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w:t>
      </w:r>
      <w:r>
        <w:rPr>
          <w:rFonts w:ascii="Times New Roman" w:hAnsi="Times New Roman"/>
          <w:sz w:val="20"/>
          <w:u w:val="single"/>
        </w:rPr>
        <w:t>Section 3.02</w:t>
      </w:r>
      <w:r>
        <w:rPr>
          <w:rFonts w:ascii="Times New Roman" w:hAnsi="Times New Roman"/>
          <w:sz w:val="20"/>
        </w:rPr>
        <w:t xml:space="preserve">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w:t>
      </w:r>
      <w:r>
        <w:rPr>
          <w:rFonts w:ascii="Times New Roman" w:hAnsi="Times New Roman"/>
          <w:sz w:val="20"/>
          <w:u w:val="single"/>
        </w:rPr>
        <w:t>Section 3.02</w:t>
      </w:r>
      <w:r>
        <w:rPr>
          <w:rFonts w:ascii="Times New Roman" w:hAnsi="Times New Roman"/>
          <w:sz w:val="20"/>
        </w:rPr>
        <w:t xml:space="preserve">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i/>
          <w:sz w:val="20"/>
        </w:rPr>
        <w:t>Payment of Securities Called for Redemption</w:t>
      </w:r>
      <w:r>
        <w:rPr>
          <w:rFonts w:ascii="Times New Roman" w:hAnsi="Times New Roman"/>
          <w:sz w:val="20"/>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 in the payment of such Securities at the redemption price, together with interest accrued to such date) interest on the Securities or portions of Securities so called for redemption shall cease to accrue, and, except as provided in </w:t>
      </w:r>
      <w:r>
        <w:rPr>
          <w:rFonts w:ascii="Times New Roman" w:hAnsi="Times New Roman"/>
          <w:sz w:val="20"/>
          <w:u w:val="single"/>
        </w:rPr>
        <w:t>Sections 7.12</w:t>
      </w:r>
      <w:r>
        <w:rPr>
          <w:rFonts w:ascii="Times New Roman" w:hAnsi="Times New Roman"/>
          <w:sz w:val="20"/>
        </w:rPr>
        <w:t xml:space="preserve"> and </w:t>
      </w:r>
      <w:r>
        <w:rPr>
          <w:rFonts w:ascii="Times New Roman" w:hAnsi="Times New Roman"/>
          <w:sz w:val="20"/>
          <w:u w:val="single"/>
        </w:rPr>
        <w:t>8.02</w:t>
      </w:r>
      <w:r>
        <w:rPr>
          <w:rFonts w:ascii="Times New Roman" w:hAnsi="Times New Roman"/>
          <w:sz w:val="20"/>
        </w:rPr>
        <w:t xml:space="preserve">,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Company at the applicable redemption price, together with interest accrued thereon to the date fixed for redemption; </w:t>
      </w:r>
      <w:r>
        <w:rPr>
          <w:rFonts w:ascii="Times New Roman" w:hAnsi="Times New Roman"/>
          <w:i/>
          <w:sz w:val="20"/>
        </w:rPr>
        <w:t>provided</w:t>
      </w:r>
      <w:r>
        <w:rPr>
          <w:rFonts w:ascii="Times New Roman" w:hAnsi="Times New Roman"/>
          <w:sz w:val="20"/>
        </w:rPr>
        <w:t xml:space="preserve"> that payment of interest becoming due on or prior to the date fixed for redemption shall be payable to the Holders registered as such on the relevant record date subject to the terms and provisions of </w:t>
      </w:r>
      <w:r>
        <w:rPr>
          <w:rFonts w:ascii="Times New Roman" w:hAnsi="Times New Roman"/>
          <w:sz w:val="20"/>
          <w:u w:val="single"/>
        </w:rPr>
        <w:t>Sections 2.04</w:t>
      </w:r>
      <w:r>
        <w:rPr>
          <w:rFonts w:ascii="Times New Roman" w:hAnsi="Times New Roman"/>
          <w:sz w:val="20"/>
        </w:rPr>
        <w:t xml:space="preserve"> and </w:t>
      </w:r>
      <w:r>
        <w:rPr>
          <w:rFonts w:ascii="Times New Roman" w:hAnsi="Times New Roman"/>
          <w:sz w:val="20"/>
          <w:u w:val="single"/>
        </w:rPr>
        <w:t>2.13</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presentation of any Security of any series redeemed in part only, the Company shall execute and the Trustee shall authenticate and deliver to or on the order of the Holder thereof, at the expense of the Company, a new Security or Securities of such series and tenor, of authorized denominations, in Principal amount equal to the unredeemed portion of the Security so presented.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i/>
          <w:sz w:val="20"/>
        </w:rPr>
        <w:t>Exclusion of Certain Securities from Eligibility for Selection for Redemption</w:t>
      </w:r>
      <w:r>
        <w:rPr>
          <w:rFonts w:ascii="Times New Roman" w:hAnsi="Times New Roman"/>
          <w:sz w:val="20"/>
        </w:rPr>
        <w:t xml:space="preserve">. Unless otherwise provided with respect to any series of Securities, 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i/>
          <w:sz w:val="20"/>
        </w:rPr>
        <w:t>Mandatory and Optional Sinking Funds</w:t>
      </w:r>
      <w:r>
        <w:rPr>
          <w:rFonts w:ascii="Times New Roman" w:hAnsi="Times New Roman"/>
          <w:sz w:val="20"/>
        </w:rPr>
        <w:t xml:space="preserve">. The minimum amount of any sinking fund payment provided for by the terms of Securities of any series is herein referred to as a mandatory sinking fund payment, and any payment in excess of such minimum amount provided for by the terms of the Securities of any series is herein referred to as an optional sinking fund payment. The date on which a sinking fund payment is to be made is herein referred to as the sinking fund payment date. </w:t>
      </w:r>
    </w:p>
    <w:p>
      <w:pPr>
        <w:pStyle w:val="TextBody"/>
        <w:bidi w:val="0"/>
        <w:spacing w:before="240" w:after="0"/>
        <w:jc w:val="left"/>
        <w:rPr>
          <w:rFonts w:ascii="Times New Roman" w:hAnsi="Times New Roman"/>
          <w:sz w:val="20"/>
        </w:rPr>
      </w:pPr>
      <w:r>
        <w:rPr>
          <w:rFonts w:ascii="Times New Roman" w:hAnsi="Times New Roman"/>
          <w:sz w:val="20"/>
        </w:rPr>
        <w:t xml:space="preserve">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 acquired (except as aforesaid) by the Company and delivered to the Trustee for cancellation pursuant to </w:t>
      </w:r>
      <w:r>
        <w:rPr>
          <w:rFonts w:ascii="Times New Roman" w:hAnsi="Times New Roman"/>
          <w:sz w:val="20"/>
          <w:u w:val="single"/>
        </w:rPr>
        <w:t>Section 2.11</w:t>
      </w:r>
      <w:r>
        <w:rPr>
          <w:rFonts w:ascii="Times New Roman" w:hAnsi="Times New Roman"/>
          <w:sz w:val="20"/>
        </w:rPr>
        <w:t xml:space="preserve">,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w:t>
      </w:r>
      <w:r>
        <w:rPr>
          <w:rFonts w:ascii="Times New Roman" w:hAnsi="Times New Roman"/>
          <w:sz w:val="20"/>
          <w:u w:val="single"/>
        </w:rPr>
        <w:t>Section 2.11</w:t>
      </w:r>
      <w:r>
        <w:rPr>
          <w:rFonts w:ascii="Times New Roman" w:hAnsi="Times New Roman"/>
          <w:sz w:val="20"/>
        </w:rPr>
        <w:t xml:space="preserve">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w:t>
      </w:r>
      <w:r>
        <w:rPr>
          <w:rFonts w:ascii="Times New Roman" w:hAnsi="Times New Roman"/>
          <w:sz w:val="20"/>
          <w:u w:val="single"/>
        </w:rPr>
        <w:t>Section 3.02</w:t>
      </w:r>
      <w:r>
        <w:rPr>
          <w:rFonts w:ascii="Times New Roman" w:hAnsi="Times New Roman"/>
          <w:sz w:val="20"/>
        </w:rPr>
        <w:t xml:space="preserve">, for redemption on such sinking fund payment date a sufficient Principal amount of Securities of such series to 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 (b) an entity specifically identified in such Officers Certificate as directly or indirectly controlling or controlled by or under direct or indirect common control with the Company. The Trustee, in the name and at the expense of the Company (or the Company, if it shall so request the Trustee in writing) shall cause notice of redemption of the Securities of such series to be given in substantially the manner provided in </w:t>
      </w:r>
      <w:r>
        <w:rPr>
          <w:rFonts w:ascii="Times New Roman" w:hAnsi="Times New Roman"/>
          <w:sz w:val="20"/>
          <w:u w:val="single"/>
        </w:rPr>
        <w:t>Section 3.02</w:t>
      </w:r>
      <w:r>
        <w:rPr>
          <w:rFonts w:ascii="Times New Roman" w:hAnsi="Times New Roman"/>
          <w:sz w:val="20"/>
        </w:rPr>
        <w:t xml:space="preserve"> (and with the effect provided in </w:t>
      </w:r>
      <w:r>
        <w:rPr>
          <w:rFonts w:ascii="Times New Roman" w:hAnsi="Times New Roman"/>
          <w:sz w:val="20"/>
          <w:u w:val="single"/>
        </w:rPr>
        <w:t>Section 3.03</w:t>
      </w:r>
      <w:r>
        <w:rPr>
          <w:rFonts w:ascii="Times New Roman" w:hAnsi="Times New Roman"/>
          <w:sz w:val="20"/>
        </w:rPr>
        <w:t xml:space="preserve">)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or before 10:00 a.m. New York City time on each sinking fund payment date, the Company shall pay to the Trustee in cash or shall otherwise provide for the payment of all interest accrued to the date fixed for redemption on Securities to be redeemed on the next following sinking fund 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w:t>
      </w:r>
      <w:r>
        <w:rPr>
          <w:rFonts w:ascii="Times New Roman" w:hAnsi="Times New Roman"/>
          <w:i/>
          <w:sz w:val="20"/>
        </w:rPr>
        <w:t>provided</w:t>
      </w:r>
      <w:r>
        <w:rPr>
          <w:rFonts w:ascii="Times New Roman" w:hAnsi="Times New Roman"/>
          <w:sz w:val="20"/>
        </w:rPr>
        <w:t xml:space="preserve">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w:t>
      </w:r>
      <w:r>
        <w:rPr>
          <w:rFonts w:ascii="Times New Roman" w:hAnsi="Times New Roman"/>
          <w:sz w:val="20"/>
          <w:u w:val="single"/>
        </w:rPr>
        <w:t>Article 6</w:t>
      </w:r>
      <w:r>
        <w:rPr>
          <w:rFonts w:ascii="Times New Roman" w:hAnsi="Times New Roman"/>
          <w:sz w:val="20"/>
        </w:rPr>
        <w:t xml:space="preserve"> and held for the payment of all such Securities. In case such Event of Default shall have been waived as provided in </w:t>
      </w:r>
      <w:r>
        <w:rPr>
          <w:rFonts w:ascii="Times New Roman" w:hAnsi="Times New Roman"/>
          <w:sz w:val="20"/>
          <w:u w:val="single"/>
        </w:rPr>
        <w:t>Section 6.04</w:t>
      </w:r>
      <w:r>
        <w:rPr>
          <w:rFonts w:ascii="Times New Roman" w:hAnsi="Times New Roman"/>
          <w:sz w:val="20"/>
        </w:rPr>
        <w:t xml:space="preserve"> or the Default cured on or before the sixtieth day preceding the sinking fund payment date in any year, such moneys shall thereafter be applied on the next succeeding sinking fund payment date in accordance with this Section to the redemption of such Securities. </w:t>
      </w:r>
    </w:p>
    <w:p>
      <w:pPr>
        <w:pStyle w:val="TextBody"/>
        <w:bidi w:val="0"/>
        <w:spacing w:before="480" w:after="0"/>
        <w:jc w:val="center"/>
        <w:rPr>
          <w:rFonts w:ascii="Times New Roman" w:hAnsi="Times New Roman"/>
          <w:sz w:val="20"/>
        </w:rPr>
      </w:pPr>
      <w:r>
        <w:rPr>
          <w:rFonts w:ascii="Times New Roman" w:hAnsi="Times New Roman"/>
          <w:sz w:val="20"/>
        </w:rPr>
        <w:t xml:space="preserve">ARTICLE 4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Payment of Securities</w:t>
      </w:r>
      <w:r>
        <w:rPr>
          <w:rFonts w:ascii="Times New Roman" w:hAnsi="Times New Roman"/>
          <w:sz w:val="20"/>
        </w:rPr>
        <w:t xml:space="preserve">. The Company shall pay the Principal of and interest on the Securities on the dates and in the manner provided in the Securities and this Indenture. The interest on Securities (together with any additional amounts payable pursuant to the terms of such Securities) shall be payable only to the Holders thereof (subject to </w:t>
      </w:r>
      <w:r>
        <w:rPr>
          <w:rFonts w:ascii="Times New Roman" w:hAnsi="Times New Roman"/>
          <w:sz w:val="20"/>
          <w:u w:val="single"/>
        </w:rPr>
        <w:t>Section 2.04</w:t>
      </w:r>
      <w:r>
        <w:rPr>
          <w:rFonts w:ascii="Times New Roman" w:hAnsi="Times New Roman"/>
          <w:sz w:val="20"/>
        </w:rPr>
        <w:t xml:space="preserve">) and at the option of the Company may be paid by mailing checks for such interest payable to or upon the written order of such Holders at their last addresses as they appear on the Security Register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provisions of this Indenture and the Securities of any series to the contrary, if the Company and a Holder of any Security so agree, payments of interest on, and any portion of the Principal of, such Holders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w:t>
      </w:r>
      <w:r>
        <w:rPr>
          <w:rFonts w:ascii="Times New Roman" w:hAnsi="Times New Roman"/>
          <w:sz w:val="20"/>
          <w:u w:val="single"/>
        </w:rPr>
        <w:t>Section 4.01</w:t>
      </w:r>
      <w:r>
        <w:rPr>
          <w:rFonts w:ascii="Times New Roman" w:hAnsi="Times New Roman"/>
          <w:sz w:val="20"/>
        </w:rPr>
        <w:t xml:space="preserve">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pay interest on overdue Principal, and interest on overdue installments of interest, to the extent lawful, at the rate per annum specified in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Maintenance of Office or Agency</w:t>
      </w:r>
      <w:r>
        <w:rPr>
          <w:rFonts w:ascii="Times New Roman" w:hAnsi="Times New Roman"/>
          <w:sz w:val="20"/>
        </w:rPr>
        <w:t xml:space="preserve">. The Company will maintain in the United States of America,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w:t>
      </w:r>
      <w:r>
        <w:rPr>
          <w:rFonts w:ascii="Times New Roman" w:hAnsi="Times New Roman"/>
          <w:sz w:val="20"/>
          <w:u w:val="single"/>
        </w:rPr>
        <w:t>Section 10.02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other offices or agencies where the Securities of any series may be presented or surrendered for any or all such purposes and may from time to time rescind such designations; </w:t>
      </w:r>
      <w:r>
        <w:rPr>
          <w:rFonts w:ascii="Times New Roman" w:hAnsi="Times New Roman"/>
          <w:i/>
          <w:sz w:val="20"/>
        </w:rPr>
        <w:t>provided</w:t>
      </w:r>
      <w:r>
        <w:rPr>
          <w:rFonts w:ascii="Times New Roman" w:hAnsi="Times New Roman"/>
          <w:sz w:val="20"/>
        </w:rPr>
        <w:t xml:space="preserve">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i/>
          <w:sz w:val="20"/>
        </w:rPr>
        <w:t>Securityholders</w:t>
      </w:r>
      <w:r>
        <w:rPr>
          <w:rFonts w:ascii="Times New Roman" w:hAnsi="Times New Roman"/>
          <w:sz w:val="20"/>
        </w:rPr>
        <w:t xml:space="preserve"> </w:t>
      </w:r>
      <w:r>
        <w:rPr>
          <w:rFonts w:ascii="Times New Roman" w:hAnsi="Times New Roman"/>
          <w:i/>
          <w:sz w:val="20"/>
        </w:rPr>
        <w:t>Lists</w:t>
      </w:r>
      <w:r>
        <w:rPr>
          <w:rFonts w:ascii="Times New Roman" w:hAnsi="Times New Roman"/>
          <w:sz w:val="20"/>
        </w:rPr>
        <w:t xml:space="preserve">. The Company will furnish or cause to be furnished to the Trustee a list in such form as the Trustee may reasonably require of the names and addresses of the holders of the Securities pursuant to Section 312 of the Trust Indenture Act (a) semi-annually not more than 15 days after each record date for the payment of semi-annual interest on the Securities, as hereinabove specified, as of such record date, and (b) at such other times as the Trustee may request in writing, within thirty days after receipt by the Company of any such request as of a date not more than 15 days prior to the time such information is furnished.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4.04. </w:t>
      </w:r>
      <w:r>
        <w:rPr>
          <w:rFonts w:ascii="Times New Roman" w:hAnsi="Times New Roman"/>
          <w:i/>
          <w:sz w:val="20"/>
        </w:rPr>
        <w:t>Certificate to Trustee</w:t>
      </w:r>
      <w:r>
        <w:rPr>
          <w:rFonts w:ascii="Times New Roman" w:hAnsi="Times New Roman"/>
          <w:sz w:val="20"/>
        </w:rPr>
        <w:t xml:space="preserve">. The Company will furnish to the Trustee annually, on or before a date not more than four months after the end of its fiscal year (which, on the date hereof, is a calendar year), a brief certificate (which need not contain the statements required by </w:t>
      </w:r>
      <w:r>
        <w:rPr>
          <w:rFonts w:ascii="Times New Roman" w:hAnsi="Times New Roman"/>
          <w:sz w:val="20"/>
          <w:u w:val="single"/>
        </w:rPr>
        <w:t>Section 10.04</w:t>
      </w:r>
      <w:r>
        <w:rPr>
          <w:rFonts w:ascii="Times New Roman" w:hAnsi="Times New Roman"/>
          <w:sz w:val="20"/>
        </w:rPr>
        <w:t xml:space="preserve">)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i/>
          <w:sz w:val="20"/>
        </w:rPr>
        <w:t>Reports by the Company</w:t>
      </w:r>
      <w:r>
        <w:rPr>
          <w:rFonts w:ascii="Times New Roman" w:hAnsi="Times New Roman"/>
          <w:sz w:val="20"/>
        </w:rPr>
        <w:t xml:space="preserve">. 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i/>
          <w:sz w:val="20"/>
        </w:rPr>
        <w:t>Additional Amounts</w:t>
      </w:r>
      <w:r>
        <w:rPr>
          <w:rFonts w:ascii="Times New Roman" w:hAnsi="Times New Roman"/>
          <w:sz w:val="20"/>
        </w:rPr>
        <w:t xml:space="preserve">. If the Securities of a series provide for the payment of additional amounts, at least 10 days prior to the first interest payment date with respect to that series of Securities and at least 10 days prior to each date of payment of Principal of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Indenture there is mentioned, in any context, the payment of the Principal of or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the payment of additional amounts in those provisions hereof where such express mention is not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5 </w:t>
      </w:r>
    </w:p>
    <w:p>
      <w:pPr>
        <w:pStyle w:val="TextBody"/>
        <w:bidi w:val="0"/>
        <w:spacing w:before="0" w:after="0"/>
        <w:jc w:val="center"/>
        <w:rPr>
          <w:rFonts w:ascii="Times New Roman" w:hAnsi="Times New Roman"/>
          <w:sz w:val="20"/>
        </w:rPr>
      </w:pPr>
      <w:r>
        <w:rPr>
          <w:rFonts w:ascii="Times New Roman" w:hAnsi="Times New Roman"/>
          <w:sz w:val="20"/>
        </w:rPr>
        <w:t xml:space="preserve">SUCCESSOR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When Company May Merge, Etc</w:t>
      </w:r>
      <w:r>
        <w:rPr>
          <w:rFonts w:ascii="Times New Roman" w:hAnsi="Times New Roman"/>
          <w:sz w:val="20"/>
        </w:rPr>
        <w:t xml:space="preserve">. Unless otherwise provided pursuant to </w:t>
      </w:r>
      <w:r>
        <w:rPr>
          <w:rFonts w:ascii="Times New Roman" w:hAnsi="Times New Roman"/>
          <w:sz w:val="20"/>
          <w:u w:val="single"/>
        </w:rPr>
        <w:t>Section 2.03</w:t>
      </w:r>
      <w:r>
        <w:rPr>
          <w:rFonts w:ascii="Times New Roman" w:hAnsi="Times New Roman"/>
          <w:sz w:val="20"/>
        </w:rPr>
        <w:t xml:space="preserve"> in connection with the establishment of a series, the Company shall not consolidate or combine with, merge with or into, directly or indirectly, or sell, assign, convey, transfer, lease or otherwise dispose of all or substantially all of its property and assets to any Person or Persons in a single transaction or through a series of transactions unless: </w:t>
      </w:r>
    </w:p>
    <w:p>
      <w:pPr>
        <w:pStyle w:val="TextBody"/>
        <w:bidi w:val="0"/>
        <w:spacing w:before="120" w:after="0"/>
        <w:jc w:val="left"/>
        <w:rPr>
          <w:rFonts w:ascii="Times New Roman" w:hAnsi="Times New Roman"/>
          <w:sz w:val="20"/>
        </w:rPr>
      </w:pPr>
      <w:r>
        <w:rPr>
          <w:rFonts w:ascii="Times New Roman" w:hAnsi="Times New Roman"/>
          <w:sz w:val="20"/>
        </w:rPr>
        <w:t>(a) the Company shall be the continuing Person or, if the Company is not the continuing Person, the resulting, surviving or transferee Person (the </w:t>
      </w:r>
      <w:r>
        <w:rPr>
          <w:rFonts w:ascii="Times New Roman" w:hAnsi="Times New Roman"/>
          <w:b/>
          <w:sz w:val="20"/>
        </w:rPr>
        <w:t>Surviving Entity</w:t>
      </w:r>
      <w:r>
        <w:rPr>
          <w:rFonts w:ascii="Times New Roman" w:hAnsi="Times New Roman"/>
          <w:sz w:val="20"/>
        </w:rPr>
        <w:t xml:space="preserve">) is a company organized and existing under the laws of any member state of the European Union or the United States of America or any State or territory thereof; </w:t>
      </w:r>
    </w:p>
    <w:p>
      <w:pPr>
        <w:pStyle w:val="TextBody"/>
        <w:bidi w:val="0"/>
        <w:spacing w:before="240" w:after="0"/>
        <w:jc w:val="left"/>
        <w:rPr>
          <w:rFonts w:ascii="Times New Roman" w:hAnsi="Times New Roman"/>
          <w:sz w:val="20"/>
        </w:rPr>
      </w:pPr>
      <w:r>
        <w:rPr>
          <w:rFonts w:ascii="Times New Roman" w:hAnsi="Times New Roman"/>
          <w:sz w:val="20"/>
        </w:rPr>
        <w:t xml:space="preserve">(b) the Surviving Entity shall expressly assume all of the Companys obligations under the Securities and this Indenture, and shall, if required by law to effectuate the assumption, execute supplemental indentures which shall be delivered to the Trustee and shall be in form and substance reasonably satisfactory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(c) immediately after giving effect to such transaction or series of transactions on a pro forma basis, no Default has occurred and is continuing; and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or the Surviving Entity shall have delivered to the Trustee an Officers Certificate and Opinion of Counsel stating that (x) the transaction or series of transactions and such supplemental indenture, if any, complies with this </w:t>
      </w:r>
      <w:r>
        <w:rPr>
          <w:rFonts w:ascii="Times New Roman" w:hAnsi="Times New Roman"/>
          <w:sz w:val="20"/>
          <w:u w:val="single"/>
        </w:rPr>
        <w:t>Section 5.01</w:t>
      </w:r>
      <w:r>
        <w:rPr>
          <w:rFonts w:ascii="Times New Roman" w:hAnsi="Times New Roman"/>
          <w:sz w:val="20"/>
        </w:rPr>
        <w:t xml:space="preserve">, (y) such supplemental indenture (if any) constitutes the legal, valid and binding obligation of the Company and such Surviving Entity enforceable against such Surviving Entity in accordance with its terms, subject to customary exceptions and (z) all conditions precedent in this Indenture relating to the transaction or series of transactions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Successor Substituted</w:t>
      </w:r>
      <w:r>
        <w:rPr>
          <w:rFonts w:ascii="Times New Roman" w:hAnsi="Times New Roman"/>
          <w:sz w:val="20"/>
        </w:rPr>
        <w:t xml:space="preserve">. Upon any consolidation, combination or merger, or any sale, assignment, conveyance, transfer, lease or other disposition of all or substantially all of the property and assets of the Company in accordance with </w:t>
      </w:r>
      <w:r>
        <w:rPr>
          <w:rFonts w:ascii="Times New Roman" w:hAnsi="Times New Roman"/>
          <w:sz w:val="20"/>
          <w:u w:val="single"/>
        </w:rPr>
        <w:t>Section 5.01</w:t>
      </w:r>
      <w:r>
        <w:rPr>
          <w:rFonts w:ascii="Times New Roman" w:hAnsi="Times New Roman"/>
          <w:sz w:val="20"/>
        </w:rPr>
        <w:t xml:space="preserve"> of this Indenture, the Surviving Entity shall succeed to, and be substituted for, and may exercise every right and power of, the Company under this Indenture with the same effect as if such Surviving Entity had been named as the Company herein and thereafter the predecessor Person, except in the case of (x) a lease or (y) any sale, assignment, conveyance, transfer, lease or other disposition to one or more Subsidiaries of the Company, shall be discharged from all obligations and covenants under this Indenture and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6 </w:t>
      </w:r>
    </w:p>
    <w:p>
      <w:pPr>
        <w:pStyle w:val="TextBody"/>
        <w:bidi w:val="0"/>
        <w:spacing w:before="0" w:after="0"/>
        <w:jc w:val="center"/>
        <w:rPr>
          <w:rFonts w:ascii="Times New Roman" w:hAnsi="Times New Roman"/>
          <w:sz w:val="20"/>
        </w:rPr>
      </w:pPr>
      <w:r>
        <w:rPr>
          <w:rFonts w:ascii="Times New Roman" w:hAnsi="Times New Roman"/>
          <w:sz w:val="20"/>
        </w:rPr>
        <w:t xml:space="preserve">DEFAULT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i/>
          <w:sz w:val="20"/>
        </w:rPr>
        <w:t>Events of Default</w:t>
      </w:r>
      <w:r>
        <w:rPr>
          <w:rFonts w:ascii="Times New Roman" w:hAnsi="Times New Roman"/>
          <w:sz w:val="20"/>
        </w:rPr>
        <w:t>. An </w:t>
      </w:r>
      <w:r>
        <w:rPr>
          <w:rFonts w:ascii="Times New Roman" w:hAnsi="Times New Roman"/>
          <w:b/>
          <w:sz w:val="20"/>
        </w:rPr>
        <w:t>Event of Default</w:t>
      </w:r>
      <w:r>
        <w:rPr>
          <w:rFonts w:ascii="Times New Roman" w:hAnsi="Times New Roman"/>
          <w:sz w:val="20"/>
        </w:rPr>
        <w:t xml:space="preserve"> shall occur with respect to the Securities of any series if: </w:t>
      </w:r>
    </w:p>
    <w:p>
      <w:pPr>
        <w:pStyle w:val="TextBody"/>
        <w:bidi w:val="0"/>
        <w:spacing w:before="120" w:after="0"/>
        <w:jc w:val="left"/>
        <w:rPr>
          <w:rFonts w:ascii="Times New Roman" w:hAnsi="Times New Roman"/>
          <w:sz w:val="20"/>
        </w:rPr>
      </w:pPr>
      <w:r>
        <w:rPr>
          <w:rFonts w:ascii="Times New Roman" w:hAnsi="Times New Roman"/>
          <w:sz w:val="20"/>
        </w:rPr>
        <w:t xml:space="preserve">(a) the Company defaults in the payment of the Principal of any Security of such series when the same becomes due and payable at maturity, upon acceleration, redemption or mandatory repurchase, including as a sinking fund installment,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defaults in the payment of interest on any Security of such series when the same becomes due and payable, and such default continues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defaults in the performance of or breaches any other covenant or agreement of the Company in this Indenture with respect to any Security of such series or in the Securities of such series (other than a covenant or agreement in respect of which noncompliance by the Company would otherwise be an Event of Default) and such default or breach continues for a period of 90 consecutive days or more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(d) 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(i) commences a voluntary case under any applicable bankruptcy, insolvency or other similar law now or hereafter in effect, or consents to the entry of an order for relief in an involuntary case under any such law, (ii) consents to the appointment of or taking possession by a receiver, liquidator, assignee, custodian, trustee, sequestrator or similar official of the Company or for all or substantially all of the property and assets of the Company or (iii) effects any general assignment for the benefit of creditors; or </w:t>
      </w:r>
    </w:p>
    <w:p>
      <w:pPr>
        <w:pStyle w:val="TextBody"/>
        <w:bidi w:val="0"/>
        <w:spacing w:before="240" w:after="0"/>
        <w:jc w:val="left"/>
        <w:rPr>
          <w:rFonts w:ascii="Times New Roman" w:hAnsi="Times New Roman"/>
          <w:sz w:val="20"/>
        </w:rPr>
      </w:pPr>
      <w:r>
        <w:rPr>
          <w:rFonts w:ascii="Times New Roman" w:hAnsi="Times New Roman"/>
          <w:sz w:val="20"/>
        </w:rPr>
        <w:t xml:space="preserve">(f) any other Event of Default established pursuant to </w:t>
      </w:r>
      <w:r>
        <w:rPr>
          <w:rFonts w:ascii="Times New Roman" w:hAnsi="Times New Roman"/>
          <w:sz w:val="20"/>
          <w:u w:val="single"/>
        </w:rPr>
        <w:t>Section 2.03</w:t>
      </w:r>
      <w:r>
        <w:rPr>
          <w:rFonts w:ascii="Times New Roman" w:hAnsi="Times New Roman"/>
          <w:sz w:val="20"/>
        </w:rPr>
        <w:t xml:space="preserve"> with respect to the Securities of such series occurs.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i/>
          <w:sz w:val="20"/>
        </w:rPr>
        <w:t>Acceleration</w:t>
      </w:r>
      <w:r>
        <w:rPr>
          <w:rFonts w:ascii="Times New Roman" w:hAnsi="Times New Roman"/>
          <w:sz w:val="20"/>
        </w:rPr>
        <w:t xml:space="preserve">. (a) If an Event of Default other than as described in clauses (d) or (e) of </w:t>
      </w:r>
      <w:r>
        <w:rPr>
          <w:rFonts w:ascii="Times New Roman" w:hAnsi="Times New Roman"/>
          <w:sz w:val="20"/>
          <w:u w:val="single"/>
        </w:rPr>
        <w:t>Section 6.01</w:t>
      </w:r>
      <w:r>
        <w:rPr>
          <w:rFonts w:ascii="Times New Roman" w:hAnsi="Times New Roman"/>
          <w:sz w:val="20"/>
        </w:rPr>
        <w:t xml:space="preserve"> with respect to the Securities of any series then outstanding occurs and is continuing, then, and in each and every such case, except for any series of Securities the Principal of which shall have already become due and payable, either the Trustee or the Holders of not less than 25% in aggregate Principal amount of the Securities of all such series then outstanding hereunder in respect of which an Event of Default has occurred (all such series voting together as a single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w:t>
      </w:r>
      <w:r>
        <w:rPr>
          <w:rFonts w:ascii="Times New Roman" w:hAnsi="Times New Roman"/>
          <w:sz w:val="20"/>
          <w:u w:val="single"/>
        </w:rPr>
        <w:t>Section 2.03</w:t>
      </w:r>
      <w:r>
        <w:rPr>
          <w:rFonts w:ascii="Times New Roman" w:hAnsi="Times New Roman"/>
          <w:sz w:val="20"/>
        </w:rPr>
        <w:t xml:space="preserve">) of all Securities of the affected series, and the interest accrued thereon, if any, to be due and payable immediately, and upon any such declaration the same shall become immediately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an Event of Default described in clause (d) or (e) of </w:t>
      </w:r>
      <w:r>
        <w:rPr>
          <w:rFonts w:ascii="Times New Roman" w:hAnsi="Times New Roman"/>
          <w:sz w:val="20"/>
          <w:u w:val="single"/>
        </w:rPr>
        <w:t>Section 6.01</w:t>
      </w:r>
      <w:r>
        <w:rPr>
          <w:rFonts w:ascii="Times New Roman" w:hAnsi="Times New Roman"/>
          <w:sz w:val="20"/>
        </w:rPr>
        <w:t xml:space="preserve"> occurs and is continuing, then the Principal amount (or, if any Securities are Original Issue Discount Securities, such portion of the Principal as may be specified in the terms thereof established pursuant to </w:t>
      </w:r>
      <w:r>
        <w:rPr>
          <w:rFonts w:ascii="Times New Roman" w:hAnsi="Times New Roman"/>
          <w:sz w:val="20"/>
          <w:u w:val="single"/>
        </w:rPr>
        <w:t>Section 2.03</w:t>
      </w:r>
      <w:r>
        <w:rPr>
          <w:rFonts w:ascii="Times New Roman" w:hAnsi="Times New Roman"/>
          <w:sz w:val="20"/>
        </w:rPr>
        <w:t xml:space="preserve">) of all the Securities then outstanding and interest accrued thereon, if any, shall be and become immediately due and payable, without any declaration, notice or other action by any Holder or the Trustee, to the full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however, are subject to the condition that if, at any time after the Principal (or, if the Securities are Original Issue Discount Securities, such portion of the Principal as may be specified in the terms thereof established pursuant to </w:t>
      </w:r>
      <w:r>
        <w:rPr>
          <w:rFonts w:ascii="Times New Roman" w:hAnsi="Times New Roman"/>
          <w:sz w:val="20"/>
          <w:u w:val="single"/>
        </w:rPr>
        <w:t>Section 2.03</w:t>
      </w:r>
      <w:r>
        <w:rPr>
          <w:rFonts w:ascii="Times New Roman" w:hAnsi="Times New Roman"/>
          <w:sz w:val="20"/>
        </w:rPr>
        <w:t xml:space="preserve">)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w:t>
      </w:r>
      <w:r>
        <w:rPr>
          <w:rFonts w:ascii="Times New Roman" w:hAnsi="Times New Roman"/>
          <w:sz w:val="20"/>
          <w:u w:val="single"/>
        </w:rPr>
        <w:t>Section 7.07</w:t>
      </w:r>
      <w:r>
        <w:rPr>
          <w:rFonts w:ascii="Times New Roman" w:hAnsi="Times New Roman"/>
          <w:sz w:val="20"/>
        </w:rPr>
        <w:t xml:space="preserve">, and if any and all Events of Default under the Indenture, other than the non-payment of the Principal of and interest on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i/>
          <w:sz w:val="20"/>
        </w:rPr>
        <w:t>Other Remedies</w:t>
      </w:r>
      <w:r>
        <w:rPr>
          <w:rFonts w:ascii="Times New Roman" w:hAnsi="Times New Roman"/>
          <w:sz w:val="20"/>
        </w:rPr>
        <w:t xml:space="preserve">. 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may maintain a proceeding even if it does not possess any of the Securities or does not produce any of them in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i/>
          <w:sz w:val="20"/>
        </w:rPr>
        <w:t>Waiver of Past Defaults</w:t>
      </w:r>
      <w:r>
        <w:rPr>
          <w:rFonts w:ascii="Times New Roman" w:hAnsi="Times New Roman"/>
          <w:sz w:val="20"/>
        </w:rPr>
        <w:t xml:space="preserve">. Subject to </w:t>
      </w:r>
      <w:r>
        <w:rPr>
          <w:rFonts w:ascii="Times New Roman" w:hAnsi="Times New Roman"/>
          <w:sz w:val="20"/>
          <w:u w:val="single"/>
        </w:rPr>
        <w:t>Sections 6.02</w:t>
      </w:r>
      <w:r>
        <w:rPr>
          <w:rFonts w:ascii="Times New Roman" w:hAnsi="Times New Roman"/>
          <w:sz w:val="20"/>
        </w:rPr>
        <w:t xml:space="preserve">, </w:t>
      </w:r>
      <w:r>
        <w:rPr>
          <w:rFonts w:ascii="Times New Roman" w:hAnsi="Times New Roman"/>
          <w:sz w:val="20"/>
          <w:u w:val="single"/>
        </w:rPr>
        <w:t>6.07</w:t>
      </w:r>
      <w:r>
        <w:rPr>
          <w:rFonts w:ascii="Times New Roman" w:hAnsi="Times New Roman"/>
          <w:sz w:val="20"/>
        </w:rPr>
        <w:t xml:space="preserve"> and </w:t>
      </w:r>
      <w:r>
        <w:rPr>
          <w:rFonts w:ascii="Times New Roman" w:hAnsi="Times New Roman"/>
          <w:sz w:val="20"/>
          <w:u w:val="single"/>
        </w:rPr>
        <w:t>9.02</w:t>
      </w:r>
      <w:r>
        <w:rPr>
          <w:rFonts w:ascii="Times New Roman" w:hAnsi="Times New Roman"/>
          <w:sz w:val="20"/>
        </w:rPr>
        <w:t xml:space="preserve">, the Holders of at least a majority in Principal amount (or, if the Securities are Original Issue Discount Securities, such portion of the Principal as is then accelerable under </w:t>
      </w:r>
      <w:r>
        <w:rPr>
          <w:rFonts w:ascii="Times New Roman" w:hAnsi="Times New Roman"/>
          <w:sz w:val="20"/>
          <w:u w:val="single"/>
        </w:rPr>
        <w:t>Section 6.02</w:t>
      </w:r>
      <w:r>
        <w:rPr>
          <w:rFonts w:ascii="Times New Roman" w:hAnsi="Times New Roman"/>
          <w:sz w:val="20"/>
        </w:rPr>
        <w:t xml:space="preserve">)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w:t>
      </w:r>
      <w:r>
        <w:rPr>
          <w:rFonts w:ascii="Times New Roman" w:hAnsi="Times New Roman"/>
          <w:sz w:val="20"/>
          <w:u w:val="single"/>
        </w:rPr>
        <w:t>Section 6.01</w:t>
      </w:r>
      <w:r>
        <w:rPr>
          <w:rFonts w:ascii="Times New Roman" w:hAnsi="Times New Roman"/>
          <w:sz w:val="20"/>
        </w:rPr>
        <w:t xml:space="preserve">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i/>
          <w:sz w:val="20"/>
        </w:rPr>
        <w:t>Control by Majority</w:t>
      </w:r>
      <w:r>
        <w:rPr>
          <w:rFonts w:ascii="Times New Roman" w:hAnsi="Times New Roman"/>
          <w:sz w:val="20"/>
        </w:rPr>
        <w:t xml:space="preserve">. Subject to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7.02(e)</w:t>
      </w:r>
      <w:r>
        <w:rPr>
          <w:rFonts w:ascii="Times New Roman" w:hAnsi="Times New Roman"/>
          <w:sz w:val="20"/>
        </w:rPr>
        <w:t xml:space="preserve">, the Holders of at least a majority in aggregate Principal amount (or, if any Securities are Original Issue Discount Securities, such portion of the Principal as is then accelerable under </w:t>
      </w:r>
      <w:r>
        <w:rPr>
          <w:rFonts w:ascii="Times New Roman" w:hAnsi="Times New Roman"/>
          <w:sz w:val="20"/>
          <w:u w:val="single"/>
        </w:rPr>
        <w:t>Section 6.02</w:t>
      </w:r>
      <w:r>
        <w:rPr>
          <w:rFonts w:ascii="Times New Roman" w:hAnsi="Times New Roman"/>
          <w:sz w:val="20"/>
        </w:rPr>
        <w:t xml:space="preserve">)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w:t>
      </w:r>
      <w:r>
        <w:rPr>
          <w:rFonts w:ascii="Times New Roman" w:hAnsi="Times New Roman"/>
          <w:i/>
          <w:sz w:val="20"/>
        </w:rPr>
        <w:t>provided</w:t>
      </w:r>
      <w:r>
        <w:rPr>
          <w:rFonts w:ascii="Times New Roman" w:hAnsi="Times New Roman"/>
          <w:sz w:val="20"/>
        </w:rPr>
        <w:t xml:space="preserve">,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Trustee may take any other action it deems proper that is not inconsistent with any directions received from Holders of Securities pursuant to this </w:t>
      </w:r>
      <w:r>
        <w:rPr>
          <w:rFonts w:ascii="Times New Roman" w:hAnsi="Times New Roman"/>
          <w:sz w:val="20"/>
          <w:u w:val="single"/>
        </w:rPr>
        <w:t>Section 6.05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i/>
          <w:sz w:val="20"/>
        </w:rPr>
        <w:t>Limitation on Suits</w:t>
      </w:r>
      <w:r>
        <w:rPr>
          <w:rFonts w:ascii="Times New Roman" w:hAnsi="Times New Roman"/>
          <w:sz w:val="20"/>
        </w:rPr>
        <w:t xml:space="preserve">. No Holder of any Security of any series may institute any proceeding, judicial or otherwise, with respect to this Indenture or the Securities of such series,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given to the Trustee written notice of a continuing Event of Default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(b) the Holders of at least 25% in aggregate Principal amount of outstanding Securities of all such series affected shall have made written request to the Trustee to institute proceedings in respect of such Event of Default in its own name as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(c) such Holder or Holders have offered to the Trustee indemnity or security reasonably satisfactory to it against any costs, liabilities or expenses to be incurred in compliance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(d) the Trustee for 60 days after its receipt of such notice, request and offer of indemnity has failed to institute any such proceeding;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during such 60-day period, the Holders of a majority in aggregate Principal amount of the outstanding Securities of all such affected series have not given the Trustee a direction that is inconsistent with such written request. </w:t>
      </w:r>
    </w:p>
    <w:p>
      <w:pPr>
        <w:pStyle w:val="TextBody"/>
        <w:bidi w:val="0"/>
        <w:spacing w:before="240" w:after="0"/>
        <w:jc w:val="left"/>
        <w:rPr>
          <w:rFonts w:ascii="Times New Roman" w:hAnsi="Times New Roman"/>
          <w:sz w:val="20"/>
        </w:rPr>
      </w:pPr>
      <w:r>
        <w:rPr>
          <w:rFonts w:ascii="Times New Roman" w:hAnsi="Times New Roman"/>
          <w:sz w:val="20"/>
        </w:rPr>
        <w:t xml:space="preserve">A Holder may not use this Indenture to prejudice the rights of another Holder or to obtain a preference or priority over such other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i/>
          <w:sz w:val="20"/>
        </w:rPr>
        <w:t>Rights of Holders to Receive Payment</w:t>
      </w:r>
      <w:r>
        <w:rPr>
          <w:rFonts w:ascii="Times New Roman" w:hAnsi="Times New Roman"/>
          <w:sz w:val="20"/>
        </w:rPr>
        <w:t xml:space="preserve">. 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i/>
          <w:sz w:val="20"/>
        </w:rPr>
        <w:t>Collection Suit by Trustee</w:t>
      </w:r>
      <w:r>
        <w:rPr>
          <w:rFonts w:ascii="Times New Roman" w:hAnsi="Times New Roman"/>
          <w:sz w:val="20"/>
        </w:rPr>
        <w:t xml:space="preserve">. If an Event of Default with respect to the Securities of any series in payment of Principal or interest specified in clause (a) or (b) of </w:t>
      </w:r>
      <w:r>
        <w:rPr>
          <w:rFonts w:ascii="Times New Roman" w:hAnsi="Times New Roman"/>
          <w:sz w:val="20"/>
          <w:u w:val="single"/>
        </w:rPr>
        <w:t>Section 6.01</w:t>
      </w:r>
      <w:r>
        <w:rPr>
          <w:rFonts w:ascii="Times New Roman" w:hAnsi="Times New Roman"/>
          <w:sz w:val="20"/>
        </w:rPr>
        <w:t xml:space="preserve"> occurs and is continuing, the Trustee may recover judgment in its own name and as trustee of an express trust against the Company for the whole amount (or such portion thereof as specified in the terms established pursuant to </w:t>
      </w:r>
      <w:r>
        <w:rPr>
          <w:rFonts w:ascii="Times New Roman" w:hAnsi="Times New Roman"/>
          <w:sz w:val="20"/>
          <w:u w:val="single"/>
        </w:rPr>
        <w:t>Section 2.03</w:t>
      </w:r>
      <w:r>
        <w:rPr>
          <w:rFonts w:ascii="Times New Roman" w:hAnsi="Times New Roman"/>
          <w:sz w:val="20"/>
        </w:rPr>
        <w:t xml:space="preserve">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w:t>
      </w:r>
      <w:r>
        <w:rPr>
          <w:rFonts w:ascii="Times New Roman" w:hAnsi="Times New Roman"/>
          <w:sz w:val="20"/>
          <w:u w:val="single"/>
        </w:rPr>
        <w:t>Section 7.07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i/>
          <w:sz w:val="20"/>
        </w:rPr>
        <w:t>Trustee May File Proofs of Claim</w:t>
      </w:r>
      <w:r>
        <w:rPr>
          <w:rFonts w:ascii="Times New Roman" w:hAnsi="Times New Roman"/>
          <w:sz w:val="20"/>
        </w:rPr>
        <w:t xml:space="preserve">. The Trustee may file such proofs of claim and other papers or documents as may be necessary or advisable in order to have the claims of the Trustee (including any claim for amounts due the Trustee under </w:t>
      </w:r>
      <w:r>
        <w:rPr>
          <w:rFonts w:ascii="Times New Roman" w:hAnsi="Times New Roman"/>
          <w:sz w:val="20"/>
          <w:u w:val="single"/>
        </w:rPr>
        <w:t>Section 7.07</w:t>
      </w:r>
      <w:r>
        <w:rPr>
          <w:rFonts w:ascii="Times New Roman" w:hAnsi="Times New Roman"/>
          <w:sz w:val="20"/>
        </w:rPr>
        <w:t xml:space="preserve">)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w:t>
      </w:r>
      <w:r>
        <w:rPr>
          <w:rFonts w:ascii="Times New Roman" w:hAnsi="Times New Roman"/>
          <w:sz w:val="20"/>
          <w:u w:val="single"/>
        </w:rPr>
        <w:t>Section 7.07</w:t>
      </w:r>
      <w:r>
        <w:rPr>
          <w:rFonts w:ascii="Times New Roman" w:hAnsi="Times New Roman"/>
          <w:sz w:val="20"/>
        </w:rPr>
        <w:t xml:space="preserve">.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i/>
          <w:sz w:val="20"/>
        </w:rPr>
        <w:t>Application of Proceeds</w:t>
      </w:r>
      <w:r>
        <w:rPr>
          <w:rFonts w:ascii="Times New Roman" w:hAnsi="Times New Roman"/>
          <w:sz w:val="20"/>
        </w:rPr>
        <w:t xml:space="preserve">. 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all amounts due the Trustee under </w:t>
      </w:r>
      <w:r>
        <w:rPr>
          <w:rFonts w:ascii="Times New Roman" w:hAnsi="Times New Roman"/>
          <w:sz w:val="20"/>
          <w:u w:val="single"/>
        </w:rPr>
        <w:t>Section 7.07</w:t>
      </w:r>
      <w:r>
        <w:rPr>
          <w:rFonts w:ascii="Times New Roman" w:hAnsi="Times New Roman"/>
          <w:sz w:val="20"/>
        </w:rPr>
        <w:t xml:space="preserve"> applicable to the Securities of such series in respect of which moneys have been collected;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 </w:t>
      </w:r>
    </w:p>
    <w:p>
      <w:pPr>
        <w:pStyle w:val="TextBody"/>
        <w:bidi w:val="0"/>
        <w:spacing w:before="240" w:after="0"/>
        <w:jc w:val="left"/>
        <w:rPr>
          <w:rFonts w:ascii="Times New Roman" w:hAnsi="Times New Roman"/>
          <w:sz w:val="20"/>
        </w:rPr>
      </w:pPr>
      <w:r>
        <w:rPr>
          <w:rFonts w:ascii="Times New Roman" w:hAnsi="Times New Roman"/>
          <w:sz w:val="20"/>
        </w:rPr>
        <w:t xml:space="preserve">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 </w:t>
      </w:r>
    </w:p>
    <w:p>
      <w:pPr>
        <w:pStyle w:val="TextBody"/>
        <w:bidi w:val="0"/>
        <w:spacing w:before="240" w:after="0"/>
        <w:jc w:val="left"/>
        <w:rPr>
          <w:rFonts w:ascii="Times New Roman" w:hAnsi="Times New Roman"/>
          <w:sz w:val="20"/>
        </w:rPr>
      </w:pPr>
      <w:r>
        <w:rPr>
          <w:rFonts w:ascii="Times New Roman" w:hAnsi="Times New Roman"/>
          <w:sz w:val="20"/>
        </w:rPr>
        <w:t xml:space="preserve">FOURTH: To the payment of the remainder, if any, to the Company or any other person lawfully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i/>
          <w:sz w:val="20"/>
        </w:rPr>
        <w:t>Restoration of Rights and Remedies</w:t>
      </w:r>
      <w:r>
        <w:rPr>
          <w:rFonts w:ascii="Times New Roman" w:hAnsi="Times New Roman"/>
          <w:sz w:val="20"/>
        </w:rPr>
        <w:t xml:space="preserve">.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i/>
          <w:sz w:val="20"/>
        </w:rPr>
        <w:t>Undertaking for Costs</w:t>
      </w:r>
      <w:r>
        <w:rPr>
          <w:rFonts w:ascii="Times New Roman" w:hAnsi="Times New Roman"/>
          <w:sz w:val="20"/>
        </w:rPr>
        <w:t xml:space="preserve">. 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w:t>
      </w:r>
      <w:r>
        <w:rPr>
          <w:rFonts w:ascii="Times New Roman" w:hAnsi="Times New Roman"/>
          <w:sz w:val="20"/>
          <w:u w:val="single"/>
        </w:rPr>
        <w:t>Section 6.12</w:t>
      </w:r>
      <w:r>
        <w:rPr>
          <w:rFonts w:ascii="Times New Roman" w:hAnsi="Times New Roman"/>
          <w:sz w:val="20"/>
        </w:rPr>
        <w:t xml:space="preserve"> does not apply to a suit by a Holder pursuant to </w:t>
      </w:r>
      <w:r>
        <w:rPr>
          <w:rFonts w:ascii="Times New Roman" w:hAnsi="Times New Roman"/>
          <w:sz w:val="20"/>
          <w:u w:val="single"/>
        </w:rPr>
        <w:t>Section 6.07</w:t>
      </w:r>
      <w:r>
        <w:rPr>
          <w:rFonts w:ascii="Times New Roman" w:hAnsi="Times New Roman"/>
          <w:sz w:val="20"/>
        </w:rPr>
        <w:t xml:space="preserve">, a suit instituted by the Trustee or a suit by Holders of more than 10% in Principal amount of the outstanding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6.13. </w:t>
      </w:r>
      <w:r>
        <w:rPr>
          <w:rFonts w:ascii="Times New Roman" w:hAnsi="Times New Roman"/>
          <w:i/>
          <w:sz w:val="20"/>
        </w:rPr>
        <w:t>Rights and Remedies Cumulative</w:t>
      </w:r>
      <w:r>
        <w:rPr>
          <w:rFonts w:ascii="Times New Roman" w:hAnsi="Times New Roman"/>
          <w:sz w:val="20"/>
        </w:rPr>
        <w:t xml:space="preserve">. Except as otherwise provided with respect to the replacement or payment of mutilated, destroyed, lost or wrongfully taken Securities in </w:t>
      </w:r>
      <w:r>
        <w:rPr>
          <w:rFonts w:ascii="Times New Roman" w:hAnsi="Times New Roman"/>
          <w:sz w:val="20"/>
          <w:u w:val="single"/>
        </w:rPr>
        <w:t>Section 2.08</w:t>
      </w:r>
      <w:r>
        <w:rPr>
          <w:rFonts w:ascii="Times New Roman" w:hAnsi="Times New Roman"/>
          <w:sz w:val="20"/>
        </w:rPr>
        <w:t xml:space="preserve">,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i/>
          <w:sz w:val="20"/>
        </w:rPr>
        <w:t>Delay or Omission not Waiver</w:t>
      </w:r>
      <w:r>
        <w:rPr>
          <w:rFonts w:ascii="Times New Roman" w:hAnsi="Times New Roman"/>
          <w:sz w:val="20"/>
        </w:rPr>
        <w:t xml:space="preserve">. No delay or omission of the Trustee or of any Holder to exercise any right or remedy accruing upon any Event of Default shall impair any such right or remedy or constitute a waiver of any such Event of Default or an acquiescence therein. Every right and remedy given by this </w:t>
      </w:r>
      <w:r>
        <w:rPr>
          <w:rFonts w:ascii="Times New Roman" w:hAnsi="Times New Roman"/>
          <w:sz w:val="20"/>
          <w:u w:val="single"/>
        </w:rPr>
        <w:t>Article 6</w:t>
      </w:r>
      <w:r>
        <w:rPr>
          <w:rFonts w:ascii="Times New Roman" w:hAnsi="Times New Roman"/>
          <w:sz w:val="20"/>
        </w:rPr>
        <w:t xml:space="preserve"> or by law to the Trustee or to the Holders may be exercised from time to time, and as often as may be deemed expedient, by the Trustee or by the Holders, as the case may be. </w:t>
      </w:r>
    </w:p>
    <w:p>
      <w:pPr>
        <w:pStyle w:val="TextBody"/>
        <w:bidi w:val="0"/>
        <w:spacing w:before="480" w:after="0"/>
        <w:jc w:val="center"/>
        <w:rPr>
          <w:rFonts w:ascii="Times New Roman" w:hAnsi="Times New Roman"/>
          <w:sz w:val="20"/>
        </w:rPr>
      </w:pPr>
      <w:r>
        <w:rPr>
          <w:rFonts w:ascii="Times New Roman" w:hAnsi="Times New Roman"/>
          <w:sz w:val="20"/>
        </w:rPr>
        <w:t xml:space="preserve">ARTICLE 7 </w:t>
      </w:r>
    </w:p>
    <w:p>
      <w:pPr>
        <w:pStyle w:val="TextBody"/>
        <w:bidi w:val="0"/>
        <w:spacing w:before="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General</w:t>
      </w:r>
      <w:r>
        <w:rPr>
          <w:rFonts w:ascii="Times New Roman" w:hAnsi="Times New Roman"/>
          <w:sz w:val="20"/>
        </w:rPr>
        <w:t xml:space="preserve">. 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w:t>
      </w:r>
      <w:r>
        <w:rPr>
          <w:rFonts w:ascii="Times New Roman" w:hAnsi="Times New Roman"/>
          <w:sz w:val="20"/>
          <w:u w:val="single"/>
        </w:rPr>
        <w:t>Article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Certain Rights of Trustee</w:t>
      </w:r>
      <w:r>
        <w:rPr>
          <w:rFonts w:ascii="Times New Roman" w:hAnsi="Times New Roman"/>
          <w:sz w:val="20"/>
        </w:rPr>
        <w:t xml:space="preserve">. Subject to Trust Indenture Act Sections 315(a) through (d):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 </w:t>
      </w:r>
    </w:p>
    <w:p>
      <w:pPr>
        <w:pStyle w:val="TextBody"/>
        <w:bidi w:val="0"/>
        <w:spacing w:before="24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and/or an Opinion of Counsel, which shall conform to </w:t>
      </w:r>
      <w:r>
        <w:rPr>
          <w:rFonts w:ascii="Times New Roman" w:hAnsi="Times New Roman"/>
          <w:sz w:val="20"/>
          <w:u w:val="single"/>
        </w:rPr>
        <w:t>Section 10.04</w:t>
      </w:r>
      <w:r>
        <w:rPr>
          <w:rFonts w:ascii="Times New Roman" w:hAnsi="Times New Roman"/>
          <w:sz w:val="20"/>
        </w:rPr>
        <w:t xml:space="preserve"> and shall cover such other matters as the Trustee may reasonably request. The Trustee shall not be liable for any action it takes or omits to take in good faith in reliance on such certificate or opinion. Subject to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7.02</w:t>
      </w:r>
      <w:r>
        <w:rPr>
          <w:rFonts w:ascii="Times New Roman" w:hAnsi="Times New Roman"/>
          <w:sz w:val="20"/>
        </w:rPr>
        <w:t xml:space="preserve">,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Trustee may act through its attorneys and agents not regularly in its employ and shall not be responsible for the misconduct or negligence of any agent or attorney appointed with due care; </w:t>
      </w:r>
    </w:p>
    <w:p>
      <w:pPr>
        <w:pStyle w:val="TextBody"/>
        <w:bidi w:val="0"/>
        <w:spacing w:before="240" w:after="0"/>
        <w:jc w:val="left"/>
        <w:rPr>
          <w:rFonts w:ascii="Times New Roman" w:hAnsi="Times New Roman"/>
          <w:sz w:val="20"/>
        </w:rPr>
      </w:pPr>
      <w:r>
        <w:rPr>
          <w:rFonts w:ascii="Times New Roman" w:hAnsi="Times New Roman"/>
          <w:sz w:val="20"/>
        </w:rPr>
        <w:t xml:space="preserve">(d)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be under no obligation to exercise any of the rights or powers vested in it by this Indenture at the request, order or direction of any of the Holders, unless such Holders shall have offered to the Trustee security or indemnity reasonably satisfactory to it against any costs, expenses or liabilities that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(f) the Trustee shall not be liable for any action it takes or omits to take in good faith that it believes to be authorized or within its rights or powers or for any action it takes or omits to take in accordance with the direction of the Holders in accordance with </w:t>
      </w:r>
      <w:r>
        <w:rPr>
          <w:rFonts w:ascii="Times New Roman" w:hAnsi="Times New Roman"/>
          <w:sz w:val="20"/>
          <w:u w:val="single"/>
        </w:rPr>
        <w:t>Section 6.05</w:t>
      </w:r>
      <w:r>
        <w:rPr>
          <w:rFonts w:ascii="Times New Roman" w:hAnsi="Times New Roman"/>
          <w:sz w:val="20"/>
        </w:rPr>
        <w:t xml:space="preserve"> relating to the time, method and place of conducting any proceeding for any remedy available to the Trustee, or exercising any trust or power conferred upon the Trustee,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(g) the Trustee may consult with counsel and the written advice of such counsel or any Opinion of Counsel shall be full and complete authorization and protection in respect of any action taken, suffered or omitted by it hereunder in good faith and in reliance thereon; and </w:t>
      </w:r>
    </w:p>
    <w:p>
      <w:pPr>
        <w:pStyle w:val="TextBody"/>
        <w:bidi w:val="0"/>
        <w:spacing w:before="240" w:after="0"/>
        <w:jc w:val="left"/>
        <w:rPr>
          <w:rFonts w:ascii="Times New Roman" w:hAnsi="Times New Roman"/>
          <w:sz w:val="20"/>
        </w:rPr>
      </w:pPr>
      <w:r>
        <w:rPr>
          <w:rFonts w:ascii="Times New Roman" w:hAnsi="Times New Roman"/>
          <w:sz w:val="20"/>
        </w:rPr>
        <w:t xml:space="preserve">(h) prior to the occurrence of an Event of Default hereunder and after the curing or waiving of all Events of Default,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w:t>
      </w:r>
      <w:r>
        <w:rPr>
          <w:rFonts w:ascii="Times New Roman" w:hAnsi="Times New Roman"/>
          <w:i/>
          <w:sz w:val="20"/>
        </w:rPr>
        <w:t>provided</w:t>
      </w:r>
      <w:r>
        <w:rPr>
          <w:rFonts w:ascii="Times New Roman" w:hAnsi="Times New Roman"/>
          <w:sz w:val="20"/>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Individual Rights of Trustee</w:t>
      </w:r>
      <w:r>
        <w:rPr>
          <w:rFonts w:ascii="Times New Roman" w:hAnsi="Times New Roman"/>
          <w:sz w:val="20"/>
        </w:rPr>
        <w:t xml:space="preserve">. The Trustee, in its individual or any other capacity, may become the owner or pledgee of Securities and may otherwise deal with the Company or its Affiliates with the same rights it would have if it were not the Trustee. Any Agent may do the same with like rights. However, the Trustee is subject to Trust Indenture Act Sections 310(b) and 311. For purposes of Trust Indenture Act Section 311(b)(4) and (6), the following terms shall mean: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cash transaction</w:t>
      </w:r>
      <w:r>
        <w:rPr>
          <w:rFonts w:ascii="Times New Roman" w:hAnsi="Times New Roman"/>
          <w:sz w:val="20"/>
        </w:rPr>
        <w:t xml:space="preserve"> means any transaction in which full payment for goods or securities sold is made within seven days after delivery of the goods or securities in currency or in checks or other orders drawn upon banks or bankers and payable upon demand; and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self-liquidating paper</w:t>
      </w:r>
      <w:r>
        <w:rPr>
          <w:rFonts w:ascii="Times New Roman" w:hAnsi="Times New Roman"/>
          <w:sz w:val="20"/>
        </w:rPr>
        <w:t xml:space="preserve">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w:t>
      </w:r>
      <w:r>
        <w:rPr>
          <w:rFonts w:ascii="Times New Roman" w:hAnsi="Times New Roman"/>
          <w:i/>
          <w:sz w:val="20"/>
        </w:rPr>
        <w:t>provided</w:t>
      </w:r>
      <w:r>
        <w:rPr>
          <w:rFonts w:ascii="Times New Roman" w:hAnsi="Times New Roman"/>
          <w:sz w:val="20"/>
        </w:rPr>
        <w:t xml:space="preserve"> the security is received by the Trustee simultaneously with the creation of the creditor relationship with the Company arising from the making, drawing, negotiating or incurring of the draft, bill of exchange, acceptance or obligation.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i/>
          <w:sz w:val="20"/>
        </w:rPr>
        <w:t>Trustees Disclaimer</w:t>
      </w:r>
      <w:r>
        <w:rPr>
          <w:rFonts w:ascii="Times New Roman" w:hAnsi="Times New Roman"/>
          <w:sz w:val="20"/>
        </w:rPr>
        <w:t xml:space="preserve">. 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i/>
          <w:sz w:val="20"/>
        </w:rPr>
        <w:t>Notice of Default</w:t>
      </w:r>
      <w:r>
        <w:rPr>
          <w:rFonts w:ascii="Times New Roman" w:hAnsi="Times New Roman"/>
          <w:sz w:val="20"/>
        </w:rPr>
        <w:t xml:space="preserve">. If any Default with respect to the Securities of any series occurs and is continuing and if such Default is known to the actual knowledge of a Responsible Officer with the Corporate Trust Office of the Trustee, the Trustee shall give to each Holder of Securities of such series notice of such Default within 90 days after it occurs to all Holders of Securities of such series in the manner and to the extent provided in Section 313(a) of the Trust Indenture Act, unless such Default shall have been cured or waived before the mailing of such notice;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in the case of a Default in the payment of the Principal of or interest on any Security, the Trustee shall be protected in withholding such notice if the Trustee in good faith determines that the withholding of such notice is in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i/>
          <w:sz w:val="20"/>
        </w:rPr>
        <w:t>Reports by Trustee to Holders</w:t>
      </w:r>
      <w:r>
        <w:rPr>
          <w:rFonts w:ascii="Times New Roman" w:hAnsi="Times New Roman"/>
          <w:sz w:val="20"/>
        </w:rPr>
        <w:t xml:space="preserve">.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7.07. </w:t>
      </w:r>
      <w:r>
        <w:rPr>
          <w:rFonts w:ascii="Times New Roman" w:hAnsi="Times New Roman"/>
          <w:i/>
          <w:sz w:val="20"/>
        </w:rPr>
        <w:t>Compensation and Indemnity</w:t>
      </w:r>
      <w:r>
        <w:rPr>
          <w:rFonts w:ascii="Times New Roman" w:hAnsi="Times New Roman"/>
          <w:sz w:val="20"/>
        </w:rPr>
        <w:t xml:space="preserve">. The Company shall pay to the Trustee such compensation as shall be agreed upon in writing from time to time for its services. The compensation of the Trustee shall not be limited by any law on compensation of a Trustee of an express trust. The Company shall reimburse the Trustee and any 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To secure the Companys payment obligations in this </w:t>
      </w:r>
      <w:r>
        <w:rPr>
          <w:rFonts w:ascii="Times New Roman" w:hAnsi="Times New Roman"/>
          <w:sz w:val="20"/>
          <w:u w:val="single"/>
        </w:rPr>
        <w:t>Section 7.07</w:t>
      </w:r>
      <w:r>
        <w:rPr>
          <w:rFonts w:ascii="Times New Roman" w:hAnsi="Times New Roman"/>
          <w:sz w:val="20"/>
        </w:rPr>
        <w:t xml:space="preserve">, the Trustee shall have a lien prior to the Securities on all money or property held or collected by the Trustee, in its capacity as Trustee, except money or property held in trust to pay Principal of, and interest on particular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Without prejudice to any other rights available to the Trustee under applicable law, if the Trustee renders services and incurs expenses following an Event of Default under </w:t>
      </w:r>
      <w:r>
        <w:rPr>
          <w:rFonts w:ascii="Times New Roman" w:hAnsi="Times New Roman"/>
          <w:sz w:val="20"/>
          <w:u w:val="single"/>
        </w:rPr>
        <w:t>Section 6.01(d)</w:t>
      </w:r>
      <w:r>
        <w:rPr>
          <w:rFonts w:ascii="Times New Roman" w:hAnsi="Times New Roman"/>
          <w:sz w:val="20"/>
        </w:rPr>
        <w:t xml:space="preserve"> or </w:t>
      </w:r>
      <w:r>
        <w:rPr>
          <w:rFonts w:ascii="Times New Roman" w:hAnsi="Times New Roman"/>
          <w:sz w:val="20"/>
          <w:u w:val="single"/>
        </w:rPr>
        <w:t>Section 6.01(e)</w:t>
      </w:r>
      <w:r>
        <w:rPr>
          <w:rFonts w:ascii="Times New Roman" w:hAnsi="Times New Roman"/>
          <w:sz w:val="20"/>
        </w:rPr>
        <w:t xml:space="preserve"> hereof, the parties hereto and the holders by their acceptance of the Securities hereby agree that such expenses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i/>
          <w:sz w:val="20"/>
        </w:rPr>
        <w:t>Replacement of Trustee</w:t>
      </w:r>
      <w:r>
        <w:rPr>
          <w:rFonts w:ascii="Times New Roman" w:hAnsi="Times New Roman"/>
          <w:sz w:val="20"/>
        </w:rPr>
        <w:t xml:space="preserve">. A resignation or removal of the Trustee as Trustee with respect to the Securities of any series and appointment of a successor Trustee as Trustee with respect to the Securities of any series shall become effective only upon the successor Trustees acceptance of appointment as provided in this </w:t>
      </w:r>
      <w:r>
        <w:rPr>
          <w:rFonts w:ascii="Times New Roman" w:hAnsi="Times New Roman"/>
          <w:sz w:val="20"/>
          <w:u w:val="single"/>
        </w:rPr>
        <w:t>Section 7.08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w:t>
      </w:r>
      <w:r>
        <w:rPr>
          <w:rFonts w:ascii="Times New Roman" w:hAnsi="Times New Roman"/>
          <w:sz w:val="20"/>
          <w:u w:val="single"/>
        </w:rPr>
        <w:t>Section 7.11</w:t>
      </w:r>
      <w:r>
        <w:rPr>
          <w:rFonts w:ascii="Times New Roman" w:hAnsi="Times New Roman"/>
          <w:sz w:val="20"/>
        </w:rPr>
        <w:t xml:space="preserve"> of this Indenture; (ii) the Trustee is adjudged a bankrupt or insolvent; (iii) a receiver or other public officer takes charge of the Trustee or its property; or (iv)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w:t>
      </w:r>
      <w:r>
        <w:rPr>
          <w:rFonts w:ascii="Times New Roman" w:hAnsi="Times New Roman"/>
          <w:sz w:val="20"/>
          <w:u w:val="single"/>
        </w:rPr>
        <w:t>Section 7.09</w:t>
      </w:r>
      <w:r>
        <w:rPr>
          <w:rFonts w:ascii="Times New Roman" w:hAnsi="Times New Roman"/>
          <w:sz w:val="20"/>
        </w:rPr>
        <w:t xml:space="preserve">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replacement of the Trustee with respect to the Securities of any series pursuant to this </w:t>
      </w:r>
      <w:r>
        <w:rPr>
          <w:rFonts w:ascii="Times New Roman" w:hAnsi="Times New Roman"/>
          <w:sz w:val="20"/>
          <w:u w:val="single"/>
        </w:rPr>
        <w:t>Section 7.08</w:t>
      </w:r>
      <w:r>
        <w:rPr>
          <w:rFonts w:ascii="Times New Roman" w:hAnsi="Times New Roman"/>
          <w:sz w:val="20"/>
        </w:rPr>
        <w:t xml:space="preserve"> and </w:t>
      </w:r>
      <w:r>
        <w:rPr>
          <w:rFonts w:ascii="Times New Roman" w:hAnsi="Times New Roman"/>
          <w:sz w:val="20"/>
          <w:u w:val="single"/>
        </w:rPr>
        <w:t>Section 7.09</w:t>
      </w:r>
      <w:r>
        <w:rPr>
          <w:rFonts w:ascii="Times New Roman" w:hAnsi="Times New Roman"/>
          <w:sz w:val="20"/>
        </w:rPr>
        <w:t xml:space="preserve">, the Companys obligations under </w:t>
      </w:r>
      <w:r>
        <w:rPr>
          <w:rFonts w:ascii="Times New Roman" w:hAnsi="Times New Roman"/>
          <w:sz w:val="20"/>
          <w:u w:val="single"/>
        </w:rPr>
        <w:t>Section 7.07</w:t>
      </w:r>
      <w:r>
        <w:rPr>
          <w:rFonts w:ascii="Times New Roman" w:hAnsi="Times New Roman"/>
          <w:sz w:val="20"/>
        </w:rPr>
        <w:t xml:space="preserve"> shall continue for the benefit of the retiring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i/>
          <w:sz w:val="20"/>
        </w:rPr>
        <w:t>Acceptance of Appointment by Successor</w:t>
      </w:r>
      <w:r>
        <w:rPr>
          <w:rFonts w:ascii="Times New Roman" w:hAnsi="Times New Roman"/>
          <w:sz w:val="20"/>
        </w:rPr>
        <w:t xml:space="preserve">.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w:t>
      </w:r>
      <w:r>
        <w:rPr>
          <w:rFonts w:ascii="Times New Roman" w:hAnsi="Times New Roman"/>
          <w:sz w:val="20"/>
          <w:u w:val="single"/>
        </w:rPr>
        <w:t>Section 7.07</w:t>
      </w:r>
      <w:r>
        <w:rPr>
          <w:rFonts w:ascii="Times New Roman" w:hAnsi="Times New Roman"/>
          <w:sz w:val="20"/>
        </w:rPr>
        <w:t xml:space="preserve">,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No successor Trustee shall accept its appointment unless at the time of such acceptance such successor Trustee shall be eligible under this Article and qualified under Section 310(b)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i/>
          <w:sz w:val="20"/>
        </w:rPr>
        <w:t>Successor Trustee By Merger, Etc</w:t>
      </w:r>
      <w:r>
        <w:rPr>
          <w:rFonts w:ascii="Times New Roman" w:hAnsi="Times New Roman"/>
          <w:sz w:val="20"/>
        </w:rPr>
        <w:t xml:space="preserve">.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i/>
          <w:sz w:val="20"/>
        </w:rPr>
        <w:t>Eligibility</w:t>
      </w:r>
      <w:r>
        <w:rPr>
          <w:rFonts w:ascii="Times New Roman" w:hAnsi="Times New Roman"/>
          <w:sz w:val="20"/>
        </w:rPr>
        <w:t xml:space="preserve">. This Indenture shall always have a Trustee who satisfies the requirements of Trust Indenture Act Section 310(a). The Trustee shall have a combined capital and surplus of at least $25,000,000 as set forth in its most recent published annual report of condition.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i/>
          <w:sz w:val="20"/>
        </w:rPr>
        <w:t>Money Held in Trust</w:t>
      </w:r>
      <w:r>
        <w:rPr>
          <w:rFonts w:ascii="Times New Roman" w:hAnsi="Times New Roman"/>
          <w:sz w:val="20"/>
        </w:rPr>
        <w:t xml:space="preserve">. 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w:t>
      </w:r>
      <w:r>
        <w:rPr>
          <w:rFonts w:ascii="Times New Roman" w:hAnsi="Times New Roman"/>
          <w:sz w:val="20"/>
          <w:u w:val="single"/>
        </w:rPr>
        <w:t>Article 8</w:t>
      </w:r>
      <w:r>
        <w:rPr>
          <w:rFonts w:ascii="Times New Roman" w:hAnsi="Times New Roman"/>
          <w:sz w:val="20"/>
        </w:rPr>
        <w:t xml:space="preserve">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8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OF INDENTURE; UNCLAIMED MONEYS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i/>
          <w:sz w:val="20"/>
        </w:rPr>
        <w:t>Satisfaction and Discharge of Indenture</w:t>
      </w:r>
      <w:r>
        <w:rPr>
          <w:rFonts w:ascii="Times New Roman" w:hAnsi="Times New Roman"/>
          <w:sz w:val="20"/>
        </w:rPr>
        <w:t xml:space="preserve">. If at any time (a) (i) all Securities of any series issued that have been authenticated and delivered have been delivered by the Company to the Trustee for cancellation (other than Securities of such series which have been destroyed, lost or stolen and which have been replaced or paid as provided in </w:t>
      </w:r>
      <w:r>
        <w:rPr>
          <w:rFonts w:ascii="Times New Roman" w:hAnsi="Times New Roman"/>
          <w:sz w:val="20"/>
          <w:u w:val="single"/>
        </w:rPr>
        <w:t>Section 2.08</w:t>
      </w:r>
      <w:r>
        <w:rPr>
          <w:rFonts w:ascii="Times New Roman" w:hAnsi="Times New Roman"/>
          <w:sz w:val="20"/>
        </w:rPr>
        <w:t xml:space="preserve">); or (ii) all the Securities of any series issued that have not been delivered by the Company to the Trustee for cancellation shall have become due and payable, or are by their terms to become due and payable within one year or are to be called for redemption within one year under arrangements satisfactory to the Trustee for the giving of notice of redemption by such Trustee in the Companys name and at the Companys expense, the Company shall have irrevocably deposited or caused to be deposited with the Trustee as trust funds the entire amount in cash (other than moneys repaid by the Trustee or any paying agent to the Company in accordance with </w:t>
      </w:r>
      <w:r>
        <w:rPr>
          <w:rFonts w:ascii="Times New Roman" w:hAnsi="Times New Roman"/>
          <w:sz w:val="20"/>
          <w:u w:val="single"/>
        </w:rPr>
        <w:t>Section 8.04</w:t>
      </w:r>
      <w:r>
        <w:rPr>
          <w:rFonts w:ascii="Times New Roman" w:hAnsi="Times New Roman"/>
          <w:sz w:val="20"/>
        </w:rPr>
        <w:t xml:space="preserve">)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w:t>
      </w:r>
      <w:r>
        <w:rPr>
          <w:rFonts w:ascii="Times New Roman" w:hAnsi="Times New Roman"/>
          <w:sz w:val="20"/>
          <w:u w:val="single"/>
        </w:rPr>
        <w:t>Section 2.08</w:t>
      </w:r>
      <w:r>
        <w:rPr>
          <w:rFonts w:ascii="Times New Roman" w:hAnsi="Times New Roman"/>
          <w:sz w:val="20"/>
        </w:rPr>
        <w:t xml:space="preserve">) not theretofore delivered to the Trustee for cancellation, including Principal and interest due or to become due on or prior to such date of maturity or redemption as the case may be; (b) the Company has paid or caused to be paid all other sums then due and payable under this Indenture; and (c) the Company has delivered to the Trustee an Officers Certificate and an Opinion of Counsel, each stating that all conditions precedent under this Indenture relating to the satisfaction and discharge of this Indenture pursuant to this </w:t>
      </w:r>
      <w:r>
        <w:rPr>
          <w:rFonts w:ascii="Times New Roman" w:hAnsi="Times New Roman"/>
          <w:sz w:val="20"/>
          <w:u w:val="single"/>
        </w:rPr>
        <w:t>Section 8.01</w:t>
      </w:r>
      <w:r>
        <w:rPr>
          <w:rFonts w:ascii="Times New Roman" w:hAnsi="Times New Roman"/>
          <w:sz w:val="20"/>
        </w:rPr>
        <w:t xml:space="preserve"> have been complied with,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w:t>
      </w:r>
      <w:r>
        <w:rPr>
          <w:rFonts w:ascii="Times New Roman" w:hAnsi="Times New Roman"/>
          <w:i/>
          <w:sz w:val="20"/>
        </w:rPr>
        <w:t>provided</w:t>
      </w:r>
      <w:r>
        <w:rPr>
          <w:rFonts w:ascii="Times New Roman" w:hAnsi="Times New Roman"/>
          <w:sz w:val="20"/>
        </w:rPr>
        <w:t xml:space="preserve">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i/>
          <w:sz w:val="20"/>
        </w:rPr>
        <w:t>Application by Trustee of Funds Deposited for Payment of Securities</w:t>
      </w:r>
      <w:r>
        <w:rPr>
          <w:rFonts w:ascii="Times New Roman" w:hAnsi="Times New Roman"/>
          <w:sz w:val="20"/>
        </w:rPr>
        <w:t xml:space="preserve">. Subject to </w:t>
      </w:r>
      <w:r>
        <w:rPr>
          <w:rFonts w:ascii="Times New Roman" w:hAnsi="Times New Roman"/>
          <w:sz w:val="20"/>
          <w:u w:val="single"/>
        </w:rPr>
        <w:t>Section 8.04</w:t>
      </w:r>
      <w:r>
        <w:rPr>
          <w:rFonts w:ascii="Times New Roman" w:hAnsi="Times New Roman"/>
          <w:sz w:val="20"/>
        </w:rPr>
        <w:t xml:space="preserve">, all moneys (including U.S. Government Obligations and the proceeds thereof) deposited with the Trustee pursuant to </w:t>
      </w:r>
      <w:r>
        <w:rPr>
          <w:rFonts w:ascii="Times New Roman" w:hAnsi="Times New Roman"/>
          <w:sz w:val="20"/>
          <w:u w:val="single"/>
        </w:rPr>
        <w:t>Section 8.01</w:t>
      </w:r>
      <w:r>
        <w:rPr>
          <w:rFonts w:ascii="Times New Roman" w:hAnsi="Times New Roman"/>
          <w:sz w:val="20"/>
        </w:rPr>
        <w:t xml:space="preserve">, </w:t>
      </w:r>
      <w:r>
        <w:rPr>
          <w:rFonts w:ascii="Times New Roman" w:hAnsi="Times New Roman"/>
          <w:sz w:val="20"/>
          <w:u w:val="single"/>
        </w:rPr>
        <w:t>Section 8.05</w:t>
      </w:r>
      <w:r>
        <w:rPr>
          <w:rFonts w:ascii="Times New Roman" w:hAnsi="Times New Roman"/>
          <w:sz w:val="20"/>
        </w:rPr>
        <w:t xml:space="preserve"> or </w:t>
      </w:r>
      <w:r>
        <w:rPr>
          <w:rFonts w:ascii="Times New Roman" w:hAnsi="Times New Roman"/>
          <w:sz w:val="20"/>
          <w:u w:val="single"/>
        </w:rPr>
        <w:t>Section 8.06</w:t>
      </w:r>
      <w:r>
        <w:rPr>
          <w:rFonts w:ascii="Times New Roman" w:hAnsi="Times New Roman"/>
          <w:sz w:val="20"/>
        </w:rPr>
        <w:t xml:space="preserve">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i/>
          <w:sz w:val="20"/>
        </w:rPr>
        <w:t>Repayment of Moneys Held by Paying Agent</w:t>
      </w:r>
      <w:r>
        <w:rPr>
          <w:rFonts w:ascii="Times New Roman" w:hAnsi="Times New Roman"/>
          <w:sz w:val="20"/>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i/>
          <w:sz w:val="20"/>
        </w:rPr>
        <w:t>Return of Moneys Held by Trustee and Paying Agent Unclaimed for Two Years</w:t>
      </w:r>
      <w:r>
        <w:rPr>
          <w:rFonts w:ascii="Times New Roman" w:hAnsi="Times New Roman"/>
          <w:sz w:val="20"/>
        </w:rPr>
        <w:t xml:space="preserve">.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i/>
          <w:sz w:val="20"/>
        </w:rPr>
        <w:t>Defeasance and Discharge of Indenture</w:t>
      </w:r>
      <w:r>
        <w:rPr>
          <w:rFonts w:ascii="Times New Roman" w:hAnsi="Times New Roman"/>
          <w:sz w:val="20"/>
        </w:rPr>
        <w:t xml:space="preserve">. The Company shall be deemed to have paid and shall be discharged from any and all obligations in respect of the Securities of any series,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(a) rights of Holders of the Securities of such series to receive payments of Principal thereof, premium thereto, and interest thereon, upon the original stated due dates therefor, (b) the Companys obligations with respect to the issuance of temporary Securities and the registration of transfer with respect to the Securities of such series, the Companys right of optional redemption, substitution of mutilated, defaced, destroyed, lost or stolen Securities of such series and the maintenance of an office or agency for payment for security payments held in trust pursuant to clause (i) hereof, (c) the rights, obligations and immunities of the Trustee hereunder, and (d) the defeasance provisions contained in </w:t>
      </w:r>
      <w:r>
        <w:rPr>
          <w:rFonts w:ascii="Times New Roman" w:hAnsi="Times New Roman"/>
          <w:sz w:val="20"/>
          <w:u w:val="single"/>
        </w:rPr>
        <w:t>Article 8</w:t>
      </w:r>
      <w:r>
        <w:rPr>
          <w:rFonts w:ascii="Times New Roman" w:hAnsi="Times New Roman"/>
          <w:sz w:val="20"/>
        </w:rPr>
        <w:t xml:space="preserve"> of this Indenture; </w:t>
      </w:r>
      <w:r>
        <w:rPr>
          <w:rFonts w:ascii="Times New Roman" w:hAnsi="Times New Roman"/>
          <w:i/>
          <w:sz w:val="20"/>
        </w:rPr>
        <w:t>provided</w:t>
      </w:r>
      <w:r>
        <w:rPr>
          <w:rFonts w:ascii="Times New Roman" w:hAnsi="Times New Roman"/>
          <w:sz w:val="20"/>
        </w:rPr>
        <w:t xml:space="preserve">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(i) with reference to this </w:t>
      </w:r>
      <w:r>
        <w:rPr>
          <w:rFonts w:ascii="Times New Roman" w:hAnsi="Times New Roman"/>
          <w:sz w:val="20"/>
          <w:u w:val="single"/>
        </w:rPr>
        <w:t>Section 8.05</w:t>
      </w:r>
      <w:r>
        <w:rPr>
          <w:rFonts w:ascii="Times New Roman" w:hAnsi="Times New Roman"/>
          <w:sz w:val="20"/>
        </w:rPr>
        <w:t xml:space="preserve"> the Company irrevocably has deposited or caused to be deposited with the Trustee (or another qualifying trustee satisfying the requirements of </w:t>
      </w:r>
      <w:r>
        <w:rPr>
          <w:rFonts w:ascii="Times New Roman" w:hAnsi="Times New Roman"/>
          <w:sz w:val="20"/>
          <w:u w:val="single"/>
        </w:rPr>
        <w:t>Section 7.11</w:t>
      </w:r>
      <w:r>
        <w:rPr>
          <w:rFonts w:ascii="Times New Roman" w:hAnsi="Times New Roman"/>
          <w:sz w:val="20"/>
        </w:rPr>
        <w:t xml:space="preserve">) as trust funds in trust, for the purposes of making the following payments, specifically pledged as security for, and dedicated solely to, the benefit of the Holders of the Securities of such series, (A) money in an amount, (B) U.S. Government Obligations which through the payment of interest and principal in respect thereof in accordance with their terms will provide not later than one day before the due date of any payment referred to in subclause (x) or (y) of this clause (i), or (C)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Company has delivered to the Trustee an Opinion of Counsel to the effect that, under then applicable U.S. federal income tax law, Holders of Securities of such series will not recognize gain or loss for U.S. federal income tax purposes as a result of the Companys exercise of its option under this </w:t>
      </w:r>
      <w:r>
        <w:rPr>
          <w:rFonts w:ascii="Times New Roman" w:hAnsi="Times New Roman"/>
          <w:sz w:val="20"/>
          <w:u w:val="single"/>
        </w:rPr>
        <w:t>Section 8.05</w:t>
      </w:r>
      <w:r>
        <w:rPr>
          <w:rFonts w:ascii="Times New Roman" w:hAnsi="Times New Roman"/>
          <w:sz w:val="20"/>
        </w:rPr>
        <w:t xml:space="preserve"> and will be subject to U.S. federal income tax on the same amount and in the same manner and at the same times as would have been the case if such deposit, defeasance and discharge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(iii) no Default under either clause (d) or clause (e) of </w:t>
      </w:r>
      <w:r>
        <w:rPr>
          <w:rFonts w:ascii="Times New Roman" w:hAnsi="Times New Roman"/>
          <w:sz w:val="20"/>
          <w:u w:val="single"/>
        </w:rPr>
        <w:t>Section 6.01</w:t>
      </w:r>
      <w:r>
        <w:rPr>
          <w:rFonts w:ascii="Times New Roman" w:hAnsi="Times New Roman"/>
          <w:sz w:val="20"/>
        </w:rPr>
        <w:t xml:space="preserve"> shall have occurred and be continuing at such time; </w:t>
      </w:r>
    </w:p>
    <w:p>
      <w:pPr>
        <w:pStyle w:val="TextBody"/>
        <w:bidi w:val="0"/>
        <w:spacing w:before="120" w:after="0"/>
        <w:jc w:val="left"/>
        <w:rPr>
          <w:rFonts w:ascii="Times New Roman" w:hAnsi="Times New Roman"/>
          <w:sz w:val="20"/>
        </w:rPr>
      </w:pPr>
      <w:r>
        <w:rPr>
          <w:rFonts w:ascii="Times New Roman" w:hAnsi="Times New Roman"/>
          <w:sz w:val="20"/>
        </w:rPr>
        <w:t xml:space="preserve">(iv) if at such time the Securities of such series are listed on a national securities exchange, the Company has delivered to the Trustee an Opinion of Counsel to the effect that the Securities of such series will not be delisted as a result of such deposit, 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(v) the Company shall have delivered to the Trustee an Officers Certificate and an Opinion of Counsel, each stating that all conditions precedent to the defeasance and discharge under this </w:t>
      </w:r>
      <w:r>
        <w:rPr>
          <w:rFonts w:ascii="Times New Roman" w:hAnsi="Times New Roman"/>
          <w:sz w:val="20"/>
          <w:u w:val="single"/>
        </w:rPr>
        <w:t>Section 8.05</w:t>
      </w:r>
      <w:r>
        <w:rPr>
          <w:rFonts w:ascii="Times New Roman" w:hAnsi="Times New Roman"/>
          <w:sz w:val="20"/>
        </w:rPr>
        <w:t xml:space="preserve"> have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(vi) 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i/>
          <w:sz w:val="20"/>
        </w:rPr>
        <w:t>Defeasance of Certain Obligations</w:t>
      </w:r>
      <w:r>
        <w:rPr>
          <w:rFonts w:ascii="Times New Roman" w:hAnsi="Times New Roman"/>
          <w:sz w:val="20"/>
        </w:rPr>
        <w:t xml:space="preserve">. The Company may omit to comply with any term, provision or condition set forth in, and this Indenture will no longer be in effect with respect to, any covenant established pursuant to </w:t>
      </w:r>
      <w:r>
        <w:rPr>
          <w:rFonts w:ascii="Times New Roman" w:hAnsi="Times New Roman"/>
          <w:sz w:val="20"/>
          <w:u w:val="single"/>
        </w:rPr>
        <w:t>Section 2.03(s)</w:t>
      </w:r>
      <w:r>
        <w:rPr>
          <w:rFonts w:ascii="Times New Roman" w:hAnsi="Times New Roman"/>
          <w:sz w:val="20"/>
        </w:rPr>
        <w:t xml:space="preserve"> and clause (c) and clause (f) (with respect to any covenants established pursuant to </w:t>
      </w:r>
      <w:r>
        <w:rPr>
          <w:rFonts w:ascii="Times New Roman" w:hAnsi="Times New Roman"/>
          <w:sz w:val="20"/>
          <w:u w:val="single"/>
        </w:rPr>
        <w:t>Section 2.03(s)</w:t>
      </w:r>
      <w:r>
        <w:rPr>
          <w:rFonts w:ascii="Times New Roman" w:hAnsi="Times New Roman"/>
          <w:sz w:val="20"/>
        </w:rPr>
        <w:t xml:space="preserve">) of </w:t>
      </w:r>
      <w:r>
        <w:rPr>
          <w:rFonts w:ascii="Times New Roman" w:hAnsi="Times New Roman"/>
          <w:sz w:val="20"/>
          <w:u w:val="single"/>
        </w:rPr>
        <w:t>Section 6.01</w:t>
      </w:r>
      <w:r>
        <w:rPr>
          <w:rFonts w:ascii="Times New Roman" w:hAnsi="Times New Roman"/>
          <w:sz w:val="20"/>
        </w:rPr>
        <w:t xml:space="preserve"> shall be deemed not to constitute a Default or an Event of Default with respect to Securities of any series,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with reference to this </w:t>
      </w:r>
      <w:r>
        <w:rPr>
          <w:rFonts w:ascii="Times New Roman" w:hAnsi="Times New Roman"/>
          <w:sz w:val="20"/>
          <w:u w:val="single"/>
        </w:rPr>
        <w:t>Section 8.06</w:t>
      </w:r>
      <w:r>
        <w:rPr>
          <w:rFonts w:ascii="Times New Roman" w:hAnsi="Times New Roman"/>
          <w:sz w:val="20"/>
        </w:rPr>
        <w:t xml:space="preserve">, the Company has irrevocably deposited or caused to be deposited with the Trustee (or another qualifying trustee satisfying the requirements of </w:t>
      </w:r>
      <w:r>
        <w:rPr>
          <w:rFonts w:ascii="Times New Roman" w:hAnsi="Times New Roman"/>
          <w:sz w:val="20"/>
          <w:u w:val="single"/>
        </w:rPr>
        <w:t>Section 7.11</w:t>
      </w:r>
      <w:r>
        <w:rPr>
          <w:rFonts w:ascii="Times New Roman" w:hAnsi="Times New Roman"/>
          <w:sz w:val="20"/>
        </w:rPr>
        <w:t xml:space="preserve">) as trust funds in trust, for the purposes of making the following payments, specifically pledged as security for, and dedicated solely to, the benefits of the Holders of the Securities of such series, (i) money in an amount, (ii) U.S. Government Obligations which through the payment of interest and principal in respect thereof in accordance with their terms will provide not later than one day before the due date of any payment referred to in subclause (x) or (y) of this clause (a), or (iii)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the Securities of such series and the Indenture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delivered to the Trustee an Opinion of Counsel to the effect that Holders of Securities of such series will not recognize gain or loss for U.S. federal income tax purposes as a result of the Companys exercise of its option under this </w:t>
      </w:r>
      <w:r>
        <w:rPr>
          <w:rFonts w:ascii="Times New Roman" w:hAnsi="Times New Roman"/>
          <w:sz w:val="20"/>
          <w:u w:val="single"/>
        </w:rPr>
        <w:t>Section 8.06</w:t>
      </w:r>
      <w:r>
        <w:rPr>
          <w:rFonts w:ascii="Times New Roman" w:hAnsi="Times New Roman"/>
          <w:sz w:val="20"/>
        </w:rPr>
        <w:t xml:space="preserve"> and will be subject to U.S. federal income tax on the same amount and in the same manner and at the same times as would have been the case if such deposit and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(c) no Default with respect to the outstanding Securities of such series shall have occurred and be continuing at the time of such deposit immediately after giving effect to such deposit; </w:t>
      </w:r>
    </w:p>
    <w:p>
      <w:pPr>
        <w:pStyle w:val="TextBody"/>
        <w:bidi w:val="0"/>
        <w:spacing w:before="240" w:after="0"/>
        <w:jc w:val="left"/>
        <w:rPr>
          <w:rFonts w:ascii="Times New Roman" w:hAnsi="Times New Roman"/>
          <w:sz w:val="20"/>
        </w:rPr>
      </w:pPr>
      <w:r>
        <w:rPr>
          <w:rFonts w:ascii="Times New Roman" w:hAnsi="Times New Roman"/>
          <w:sz w:val="20"/>
        </w:rPr>
        <w:t xml:space="preserve">(d) if at such time the Securities of such series are listed on a national securities exchange, the Company has delivered to the Trustee an Opinion of Counsel to the effect that the Securities of such series will not be delisted as a result of such deposit, defeasance and discharge;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have delivered to the Trustee an Officers Certificate and an Opinion of Counsel, each stating that all conditions precedent to the defeasance under this Section have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(f) 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8.07. </w:t>
      </w:r>
      <w:r>
        <w:rPr>
          <w:rFonts w:ascii="Times New Roman" w:hAnsi="Times New Roman"/>
          <w:i/>
          <w:sz w:val="20"/>
        </w:rPr>
        <w:t>Reinstatement</w:t>
      </w:r>
      <w:r>
        <w:rPr>
          <w:rFonts w:ascii="Times New Roman" w:hAnsi="Times New Roman"/>
          <w:sz w:val="20"/>
        </w:rPr>
        <w:t xml:space="preserve">. If the Trustee or paying agent is unable to apply any monies or U.S. Government Obligations in accordance with </w:t>
      </w:r>
      <w:r>
        <w:rPr>
          <w:rFonts w:ascii="Times New Roman" w:hAnsi="Times New Roman"/>
          <w:sz w:val="20"/>
          <w:u w:val="single"/>
        </w:rPr>
        <w:t>Article 8</w:t>
      </w:r>
      <w:r>
        <w:rPr>
          <w:rFonts w:ascii="Times New Roman" w:hAnsi="Times New Roman"/>
          <w:sz w:val="20"/>
        </w:rPr>
        <w:t xml:space="preserve">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w:t>
      </w:r>
      <w:r>
        <w:rPr>
          <w:rFonts w:ascii="Times New Roman" w:hAnsi="Times New Roman"/>
          <w:sz w:val="20"/>
          <w:u w:val="single"/>
        </w:rPr>
        <w:t>Article 8</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i/>
          <w:sz w:val="20"/>
        </w:rPr>
        <w:t>Indemnity</w:t>
      </w:r>
      <w:r>
        <w:rPr>
          <w:rFonts w:ascii="Times New Roman" w:hAnsi="Times New Roman"/>
          <w:sz w:val="20"/>
        </w:rPr>
        <w:t xml:space="preserve">. The Company shall pay and indemnify the Trustee (or other qualifying trustee, collectively for purposes of this </w:t>
      </w:r>
      <w:r>
        <w:rPr>
          <w:rFonts w:ascii="Times New Roman" w:hAnsi="Times New Roman"/>
          <w:sz w:val="20"/>
          <w:u w:val="single"/>
        </w:rPr>
        <w:t>Section 8.08</w:t>
      </w:r>
      <w:r>
        <w:rPr>
          <w:rFonts w:ascii="Times New Roman" w:hAnsi="Times New Roman"/>
          <w:sz w:val="20"/>
        </w:rPr>
        <w:t xml:space="preserve"> and </w:t>
      </w:r>
      <w:r>
        <w:rPr>
          <w:rFonts w:ascii="Times New Roman" w:hAnsi="Times New Roman"/>
          <w:sz w:val="20"/>
          <w:u w:val="single"/>
        </w:rPr>
        <w:t>Section 8.02</w:t>
      </w:r>
      <w:r>
        <w:rPr>
          <w:rFonts w:ascii="Times New Roman" w:hAnsi="Times New Roman"/>
          <w:sz w:val="20"/>
        </w:rPr>
        <w:t>, the </w:t>
      </w:r>
      <w:r>
        <w:rPr>
          <w:rFonts w:ascii="Times New Roman" w:hAnsi="Times New Roman"/>
          <w:b/>
          <w:sz w:val="20"/>
        </w:rPr>
        <w:t>Trustee</w:t>
      </w:r>
      <w:r>
        <w:rPr>
          <w:rFonts w:ascii="Times New Roman" w:hAnsi="Times New Roman"/>
          <w:sz w:val="20"/>
        </w:rPr>
        <w:t xml:space="preserve">) against any tax, fee or other charge, imposed on or assessed against the U.S. Government Obligations deposited pursuant to </w:t>
      </w:r>
      <w:r>
        <w:rPr>
          <w:rFonts w:ascii="Times New Roman" w:hAnsi="Times New Roman"/>
          <w:sz w:val="20"/>
          <w:u w:val="single"/>
        </w:rPr>
        <w:t>Section 8.01</w:t>
      </w:r>
      <w:r>
        <w:rPr>
          <w:rFonts w:ascii="Times New Roman" w:hAnsi="Times New Roman"/>
          <w:sz w:val="20"/>
        </w:rPr>
        <w:t xml:space="preserve">, </w:t>
      </w:r>
      <w:r>
        <w:rPr>
          <w:rFonts w:ascii="Times New Roman" w:hAnsi="Times New Roman"/>
          <w:sz w:val="20"/>
          <w:u w:val="single"/>
        </w:rPr>
        <w:t>8.05</w:t>
      </w:r>
      <w:r>
        <w:rPr>
          <w:rFonts w:ascii="Times New Roman" w:hAnsi="Times New Roman"/>
          <w:sz w:val="20"/>
        </w:rPr>
        <w:t xml:space="preserve"> or </w:t>
      </w:r>
      <w:r>
        <w:rPr>
          <w:rFonts w:ascii="Times New Roman" w:hAnsi="Times New Roman"/>
          <w:sz w:val="20"/>
          <w:u w:val="single"/>
        </w:rPr>
        <w:t>8.06</w:t>
      </w:r>
      <w:r>
        <w:rPr>
          <w:rFonts w:ascii="Times New Roman" w:hAnsi="Times New Roman"/>
          <w:sz w:val="20"/>
        </w:rPr>
        <w:t xml:space="preserve"> or the principal or interest received in respect thereof other than any such tax, fee or other charge which by law is for the account of the Holders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i/>
          <w:sz w:val="20"/>
        </w:rPr>
        <w:t>Excess Funds</w:t>
      </w:r>
      <w:r>
        <w:rPr>
          <w:rFonts w:ascii="Times New Roman" w:hAnsi="Times New Roman"/>
          <w:sz w:val="20"/>
        </w:rPr>
        <w:t xml:space="preserve">. Anything in this </w:t>
      </w:r>
      <w:r>
        <w:rPr>
          <w:rFonts w:ascii="Times New Roman" w:hAnsi="Times New Roman"/>
          <w:sz w:val="20"/>
          <w:u w:val="single"/>
        </w:rPr>
        <w:t>Article 8</w:t>
      </w:r>
      <w:r>
        <w:rPr>
          <w:rFonts w:ascii="Times New Roman" w:hAnsi="Times New Roman"/>
          <w:sz w:val="20"/>
        </w:rPr>
        <w:t xml:space="preserve"> to the contrary notwithstanding, the Trustee shall deliver or pay to the Company from time to time upon request of the Company, any money or U.S. Government Obligations (or other property and any proceeds therefrom) held by it as provided in </w:t>
      </w:r>
      <w:r>
        <w:rPr>
          <w:rFonts w:ascii="Times New Roman" w:hAnsi="Times New Roman"/>
          <w:sz w:val="20"/>
          <w:u w:val="single"/>
        </w:rPr>
        <w:t>Section 8.01</w:t>
      </w:r>
      <w:r>
        <w:rPr>
          <w:rFonts w:ascii="Times New Roman" w:hAnsi="Times New Roman"/>
          <w:sz w:val="20"/>
        </w:rPr>
        <w:t xml:space="preserve">, </w:t>
      </w:r>
      <w:r>
        <w:rPr>
          <w:rFonts w:ascii="Times New Roman" w:hAnsi="Times New Roman"/>
          <w:sz w:val="20"/>
          <w:u w:val="single"/>
        </w:rPr>
        <w:t>8.05</w:t>
      </w:r>
      <w:r>
        <w:rPr>
          <w:rFonts w:ascii="Times New Roman" w:hAnsi="Times New Roman"/>
          <w:sz w:val="20"/>
        </w:rPr>
        <w:t xml:space="preserve"> or </w:t>
      </w:r>
      <w:r>
        <w:rPr>
          <w:rFonts w:ascii="Times New Roman" w:hAnsi="Times New Roman"/>
          <w:sz w:val="20"/>
          <w:u w:val="single"/>
        </w:rPr>
        <w:t>8.06</w:t>
      </w:r>
      <w:r>
        <w:rPr>
          <w:rFonts w:ascii="Times New Roman" w:hAnsi="Times New Roman"/>
          <w:sz w:val="20"/>
        </w:rPr>
        <w:t xml:space="preserve">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w:t>
      </w:r>
      <w:r>
        <w:rPr>
          <w:rFonts w:ascii="Times New Roman" w:hAnsi="Times New Roman"/>
          <w:sz w:val="20"/>
          <w:u w:val="single"/>
        </w:rPr>
        <w:t>Article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i/>
          <w:sz w:val="20"/>
        </w:rPr>
        <w:t>Qualifying Trustee</w:t>
      </w:r>
      <w:r>
        <w:rPr>
          <w:rFonts w:ascii="Times New Roman" w:hAnsi="Times New Roman"/>
          <w:sz w:val="20"/>
        </w:rPr>
        <w:t xml:space="preserve">. Any trustee appointed pursuant to </w:t>
      </w:r>
      <w:r>
        <w:rPr>
          <w:rFonts w:ascii="Times New Roman" w:hAnsi="Times New Roman"/>
          <w:sz w:val="20"/>
          <w:u w:val="single"/>
        </w:rPr>
        <w:t>Section 8.05</w:t>
      </w:r>
      <w:r>
        <w:rPr>
          <w:rFonts w:ascii="Times New Roman" w:hAnsi="Times New Roman"/>
          <w:sz w:val="20"/>
        </w:rPr>
        <w:t xml:space="preserve"> or </w:t>
      </w:r>
      <w:r>
        <w:rPr>
          <w:rFonts w:ascii="Times New Roman" w:hAnsi="Times New Roman"/>
          <w:sz w:val="20"/>
          <w:u w:val="single"/>
        </w:rPr>
        <w:t>8.06</w:t>
      </w:r>
      <w:r>
        <w:rPr>
          <w:rFonts w:ascii="Times New Roman" w:hAnsi="Times New Roman"/>
          <w:sz w:val="20"/>
        </w:rPr>
        <w:t xml:space="preserve">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 </w:t>
      </w:r>
    </w:p>
    <w:p>
      <w:pPr>
        <w:pStyle w:val="TextBody"/>
        <w:bidi w:val="0"/>
        <w:spacing w:before="480" w:after="0"/>
        <w:jc w:val="center"/>
        <w:rPr>
          <w:rFonts w:ascii="Times New Roman" w:hAnsi="Times New Roman"/>
          <w:sz w:val="20"/>
        </w:rPr>
      </w:pPr>
      <w:r>
        <w:rPr>
          <w:rFonts w:ascii="Times New Roman" w:hAnsi="Times New Roman"/>
          <w:sz w:val="20"/>
        </w:rPr>
        <w:t xml:space="preserve">ARTICLE 9 </w:t>
      </w:r>
    </w:p>
    <w:p>
      <w:pPr>
        <w:pStyle w:val="TextBody"/>
        <w:bidi w:val="0"/>
        <w:spacing w:before="0" w:after="0"/>
        <w:jc w:val="center"/>
        <w:rPr>
          <w:rFonts w:ascii="Times New Roman" w:hAnsi="Times New Roman"/>
          <w:sz w:val="20"/>
        </w:rPr>
      </w:pPr>
      <w:r>
        <w:rPr>
          <w:rFonts w:ascii="Times New Roman" w:hAnsi="Times New Roman"/>
          <w:sz w:val="20"/>
        </w:rPr>
        <w:t xml:space="preserve">AMENDMENTS, SUPPLEMENTS AND WAIVERS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i/>
          <w:sz w:val="20"/>
        </w:rPr>
        <w:t>Without Consent of Holders</w:t>
      </w:r>
      <w:r>
        <w:rPr>
          <w:rFonts w:ascii="Times New Roman" w:hAnsi="Times New Roman"/>
          <w:sz w:val="20"/>
        </w:rPr>
        <w:t xml:space="preserve">. The Company and the Trustee may amend or supplement this Indenture or the Securities of any series without notice to or the consent of any Holder: </w:t>
      </w:r>
    </w:p>
    <w:p>
      <w:pPr>
        <w:pStyle w:val="TextBody"/>
        <w:bidi w:val="0"/>
        <w:spacing w:before="120" w:after="0"/>
        <w:jc w:val="left"/>
        <w:rPr>
          <w:rFonts w:ascii="Times New Roman" w:hAnsi="Times New Roman"/>
          <w:sz w:val="20"/>
        </w:rPr>
      </w:pPr>
      <w:r>
        <w:rPr>
          <w:rFonts w:ascii="Times New Roman" w:hAnsi="Times New Roman"/>
          <w:sz w:val="20"/>
        </w:rPr>
        <w:t xml:space="preserve">(a) to cure any ambiguity, defect or inconsistency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to comply with </w:t>
      </w:r>
      <w:r>
        <w:rPr>
          <w:rFonts w:ascii="Times New Roman" w:hAnsi="Times New Roman"/>
          <w:sz w:val="20"/>
          <w:u w:val="single"/>
        </w:rPr>
        <w:t>Article 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to maintain the qualification of this Indenture under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w:t>
      </w:r>
      <w:r>
        <w:rPr>
          <w:rFonts w:ascii="Times New Roman" w:hAnsi="Times New Roman"/>
          <w:sz w:val="20"/>
          <w:u w:val="single"/>
        </w:rPr>
        <w:t>Section 7.09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to establish the form or forms or terms of Securities of any series as permitted by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to provide for uncertificated Securities and to make all appropriate changes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(g) to conform any provision to the applicable corresponding provision set forth in the offering document for the offering of such series of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(h) to make any change that does not materially and adversely affect the rights of any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i/>
          <w:sz w:val="20"/>
        </w:rPr>
        <w:t>With Consent of Holders</w:t>
      </w:r>
      <w:r>
        <w:rPr>
          <w:rFonts w:ascii="Times New Roman" w:hAnsi="Times New Roman"/>
          <w:sz w:val="20"/>
        </w:rPr>
        <w:t xml:space="preserve">. Subject to </w:t>
      </w:r>
      <w:r>
        <w:rPr>
          <w:rFonts w:ascii="Times New Roman" w:hAnsi="Times New Roman"/>
          <w:sz w:val="20"/>
          <w:u w:val="single"/>
        </w:rPr>
        <w:t>Sections 6.04</w:t>
      </w:r>
      <w:r>
        <w:rPr>
          <w:rFonts w:ascii="Times New Roman" w:hAnsi="Times New Roman"/>
          <w:sz w:val="20"/>
        </w:rPr>
        <w:t xml:space="preserve"> and </w:t>
      </w:r>
      <w:r>
        <w:rPr>
          <w:rFonts w:ascii="Times New Roman" w:hAnsi="Times New Roman"/>
          <w:sz w:val="20"/>
          <w:u w:val="single"/>
        </w:rPr>
        <w:t>6.07</w:t>
      </w:r>
      <w:r>
        <w:rPr>
          <w:rFonts w:ascii="Times New Roman" w:hAnsi="Times New Roman"/>
          <w:sz w:val="20"/>
        </w:rPr>
        <w:t xml:space="preserve">, without prior notice to any Holders, the Company and the Trustee may amend this Indenture and the Securities of any series with the written consent of the Holders of a majority in Principal amount of the outstanding Securities of each series affected by such amendment (all such series voting together as a single class), and the Holders of a majority in Principal amount of the outstanding Securities of each series affected thereby (all such series voting together as a single class) by written notice to the Trustee may waive future compliance by the Company with any provision of this Indenture or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w:t>
      </w:r>
      <w:r>
        <w:rPr>
          <w:rFonts w:ascii="Times New Roman" w:hAnsi="Times New Roman"/>
          <w:sz w:val="20"/>
          <w:u w:val="single"/>
        </w:rPr>
        <w:t>Section 9.02</w:t>
      </w:r>
      <w:r>
        <w:rPr>
          <w:rFonts w:ascii="Times New Roman" w:hAnsi="Times New Roman"/>
          <w:sz w:val="20"/>
        </w:rPr>
        <w:t xml:space="preserve">, without the consent of each Holder affected thereby, an amendment or waiver, including a waiver pursuant to </w:t>
      </w:r>
      <w:r>
        <w:rPr>
          <w:rFonts w:ascii="Times New Roman" w:hAnsi="Times New Roman"/>
          <w:sz w:val="20"/>
          <w:u w:val="single"/>
        </w:rPr>
        <w:t>Section 6.04</w:t>
      </w:r>
      <w:r>
        <w:rPr>
          <w:rFonts w:ascii="Times New Roman" w:hAnsi="Times New Roman"/>
          <w:sz w:val="20"/>
        </w:rPr>
        <w:t xml:space="preserve">, may not: </w:t>
      </w:r>
    </w:p>
    <w:p>
      <w:pPr>
        <w:pStyle w:val="TextBody"/>
        <w:bidi w:val="0"/>
        <w:spacing w:before="120" w:after="0"/>
        <w:jc w:val="left"/>
        <w:rPr>
          <w:rFonts w:ascii="Times New Roman" w:hAnsi="Times New Roman"/>
          <w:sz w:val="20"/>
        </w:rPr>
      </w:pPr>
      <w:r>
        <w:rPr>
          <w:rFonts w:ascii="Times New Roman" w:hAnsi="Times New Roman"/>
          <w:sz w:val="20"/>
        </w:rPr>
        <w:t xml:space="preserve">(a) change the stated maturity of the Principal of, or any sinking fund obligation or any installment of interest on, such Holders Security; </w:t>
      </w:r>
    </w:p>
    <w:p>
      <w:pPr>
        <w:pStyle w:val="TextBody"/>
        <w:bidi w:val="0"/>
        <w:spacing w:before="240" w:after="0"/>
        <w:jc w:val="left"/>
        <w:rPr>
          <w:rFonts w:ascii="Times New Roman" w:hAnsi="Times New Roman"/>
          <w:sz w:val="20"/>
        </w:rPr>
      </w:pPr>
      <w:r>
        <w:rPr>
          <w:rFonts w:ascii="Times New Roman" w:hAnsi="Times New Roman"/>
          <w:sz w:val="20"/>
        </w:rPr>
        <w:t xml:space="preserve">(b) reduce the Principal amount thereof or the rate of interest thereon (including any amount in respect of original issue discount); </w:t>
      </w:r>
    </w:p>
    <w:p>
      <w:pPr>
        <w:pStyle w:val="TextBody"/>
        <w:bidi w:val="0"/>
        <w:spacing w:before="240" w:after="0"/>
        <w:jc w:val="left"/>
        <w:rPr>
          <w:rFonts w:ascii="Times New Roman" w:hAnsi="Times New Roman"/>
          <w:sz w:val="20"/>
        </w:rPr>
      </w:pPr>
      <w:r>
        <w:rPr>
          <w:rFonts w:ascii="Times New Roman" w:hAnsi="Times New Roman"/>
          <w:sz w:val="20"/>
        </w:rPr>
        <w:t xml:space="preserve">(c) reduce the above stated percentage of outstanding Securities the consent of whose holders is necessary to modify or amend the Indenture with respect to the Securities of the relevant series; and </w:t>
      </w:r>
    </w:p>
    <w:p>
      <w:pPr>
        <w:pStyle w:val="TextBody"/>
        <w:bidi w:val="0"/>
        <w:spacing w:before="240" w:after="0"/>
        <w:jc w:val="left"/>
        <w:rPr>
          <w:rFonts w:ascii="Times New Roman" w:hAnsi="Times New Roman"/>
          <w:sz w:val="20"/>
        </w:rPr>
      </w:pPr>
      <w:r>
        <w:rPr>
          <w:rFonts w:ascii="Times New Roman" w:hAnsi="Times New Roman"/>
          <w:sz w:val="20"/>
        </w:rPr>
        <w:t xml:space="preserve">(d) 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shall not be necessary for the consent of any Holder under this </w:t>
      </w:r>
      <w:r>
        <w:rPr>
          <w:rFonts w:ascii="Times New Roman" w:hAnsi="Times New Roman"/>
          <w:sz w:val="20"/>
          <w:u w:val="single"/>
        </w:rPr>
        <w:t>Section 9.02</w:t>
      </w:r>
      <w:r>
        <w:rPr>
          <w:rFonts w:ascii="Times New Roman" w:hAnsi="Times New Roman"/>
          <w:sz w:val="20"/>
        </w:rPr>
        <w:t xml:space="preserve"> to approve the particular form of any proposed amendment, supplement or waiver, but it shall be sufficient if such consent approves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After an amendment, supplement or waiver under this </w:t>
      </w:r>
      <w:r>
        <w:rPr>
          <w:rFonts w:ascii="Times New Roman" w:hAnsi="Times New Roman"/>
          <w:sz w:val="20"/>
          <w:u w:val="single"/>
        </w:rPr>
        <w:t>Section 9.02</w:t>
      </w:r>
      <w:r>
        <w:rPr>
          <w:rFonts w:ascii="Times New Roman" w:hAnsi="Times New Roman"/>
          <w:sz w:val="20"/>
        </w:rPr>
        <w:t xml:space="preserve">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i/>
          <w:sz w:val="20"/>
        </w:rPr>
        <w:t>Revocation and Effect of Consent</w:t>
      </w:r>
      <w:r>
        <w:rPr>
          <w:rFonts w:ascii="Times New Roman" w:hAnsi="Times New Roman"/>
          <w:sz w:val="20"/>
        </w:rPr>
        <w:t xml:space="preserve">. 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 become effective with respect to any Securities affected thereby on receipt by the Trustee of written consents from the requisite Holders of outstanding Securities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 consent previously given, whether or not such Persons continue to be such Holders after such record date. No such consent shall be valid or effective for more than 90 days after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After an amendment, supplement or waiver becomes effective with respect to the Securities of any series affected thereby, it shall bind every Holder of such Securities unless it is of the type described in any of clauses (a) through (d) of </w:t>
      </w:r>
      <w:r>
        <w:rPr>
          <w:rFonts w:ascii="Times New Roman" w:hAnsi="Times New Roman"/>
          <w:sz w:val="20"/>
          <w:u w:val="single"/>
        </w:rPr>
        <w:t>Section 9.02</w:t>
      </w:r>
      <w:r>
        <w:rPr>
          <w:rFonts w:ascii="Times New Roman" w:hAnsi="Times New Roman"/>
          <w:sz w:val="20"/>
        </w:rPr>
        <w:t xml:space="preserve">. In case of an amendment or waiver of the type described in clauses (a) through (d) of </w:t>
      </w:r>
      <w:r>
        <w:rPr>
          <w:rFonts w:ascii="Times New Roman" w:hAnsi="Times New Roman"/>
          <w:sz w:val="20"/>
          <w:u w:val="single"/>
        </w:rPr>
        <w:t>Section 9.02</w:t>
      </w:r>
      <w:r>
        <w:rPr>
          <w:rFonts w:ascii="Times New Roman" w:hAnsi="Times New Roman"/>
          <w:sz w:val="20"/>
        </w:rPr>
        <w:t xml:space="preserve">, the amendment or waiver shall bind each such Holder who has consented to it and every subsequent Holder of a Security that evidences the same indebtedness as the Security of the consenting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i/>
          <w:sz w:val="20"/>
        </w:rPr>
        <w:t>Notation on or Exchange of Securities</w:t>
      </w:r>
      <w:r>
        <w:rPr>
          <w:rFonts w:ascii="Times New Roman" w:hAnsi="Times New Roman"/>
          <w:sz w:val="20"/>
        </w:rPr>
        <w:t xml:space="preserve">. 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9.05. </w:t>
      </w:r>
      <w:r>
        <w:rPr>
          <w:rFonts w:ascii="Times New Roman" w:hAnsi="Times New Roman"/>
          <w:i/>
          <w:sz w:val="20"/>
        </w:rPr>
        <w:t>Trustee to Sign Amendments, Etc</w:t>
      </w:r>
      <w:r>
        <w:rPr>
          <w:rFonts w:ascii="Times New Roman" w:hAnsi="Times New Roman"/>
          <w:sz w:val="20"/>
        </w:rPr>
        <w:t xml:space="preserve">. The Trustee shall be entitled to receive, and shall be fully protected in relying upon, an Opinion of Counsel stating that the execution of any amendment, supplement or waiver authorized pursuant to this </w:t>
      </w:r>
      <w:r>
        <w:rPr>
          <w:rFonts w:ascii="Times New Roman" w:hAnsi="Times New Roman"/>
          <w:sz w:val="20"/>
          <w:u w:val="single"/>
        </w:rPr>
        <w:t>Article 9</w:t>
      </w:r>
      <w:r>
        <w:rPr>
          <w:rFonts w:ascii="Times New Roman" w:hAnsi="Times New Roman"/>
          <w:sz w:val="20"/>
        </w:rPr>
        <w:t xml:space="preserve">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i/>
          <w:sz w:val="20"/>
        </w:rPr>
        <w:t>Conformity with Trust Indenture Act</w:t>
      </w:r>
      <w:r>
        <w:rPr>
          <w:rFonts w:ascii="Times New Roman" w:hAnsi="Times New Roman"/>
          <w:sz w:val="20"/>
        </w:rPr>
        <w:t xml:space="preserve">. Every supplemental indenture executed pursuant to this </w:t>
      </w:r>
      <w:r>
        <w:rPr>
          <w:rFonts w:ascii="Times New Roman" w:hAnsi="Times New Roman"/>
          <w:sz w:val="20"/>
          <w:u w:val="single"/>
        </w:rPr>
        <w:t>Article 9</w:t>
      </w:r>
      <w:r>
        <w:rPr>
          <w:rFonts w:ascii="Times New Roman" w:hAnsi="Times New Roman"/>
          <w:sz w:val="20"/>
        </w:rPr>
        <w:t xml:space="preserve"> shall conform to the requirements of the Trust Indenture Act as then in effect. </w:t>
      </w:r>
    </w:p>
    <w:p>
      <w:pPr>
        <w:pStyle w:val="TextBody"/>
        <w:bidi w:val="0"/>
        <w:spacing w:before="480" w:after="0"/>
        <w:jc w:val="center"/>
        <w:rPr>
          <w:rFonts w:ascii="Times New Roman" w:hAnsi="Times New Roman"/>
          <w:sz w:val="20"/>
        </w:rPr>
      </w:pPr>
      <w:r>
        <w:rPr>
          <w:rFonts w:ascii="Times New Roman" w:hAnsi="Times New Roman"/>
          <w:sz w:val="20"/>
        </w:rPr>
        <w:t xml:space="preserve">ARTICLE 10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i/>
          <w:sz w:val="20"/>
        </w:rPr>
        <w:t>Trust Indenture Act of 1939</w:t>
      </w:r>
      <w:r>
        <w:rPr>
          <w:rFonts w:ascii="Times New Roman" w:hAnsi="Times New Roman"/>
          <w:sz w:val="20"/>
        </w:rPr>
        <w:t xml:space="preserve">. This Indenture shall incorporate and be governed by the provisions of the Trust Indenture Act that are required to be part of and to govern indentures qualified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i/>
          <w:sz w:val="20"/>
        </w:rPr>
        <w:t>Notices</w:t>
      </w:r>
      <w:r>
        <w:rPr>
          <w:rFonts w:ascii="Times New Roman" w:hAnsi="Times New Roman"/>
          <w:sz w:val="20"/>
        </w:rPr>
        <w:t xml:space="preserve">. Any notice or communication shall be sufficiently given if written and (a) if delivered in person, when received (b) if mailed by first class mail,   days after mailing, or (c) as between the Company and the Trustee if sent by facsimile transmission, when transmission is confirmed, in each case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Pharvaris N.V. </w:t>
      </w:r>
    </w:p>
    <w:p>
      <w:pPr>
        <w:pStyle w:val="TextBody"/>
        <w:bidi w:val="0"/>
        <w:spacing w:before="0" w:after="0"/>
        <w:jc w:val="left"/>
        <w:rPr>
          <w:rFonts w:ascii="Times New Roman" w:hAnsi="Times New Roman"/>
          <w:sz w:val="20"/>
        </w:rPr>
      </w:pPr>
      <w:r>
        <w:rPr>
          <w:rFonts w:ascii="Times New Roman" w:hAnsi="Times New Roman"/>
          <w:sz w:val="20"/>
        </w:rPr>
        <w:t xml:space="preserve">Emmy Noetherweg 2 </w:t>
      </w:r>
    </w:p>
    <w:p>
      <w:pPr>
        <w:pStyle w:val="TextBody"/>
        <w:bidi w:val="0"/>
        <w:spacing w:before="0" w:after="0"/>
        <w:jc w:val="left"/>
        <w:rPr>
          <w:rFonts w:ascii="Times New Roman" w:hAnsi="Times New Roman"/>
          <w:sz w:val="20"/>
        </w:rPr>
      </w:pPr>
      <w:r>
        <w:rPr>
          <w:rFonts w:ascii="Times New Roman" w:hAnsi="Times New Roman"/>
          <w:sz w:val="20"/>
        </w:rPr>
        <w:t xml:space="preserve">2333 BK Leiden, The Netherlands </w:t>
      </w:r>
    </w:p>
    <w:p>
      <w:pPr>
        <w:pStyle w:val="TextBody"/>
        <w:bidi w:val="0"/>
        <w:spacing w:before="0" w:after="0"/>
        <w:jc w:val="left"/>
        <w:rPr>
          <w:rFonts w:ascii="Times New Roman" w:hAnsi="Times New Roman"/>
          <w:sz w:val="20"/>
        </w:rPr>
      </w:pPr>
      <w:r>
        <w:rPr>
          <w:rFonts w:ascii="Times New Roman" w:hAnsi="Times New Roman"/>
          <w:sz w:val="20"/>
        </w:rPr>
        <w:t xml:space="preserve">Facsimile: []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12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Facsimile: []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written notice to the other may designate additional or different addresses for subsequent notices or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notice or communication shall be sufficiently given to Holders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Failure to mail a notice or communication to a Holder or any defect in it shall not affect its sufficiency with respect to other Holders. Except as otherwise provided in this Indenture, if a notice or communication is mailed in the manner provided in this </w:t>
      </w:r>
      <w:r>
        <w:rPr>
          <w:rFonts w:ascii="Times New Roman" w:hAnsi="Times New Roman"/>
          <w:sz w:val="20"/>
          <w:u w:val="single"/>
        </w:rPr>
        <w:t>Section 10.02</w:t>
      </w:r>
      <w:r>
        <w:rPr>
          <w:rFonts w:ascii="Times New Roman" w:hAnsi="Times New Roman"/>
          <w:sz w:val="20"/>
        </w:rPr>
        <w:t xml:space="preserve">, it is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240" w:after="0"/>
        <w:jc w:val="left"/>
        <w:rPr>
          <w:rFonts w:ascii="Times New Roman" w:hAnsi="Times New Roman"/>
          <w:sz w:val="20"/>
        </w:rPr>
      </w:pPr>
      <w:r>
        <w:rPr>
          <w:rFonts w:ascii="Times New Roman" w:hAnsi="Times New Roman"/>
          <w:sz w:val="20"/>
        </w:rPr>
        <w:t xml:space="preserve">In case it shall be impracticable to give notice as herein contemplated, then such notification as shall be made with the approval of the Trustee shall constitute a sufficient notification for every purpose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i/>
          <w:sz w:val="20"/>
        </w:rPr>
        <w:t>Certificate and Opinion as to Conditions Precedent</w:t>
      </w:r>
      <w:r>
        <w:rPr>
          <w:rFonts w:ascii="Times New Roman" w:hAnsi="Times New Roman"/>
          <w:sz w:val="20"/>
        </w:rPr>
        <w:t xml:space="preserve">. Upon any request or application by the Company to the Trustee to take any action under this Indenture, the Company shall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(a) an Officers Certificate stating that, in the opinion of the signers, all conditions precedent, if any, provided for in this Indenture relating to the proposed action have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(b) an Opinion of Counsel stating that, in the opinion of such counsel, all such conditions precedent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i/>
          <w:sz w:val="20"/>
        </w:rPr>
        <w:t>Statements Required in Certificate or Opinion</w:t>
      </w:r>
      <w:r>
        <w:rPr>
          <w:rFonts w:ascii="Times New Roman" w:hAnsi="Times New Roman"/>
          <w:sz w:val="20"/>
        </w:rPr>
        <w:t xml:space="preserve">. Each certificate or opinion with respect to compliance with a condition or covenant provided for in this Indenture (other than the certificate required by </w:t>
      </w:r>
      <w:r>
        <w:rPr>
          <w:rFonts w:ascii="Times New Roman" w:hAnsi="Times New Roman"/>
          <w:sz w:val="20"/>
          <w:u w:val="single"/>
        </w:rPr>
        <w:t>Section 4.04</w:t>
      </w:r>
      <w:r>
        <w:rPr>
          <w:rFonts w:ascii="Times New Roman" w:hAnsi="Times New Roman"/>
          <w:sz w:val="20"/>
        </w:rPr>
        <w:t xml:space="preserve">) shall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each person signing such certificate or opinion has read such covenant or condition and the definitions herein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 or opinion contained in such certificate or opinion is based; </w:t>
      </w:r>
    </w:p>
    <w:p>
      <w:pPr>
        <w:pStyle w:val="TextBody"/>
        <w:bidi w:val="0"/>
        <w:spacing w:before="240" w:after="0"/>
        <w:jc w:val="left"/>
        <w:rPr>
          <w:rFonts w:ascii="Times New Roman" w:hAnsi="Times New Roman"/>
          <w:sz w:val="20"/>
        </w:rPr>
      </w:pPr>
      <w:r>
        <w:rPr>
          <w:rFonts w:ascii="Times New Roman" w:hAnsi="Times New Roman"/>
          <w:sz w:val="20"/>
        </w:rPr>
        <w:t xml:space="preserve">(c) a statement that, in the opinion of each such person, he has made such examination or investigation as is necessary to enable him to express an informed opinion as to whether or not such covenant or condition has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(d) a statement as to whether or not, in the opinion of each such person, such condition or covenant has been complied with;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 respect to matters of fact, an Opinion of Counsel may rely on an Officers Certificate or certificates of public officials.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10.05. </w:t>
      </w:r>
      <w:r>
        <w:rPr>
          <w:rFonts w:ascii="Times New Roman" w:hAnsi="Times New Roman"/>
          <w:i/>
          <w:sz w:val="20"/>
        </w:rPr>
        <w:t>Evidence of Ownership</w:t>
      </w:r>
      <w:r>
        <w:rPr>
          <w:rFonts w:ascii="Times New Roman" w:hAnsi="Times New Roman"/>
          <w:sz w:val="20"/>
        </w:rPr>
        <w:t xml:space="preserve">. 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i/>
          <w:sz w:val="20"/>
        </w:rPr>
        <w:t>Rules by Trustee, Paying Agent or Registrar</w:t>
      </w:r>
      <w:r>
        <w:rPr>
          <w:rFonts w:ascii="Times New Roman" w:hAnsi="Times New Roman"/>
          <w:sz w:val="20"/>
        </w:rPr>
        <w:t xml:space="preserve">. The Trustee may make reasonable rules for action by or at a meeting of Holders. The Paying Agent or Registrar may make reasonable rules for its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i/>
          <w:sz w:val="20"/>
        </w:rPr>
        <w:t>Payment Date Other Than a Business Day</w:t>
      </w:r>
      <w:r>
        <w:rPr>
          <w:rFonts w:ascii="Times New Roman" w:hAnsi="Times New Roman"/>
          <w:sz w:val="20"/>
        </w:rPr>
        <w:t xml:space="preserve">. Except as otherwise provided with respect to a series of Securities, if any date for payment of Principal or interest on any Security shall not be a Business Day at any place of payment, then 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i/>
          <w:sz w:val="20"/>
        </w:rPr>
        <w:t>Governing Law</w:t>
      </w:r>
      <w:r>
        <w:rPr>
          <w:rFonts w:ascii="Times New Roman" w:hAnsi="Times New Roman"/>
          <w:sz w:val="20"/>
        </w:rPr>
        <w:t xml:space="preserve">. The laws of the State of New York shall govern this Indenture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10.09. </w:t>
      </w:r>
      <w:r>
        <w:rPr>
          <w:rFonts w:ascii="Times New Roman" w:hAnsi="Times New Roman"/>
          <w:i/>
          <w:sz w:val="20"/>
        </w:rPr>
        <w:t>No Adverse Interpretation of Other Agreements</w:t>
      </w:r>
      <w:r>
        <w:rPr>
          <w:rFonts w:ascii="Times New Roman" w:hAnsi="Times New Roman"/>
          <w:sz w:val="20"/>
        </w:rPr>
        <w:t xml:space="preserve">. This Indenture may not be used to interpret another indenture or loan or debt agreement of the Company or any Subsidiary of the Company. Any such indenture or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i/>
          <w:sz w:val="20"/>
        </w:rPr>
        <w:t>Successors</w:t>
      </w:r>
      <w:r>
        <w:rPr>
          <w:rFonts w:ascii="Times New Roman" w:hAnsi="Times New Roman"/>
          <w:sz w:val="20"/>
        </w:rPr>
        <w:t xml:space="preserve">. All agreements of the Company in this Indenture and the Securities shall bind its successors. All agreements of the Trustee in this Indenture shall bind its 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i/>
          <w:sz w:val="20"/>
        </w:rPr>
        <w:t>Duplicate Originals</w:t>
      </w:r>
      <w:r>
        <w:rPr>
          <w:rFonts w:ascii="Times New Roman" w:hAnsi="Times New Roman"/>
          <w:sz w:val="20"/>
        </w:rPr>
        <w:t xml:space="preserve">. The parties may sign any number of copies of this Indenture. Each signed copy shall be an original, but all of them together represent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i/>
          <w:sz w:val="20"/>
        </w:rPr>
        <w:t>Separability</w:t>
      </w:r>
      <w:r>
        <w:rPr>
          <w:rFonts w:ascii="Times New Roman" w:hAnsi="Times New Roman"/>
          <w:sz w:val="20"/>
        </w:rPr>
        <w:t xml:space="preserve">. In case any provision in this Indenture or in the Securities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i/>
          <w:sz w:val="20"/>
        </w:rPr>
        <w:t>Table of Contents, Headings, Etc</w:t>
      </w:r>
      <w:r>
        <w:rPr>
          <w:rFonts w:ascii="Times New Roman" w:hAnsi="Times New Roman"/>
          <w:sz w:val="20"/>
        </w:rPr>
        <w:t xml:space="preserve">. The Table of Contents and headings of the Articles and Sections of this Indenture have been inserted for convenience of reference only, are not to be considered a part hereof and shall in no way modify or restrict any of the terms and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10.14. </w:t>
      </w:r>
      <w:r>
        <w:rPr>
          <w:rFonts w:ascii="Times New Roman" w:hAnsi="Times New Roman"/>
          <w:i/>
          <w:sz w:val="20"/>
        </w:rPr>
        <w:t>Incorporators, Stockholders, Officers and Directors of Company Exempt from Individual Liability</w:t>
      </w:r>
      <w:r>
        <w:rPr>
          <w:rFonts w:ascii="Times New Roman" w:hAnsi="Times New Roman"/>
          <w:sz w:val="20"/>
        </w:rPr>
        <w:t xml:space="preserve">. No recourse under or upon any obligation, covenant or agreement contained in this Indenture or any indenture supplemental hereto, or in any Security,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10.15. </w:t>
      </w:r>
      <w:r>
        <w:rPr>
          <w:rFonts w:ascii="Times New Roman" w:hAnsi="Times New Roman"/>
          <w:i/>
          <w:sz w:val="20"/>
        </w:rPr>
        <w:t>Judgment Currency</w:t>
      </w:r>
      <w:r>
        <w:rPr>
          <w:rFonts w:ascii="Times New Roman" w:hAnsi="Times New Roman"/>
          <w:sz w:val="20"/>
        </w:rPr>
        <w:t>. The Company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Times New Roman" w:hAnsi="Times New Roman"/>
          <w:b/>
          <w:sz w:val="20"/>
        </w:rPr>
        <w:t>Required Currency</w:t>
      </w:r>
      <w:r>
        <w:rPr>
          <w:rFonts w:ascii="Times New Roman" w:hAnsi="Times New Roman"/>
          <w:sz w:val="20"/>
        </w:rPr>
        <w:t>) into a currency in which a judgment will be rendered (the </w:t>
      </w:r>
      <w:r>
        <w:rPr>
          <w:rFonts w:ascii="Times New Roman" w:hAnsi="Times New Roman"/>
          <w:b/>
          <w:sz w:val="20"/>
        </w:rPr>
        <w:t>Judgment Currency</w:t>
      </w:r>
      <w:r>
        <w:rPr>
          <w:rFonts w:ascii="Times New Roman" w:hAnsi="Times New Roman"/>
          <w:sz w:val="20"/>
        </w:rPr>
        <w:t xml:space="preserve">),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10.16. </w:t>
      </w:r>
      <w:r>
        <w:rPr>
          <w:rFonts w:ascii="Times New Roman" w:hAnsi="Times New Roman"/>
          <w:i/>
          <w:sz w:val="20"/>
        </w:rPr>
        <w:t>Waiver of Jury Trial</w:t>
      </w:r>
      <w:r>
        <w:rPr>
          <w:rFonts w:ascii="Times New Roman" w:hAnsi="Times New Roman"/>
          <w:sz w:val="20"/>
        </w:rPr>
        <w:t xml:space="preserve">. EACH OF THE COMPANY AND THE TRUSTEE IRREVOCABLY WAIVES, TO THE FULLEST EXTENT PERMITTED BY APPLICABLE LAW, ANY AND ALL RIGHT TO TRIAL BY JURY IN ANY LEGAL PROCEEDING ARISING OUT OF OR RELATING TO THIS INDENTURE, THE SECURITIES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10.17. </w:t>
      </w:r>
      <w:r>
        <w:rPr>
          <w:rFonts w:ascii="Times New Roman" w:hAnsi="Times New Roman"/>
          <w:i/>
          <w:sz w:val="20"/>
        </w:rPr>
        <w:t>Force Majeure</w:t>
      </w:r>
      <w:r>
        <w:rPr>
          <w:rFonts w:ascii="Times New Roman" w:hAnsi="Times New Roman"/>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all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27"/>
        <w:gridCol w:w="70"/>
        <w:gridCol w:w="3585"/>
      </w:tblGrid>
      <w:tr>
        <w:trPr/>
        <w:tc>
          <w:tcPr>
            <w:tcW w:w="427"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58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PHARVARIS N.V.</w:t>
            </w:r>
          </w:p>
          <w:p>
            <w:pPr>
              <w:pStyle w:val="TableContents"/>
              <w:bidi w:val="0"/>
              <w:spacing w:before="0" w:after="20"/>
              <w:jc w:val="left"/>
              <w:rPr>
                <w:rFonts w:ascii="Times New Roman" w:hAnsi="Times New Roman"/>
                <w:sz w:val="20"/>
              </w:rPr>
            </w:pPr>
            <w:r>
              <w:rPr>
                <w:rFonts w:ascii="Times New Roman" w:hAnsi="Times New Roman"/>
                <w:sz w:val="20"/>
              </w:rPr>
              <w:t>as the Company</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pPr>
            <w:r>
              <w:rPr/>
              <w:t>By:</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3585" w:type="dxa"/>
            <w:tcBorders>
              <w:bottom w:val="single" w:sz="2" w:space="0" w:color="000000"/>
            </w:tcBorders>
            <w:tcMar>
              <w:bottom w:w="28" w:type="dxa"/>
            </w:tcMar>
          </w:tcPr>
          <w:p>
            <w:pPr>
              <w:pStyle w:val="TableContents"/>
              <w:bidi w:val="0"/>
              <w:spacing w:before="0" w:after="283"/>
              <w:jc w:val="left"/>
              <w:rPr/>
            </w:pPr>
            <w:r>
              <w:rPr/>
              <w:t> </w:t>
            </w:r>
          </w:p>
        </w:tc>
      </w:tr>
      <w:tr>
        <w:trPr/>
        <w:tc>
          <w:tcPr>
            <w:tcW w:w="427" w:type="dxa"/>
            <w:tcBorders/>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left"/>
              <w:rPr/>
            </w:pPr>
            <w:r>
              <w:rPr/>
              <w:t>Name:</w:t>
            </w:r>
          </w:p>
        </w:tc>
      </w:tr>
      <w:tr>
        <w:trPr/>
        <w:tc>
          <w:tcPr>
            <w:tcW w:w="427" w:type="dxa"/>
            <w:tcBorders/>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left"/>
              <w:rPr/>
            </w:pPr>
            <w:r>
              <w:rPr/>
              <w:t>Title:</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sz w:val="4"/>
                <w:szCs w:val="4"/>
              </w:rPr>
            </w:pPr>
            <w:r>
              <w:rPr>
                <w:sz w:val="4"/>
                <w:szCs w:val="4"/>
              </w:rPr>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3585" w:type="dxa"/>
            <w:tcBorders>
              <w:bottom w:val="single" w:sz="2" w:space="0" w:color="000000"/>
            </w:tcBorders>
            <w:tcMar>
              <w:bottom w:w="28" w:type="dxa"/>
            </w:tcMar>
          </w:tcPr>
          <w:p>
            <w:pPr>
              <w:pStyle w:val="TableContents"/>
              <w:bidi w:val="0"/>
              <w:spacing w:before="0" w:after="283"/>
              <w:jc w:val="left"/>
              <w:rPr/>
            </w:pPr>
            <w:r>
              <w:rPr/>
              <w:t> </w:t>
            </w:r>
          </w:p>
        </w:tc>
      </w:tr>
      <w:tr>
        <w:trPr/>
        <w:tc>
          <w:tcPr>
            <w:tcW w:w="427" w:type="dxa"/>
            <w:tcBorders/>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left"/>
              <w:rPr/>
            </w:pPr>
            <w:r>
              <w:rPr/>
              <w:t>Name:</w:t>
            </w:r>
          </w:p>
        </w:tc>
      </w:tr>
      <w:tr>
        <w:trPr/>
        <w:tc>
          <w:tcPr>
            <w:tcW w:w="427" w:type="dxa"/>
            <w:tcBorders/>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the Trustee</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pPr>
            <w:r>
              <w:rPr/>
              <w:t>By:</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3585" w:type="dxa"/>
            <w:tcBorders>
              <w:bottom w:val="single" w:sz="2" w:space="0" w:color="000000"/>
            </w:tcBorders>
            <w:tcMar>
              <w:bottom w:w="28" w:type="dxa"/>
            </w:tcMar>
          </w:tcPr>
          <w:p>
            <w:pPr>
              <w:pStyle w:val="TableContents"/>
              <w:bidi w:val="0"/>
              <w:spacing w:before="0" w:after="283"/>
              <w:jc w:val="left"/>
              <w:rPr/>
            </w:pPr>
            <w:r>
              <w:rPr/>
              <w:t> </w:t>
            </w:r>
          </w:p>
        </w:tc>
      </w:tr>
      <w:tr>
        <w:trPr/>
        <w:tc>
          <w:tcPr>
            <w:tcW w:w="427" w:type="dxa"/>
            <w:tcBorders/>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left"/>
              <w:rPr/>
            </w:pPr>
            <w:r>
              <w:rPr/>
              <w:t>Name:</w:t>
            </w:r>
          </w:p>
        </w:tc>
      </w:tr>
      <w:tr>
        <w:trPr/>
        <w:tc>
          <w:tcPr>
            <w:tcW w:w="427" w:type="dxa"/>
            <w:tcBorders/>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left"/>
              <w:rPr/>
            </w:pPr>
            <w:r>
              <w:rPr/>
              <w:t>Title:</w:t>
            </w:r>
          </w:p>
        </w:tc>
      </w:tr>
    </w:tbl>
    <w:p>
      <w:pPr>
        <w:pStyle w:val="TextBody"/>
        <w:bidi w:val="0"/>
        <w:spacing w:before="0" w:after="0"/>
        <w:jc w:val="right"/>
        <w:rPr>
          <w:rFonts w:ascii="Times New Roman" w:hAnsi="Times New Roman"/>
          <w:b/>
          <w:sz w:val="20"/>
        </w:rPr>
      </w:pPr>
      <w:bookmarkStart w:id="44" w:name="d807379dex43.htm"/>
      <w:bookmarkStart w:id="45" w:name="ksd807379dex43"/>
      <w:bookmarkEnd w:id="44"/>
      <w:bookmarkEnd w:id="45"/>
      <w:r>
        <w:rPr>
          <w:rFonts w:ascii="Times New Roman" w:hAnsi="Times New Roman"/>
          <w:b/>
          <w:sz w:val="20"/>
        </w:rPr>
        <w:t xml:space="preserve">Exhibit 4.3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Pharvaris N.V. </w:t>
      </w:r>
    </w:p>
    <w:p>
      <w:pPr>
        <w:pStyle w:val="TextBody"/>
        <w:bidi w:val="0"/>
        <w:spacing w:before="240" w:after="0"/>
        <w:jc w:val="center"/>
        <w:rPr>
          <w:rFonts w:ascii="Times New Roman" w:hAnsi="Times New Roman"/>
          <w:b/>
          <w:sz w:val="20"/>
        </w:rPr>
      </w:pPr>
      <w:r>
        <w:rPr>
          <w:rFonts w:ascii="Times New Roman" w:hAnsi="Times New Roman"/>
          <w:b/>
          <w:sz w:val="20"/>
        </w:rPr>
        <w:t xml:space="preserve">as the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Subordinated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62"/>
        <w:gridCol w:w="125"/>
        <w:gridCol w:w="7558"/>
        <w:gridCol w:w="175"/>
        <w:gridCol w:w="96"/>
        <w:gridCol w:w="425"/>
        <w:gridCol w:w="64"/>
      </w:tblGrid>
      <w:tr>
        <w:trPr/>
        <w:tc>
          <w:tcPr>
            <w:tcW w:w="176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558"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62"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1"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center"/>
              <w:rPr/>
            </w:pPr>
            <w:r>
              <w:rPr/>
              <w:t>ARTICLE 1</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center"/>
              <w:rPr/>
            </w:pPr>
            <w:r>
              <w:rPr/>
              <w:t>D</w:t>
            </w:r>
            <w:r>
              <w:rPr>
                <w:sz w:val="20"/>
              </w:rPr>
              <w:t>EFINITIONS</w:t>
            </w:r>
            <w:r>
              <w:rPr/>
              <w:t xml:space="preserve"> </w:t>
            </w:r>
            <w:r>
              <w:rPr>
                <w:sz w:val="20"/>
              </w:rPr>
              <w:t>AND</w:t>
            </w:r>
            <w:r>
              <w:rPr/>
              <w:t xml:space="preserve"> I</w:t>
            </w:r>
            <w:r>
              <w:rPr>
                <w:sz w:val="20"/>
              </w:rPr>
              <w:t>NCORPORATION</w:t>
            </w:r>
            <w:r>
              <w:rPr/>
              <w:t xml:space="preserve"> </w:t>
            </w:r>
            <w:r>
              <w:rPr>
                <w:sz w:val="20"/>
              </w:rPr>
              <w:t>BY</w:t>
            </w:r>
            <w:r>
              <w:rPr/>
              <w:t xml:space="preserve"> R</w:t>
            </w:r>
            <w:r>
              <w:rPr>
                <w:sz w:val="20"/>
              </w:rPr>
              <w:t>EFERENCE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1.01.</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1.02.</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Other 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1.03.</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Incorporation by Reference of Trust Indenture Act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1.04.</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Rules of Construction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center"/>
              <w:rPr/>
            </w:pPr>
            <w:r>
              <w:rPr/>
              <w:t>ARTICLE 2</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center"/>
              <w:rPr/>
            </w:pPr>
            <w:r>
              <w:rPr/>
              <w:t>T</w:t>
            </w:r>
            <w:r>
              <w:rPr>
                <w:sz w:val="20"/>
              </w:rPr>
              <w:t>HE</w:t>
            </w:r>
            <w:r>
              <w:rPr/>
              <w:t xml:space="preserve"> S</w:t>
            </w:r>
            <w:r>
              <w:rPr>
                <w:sz w:val="20"/>
              </w:rPr>
              <w:t>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2.01.</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Form and Dating</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2.02.</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Execution and Authentication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2.03.</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Amount Unlimited; Issuable in Series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2.04.</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Denomination and Date of Securities; Payments of Interest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2.05.</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Registrar and Paying Agent; Agents Generally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2.06.</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Paying Agent to Hold Money in Trust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2.07.</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Transfer and Exchange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2.08.</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Replacement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2.09.</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2.10.</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Temporary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2.11.</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Cancellation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2.12.</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CUSIP Numbers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2.13.</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Defaulted Interest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762" w:type="dxa"/>
            <w:tcBorders/>
            <w:vAlign w:val="center"/>
          </w:tcPr>
          <w:p>
            <w:pPr>
              <w:pStyle w:val="TableContents"/>
              <w:bidi w:val="0"/>
              <w:spacing w:before="0" w:after="283"/>
              <w:jc w:val="left"/>
              <w:rPr>
                <w:sz w:val="4"/>
                <w:szCs w:val="4"/>
              </w:rPr>
            </w:pPr>
            <w:r>
              <w:rPr>
                <w:sz w:val="4"/>
                <w:szCs w:val="4"/>
              </w:rPr>
            </w:r>
          </w:p>
        </w:tc>
        <w:tc>
          <w:tcPr>
            <w:tcW w:w="768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62" w:type="dxa"/>
            <w:tcBorders/>
          </w:tcPr>
          <w:p>
            <w:pPr>
              <w:pStyle w:val="TableContents"/>
              <w:bidi w:val="0"/>
              <w:spacing w:before="0" w:after="283"/>
              <w:jc w:val="left"/>
              <w:rPr/>
            </w:pPr>
            <w:r>
              <w:rPr/>
              <w:t>Section 2.14.</w:t>
            </w:r>
          </w:p>
        </w:tc>
        <w:tc>
          <w:tcPr>
            <w:tcW w:w="125" w:type="dxa"/>
            <w:tcBorders/>
            <w:vAlign w:val="bottom"/>
          </w:tcPr>
          <w:p>
            <w:pPr>
              <w:pStyle w:val="TableContents"/>
              <w:bidi w:val="0"/>
              <w:spacing w:before="0" w:after="283"/>
              <w:jc w:val="left"/>
              <w:rPr/>
            </w:pPr>
            <w:r>
              <w:rPr/>
              <w:t> </w:t>
            </w:r>
          </w:p>
        </w:tc>
        <w:tc>
          <w:tcPr>
            <w:tcW w:w="7558" w:type="dxa"/>
            <w:tcBorders/>
          </w:tcPr>
          <w:p>
            <w:pPr>
              <w:pStyle w:val="TableContents"/>
              <w:bidi w:val="0"/>
              <w:spacing w:before="0" w:after="0"/>
              <w:jc w:val="left"/>
              <w:rPr>
                <w:rFonts w:ascii="Times New Roman" w:hAnsi="Times New Roman"/>
                <w:sz w:val="20"/>
              </w:rPr>
            </w:pPr>
            <w:r>
              <w:rPr>
                <w:rFonts w:ascii="Times New Roman" w:hAnsi="Times New Roman"/>
                <w:sz w:val="20"/>
              </w:rPr>
              <w:t>Series May Include Tranches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661"/>
        <w:gridCol w:w="123"/>
        <w:gridCol w:w="7867"/>
        <w:gridCol w:w="165"/>
        <w:gridCol w:w="60"/>
        <w:gridCol w:w="265"/>
        <w:gridCol w:w="64"/>
      </w:tblGrid>
      <w:tr>
        <w:trPr/>
        <w:tc>
          <w:tcPr>
            <w:tcW w:w="16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867"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ARTICLE 3</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R</w:t>
            </w:r>
            <w:r>
              <w:rPr>
                <w:sz w:val="20"/>
              </w:rPr>
              <w:t>EDEMPTION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3.01.</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Applicability of Article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3.02.</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Notice of Redemption; Partial Redemptions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3.03.</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Payment of Securities Called for Redemption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3.04.</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Exclusion of Certain Securities from Eligibility for Selection for Redemption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3.05.</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Mandatory and Optional Sinking Funds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3"/>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ARTICLE 4</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C</w:t>
            </w:r>
            <w:r>
              <w:rPr>
                <w:sz w:val="20"/>
              </w:rPr>
              <w:t>OVENANTS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4.01.</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Payment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4.02.</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Office or Agency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4.03.</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Securityholders Lists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4.04.</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to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4.05.</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the Company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4.06.</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Amounts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3"/>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ARTICLE 5</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S</w:t>
            </w:r>
            <w:r>
              <w:rPr>
                <w:sz w:val="20"/>
              </w:rPr>
              <w:t>UCCESSOR</w:t>
            </w:r>
            <w:r>
              <w:rPr/>
              <w:t xml:space="preserve"> C</w:t>
            </w:r>
            <w:r>
              <w:rPr>
                <w:sz w:val="20"/>
              </w:rPr>
              <w:t>ORPORATION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5.01.</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When Company May Merge,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5.02.</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Successor Substituted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3"/>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ARTICLE 6</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D</w:t>
            </w:r>
            <w:r>
              <w:rPr>
                <w:sz w:val="20"/>
              </w:rPr>
              <w:t>EFAULT</w:t>
            </w:r>
            <w:r>
              <w:rPr/>
              <w:t xml:space="preserve"> </w:t>
            </w:r>
            <w:r>
              <w:rPr>
                <w:sz w:val="20"/>
              </w:rPr>
              <w:t>AND</w:t>
            </w:r>
            <w:r>
              <w:rPr/>
              <w:t xml:space="preserve"> R</w:t>
            </w:r>
            <w:r>
              <w:rPr>
                <w:sz w:val="20"/>
              </w:rPr>
              <w:t>EMEDIES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6.01.</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6.02.</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6.03.</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Other Remedies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6.04.</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Waiver of Past Defaults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1661" w:type="dxa"/>
            <w:tcBorders/>
            <w:vAlign w:val="center"/>
          </w:tcPr>
          <w:p>
            <w:pPr>
              <w:pStyle w:val="TableContents"/>
              <w:bidi w:val="0"/>
              <w:spacing w:before="0" w:after="283"/>
              <w:jc w:val="left"/>
              <w:rPr>
                <w:sz w:val="4"/>
                <w:szCs w:val="4"/>
              </w:rPr>
            </w:pPr>
            <w:r>
              <w:rPr>
                <w:sz w:val="4"/>
                <w:szCs w:val="4"/>
              </w:rPr>
            </w:r>
          </w:p>
        </w:tc>
        <w:tc>
          <w:tcPr>
            <w:tcW w:w="7990"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Section 6.05.</w:t>
            </w:r>
          </w:p>
        </w:tc>
        <w:tc>
          <w:tcPr>
            <w:tcW w:w="123" w:type="dxa"/>
            <w:tcBorders/>
            <w:vAlign w:val="bottom"/>
          </w:tcPr>
          <w:p>
            <w:pPr>
              <w:pStyle w:val="TableContents"/>
              <w:bidi w:val="0"/>
              <w:spacing w:before="0" w:after="283"/>
              <w:jc w:val="left"/>
              <w:rPr/>
            </w:pPr>
            <w:r>
              <w:rPr/>
              <w:t> </w:t>
            </w:r>
          </w:p>
        </w:tc>
        <w:tc>
          <w:tcPr>
            <w:tcW w:w="7867" w:type="dxa"/>
            <w:tcBorders/>
          </w:tcPr>
          <w:p>
            <w:pPr>
              <w:pStyle w:val="TableContents"/>
              <w:bidi w:val="0"/>
              <w:spacing w:before="0" w:after="0"/>
              <w:jc w:val="left"/>
              <w:rPr>
                <w:rFonts w:ascii="Times New Roman" w:hAnsi="Times New Roman"/>
                <w:sz w:val="20"/>
              </w:rPr>
            </w:pPr>
            <w:r>
              <w:rPr>
                <w:rFonts w:ascii="Times New Roman" w:hAnsi="Times New Roman"/>
                <w:sz w:val="20"/>
              </w:rPr>
              <w:t>Control by Majority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56"/>
        <w:gridCol w:w="123"/>
        <w:gridCol w:w="7874"/>
        <w:gridCol w:w="165"/>
        <w:gridCol w:w="60"/>
        <w:gridCol w:w="263"/>
        <w:gridCol w:w="64"/>
      </w:tblGrid>
      <w:tr>
        <w:trPr/>
        <w:tc>
          <w:tcPr>
            <w:tcW w:w="16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87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6.06.</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Suits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6.07.</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Rights of Holders to Receive Payment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6.08.</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Collection Suit by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6.09.</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Trustee May File Proofs of Claim</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6.10.</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Proceeds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6.11.</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Restoration of Rights and Remedies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6.12.</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Undertaking for Costs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6.13.</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Rights and Remedies Cumulative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6.14.</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Delay or Omission not Waiver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center"/>
              <w:rPr/>
            </w:pPr>
            <w:r>
              <w:rPr/>
              <w:t>ARTICLE 7</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3" w:type="dxa"/>
            <w:gridSpan w:val="3"/>
            <w:tcBorders/>
          </w:tcPr>
          <w:p>
            <w:pPr>
              <w:pStyle w:val="TableContents"/>
              <w:bidi w:val="0"/>
              <w:spacing w:before="0" w:after="283"/>
              <w:jc w:val="center"/>
              <w:rPr/>
            </w:pPr>
            <w:r>
              <w:rPr/>
              <w:t>T</w:t>
            </w:r>
            <w:r>
              <w:rPr>
                <w:sz w:val="20"/>
              </w:rPr>
              <w: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7.01.</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General</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7.02.</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Certain Rights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7.03.</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Individual Rights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7.04.</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Trustees Disclaimer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7.05.</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Notice of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7.06.</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Trustee to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7.07.</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Indemnity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7.08.</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Replacement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7.09.</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Acceptance of Appointment by Successor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7.10.</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Successor Trustee By Merger,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7.11.</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Eligibility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997"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Section 7.12.</w:t>
            </w:r>
          </w:p>
        </w:tc>
        <w:tc>
          <w:tcPr>
            <w:tcW w:w="123" w:type="dxa"/>
            <w:tcBorders/>
            <w:vAlign w:val="bottom"/>
          </w:tcPr>
          <w:p>
            <w:pPr>
              <w:pStyle w:val="TableContents"/>
              <w:bidi w:val="0"/>
              <w:spacing w:before="0" w:after="283"/>
              <w:jc w:val="left"/>
              <w:rPr/>
            </w:pPr>
            <w:r>
              <w:rPr/>
              <w:t> </w:t>
            </w:r>
          </w:p>
        </w:tc>
        <w:tc>
          <w:tcPr>
            <w:tcW w:w="7874" w:type="dxa"/>
            <w:tcBorders/>
          </w:tcPr>
          <w:p>
            <w:pPr>
              <w:pStyle w:val="TableContents"/>
              <w:bidi w:val="0"/>
              <w:spacing w:before="0" w:after="0"/>
              <w:jc w:val="left"/>
              <w:rPr>
                <w:rFonts w:ascii="Times New Roman" w:hAnsi="Times New Roman"/>
                <w:sz w:val="20"/>
              </w:rPr>
            </w:pPr>
            <w:r>
              <w:rPr>
                <w:rFonts w:ascii="Times New Roman" w:hAnsi="Times New Roman"/>
                <w:sz w:val="20"/>
              </w:rPr>
              <w:t>Money Held in Trust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28"/>
        <w:gridCol w:w="123"/>
        <w:gridCol w:w="7700"/>
        <w:gridCol w:w="165"/>
        <w:gridCol w:w="60"/>
        <w:gridCol w:w="265"/>
        <w:gridCol w:w="64"/>
      </w:tblGrid>
      <w:tr>
        <w:trPr/>
        <w:tc>
          <w:tcPr>
            <w:tcW w:w="182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70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ARTICLE 8</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S</w:t>
            </w:r>
            <w:r>
              <w:rPr>
                <w:sz w:val="20"/>
              </w:rPr>
              <w:t>ATISFACTION</w:t>
            </w:r>
            <w:r>
              <w:rPr/>
              <w:t xml:space="preserve"> </w:t>
            </w:r>
            <w:r>
              <w:rPr>
                <w:sz w:val="20"/>
              </w:rPr>
              <w:t>AND</w:t>
            </w:r>
            <w:r>
              <w:rPr/>
              <w:t xml:space="preserve"> D</w:t>
            </w:r>
            <w:r>
              <w:rPr>
                <w:sz w:val="20"/>
              </w:rPr>
              <w:t>ISCHARGE</w:t>
            </w:r>
            <w:r>
              <w:rPr/>
              <w:t xml:space="preserve"> </w:t>
            </w:r>
            <w:r>
              <w:rPr>
                <w:sz w:val="20"/>
              </w:rPr>
              <w:t>OF</w:t>
            </w:r>
            <w:r>
              <w:rPr/>
              <w:t xml:space="preserve"> I</w:t>
            </w:r>
            <w:r>
              <w:rPr>
                <w:sz w:val="20"/>
              </w:rPr>
              <w:t>NDENTURE</w:t>
            </w:r>
            <w:r>
              <w:rPr/>
              <w:t>; U</w:t>
            </w:r>
            <w:r>
              <w:rPr>
                <w:sz w:val="20"/>
              </w:rPr>
              <w:t>NCLAIMED</w:t>
            </w:r>
            <w:r>
              <w:rPr/>
              <w:t xml:space="preserve"> M</w:t>
            </w:r>
            <w:r>
              <w:rPr>
                <w:sz w:val="20"/>
              </w:rPr>
              <w:t>ONEYS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8.01.</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and Discharge of Indenture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8.02.</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by Trustee of Funds Deposited for Payment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8.03.</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Moneys Held by Paying Agent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8.04.</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Return of Moneys Held by Trustee and Paying Agent Unclaimed for Two Years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8.05.</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Defeasance and Discharge of Indenture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8.06.</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Defeasance of Certain Obligations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8.07.</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Reinstatement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8.08.</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Indemnity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8.09.</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Excess Funds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8.10.</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Qualifying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3"/>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ARTICLE 9</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w:t>
            </w:r>
            <w:r>
              <w:rPr>
                <w:sz w:val="20"/>
              </w:rPr>
              <w:t>MENDMENTS</w:t>
            </w:r>
            <w:r>
              <w:rPr/>
              <w:t>, S</w:t>
            </w:r>
            <w:r>
              <w:rPr>
                <w:sz w:val="20"/>
              </w:rPr>
              <w:t>UPPLEMENTS</w:t>
            </w:r>
            <w:r>
              <w:rPr/>
              <w:t xml:space="preserve"> </w:t>
            </w:r>
            <w:r>
              <w:rPr>
                <w:sz w:val="20"/>
              </w:rPr>
              <w:t>AND</w:t>
            </w:r>
            <w:r>
              <w:rPr/>
              <w:t xml:space="preserve"> W</w:t>
            </w:r>
            <w:r>
              <w:rPr>
                <w:sz w:val="20"/>
              </w:rPr>
              <w:t>AIVERS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9.01.</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Without Consent of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9.02.</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With Consent of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9.03.</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Revocation and Effect of Consent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9.04.</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Notation on or Exchange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9.05.</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Trustee to Sign Amendments,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9.06.</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Conformity with Trust Indenture Act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3"/>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ARTICLE 10</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283"/>
              <w:jc w:val="center"/>
              <w:rPr/>
            </w:pPr>
            <w:r>
              <w:rPr/>
              <w:t>M</w:t>
            </w:r>
            <w:r>
              <w:rPr>
                <w:sz w:val="20"/>
              </w:rPr>
              <w:t>ISCELLANEOUS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10.01.</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Trust Indenture Act of 1939</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10.02.</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10.03.</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and Opinion as to Conditions Precedent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10.04.</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Statements Required in Certificate or Opinion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10.05.</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Evidence of Ownership</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1828" w:type="dxa"/>
            <w:tcBorders/>
            <w:vAlign w:val="center"/>
          </w:tcPr>
          <w:p>
            <w:pPr>
              <w:pStyle w:val="TableContents"/>
              <w:bidi w:val="0"/>
              <w:spacing w:before="0" w:after="283"/>
              <w:jc w:val="left"/>
              <w:rPr>
                <w:sz w:val="4"/>
                <w:szCs w:val="4"/>
              </w:rPr>
            </w:pPr>
            <w:r>
              <w:rPr>
                <w:sz w:val="4"/>
                <w:szCs w:val="4"/>
              </w:rPr>
            </w:r>
          </w:p>
        </w:tc>
        <w:tc>
          <w:tcPr>
            <w:tcW w:w="7823"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283"/>
              <w:jc w:val="left"/>
              <w:rPr/>
            </w:pPr>
            <w:r>
              <w:rPr/>
              <w:t>Section 10.06.</w:t>
            </w:r>
          </w:p>
        </w:tc>
        <w:tc>
          <w:tcPr>
            <w:tcW w:w="123" w:type="dxa"/>
            <w:tcBorders/>
            <w:vAlign w:val="bottom"/>
          </w:tcPr>
          <w:p>
            <w:pPr>
              <w:pStyle w:val="TableContents"/>
              <w:bidi w:val="0"/>
              <w:spacing w:before="0" w:after="283"/>
              <w:jc w:val="left"/>
              <w:rPr/>
            </w:pPr>
            <w:r>
              <w:rPr/>
              <w:t> </w:t>
            </w:r>
          </w:p>
        </w:tc>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Rules by Trustee, Paying Agent or Registrar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05"/>
        <w:gridCol w:w="122"/>
        <w:gridCol w:w="7730"/>
        <w:gridCol w:w="163"/>
        <w:gridCol w:w="60"/>
        <w:gridCol w:w="261"/>
        <w:gridCol w:w="64"/>
      </w:tblGrid>
      <w:tr>
        <w:trPr/>
        <w:tc>
          <w:tcPr>
            <w:tcW w:w="180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30"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10.07.</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Payment Date Other Than a Business Day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10.08.</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10.09.</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No Adverse Interpretation of Other Agreements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10.10.</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Successors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10.11.</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Duplicate Originals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10.12.</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Separability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10.13.</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Table of Contents, Headings, Etc.</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10.14.</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Incorporators, Stockholders, Officers and Directors of Company Exempt from Individual Liability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10.15.</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Judgment Currency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10.16.</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10.17.</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Force Majeure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rHeight w:val="120" w:hRule="atLeast"/>
        </w:trPr>
        <w:tc>
          <w:tcPr>
            <w:tcW w:w="9657" w:type="dxa"/>
            <w:gridSpan w:val="3"/>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9657" w:type="dxa"/>
            <w:gridSpan w:val="3"/>
            <w:tcBorders/>
          </w:tcPr>
          <w:p>
            <w:pPr>
              <w:pStyle w:val="TableContents"/>
              <w:bidi w:val="0"/>
              <w:spacing w:before="0" w:after="283"/>
              <w:jc w:val="center"/>
              <w:rPr/>
            </w:pPr>
            <w:r>
              <w:rPr/>
              <w:t>ARTICLE 11</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57" w:type="dxa"/>
            <w:gridSpan w:val="3"/>
            <w:tcBorders/>
          </w:tcPr>
          <w:p>
            <w:pPr>
              <w:pStyle w:val="TableContents"/>
              <w:bidi w:val="0"/>
              <w:spacing w:before="0" w:after="283"/>
              <w:jc w:val="center"/>
              <w:rPr/>
            </w:pPr>
            <w:r>
              <w:rPr/>
              <w:t>S</w:t>
            </w:r>
            <w:r>
              <w:rPr>
                <w:sz w:val="20"/>
              </w:rPr>
              <w:t>UBORDINATION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11.01.</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Agreement to Subordinate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11.02.</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Payments to Securityholders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11.03.</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Subrogation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11.04.</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by Securityholders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11.05.</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Notice to Trustee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11.06.</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Trustees Relation to Senior Indebtedness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rHeight w:val="120" w:hRule="atLeast"/>
        </w:trPr>
        <w:tc>
          <w:tcPr>
            <w:tcW w:w="1805" w:type="dxa"/>
            <w:tcBorders/>
            <w:vAlign w:val="center"/>
          </w:tcPr>
          <w:p>
            <w:pPr>
              <w:pStyle w:val="TableContents"/>
              <w:bidi w:val="0"/>
              <w:spacing w:before="0" w:after="283"/>
              <w:jc w:val="left"/>
              <w:rPr>
                <w:sz w:val="4"/>
                <w:szCs w:val="4"/>
              </w:rPr>
            </w:pPr>
            <w:r>
              <w:rPr>
                <w:sz w:val="4"/>
                <w:szCs w:val="4"/>
              </w:rPr>
            </w:r>
          </w:p>
        </w:tc>
        <w:tc>
          <w:tcPr>
            <w:tcW w:w="7852"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tcPr>
          <w:p>
            <w:pPr>
              <w:pStyle w:val="TableContents"/>
              <w:bidi w:val="0"/>
              <w:spacing w:before="0" w:after="283"/>
              <w:jc w:val="left"/>
              <w:rPr/>
            </w:pPr>
            <w:r>
              <w:rPr/>
              <w:t>Section 11.07.</w:t>
            </w:r>
          </w:p>
        </w:tc>
        <w:tc>
          <w:tcPr>
            <w:tcW w:w="122" w:type="dxa"/>
            <w:tcBorders/>
            <w:vAlign w:val="bottom"/>
          </w:tcPr>
          <w:p>
            <w:pPr>
              <w:pStyle w:val="TableContents"/>
              <w:bidi w:val="0"/>
              <w:spacing w:before="0" w:after="283"/>
              <w:jc w:val="left"/>
              <w:rPr/>
            </w:pPr>
            <w:r>
              <w:rPr/>
              <w:t> </w:t>
            </w:r>
          </w:p>
        </w:tc>
        <w:tc>
          <w:tcPr>
            <w:tcW w:w="7730" w:type="dxa"/>
            <w:tcBorders/>
          </w:tcPr>
          <w:p>
            <w:pPr>
              <w:pStyle w:val="TableContents"/>
              <w:bidi w:val="0"/>
              <w:spacing w:before="0" w:after="0"/>
              <w:jc w:val="left"/>
              <w:rPr>
                <w:rFonts w:ascii="Times New Roman" w:hAnsi="Times New Roman"/>
                <w:sz w:val="20"/>
              </w:rPr>
            </w:pPr>
            <w:r>
              <w:rPr>
                <w:rFonts w:ascii="Times New Roman" w:hAnsi="Times New Roman"/>
                <w:sz w:val="20"/>
              </w:rPr>
              <w:t>No Impairment of Subordination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SUBORDINATED INDENTURE, dated as of [, ], between Pharvaris N.V., a Dutch public company with limited liability (</w:t>
      </w:r>
      <w:r>
        <w:rPr>
          <w:rFonts w:ascii="Times New Roman" w:hAnsi="Times New Roman"/>
          <w:i/>
          <w:sz w:val="20"/>
        </w:rPr>
        <w:t>naamloze vennootschap</w:t>
      </w:r>
      <w:r>
        <w:rPr>
          <w:rFonts w:ascii="Times New Roman" w:hAnsi="Times New Roman"/>
          <w:sz w:val="20"/>
        </w:rPr>
        <w:t xml:space="preserve">), as the Company, and [], as Trustee.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sz w:val="20"/>
        </w:rPr>
        <w:t>WHEREAS, the Company has duly authorized the issue from time to time of its subordinated debentures, notes or other evidences of indebtedness to be issued in one or more series (the </w:t>
      </w:r>
      <w:r>
        <w:rPr>
          <w:rFonts w:ascii="Times New Roman" w:hAnsi="Times New Roman"/>
          <w:b/>
          <w:sz w:val="20"/>
        </w:rPr>
        <w:t>Securities</w:t>
      </w:r>
      <w:r>
        <w:rPr>
          <w:rFonts w:ascii="Times New Roman" w:hAnsi="Times New Roman"/>
          <w:sz w:val="20"/>
        </w:rPr>
        <w:t xml:space="preserve">)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 WHEREAS, all things necessary to make this Indenture a valid indenture and agreement according to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1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Affiliate</w:t>
      </w:r>
      <w:r>
        <w:rPr>
          <w:rFonts w:ascii="Times New Roman" w:hAnsi="Times New Roman"/>
          <w:sz w:val="20"/>
        </w:rPr>
        <w:t xml:space="preserve">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Agent</w:t>
      </w:r>
      <w:r>
        <w:rPr>
          <w:rFonts w:ascii="Times New Roman" w:hAnsi="Times New Roman"/>
          <w:sz w:val="20"/>
        </w:rPr>
        <w:t xml:space="preserve"> means any Registrar, Paying Agent, transfer agent or Authenticating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Board Resolution</w:t>
      </w:r>
      <w:r>
        <w:rPr>
          <w:rFonts w:ascii="Times New Roman" w:hAnsi="Times New Roman"/>
          <w:sz w:val="20"/>
        </w:rPr>
        <w:t xml:space="preserve"> means one or more resolutions of the board of directors of the Company or any authorized committee thereof, certified by the secretary or an assistant secretary to have been duly adopted and to be in full force and effect on the date of certification, and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Business Day</w:t>
      </w:r>
      <w:r>
        <w:rPr>
          <w:rFonts w:ascii="Times New Roman" w:hAnsi="Times New Roman"/>
          <w:sz w:val="20"/>
        </w:rPr>
        <w:t xml:space="preserve"> means any day, other than a Saturday or Sunday, that is neither a legal holiday nor a day on which banking institutions are authorized or required by law or regulation to close (i) with respect to any Security the interest on which is based on the offered quotations in the interbank Eurodollar market for dollar deposits in London or in The City of New York or (ii) with respect to Securities denominated in a specified currency other than United States dollars, in the principal financial center of the country of the specified currency.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Commission</w:t>
      </w:r>
      <w:r>
        <w:rPr>
          <w:rFonts w:ascii="Times New Roman" w:hAnsi="Times New Roman"/>
          <w:sz w:val="20"/>
        </w:rPr>
        <w:t xml:space="preserve">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w:t>
      </w:r>
      <w:r>
        <w:rPr>
          <w:rFonts w:ascii="Times New Roman" w:hAnsi="Times New Roman"/>
          <w:sz w:val="20"/>
        </w:rPr>
        <w:t xml:space="preserve"> means the party named as such in the first paragraph of this Indenture until a successor replaces it pursuant to </w:t>
      </w:r>
      <w:r>
        <w:rPr>
          <w:rFonts w:ascii="Times New Roman" w:hAnsi="Times New Roman"/>
          <w:sz w:val="20"/>
          <w:u w:val="single"/>
        </w:rPr>
        <w:t>Article 5</w:t>
      </w:r>
      <w:r>
        <w:rPr>
          <w:rFonts w:ascii="Times New Roman" w:hAnsi="Times New Roman"/>
          <w:sz w:val="20"/>
        </w:rPr>
        <w:t xml:space="preserve"> of this Indenture and thereafter means the successor.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Corporate Trust Office</w:t>
      </w:r>
      <w:r>
        <w:rPr>
          <w:rFonts w:ascii="Times New Roman" w:hAnsi="Times New Roman"/>
          <w:sz w:val="20"/>
        </w:rPr>
        <w:t xml:space="preserve"> means the office of the Trustee at which the corporate trust business of the Trustee shall, at any particular time, be administered, which office is, at the date of this Indenture, located at [].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Default</w:t>
      </w:r>
      <w:r>
        <w:rPr>
          <w:rFonts w:ascii="Times New Roman" w:hAnsi="Times New Roman"/>
          <w:sz w:val="20"/>
        </w:rPr>
        <w:t xml:space="preserve"> means any event that is, or after notice or passage of time or both would be, an Event of Default.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Depositary</w:t>
      </w:r>
      <w:r>
        <w:rPr>
          <w:rFonts w:ascii="Times New Roman" w:hAnsi="Times New Roman"/>
          <w:sz w:val="20"/>
        </w:rPr>
        <w:t xml:space="preserve"> means, with respect to the Securities of any series issuable or issued in the form of one or more Registered Global Securities, the Person designated as Depositary by the Company pursuant to </w:t>
      </w:r>
      <w:r>
        <w:rPr>
          <w:rFonts w:ascii="Times New Roman" w:hAnsi="Times New Roman"/>
          <w:sz w:val="20"/>
          <w:u w:val="single"/>
        </w:rPr>
        <w:t>Section 2.03</w:t>
      </w:r>
      <w:r>
        <w:rPr>
          <w:rFonts w:ascii="Times New Roman" w:hAnsi="Times New Roman"/>
          <w:sz w:val="20"/>
        </w:rPr>
        <w:t xml:space="preserve"> until a successor Depositary shall have become such pursuant to the applicable provisions of this Indenture, and thereafter </w:t>
      </w:r>
      <w:r>
        <w:rPr>
          <w:rFonts w:ascii="Times New Roman" w:hAnsi="Times New Roman"/>
          <w:b/>
          <w:sz w:val="20"/>
        </w:rPr>
        <w:t>Depositary</w:t>
      </w:r>
      <w:r>
        <w:rPr>
          <w:rFonts w:ascii="Times New Roman" w:hAnsi="Times New Roman"/>
          <w:sz w:val="20"/>
        </w:rPr>
        <w:t> shall mean or include each Person who is then a Depositary hereunder, and if at any time there is more than one such Person, </w:t>
      </w:r>
      <w:r>
        <w:rPr>
          <w:rFonts w:ascii="Times New Roman" w:hAnsi="Times New Roman"/>
          <w:b/>
          <w:sz w:val="20"/>
        </w:rPr>
        <w:t>Depositary</w:t>
      </w:r>
      <w:r>
        <w:rPr>
          <w:rFonts w:ascii="Times New Roman" w:hAnsi="Times New Roman"/>
          <w:sz w:val="20"/>
        </w:rPr>
        <w:t xml:space="preserve"> as used with respect to the Securities of any such series shall mean the Depositary with respect to the Registered Global Securities of that series.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Guarantee</w:t>
      </w:r>
      <w:r>
        <w:rPr>
          <w:rFonts w:ascii="Times New Roman" w:hAnsi="Times New Roman"/>
          <w:sz w:val="20"/>
        </w:rPr>
        <w:t xml:space="preserve"> by any Person means any obligation, contingent or otherwise, of such Person directly or indirectly guaranteeing any Indebtedness or other obligation of any other Person and, without limiting the generality of the foregoing, any obligation, direct or indirect, contingent or otherwise, of such Person (i) to purchase or pay (or advance or supply funds for the purchase or payment of) such Indebtedness or other obligation (whether arising by virtue of partnership arrangements, by agreement to keep-well, to purchase assets, goods, securities or services, to take-or-pay, or to maintain financial statement conditions or otherwise) or (ii) entered into for the purpose of assuring in any other manner the obligee of such Indebtedness or other obligation of the payment thereof or to protect such obligee against loss in respect thereof (in whole or in part), </w:t>
      </w:r>
      <w:r>
        <w:rPr>
          <w:rFonts w:ascii="Times New Roman" w:hAnsi="Times New Roman"/>
          <w:i/>
          <w:sz w:val="20"/>
        </w:rPr>
        <w:t>provided</w:t>
      </w:r>
      <w:r>
        <w:rPr>
          <w:rFonts w:ascii="Times New Roman" w:hAnsi="Times New Roman"/>
          <w:sz w:val="20"/>
        </w:rPr>
        <w:t xml:space="preserve"> that the term Guarantee shall not include endorsements for collection or deposit in the ordinary course of business. The term Guarantee when used as a verb has a corresponding meaning.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Holder</w:t>
      </w:r>
      <w:r>
        <w:rPr>
          <w:rFonts w:ascii="Times New Roman" w:hAnsi="Times New Roman"/>
          <w:sz w:val="20"/>
        </w:rPr>
        <w:t> or </w:t>
      </w:r>
      <w:r>
        <w:rPr>
          <w:rFonts w:ascii="Times New Roman" w:hAnsi="Times New Roman"/>
          <w:b/>
          <w:sz w:val="20"/>
        </w:rPr>
        <w:t>Securityholder</w:t>
      </w:r>
      <w:r>
        <w:rPr>
          <w:rFonts w:ascii="Times New Roman" w:hAnsi="Times New Roman"/>
          <w:sz w:val="20"/>
        </w:rPr>
        <w:t xml:space="preserve"> means the registered holder of any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Indebtedness</w:t>
      </w:r>
      <w:r>
        <w:rPr>
          <w:rFonts w:ascii="Times New Roman" w:hAnsi="Times New Roman"/>
          <w:sz w:val="20"/>
        </w:rPr>
        <w:t xml:space="preserve"> of any Person means at any date, without duplication (i) all obligations of such Person for borrowed money, (ii) all obligations of such Person evidenced by bonds, debentures, notes or similar instruments, (iii) all obligations of such Person in respect of letters of credit or other similar instruments (or reimbursement obligations with respect thereto), (iv) all obligations of such Person to pay the deferred purchase price of property or services, except Trade Payables, (v) all obligations of such Person as a lessee under capital leases, (vi) all Indebtedness of others secured by a lien on any asset of such Person, whether or not such Indebtedness is assumed by such Person, (vii) all Indebtedness of others Guaranteed by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IFRS</w:t>
      </w:r>
      <w:r>
        <w:rPr>
          <w:rFonts w:ascii="Times New Roman" w:hAnsi="Times New Roman"/>
          <w:sz w:val="20"/>
        </w:rPr>
        <w:t xml:space="preserve"> means International Financial Reporting Standards as issued by the International Accounting Standards Board, as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Indenture</w:t>
      </w:r>
      <w:r>
        <w:rPr>
          <w:rFonts w:ascii="Times New Roman" w:hAnsi="Times New Roman"/>
          <w:sz w:val="20"/>
        </w:rPr>
        <w:t xml:space="preserve">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w:t>
      </w:r>
      <w:r>
        <w:rPr>
          <w:rFonts w:ascii="Times New Roman" w:hAnsi="Times New Roman"/>
          <w:sz w:val="20"/>
          <w:u w:val="single"/>
        </w:rPr>
        <w:t>Sections 2.01</w:t>
      </w:r>
      <w:r>
        <w:rPr>
          <w:rFonts w:ascii="Times New Roman" w:hAnsi="Times New Roman"/>
          <w:sz w:val="20"/>
        </w:rPr>
        <w:t xml:space="preserve"> and </w:t>
      </w:r>
      <w:r>
        <w:rPr>
          <w:rFonts w:ascii="Times New Roman" w:hAnsi="Times New Roman"/>
          <w:sz w:val="20"/>
          <w:u w:val="single"/>
        </w:rPr>
        <w:t>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Officer</w:t>
      </w:r>
      <w:r>
        <w:rPr>
          <w:rFonts w:ascii="Times New Roman" w:hAnsi="Times New Roman"/>
          <w:sz w:val="20"/>
        </w:rPr>
        <w:t xml:space="preserve"> means, with respect to the Company, the chairman of the board of directors, the president or chief executive officer, any executive vice president, any senior vice president, any vice president, the chief financial officer, the treasurer or any assistant treasurer, or the secretary or any assistant secretary.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Officers Certificate</w:t>
      </w:r>
      <w:r>
        <w:rPr>
          <w:rFonts w:ascii="Times New Roman" w:hAnsi="Times New Roman"/>
          <w:sz w:val="20"/>
        </w:rPr>
        <w:t xml:space="preserve"> means a certificate signed in the name of the Company (i) by the chairman of the board of directors, president or chief executive officer, an executive vice president, a senior vice president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w:t>
      </w:r>
      <w:r>
        <w:rPr>
          <w:rFonts w:ascii="Times New Roman" w:hAnsi="Times New Roman"/>
          <w:sz w:val="20"/>
          <w:u w:val="single"/>
        </w:rPr>
        <w:t>Section 10.04</w:t>
      </w:r>
      <w:r>
        <w:rPr>
          <w:rFonts w:ascii="Times New Roman" w:hAnsi="Times New Roman"/>
          <w:sz w:val="20"/>
        </w:rPr>
        <w:t xml:space="preserve">, if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Opinion of Counsel</w:t>
      </w:r>
      <w:r>
        <w:rPr>
          <w:rFonts w:ascii="Times New Roman" w:hAnsi="Times New Roman"/>
          <w:sz w:val="20"/>
        </w:rPr>
        <w:t xml:space="preserve"> means a written opinion signed by legal counsel, who may be an employee of or counsel to the Company, satisfactory to the Trustee. Each such opinion shall comply with Section 314 of the Trust Indenture Act, if applicable, and include the statements provided in </w:t>
      </w:r>
      <w:r>
        <w:rPr>
          <w:rFonts w:ascii="Times New Roman" w:hAnsi="Times New Roman"/>
          <w:sz w:val="20"/>
          <w:u w:val="single"/>
        </w:rPr>
        <w:t>Section 10.04</w:t>
      </w:r>
      <w:r>
        <w:rPr>
          <w:rFonts w:ascii="Times New Roman" w:hAnsi="Times New Roman"/>
          <w:sz w:val="20"/>
        </w:rPr>
        <w:t xml:space="preserve">, if and to the extent required thereby.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original issue date</w:t>
      </w:r>
      <w:r>
        <w:rPr>
          <w:rFonts w:ascii="Times New Roman" w:hAnsi="Times New Roman"/>
          <w:sz w:val="20"/>
        </w:rPr>
        <w:t xml:space="preserve"> of any Security (or portion thereof) means the earlier of (a) the date of authentication of such Security or (b) the date of any Security (or portion thereof) for which such Security was issued (directly or indirectly) on registration of transfer, exchange or substitution.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Original Issue Discount Security</w:t>
      </w:r>
      <w:r>
        <w:rPr>
          <w:rFonts w:ascii="Times New Roman" w:hAnsi="Times New Roman"/>
          <w:sz w:val="20"/>
        </w:rPr>
        <w:t xml:space="preserve"> means any Security that provides for an amount less than the Principal amount thereof to be due and payable upon a declaration of acceleration of the maturity thereof pursuant to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Periodic Offering</w:t>
      </w:r>
      <w:r>
        <w:rPr>
          <w:rFonts w:ascii="Times New Roman" w:hAnsi="Times New Roman"/>
          <w:sz w:val="20"/>
        </w:rPr>
        <w:t xml:space="preserve">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Company or its agents upon the issuance of such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Person</w:t>
      </w:r>
      <w:r>
        <w:rPr>
          <w:rFonts w:ascii="Times New Roman" w:hAnsi="Times New Roman"/>
          <w:sz w:val="20"/>
        </w:rPr>
        <w:t xml:space="preserve"> means an individual, a corporation, a partnership, a limited liability company, an association, a trust or any other entity or organization, including a government or political subdivision or an agency or instrumentality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Principal</w:t>
      </w:r>
      <w:r>
        <w:rPr>
          <w:rFonts w:ascii="Times New Roman" w:hAnsi="Times New Roman"/>
          <w:sz w:val="20"/>
        </w:rPr>
        <w:t xml:space="preserve"> of a Security means the principal amount of, and, unless the context indicates otherwise, includes any premium payable on, the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Registered Global Security</w:t>
      </w:r>
      <w:r>
        <w:rPr>
          <w:rFonts w:ascii="Times New Roman" w:hAnsi="Times New Roman"/>
          <w:sz w:val="20"/>
        </w:rPr>
        <w:t xml:space="preserve"> means a Security evidencing all or a part of a series of Securities, issued to the Depositary for such series in accordance with </w:t>
      </w:r>
      <w:r>
        <w:rPr>
          <w:rFonts w:ascii="Times New Roman" w:hAnsi="Times New Roman"/>
          <w:sz w:val="20"/>
          <w:u w:val="single"/>
        </w:rPr>
        <w:t>Section 2.02</w:t>
      </w:r>
      <w:r>
        <w:rPr>
          <w:rFonts w:ascii="Times New Roman" w:hAnsi="Times New Roman"/>
          <w:sz w:val="20"/>
        </w:rPr>
        <w:t xml:space="preserve">, and bearing the legend prescribed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Responsible Officer</w:t>
      </w:r>
      <w:r>
        <w:rPr>
          <w:rFonts w:ascii="Times New Roman" w:hAnsi="Times New Roman"/>
          <w:sz w:val="20"/>
        </w:rPr>
        <w:t xml:space="preserve">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Securities</w:t>
      </w:r>
      <w:r>
        <w:rPr>
          <w:rFonts w:ascii="Times New Roman" w:hAnsi="Times New Roman"/>
          <w:sz w:val="20"/>
        </w:rPr>
        <w:t xml:space="preserve"> means any of the securities, as defined in the first paragraph of the recitals hereof, that are authenticated and delivered under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Senior Indebtedness</w:t>
      </w:r>
      <w:r>
        <w:rPr>
          <w:rFonts w:ascii="Times New Roman" w:hAnsi="Times New Roman"/>
          <w:sz w:val="20"/>
        </w:rPr>
        <w:t xml:space="preserve"> means all Indebtedness of the Company (other than the Securities) including principal and interest (including, without limitation, any interest that would accrue but for the filing of a petition initiating any proceeding referred to in </w:t>
      </w:r>
      <w:r>
        <w:rPr>
          <w:rFonts w:ascii="Times New Roman" w:hAnsi="Times New Roman"/>
          <w:sz w:val="20"/>
          <w:u w:val="single"/>
        </w:rPr>
        <w:t>Section 11.02</w:t>
      </w:r>
      <w:r>
        <w:rPr>
          <w:rFonts w:ascii="Times New Roman" w:hAnsi="Times New Roman"/>
          <w:sz w:val="20"/>
        </w:rPr>
        <w:t xml:space="preserve"> hereof) on such Indebtedness, created, incurred or assumed on or after the date of the first issuance of any Securities, unless such Indebtedness, but its terms or the terms of the instrument creating or evidencing it, is subordinate in right of payment to, or pari passu with, the Securities; </w:t>
      </w:r>
      <w:r>
        <w:rPr>
          <w:rFonts w:ascii="Times New Roman" w:hAnsi="Times New Roman"/>
          <w:i/>
          <w:sz w:val="20"/>
        </w:rPr>
        <w:t>provided</w:t>
      </w:r>
      <w:r>
        <w:rPr>
          <w:rFonts w:ascii="Times New Roman" w:hAnsi="Times New Roman"/>
          <w:sz w:val="20"/>
        </w:rPr>
        <w:t xml:space="preserve">, that the term Senior Indebtedness shall not include (a) any Indebtedness of the Company which, when incurred and without respect to any election under Section 111(b) of Title II, United States Code, with or without recourse to the Company, (b) any Indebtedness of the Company to a Subsidiary, (c) Indebtedness to any employee of the Company and (d) Trade Payables.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Subsidiary</w:t>
      </w:r>
      <w:r>
        <w:rPr>
          <w:rFonts w:ascii="Times New Roman" w:hAnsi="Times New Roman"/>
          <w:sz w:val="20"/>
        </w:rPr>
        <w:t xml:space="preserve">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Trade Payables</w:t>
      </w:r>
      <w:r>
        <w:rPr>
          <w:rFonts w:ascii="Times New Roman" w:hAnsi="Times New Roman"/>
          <w:sz w:val="20"/>
        </w:rPr>
        <w:t xml:space="preserve"> means accounts payable for any other indebtedness or monetary obligations to trade creditors created or assumed by the Company or any subsidiary of the Company in the ordinary course of business in connection with the obtaining of materials or services.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Trustee</w:t>
      </w:r>
      <w:r>
        <w:rPr>
          <w:rFonts w:ascii="Times New Roman" w:hAnsi="Times New Roman"/>
          <w:sz w:val="20"/>
        </w:rPr>
        <w:t xml:space="preserve"> means the party named as such in the first paragraph of this Indenture until a successor replaces it in accordance with the provisions of </w:t>
      </w:r>
      <w:r>
        <w:rPr>
          <w:rFonts w:ascii="Times New Roman" w:hAnsi="Times New Roman"/>
          <w:sz w:val="20"/>
          <w:u w:val="single"/>
        </w:rPr>
        <w:t>Article 7</w:t>
      </w:r>
      <w:r>
        <w:rPr>
          <w:rFonts w:ascii="Times New Roman" w:hAnsi="Times New Roman"/>
          <w:sz w:val="20"/>
        </w:rPr>
        <w:t xml:space="preserve"> and thereafter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Trust Indenture Act</w:t>
      </w:r>
      <w:r>
        <w:rPr>
          <w:rFonts w:ascii="Times New Roman" w:hAnsi="Times New Roman"/>
          <w:sz w:val="20"/>
        </w:rPr>
        <w:t xml:space="preserve"> means the Trust Indenture Act of 1939, as amended (15 U.S. Code §§ 77aaa-77bbbb), as it may be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U.S. Government Obligations</w:t>
      </w:r>
      <w:r>
        <w:rPr>
          <w:rFonts w:ascii="Times New Roman" w:hAnsi="Times New Roman"/>
          <w:sz w:val="20"/>
        </w:rPr>
        <w:t xml:space="preserve">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Yield to Maturity</w:t>
      </w:r>
      <w:r>
        <w:rPr>
          <w:rFonts w:ascii="Times New Roman" w:hAnsi="Times New Roman"/>
          <w:sz w:val="20"/>
        </w:rPr>
        <w:t xml:space="preserve">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Other Definitions</w:t>
      </w:r>
      <w:r>
        <w:rPr>
          <w:rFonts w:ascii="Times New Roman" w:hAnsi="Times New Roman"/>
          <w:sz w:val="20"/>
        </w:rPr>
        <w:t xml:space="preserve">. Each of the following terms is defined in the section set forth opposite such term: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9"/>
        <w:gridCol w:w="441"/>
        <w:gridCol w:w="73"/>
        <w:gridCol w:w="685"/>
        <w:gridCol w:w="341"/>
      </w:tblGrid>
      <w:tr>
        <w:trPr/>
        <w:tc>
          <w:tcPr>
            <w:tcW w:w="5399"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5399" w:type="dxa"/>
            <w:tcBorders/>
            <w:vAlign w:val="bottom"/>
          </w:tcPr>
          <w:p>
            <w:pPr>
              <w:pStyle w:val="TableContents"/>
              <w:bidi w:val="0"/>
              <w:spacing w:before="0" w:after="283"/>
              <w:jc w:val="left"/>
              <w:rPr>
                <w:b/>
              </w:rPr>
            </w:pPr>
            <w:r>
              <w:rPr>
                <w:b/>
              </w:rPr>
              <w:t>Term</w:t>
            </w:r>
          </w:p>
        </w:tc>
        <w:tc>
          <w:tcPr>
            <w:tcW w:w="441" w:type="dxa"/>
            <w:tcBorders/>
            <w:vAlign w:val="bottom"/>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Section</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Authenticating Agent</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2.02</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cash transaction</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7.03</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Event of Default</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6.01</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Judgment Currency</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10.15</w:t>
            </w:r>
          </w:p>
        </w:tc>
        <w:tc>
          <w:tcPr>
            <w:tcW w:w="341" w:type="dxa"/>
            <w:tcBorders/>
            <w:vAlign w:val="bottom"/>
          </w:tcPr>
          <w:p>
            <w:pPr>
              <w:pStyle w:val="TableContents"/>
              <w:bidi w:val="0"/>
              <w:spacing w:before="0" w:after="283"/>
              <w:jc w:val="left"/>
              <w:rPr/>
            </w:pPr>
            <w:r>
              <w:rPr/>
              <w:t>(a)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mandatory sinking fund payment</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3.05</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optional sinking fund payment</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3.05</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Paying Agent</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2.05</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record date</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2.04</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Registrar</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2.05</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Required Currency</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10.15</w:t>
            </w:r>
          </w:p>
        </w:tc>
        <w:tc>
          <w:tcPr>
            <w:tcW w:w="341" w:type="dxa"/>
            <w:tcBorders/>
            <w:vAlign w:val="bottom"/>
          </w:tcPr>
          <w:p>
            <w:pPr>
              <w:pStyle w:val="TableContents"/>
              <w:bidi w:val="0"/>
              <w:spacing w:before="0" w:after="283"/>
              <w:jc w:val="left"/>
              <w:rPr/>
            </w:pPr>
            <w:r>
              <w:rPr/>
              <w:t>(a)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Security Register</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2.05</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self-liquidating paper</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7.03</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sinking fund payment date</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3.05</w:t>
            </w:r>
          </w:p>
        </w:tc>
        <w:tc>
          <w:tcPr>
            <w:tcW w:w="341" w:type="dxa"/>
            <w:tcBorders/>
            <w:vAlign w:val="bottom"/>
          </w:tcPr>
          <w:p>
            <w:pPr>
              <w:pStyle w:val="TableContents"/>
              <w:bidi w:val="0"/>
              <w:spacing w:before="0" w:after="283"/>
              <w:jc w:val="left"/>
              <w:rPr/>
            </w:pPr>
            <w:r>
              <w:rPr/>
              <w:t>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Surviving Entity</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5.01</w:t>
            </w:r>
          </w:p>
        </w:tc>
        <w:tc>
          <w:tcPr>
            <w:tcW w:w="341" w:type="dxa"/>
            <w:tcBorders/>
            <w:vAlign w:val="bottom"/>
          </w:tcPr>
          <w:p>
            <w:pPr>
              <w:pStyle w:val="TableContents"/>
              <w:bidi w:val="0"/>
              <w:spacing w:before="0" w:after="283"/>
              <w:jc w:val="left"/>
              <w:rPr/>
            </w:pPr>
            <w:r>
              <w:rPr/>
              <w:t>(a) </w:t>
            </w:r>
          </w:p>
        </w:tc>
      </w:tr>
      <w:tr>
        <w:trPr/>
        <w:tc>
          <w:tcPr>
            <w:tcW w:w="5399" w:type="dxa"/>
            <w:tcBorders/>
          </w:tcPr>
          <w:p>
            <w:pPr>
              <w:pStyle w:val="TableContents"/>
              <w:bidi w:val="0"/>
              <w:spacing w:before="0" w:after="0"/>
              <w:jc w:val="left"/>
              <w:rPr>
                <w:rFonts w:ascii="Times New Roman" w:hAnsi="Times New Roman"/>
                <w:sz w:val="20"/>
              </w:rPr>
            </w:pPr>
            <w:r>
              <w:rPr>
                <w:rFonts w:ascii="Times New Roman" w:hAnsi="Times New Roman"/>
                <w:sz w:val="20"/>
              </w:rPr>
              <w:t>tranche</w:t>
            </w:r>
          </w:p>
        </w:tc>
        <w:tc>
          <w:tcPr>
            <w:tcW w:w="44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2.14</w:t>
            </w:r>
          </w:p>
        </w:tc>
        <w:tc>
          <w:tcPr>
            <w:tcW w:w="34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i/>
          <w:sz w:val="20"/>
        </w:rPr>
        <w:t>Incorporation by Reference of Trust Indenture Act</w:t>
      </w:r>
      <w:r>
        <w:rPr>
          <w:rFonts w:ascii="Times New Roman" w:hAnsi="Times New Roman"/>
          <w:sz w:val="20"/>
        </w:rPr>
        <w:t xml:space="preserve">. Whenever this Indenture refers to a provision of the Trust Indenture Act, the provision is incorporated by reference in and made a part of this Indenture. The following terms used in this Indenture that are defined by the Trust Indenture Act have the following meanings: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indenture securities</w:t>
      </w:r>
      <w:r>
        <w:rPr>
          <w:rFonts w:ascii="Times New Roman" w:hAnsi="Times New Roman"/>
          <w:sz w:val="20"/>
        </w:rPr>
        <w:t xml:space="preserve"> means the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indenture security holder</w:t>
      </w:r>
      <w:r>
        <w:rPr>
          <w:rFonts w:ascii="Times New Roman" w:hAnsi="Times New Roman"/>
          <w:sz w:val="20"/>
        </w:rPr>
        <w:t xml:space="preserve"> means a Holder or a Securityholder;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indenture to be qualified</w:t>
      </w:r>
      <w:r>
        <w:rPr>
          <w:rFonts w:ascii="Times New Roman" w:hAnsi="Times New Roman"/>
          <w:sz w:val="20"/>
        </w:rPr>
        <w:t xml:space="preserve"> means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indenture trustee</w:t>
      </w:r>
      <w:r>
        <w:rPr>
          <w:rFonts w:ascii="Times New Roman" w:hAnsi="Times New Roman"/>
          <w:sz w:val="20"/>
        </w:rPr>
        <w:t> or </w:t>
      </w:r>
      <w:r>
        <w:rPr>
          <w:rFonts w:ascii="Times New Roman" w:hAnsi="Times New Roman"/>
          <w:b/>
          <w:sz w:val="20"/>
        </w:rPr>
        <w:t>institutional trustee</w:t>
      </w:r>
      <w:r>
        <w:rPr>
          <w:rFonts w:ascii="Times New Roman" w:hAnsi="Times New Roman"/>
          <w:sz w:val="20"/>
        </w:rPr>
        <w:t> means the Trustee; and </w:t>
      </w:r>
      <w:r>
        <w:rPr>
          <w:rFonts w:ascii="Times New Roman" w:hAnsi="Times New Roman"/>
          <w:b/>
          <w:sz w:val="20"/>
        </w:rPr>
        <w:t>obligor</w:t>
      </w:r>
      <w:r>
        <w:rPr>
          <w:rFonts w:ascii="Times New Roman" w:hAnsi="Times New Roman"/>
          <w:sz w:val="20"/>
        </w:rPr>
        <w:t xml:space="preserve"> on the indenture securities means the Company or any other obligor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Trust Indenture Act, defined by reference in the Trust Indenture Act to another statute or defined by a rule of the Commission and not otherwise defined herein have the meanings assigned to them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i/>
          <w:sz w:val="20"/>
        </w:rPr>
        <w:t>Rules of Construction</w:t>
      </w:r>
      <w:r>
        <w:rPr>
          <w:rFonts w:ascii="Times New Roman" w:hAnsi="Times New Roman"/>
          <w:sz w:val="20"/>
        </w:rPr>
        <w:t xml:space="preserve">.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an accounting term not otherwise defined has the meaning assigned to it in accordance with IFRS; </w:t>
      </w:r>
    </w:p>
    <w:p>
      <w:pPr>
        <w:pStyle w:val="TextBody"/>
        <w:bidi w:val="0"/>
        <w:spacing w:before="240" w:after="0"/>
        <w:jc w:val="left"/>
        <w:rPr>
          <w:rFonts w:ascii="Times New Roman" w:hAnsi="Times New Roman"/>
          <w:sz w:val="20"/>
        </w:rPr>
      </w:pPr>
      <w:r>
        <w:rPr>
          <w:rFonts w:ascii="Times New Roman" w:hAnsi="Times New Roman"/>
          <w:sz w:val="20"/>
        </w:rPr>
        <w:t xml:space="preserve">(b) words in the singular include the plural, and words in the plural include the singular; </w:t>
      </w:r>
    </w:p>
    <w:p>
      <w:pPr>
        <w:pStyle w:val="TextBody"/>
        <w:bidi w:val="0"/>
        <w:spacing w:before="240" w:after="0"/>
        <w:jc w:val="left"/>
        <w:rPr>
          <w:rFonts w:ascii="Times New Roman" w:hAnsi="Times New Roman"/>
          <w:sz w:val="20"/>
        </w:rPr>
      </w:pPr>
      <w:r>
        <w:rPr>
          <w:rFonts w:ascii="Times New Roman" w:hAnsi="Times New Roman"/>
          <w:sz w:val="20"/>
        </w:rPr>
        <w:t xml:space="preserve">(c) herein, hereof and other words of similar import refer to this Indenture as a whole and not to any particular Article, Section or other subdivision; </w:t>
      </w:r>
    </w:p>
    <w:p>
      <w:pPr>
        <w:pStyle w:val="TextBody"/>
        <w:bidi w:val="0"/>
        <w:spacing w:before="240" w:after="0"/>
        <w:jc w:val="left"/>
        <w:rPr>
          <w:rFonts w:ascii="Times New Roman" w:hAnsi="Times New Roman"/>
          <w:sz w:val="20"/>
        </w:rPr>
      </w:pPr>
      <w:r>
        <w:rPr>
          <w:rFonts w:ascii="Times New Roman" w:hAnsi="Times New Roman"/>
          <w:sz w:val="20"/>
        </w:rPr>
        <w:t xml:space="preserve">(d) all references to Sections or Articles refer to Sections or Articles of this Indenture unless otherwise indicated; and </w:t>
      </w:r>
    </w:p>
    <w:p>
      <w:pPr>
        <w:pStyle w:val="TextBody"/>
        <w:bidi w:val="0"/>
        <w:spacing w:before="240" w:after="0"/>
        <w:jc w:val="left"/>
        <w:rPr>
          <w:rFonts w:ascii="Times New Roman" w:hAnsi="Times New Roman"/>
          <w:sz w:val="20"/>
        </w:rPr>
      </w:pPr>
      <w:r>
        <w:rPr>
          <w:rFonts w:ascii="Times New Roman" w:hAnsi="Times New Roman"/>
          <w:sz w:val="20"/>
        </w:rPr>
        <w:t xml:space="preserve">(e) use of masculine, feminine or neuter pronouns should not be deemed a limitation, and the use of any such pronouns should be construed to include, where appropriate, the other pronouns. </w:t>
      </w:r>
    </w:p>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0" w:after="0"/>
        <w:jc w:val="center"/>
        <w:rPr>
          <w:rFonts w:ascii="Times New Roman" w:hAnsi="Times New Roman"/>
          <w:sz w:val="20"/>
        </w:rPr>
      </w:pPr>
      <w:r>
        <w:rPr>
          <w:rFonts w:ascii="Times New Roman" w:hAnsi="Times New Roman"/>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Form and Dating</w:t>
      </w:r>
      <w:r>
        <w:rPr>
          <w:rFonts w:ascii="Times New Roman" w:hAnsi="Times New Roman"/>
          <w:sz w:val="20"/>
        </w:rPr>
        <w:t xml:space="preserve">. 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of any securities exchange or usage, all as may be determined by the Officers executing such Securities as evidenced by their execution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i/>
          <w:sz w:val="20"/>
        </w:rPr>
        <w:t>Execution and Authentication</w:t>
      </w:r>
      <w:r>
        <w:rPr>
          <w:rFonts w:ascii="Times New Roman" w:hAnsi="Times New Roman"/>
          <w:sz w:val="20"/>
        </w:rPr>
        <w:t xml:space="preserve">. Two Officers shall execute the Securities for the Company by facsimile or manual signature in the name and on behalf of the Company. If an Officer whose signature is on a Security no longer holds that office at the time the Security is authenticated, the Security shall nevertheless be valid. </w:t>
      </w:r>
    </w:p>
    <w:p>
      <w:pPr>
        <w:pStyle w:val="TextBody"/>
        <w:bidi w:val="0"/>
        <w:spacing w:before="240" w:after="0"/>
        <w:jc w:val="left"/>
        <w:rPr>
          <w:rFonts w:ascii="Times New Roman" w:hAnsi="Times New Roman"/>
          <w:sz w:val="20"/>
        </w:rPr>
      </w:pPr>
      <w:r>
        <w:rPr>
          <w:rFonts w:ascii="Times New Roman" w:hAnsi="Times New Roman"/>
          <w:sz w:val="20"/>
        </w:rPr>
        <w:t>The Trustee, at the expense of the Company, may appoint an authenticating agent (the </w:t>
      </w:r>
      <w:r>
        <w:rPr>
          <w:rFonts w:ascii="Times New Roman" w:hAnsi="Times New Roman"/>
          <w:b/>
          <w:sz w:val="20"/>
        </w:rPr>
        <w:t>Authenticating Agent</w:t>
      </w:r>
      <w:r>
        <w:rPr>
          <w:rFonts w:ascii="Times New Roman" w:hAnsi="Times New Roman"/>
          <w:sz w:val="20"/>
        </w:rPr>
        <w:t xml:space="preserve">) to authenticate Securities. The Authenticating Agent may authenticate Securities whenever the Trustee may do so. Each reference in this Indenture to authentication by the Trustee includes authentication by such Authenticating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Security shall not be valid until the Trustee or Authenticating Agent signs, manually or by facsimile, the certificate of authentication on the Security. The signature shall be conclusive evidence that the Security has been authenticated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Securities of any series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w:t>
      </w:r>
      <w:r>
        <w:rPr>
          <w:rFonts w:ascii="Times New Roman" w:hAnsi="Times New Roman"/>
          <w:sz w:val="20"/>
          <w:u w:val="single"/>
        </w:rPr>
        <w:t>Article 7</w:t>
      </w:r>
      <w:r>
        <w:rPr>
          <w:rFonts w:ascii="Times New Roman" w:hAnsi="Times New Roman"/>
          <w:sz w:val="20"/>
        </w:rPr>
        <w:t xml:space="preserve">) shall be fully protected in relying upon, unless and until such documents have been superseded or revoked: </w:t>
      </w:r>
    </w:p>
    <w:p>
      <w:pPr>
        <w:pStyle w:val="TextBody"/>
        <w:bidi w:val="0"/>
        <w:spacing w:before="120" w:after="0"/>
        <w:jc w:val="left"/>
        <w:rPr>
          <w:rFonts w:ascii="Times New Roman" w:hAnsi="Times New Roman"/>
          <w:sz w:val="20"/>
        </w:rPr>
      </w:pPr>
      <w:r>
        <w:rPr>
          <w:rFonts w:ascii="Times New Roman" w:hAnsi="Times New Roman"/>
          <w:sz w:val="20"/>
        </w:rPr>
        <w:t xml:space="preserve">(a) any Board Resolution and/or executed supplemental indenture referred to in </w:t>
      </w:r>
      <w:r>
        <w:rPr>
          <w:rFonts w:ascii="Times New Roman" w:hAnsi="Times New Roman"/>
          <w:sz w:val="20"/>
          <w:u w:val="single"/>
        </w:rPr>
        <w:t>Sections 2.01</w:t>
      </w:r>
      <w:r>
        <w:rPr>
          <w:rFonts w:ascii="Times New Roman" w:hAnsi="Times New Roman"/>
          <w:sz w:val="20"/>
        </w:rPr>
        <w:t xml:space="preserve"> and </w:t>
      </w:r>
      <w:r>
        <w:rPr>
          <w:rFonts w:ascii="Times New Roman" w:hAnsi="Times New Roman"/>
          <w:sz w:val="20"/>
          <w:u w:val="single"/>
        </w:rPr>
        <w:t>2.03</w:t>
      </w:r>
      <w:r>
        <w:rPr>
          <w:rFonts w:ascii="Times New Roman" w:hAnsi="Times New Roman"/>
          <w:sz w:val="20"/>
        </w:rPr>
        <w:t xml:space="preserve"> by or pursuant to which the forms and terms of the Securities of that series were established; </w:t>
      </w:r>
    </w:p>
    <w:p>
      <w:pPr>
        <w:pStyle w:val="TextBody"/>
        <w:bidi w:val="0"/>
        <w:spacing w:before="240" w:after="0"/>
        <w:jc w:val="left"/>
        <w:rPr>
          <w:rFonts w:ascii="Times New Roman" w:hAnsi="Times New Roman"/>
          <w:sz w:val="20"/>
        </w:rPr>
      </w:pPr>
      <w:r>
        <w:rPr>
          <w:rFonts w:ascii="Times New Roman" w:hAnsi="Times New Roman"/>
          <w:sz w:val="20"/>
        </w:rPr>
        <w:t xml:space="preserve">(b) an Officers Certificate setting forth the form or forms and terms of the Securities, stating that the form or forms and terms of the Securities of such series have been, or, in the case of a Periodic Offering, will be when established in accordance with such procedures as shall be referred to therein, established in compliance with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(c) 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 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w:t>
      </w:r>
      <w:r>
        <w:rPr>
          <w:rFonts w:ascii="Times New Roman" w:hAnsi="Times New Roman"/>
          <w:sz w:val="20"/>
          <w:u w:val="single"/>
        </w:rPr>
        <w:t>Sections 2.01</w:t>
      </w:r>
      <w:r>
        <w:rPr>
          <w:rFonts w:ascii="Times New Roman" w:hAnsi="Times New Roman"/>
          <w:sz w:val="20"/>
        </w:rPr>
        <w:t xml:space="preserve"> and </w:t>
      </w:r>
      <w:r>
        <w:rPr>
          <w:rFonts w:ascii="Times New Roman" w:hAnsi="Times New Roman"/>
          <w:sz w:val="20"/>
          <w:u w:val="single"/>
        </w:rPr>
        <w:t>2.02</w:t>
      </w:r>
      <w:r>
        <w:rPr>
          <w:rFonts w:ascii="Times New Roman" w:hAnsi="Times New Roman"/>
          <w:sz w:val="20"/>
        </w:rPr>
        <w:t xml:space="preserve">, if, in connection with a Periodic Offering, all Securities of a series are not to be originally issued at one time, it shall not be necessary to deliver the Board Resolution otherwise required pursuant to </w:t>
      </w:r>
      <w:r>
        <w:rPr>
          <w:rFonts w:ascii="Times New Roman" w:hAnsi="Times New Roman"/>
          <w:sz w:val="20"/>
          <w:u w:val="single"/>
        </w:rPr>
        <w:t>Section 2.01</w:t>
      </w:r>
      <w:r>
        <w:rPr>
          <w:rFonts w:ascii="Times New Roman" w:hAnsi="Times New Roman"/>
          <w:sz w:val="20"/>
        </w:rPr>
        <w:t xml:space="preserve"> or the written order, Officers Certificate and Opinion of Counsel otherwise required pursuant to </w:t>
      </w:r>
      <w:r>
        <w:rPr>
          <w:rFonts w:ascii="Times New Roman" w:hAnsi="Times New Roman"/>
          <w:sz w:val="20"/>
          <w:u w:val="single"/>
        </w:rPr>
        <w:t>Section 2.02</w:t>
      </w:r>
      <w:r>
        <w:rPr>
          <w:rFonts w:ascii="Times New Roman" w:hAnsi="Times New Roman"/>
          <w:sz w:val="20"/>
        </w:rPr>
        <w:t xml:space="preserve"> at or prior to the authentication of each Security of such series if such documents are delivered at or prior to the authentication upon original issuance of the first Security of such series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w:t>
      </w:r>
      <w:r>
        <w:rPr>
          <w:rFonts w:ascii="Times New Roman" w:hAnsi="Times New Roman"/>
          <w:sz w:val="20"/>
          <w:u w:val="single"/>
        </w:rPr>
        <w:t>Sections 2.01</w:t>
      </w:r>
      <w:r>
        <w:rPr>
          <w:rFonts w:ascii="Times New Roman" w:hAnsi="Times New Roman"/>
          <w:sz w:val="20"/>
        </w:rPr>
        <w:t xml:space="preserve"> and </w:t>
      </w:r>
      <w:r>
        <w:rPr>
          <w:rFonts w:ascii="Times New Roman" w:hAnsi="Times New Roman"/>
          <w:sz w:val="20"/>
          <w:u w:val="single"/>
        </w:rPr>
        <w:t>2.02</w:t>
      </w:r>
      <w:r>
        <w:rPr>
          <w:rFonts w:ascii="Times New Roman" w:hAnsi="Times New Roman"/>
          <w:sz w:val="20"/>
        </w:rPr>
        <w:t xml:space="preserve">, as applicable, in connection with the first authentication of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establish pursuant to </w:t>
      </w:r>
      <w:r>
        <w:rPr>
          <w:rFonts w:ascii="Times New Roman" w:hAnsi="Times New Roman"/>
          <w:sz w:val="20"/>
          <w:u w:val="single"/>
        </w:rPr>
        <w:t>Section 2.03</w:t>
      </w:r>
      <w:r>
        <w:rPr>
          <w:rFonts w:ascii="Times New Roman" w:hAnsi="Times New Roman"/>
          <w:sz w:val="20"/>
        </w:rPr>
        <w:t xml:space="preserve">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 (iii) shall be delivered by the Trustee to such Depositary or its custodian or pursuant to such Depositarys instructions and (iv) shall (unless provided otherwise in the form of such Security)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i/>
          <w:sz w:val="20"/>
        </w:rPr>
        <w:t>Amount Unlimited; Issuable in Series</w:t>
      </w:r>
      <w:r>
        <w:rPr>
          <w:rFonts w:ascii="Times New Roman" w:hAnsi="Times New Roman"/>
          <w:sz w:val="20"/>
        </w:rPr>
        <w:t xml:space="preserve">. The aggregate Principal amount of Securities that may be authenticated and delivered under this Indenture is unlimited.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issued in one or more series and each such series shall rank equally and pari passu with the Securities of each other series, but all Securities hereunder shall be subordinate and junior in right of payment, to the extent and manner set forth in </w:t>
      </w:r>
      <w:r>
        <w:rPr>
          <w:rFonts w:ascii="Times New Roman" w:hAnsi="Times New Roman"/>
          <w:sz w:val="20"/>
          <w:u w:val="single"/>
        </w:rPr>
        <w:t>Article 11</w:t>
      </w:r>
      <w:r>
        <w:rPr>
          <w:rFonts w:ascii="Times New Roman" w:hAnsi="Times New Roman"/>
          <w:sz w:val="20"/>
        </w:rPr>
        <w:t xml:space="preserve">, to all Senior Indebtedness. There shall be established in or pursuant to a Board Resolution or one or more indentures supplemental hereto, prior to the initial issuance of Securities of any series, subject to the last sentence of this </w:t>
      </w:r>
      <w:r>
        <w:rPr>
          <w:rFonts w:ascii="Times New Roman" w:hAnsi="Times New Roman"/>
          <w:sz w:val="20"/>
          <w:u w:val="single"/>
        </w:rPr>
        <w:t>Section 2.03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designation of the Securities of the series, which shall distinguish the Securities of the series from the Securities of all other series; </w:t>
      </w:r>
    </w:p>
    <w:p>
      <w:pPr>
        <w:pStyle w:val="TextBody"/>
        <w:bidi w:val="0"/>
        <w:spacing w:before="240" w:after="0"/>
        <w:jc w:val="left"/>
        <w:rPr>
          <w:rFonts w:ascii="Times New Roman" w:hAnsi="Times New Roman"/>
          <w:sz w:val="20"/>
        </w:rPr>
      </w:pPr>
      <w:r>
        <w:rPr>
          <w:rFonts w:ascii="Times New Roman" w:hAnsi="Times New Roman"/>
          <w:sz w:val="20"/>
        </w:rPr>
        <w:t xml:space="preserve">(b) 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 </w:t>
      </w:r>
    </w:p>
    <w:p>
      <w:pPr>
        <w:pStyle w:val="TextBody"/>
        <w:bidi w:val="0"/>
        <w:spacing w:before="240" w:after="0"/>
        <w:jc w:val="left"/>
        <w:rPr>
          <w:rFonts w:ascii="Times New Roman" w:hAnsi="Times New Roman"/>
          <w:sz w:val="20"/>
        </w:rPr>
      </w:pPr>
      <w:r>
        <w:rPr>
          <w:rFonts w:ascii="Times New Roman" w:hAnsi="Times New Roman"/>
          <w:sz w:val="20"/>
        </w:rPr>
        <w:t xml:space="preserve">(c) the date or dates on which the Principal of the Securities of the series is payable (which date or dates may be fixed or extendible); </w:t>
      </w:r>
    </w:p>
    <w:p>
      <w:pPr>
        <w:pStyle w:val="TextBody"/>
        <w:bidi w:val="0"/>
        <w:spacing w:before="240" w:after="0"/>
        <w:jc w:val="left"/>
        <w:rPr>
          <w:rFonts w:ascii="Times New Roman" w:hAnsi="Times New Roman"/>
          <w:sz w:val="20"/>
        </w:rPr>
      </w:pPr>
      <w:r>
        <w:rPr>
          <w:rFonts w:ascii="Times New Roman" w:hAnsi="Times New Roman"/>
          <w:sz w:val="20"/>
        </w:rPr>
        <w:t xml:space="preserve">(d) the rate or rates (which may be fixed or variable) per annum at which the Securities of the series shall bear interest, if any, the date or dates from which such interest shall accrue, on which such interest shall be payable and on which a record shall be taken for the determination of Holders to whom interest is payable and/or the method by which such rate or rates or date or dates shall be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other than as provided in </w:t>
      </w:r>
      <w:r>
        <w:rPr>
          <w:rFonts w:ascii="Times New Roman" w:hAnsi="Times New Roman"/>
          <w:sz w:val="20"/>
          <w:u w:val="single"/>
        </w:rPr>
        <w:t>Section 4.02</w:t>
      </w:r>
      <w:r>
        <w:rPr>
          <w:rFonts w:ascii="Times New Roman" w:hAnsi="Times New Roman"/>
          <w:sz w:val="20"/>
        </w:rPr>
        <w:t xml:space="preserve">, the place or places where the Principal of and any interest on Securities of the series shall be payable, any Securities of the series may be surrendered for exchange, and notices and demands to or upon the Company in respect of the Securities of the series and this Indenture may be served; </w:t>
      </w:r>
    </w:p>
    <w:p>
      <w:pPr>
        <w:pStyle w:val="TextBody"/>
        <w:bidi w:val="0"/>
        <w:spacing w:before="240" w:after="0"/>
        <w:jc w:val="left"/>
        <w:rPr>
          <w:rFonts w:ascii="Times New Roman" w:hAnsi="Times New Roman"/>
          <w:sz w:val="20"/>
        </w:rPr>
      </w:pPr>
      <w:r>
        <w:rPr>
          <w:rFonts w:ascii="Times New Roman" w:hAnsi="Times New Roman"/>
          <w:sz w:val="20"/>
        </w:rPr>
        <w:t xml:space="preserve">(f) 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 of the series shall be redeemed, purchased or repaid, in whole or in part, pursuant to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(h) if other than denominations of $2,000 and any higher integral multiple of $1,000, the denominations in which Securities of the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(i) if other than the Principal amount thereof, the portion of the Principal amount of Securities of the series which shall be payable upon declaration of acceleration of the maturity thereof; </w:t>
      </w:r>
    </w:p>
    <w:p>
      <w:pPr>
        <w:pStyle w:val="TextBody"/>
        <w:bidi w:val="0"/>
        <w:spacing w:before="240" w:after="0"/>
        <w:jc w:val="left"/>
        <w:rPr>
          <w:rFonts w:ascii="Times New Roman" w:hAnsi="Times New Roman"/>
          <w:sz w:val="20"/>
        </w:rPr>
      </w:pPr>
      <w:r>
        <w:rPr>
          <w:rFonts w:ascii="Times New Roman" w:hAnsi="Times New Roman"/>
          <w:sz w:val="20"/>
        </w:rPr>
        <w:t xml:space="preserve">(j) 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(k) 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 </w:t>
      </w:r>
    </w:p>
    <w:p>
      <w:pPr>
        <w:pStyle w:val="TextBody"/>
        <w:bidi w:val="0"/>
        <w:spacing w:before="240" w:after="0"/>
        <w:jc w:val="left"/>
        <w:rPr>
          <w:rFonts w:ascii="Times New Roman" w:hAnsi="Times New Roman"/>
          <w:sz w:val="20"/>
        </w:rPr>
      </w:pPr>
      <w:r>
        <w:rPr>
          <w:rFonts w:ascii="Times New Roman" w:hAnsi="Times New Roman"/>
          <w:sz w:val="20"/>
        </w:rPr>
        <w:t xml:space="preserve">(l) whether the Securities of the series or any portion thereof will be issuable as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(m) whether the Securities of the series may be exchangeable for and/or convertible into the common stock of the Company or any other security; </w:t>
      </w:r>
    </w:p>
    <w:p>
      <w:pPr>
        <w:pStyle w:val="TextBody"/>
        <w:bidi w:val="0"/>
        <w:spacing w:before="240" w:after="0"/>
        <w:jc w:val="left"/>
        <w:rPr>
          <w:rFonts w:ascii="Times New Roman" w:hAnsi="Times New Roman"/>
          <w:sz w:val="20"/>
        </w:rPr>
      </w:pPr>
      <w:r>
        <w:rPr>
          <w:rFonts w:ascii="Times New Roman" w:hAnsi="Times New Roman"/>
          <w:sz w:val="20"/>
        </w:rPr>
        <w:t xml:space="preserve">(n) 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(p) any trustees, depositaries, authenticating or paying agents, transfer agents or the registrar or any other agents with respect to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(q) 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w:t>
      </w:r>
      <w:r>
        <w:rPr>
          <w:rFonts w:ascii="Times New Roman" w:hAnsi="Times New Roman"/>
          <w:sz w:val="20"/>
          <w:u w:val="single"/>
        </w:rPr>
        <w:t>Article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 if the Securities of the series are issuable in whole or in part as one or more Registered Global Securities, the identity of the Depositary or common Depositary for such Registered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(s) any other or alternative Events of Default or covenants with respect to the Securities of the series; and </w:t>
      </w:r>
    </w:p>
    <w:p>
      <w:pPr>
        <w:pStyle w:val="TextBody"/>
        <w:bidi w:val="0"/>
        <w:spacing w:before="240" w:after="0"/>
        <w:jc w:val="left"/>
        <w:rPr>
          <w:rFonts w:ascii="Times New Roman" w:hAnsi="Times New Roman"/>
          <w:sz w:val="20"/>
        </w:rPr>
      </w:pPr>
      <w:r>
        <w:rPr>
          <w:rFonts w:ascii="Times New Roman" w:hAnsi="Times New Roman"/>
          <w:sz w:val="20"/>
        </w:rPr>
        <w:t xml:space="preserve">(t) any other terms of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i/>
          <w:sz w:val="20"/>
        </w:rPr>
        <w:t>Denomination and Date of Securities; Payments of Interest</w:t>
      </w:r>
      <w:r>
        <w:rPr>
          <w:rFonts w:ascii="Times New Roman" w:hAnsi="Times New Roman"/>
          <w:sz w:val="20"/>
        </w:rPr>
        <w:t xml:space="preserve">. The Securities of each series shall be issuable in denominations established as contemplated by </w:t>
      </w:r>
      <w:r>
        <w:rPr>
          <w:rFonts w:ascii="Times New Roman" w:hAnsi="Times New Roman"/>
          <w:sz w:val="20"/>
          <w:u w:val="single"/>
        </w:rPr>
        <w:t>Section 2.03</w:t>
      </w:r>
      <w:r>
        <w:rPr>
          <w:rFonts w:ascii="Times New Roman" w:hAnsi="Times New Roman"/>
          <w:sz w:val="20"/>
        </w:rPr>
        <w:t xml:space="preserve"> or, if not so established with respect to Securities of any series, in denominations of $2,000 and any higher integral multiple of $1,000. The Securities of each series shall be numbered, lettered or otherwise distinguished in such manner or in accordance with such plan as the Officers of the Company executing the same may determine, as evidenced by their execution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with respect to a series of Securities, each Security shall be dated the date of its authentication. The Securities of each series shall bear interest, if any, from the date, and such interest shall be payable on the dates, established as contemplated by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Company shall default in the payment of the interest due on such interest payment date for such series, in which case the provisions of </w:t>
      </w:r>
      <w:r>
        <w:rPr>
          <w:rFonts w:ascii="Times New Roman" w:hAnsi="Times New Roman"/>
          <w:sz w:val="20"/>
          <w:u w:val="single"/>
        </w:rPr>
        <w:t>Section 2.13</w:t>
      </w:r>
      <w:r>
        <w:rPr>
          <w:rFonts w:ascii="Times New Roman" w:hAnsi="Times New Roman"/>
          <w:sz w:val="20"/>
        </w:rPr>
        <w:t xml:space="preserve"> shall apply. The term </w:t>
      </w:r>
      <w:r>
        <w:rPr>
          <w:rFonts w:ascii="Times New Roman" w:hAnsi="Times New Roman"/>
          <w:b/>
          <w:sz w:val="20"/>
        </w:rPr>
        <w:t>record date</w:t>
      </w:r>
      <w:r>
        <w:rPr>
          <w:rFonts w:ascii="Times New Roman" w:hAnsi="Times New Roman"/>
          <w:sz w:val="20"/>
        </w:rPr>
        <w:t xml:space="preserve"> as used with respect to any interest payment date (except a date for payment of defaulted interest) for the Securities of any series shall mean the date specified as such in the terms of the Securities of such series established as contemplated by </w:t>
      </w:r>
      <w:r>
        <w:rPr>
          <w:rFonts w:ascii="Times New Roman" w:hAnsi="Times New Roman"/>
          <w:sz w:val="20"/>
          <w:u w:val="single"/>
        </w:rPr>
        <w:t>Section 2.03</w:t>
      </w:r>
      <w:r>
        <w:rPr>
          <w:rFonts w:ascii="Times New Roman" w:hAnsi="Times New Roman"/>
          <w:sz w:val="20"/>
        </w:rPr>
        <w:t xml:space="preserve">, or, if no such date is so established, the fifteenth day next preceding such interest payment date, whether or not such record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i/>
          <w:sz w:val="20"/>
        </w:rPr>
        <w:t>Registrar and Paying Agent; Agents Generally</w:t>
      </w:r>
      <w:r>
        <w:rPr>
          <w:rFonts w:ascii="Times New Roman" w:hAnsi="Times New Roman"/>
          <w:sz w:val="20"/>
        </w:rPr>
        <w:t>. The Company shall maintain an office or agency where Securities may be presented for registration, registration of transfer or for exchange (the </w:t>
      </w:r>
      <w:r>
        <w:rPr>
          <w:rFonts w:ascii="Times New Roman" w:hAnsi="Times New Roman"/>
          <w:b/>
          <w:sz w:val="20"/>
        </w:rPr>
        <w:t>Registrar</w:t>
      </w:r>
      <w:r>
        <w:rPr>
          <w:rFonts w:ascii="Times New Roman" w:hAnsi="Times New Roman"/>
          <w:sz w:val="20"/>
        </w:rPr>
        <w:t>) and an office or agency where Securities may be presented for payment (the </w:t>
      </w:r>
      <w:r>
        <w:rPr>
          <w:rFonts w:ascii="Times New Roman" w:hAnsi="Times New Roman"/>
          <w:b/>
          <w:sz w:val="20"/>
        </w:rPr>
        <w:t>Paying Agent</w:t>
      </w:r>
      <w:r>
        <w:rPr>
          <w:rFonts w:ascii="Times New Roman" w:hAnsi="Times New Roman"/>
          <w:sz w:val="20"/>
        </w:rPr>
        <w:t>), which shall be in the United States of America. The Company shall cause the Registrar to keep a register of the Securities and of their registration, transfer and exchange (the </w:t>
      </w:r>
      <w:r>
        <w:rPr>
          <w:rFonts w:ascii="Times New Roman" w:hAnsi="Times New Roman"/>
          <w:b/>
          <w:sz w:val="20"/>
        </w:rPr>
        <w:t>Security Register</w:t>
      </w:r>
      <w:r>
        <w:rPr>
          <w:rFonts w:ascii="Times New Roman" w:hAnsi="Times New Roman"/>
          <w:sz w:val="20"/>
        </w:rPr>
        <w:t xml:space="preserve">). The Company may have one or more additional Paying Agents or transfer agents with respect to any series.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w:t>
      </w:r>
      <w:r>
        <w:rPr>
          <w:rFonts w:ascii="Times New Roman" w:hAnsi="Times New Roman"/>
          <w:i/>
          <w:sz w:val="20"/>
        </w:rPr>
        <w:t>provided</w:t>
      </w:r>
      <w:r>
        <w:rPr>
          <w:rFonts w:ascii="Times New Roman" w:hAnsi="Times New Roman"/>
          <w:sz w:val="20"/>
        </w:rPr>
        <w:t xml:space="preserve">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w:t>
      </w:r>
      <w:r>
        <w:rPr>
          <w:rFonts w:ascii="Times New Roman" w:hAnsi="Times New Roman"/>
          <w:i/>
          <w:sz w:val="20"/>
        </w:rPr>
        <w:t>provided</w:t>
      </w:r>
      <w:r>
        <w:rPr>
          <w:rFonts w:ascii="Times New Roman" w:hAnsi="Times New Roman"/>
          <w:sz w:val="20"/>
        </w:rPr>
        <w:t xml:space="preserve"> that neither the Company nor an Affiliate of the Company shall act as Paying Agent in connection with the defeasance of the Securities or the discharge of this Indenture under </w:t>
      </w:r>
      <w:r>
        <w:rPr>
          <w:rFonts w:ascii="Times New Roman" w:hAnsi="Times New Roman"/>
          <w:sz w:val="20"/>
          <w:u w:val="single"/>
        </w:rPr>
        <w:t>Article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2.06. </w:t>
      </w:r>
      <w:r>
        <w:rPr>
          <w:rFonts w:ascii="Times New Roman" w:hAnsi="Times New Roman"/>
          <w:i/>
          <w:sz w:val="20"/>
        </w:rPr>
        <w:t>Paying Agent to Hold Money in Trust</w:t>
      </w:r>
      <w:r>
        <w:rPr>
          <w:rFonts w:ascii="Times New Roman" w:hAnsi="Times New Roman"/>
          <w:sz w:val="20"/>
        </w:rPr>
        <w:t xml:space="preserve">. Not later than 10:00 a.m. New York City time on each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this Indenture, and will promptly notify the Trustee in writing of its action or failure to act as required by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i/>
          <w:sz w:val="20"/>
        </w:rPr>
        <w:t>Transfer and Exchange</w:t>
      </w:r>
      <w:r>
        <w:rPr>
          <w:rFonts w:ascii="Times New Roman" w:hAnsi="Times New Roman"/>
          <w:sz w:val="20"/>
        </w:rPr>
        <w:t xml:space="preserve">. At the option of the Holder thereof, Securities of any series (other than a Registered Global Security, except as set forth below) may be exchanged for a Security or Securities of such series and tenor having authorized denominations and an equal aggregate Principal amount, upon surrender of such Securities to be exchanged at the agency of the Company that shall be maintained for such purpose in accordance with </w:t>
      </w:r>
      <w:r>
        <w:rPr>
          <w:rFonts w:ascii="Times New Roman" w:hAnsi="Times New Roman"/>
          <w:sz w:val="20"/>
          <w:u w:val="single"/>
        </w:rPr>
        <w:t>Section 2.05</w:t>
      </w:r>
      <w:r>
        <w:rPr>
          <w:rFonts w:ascii="Times New Roman" w:hAnsi="Times New Roman"/>
          <w:sz w:val="20"/>
        </w:rPr>
        <w:t xml:space="preserve">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 Upon surrender for registration of transfer of any Security of a series at the agency of the Company that shall be maintained for that purpose in accordance with </w:t>
      </w:r>
      <w:r>
        <w:rPr>
          <w:rFonts w:ascii="Times New Roman" w:hAnsi="Times New Roman"/>
          <w:sz w:val="20"/>
          <w:u w:val="single"/>
        </w:rPr>
        <w:t>Section 2.05</w:t>
      </w:r>
      <w:r>
        <w:rPr>
          <w:rFonts w:ascii="Times New Roman" w:hAnsi="Times New Roman"/>
          <w:sz w:val="20"/>
        </w:rPr>
        <w:t xml:space="preserve"> and upon payment, if the Company shall so require, of the charges hereinafter provided, the Company shall execute, and the Trustee shall authenticate and deliver, in the name of the designated transferee or transferees, one or more new Securities of the same series, of any authorized denominations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require payment of a sum sufficient to cover any tax or other governmental charge that may be imposed in connection with any exchange or registration of transfer of Securities. No service charge shall be made for any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w:t>
      </w:r>
      <w:r>
        <w:rPr>
          <w:rFonts w:ascii="Times New Roman" w:hAnsi="Times New Roman"/>
          <w:sz w:val="20"/>
          <w:u w:val="single"/>
        </w:rPr>
        <w:t>Section 2.07</w:t>
      </w:r>
      <w:r>
        <w:rPr>
          <w:rFonts w:ascii="Times New Roman" w:hAnsi="Times New Roman"/>
          <w:sz w:val="20"/>
        </w:rPr>
        <w:t xml:space="preserve">,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time the Securities of any series are not in the form of Registered Global Securities pursuant to the preceding two paragraphs, the Company agrees to supply the Trustee with a reasonable supply of certificated Securities without the legend required by </w:t>
      </w:r>
      <w:r>
        <w:rPr>
          <w:rFonts w:ascii="Times New Roman" w:hAnsi="Times New Roman"/>
          <w:sz w:val="20"/>
          <w:u w:val="single"/>
        </w:rPr>
        <w:t>Section 2.02</w:t>
      </w:r>
      <w:r>
        <w:rPr>
          <w:rFonts w:ascii="Times New Roman" w:hAnsi="Times New Roman"/>
          <w:sz w:val="20"/>
        </w:rPr>
        <w:t xml:space="preserve"> and the Trustee agrees to hold such Securities in safekeeping until authenticated and delivered pursuant to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If established by the Company pursuant to </w:t>
      </w:r>
      <w:r>
        <w:rPr>
          <w:rFonts w:ascii="Times New Roman" w:hAnsi="Times New Roman"/>
          <w:sz w:val="20"/>
          <w:u w:val="single"/>
        </w:rPr>
        <w:t>Section 2.03</w:t>
      </w:r>
      <w:r>
        <w:rPr>
          <w:rFonts w:ascii="Times New Roman" w:hAnsi="Times New Roman"/>
          <w:sz w:val="20"/>
        </w:rPr>
        <w:t xml:space="preserve"> with respect to any Registered Global Security, the Depositary for such Registered Global Security may surrender such Registered Global Security in exchange in whole or in part for Securities of the same series and tenor in definitive registered form on such terms as are acceptable to the Company and such Depositary. Thereupon, the Company shall execute, and the Trustee shall authenticate and deliver, without service charge, </w:t>
      </w:r>
    </w:p>
    <w:p>
      <w:pPr>
        <w:pStyle w:val="TextBody"/>
        <w:bidi w:val="0"/>
        <w:spacing w:before="240" w:after="0"/>
        <w:jc w:val="left"/>
        <w:rPr>
          <w:rFonts w:ascii="Times New Roman" w:hAnsi="Times New Roman"/>
          <w:sz w:val="20"/>
        </w:rPr>
      </w:pPr>
      <w:r>
        <w:rPr>
          <w:rFonts w:ascii="Times New Roman" w:hAnsi="Times New Roman"/>
          <w:sz w:val="20"/>
        </w:rPr>
        <w:t xml:space="preserve">(a) to the Person specified by such Depositary new certificated Securities of the same series and tenor, of any authorized denominations as requested by such Person, in an aggregate Principal amount equal to and in exchange for such Persons beneficial interest in the Registered Global Security; and </w:t>
      </w:r>
    </w:p>
    <w:p>
      <w:pPr>
        <w:pStyle w:val="TextBody"/>
        <w:bidi w:val="0"/>
        <w:spacing w:before="240" w:after="0"/>
        <w:jc w:val="left"/>
        <w:rPr>
          <w:rFonts w:ascii="Times New Roman" w:hAnsi="Times New Roman"/>
          <w:sz w:val="20"/>
        </w:rPr>
      </w:pPr>
      <w:r>
        <w:rPr>
          <w:rFonts w:ascii="Times New Roman" w:hAnsi="Times New Roman"/>
          <w:sz w:val="20"/>
        </w:rPr>
        <w:t xml:space="preserve">(b) to such Depositary a new Registered Global Security in a denomination equal to the difference, if any, between the Principal amount of the surrendered Registered Global Security and the aggregate Principal amount of certificated Securities authenticated and delivered pursuant to clause (a)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Certificated Securities issued in exchange for a Registered Global Security pursuant to this </w:t>
      </w:r>
      <w:r>
        <w:rPr>
          <w:rFonts w:ascii="Times New Roman" w:hAnsi="Times New Roman"/>
          <w:sz w:val="20"/>
          <w:u w:val="single"/>
        </w:rPr>
        <w:t>Section 2.07</w:t>
      </w:r>
      <w:r>
        <w:rPr>
          <w:rFonts w:ascii="Times New Roman" w:hAnsi="Times New Roman"/>
          <w:sz w:val="20"/>
        </w:rPr>
        <w:t xml:space="preserve">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issued upon any transfer or exchange of Securities shall be valid obligations of the Company, evidencing the same debt, and entitled to the same benefits under this Indenture, as the Securities surrendered upon such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i/>
          <w:sz w:val="20"/>
        </w:rPr>
        <w:t>Replacement Securities</w:t>
      </w:r>
      <w:r>
        <w:rPr>
          <w:rFonts w:ascii="Times New Roman" w:hAnsi="Times New Roman"/>
          <w:sz w:val="20"/>
        </w:rPr>
        <w:t xml:space="preserve">. If any mutilated Security is surrendered to the Trustee, the Company shall execute and the Trustee shall authenticate and deliver, in exchange for such mutilated Security,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the Trustee (i) evidence to their satisfaction of the destruction, loss or theft of any Security and (ii) such security 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or in exchange for any mutilated Security shall constitute an original additional contractual obligation of the Company, whether or not the mutilated, destroyed, lost or stolen Security shall be at any time enforceable by anyone, and any such new Security shall be entitled to all the benefits of this Indenture equally and proportionately with any and all other Securities of that series duly issued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any other rights and remedies with respect to the replacement or payment of mutilated, destroyed, lost or stolen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i/>
          <w:sz w:val="20"/>
        </w:rPr>
        <w:t>Outstanding Securities</w:t>
      </w:r>
      <w:r>
        <w:rPr>
          <w:rFonts w:ascii="Times New Roman" w:hAnsi="Times New Roman"/>
          <w:sz w:val="20"/>
        </w:rPr>
        <w:t xml:space="preserve">. Securities outstanding at any time are all Securities that have been authenticated by the Trustee except for those cancelled by it, those delivered to it for cancellation, those described in this Section as not outstanding and those that have been defeased pursuant to </w:t>
      </w:r>
      <w:r>
        <w:rPr>
          <w:rFonts w:ascii="Times New Roman" w:hAnsi="Times New Roman"/>
          <w:sz w:val="20"/>
          <w:u w:val="single"/>
        </w:rPr>
        <w:t>Section 8.05</w:t>
      </w:r>
      <w:r>
        <w:rPr>
          <w:rFonts w:ascii="Times New Roman" w:hAnsi="Times New Roman"/>
          <w:sz w:val="20"/>
        </w:rPr>
        <w:t xml:space="preserve">. If a Security is replaced pursuant to </w:t>
      </w:r>
      <w:r>
        <w:rPr>
          <w:rFonts w:ascii="Times New Roman" w:hAnsi="Times New Roman"/>
          <w:sz w:val="20"/>
          <w:u w:val="single"/>
        </w:rPr>
        <w:t>Section 2.08</w:t>
      </w:r>
      <w:r>
        <w:rPr>
          <w:rFonts w:ascii="Times New Roman" w:hAnsi="Times New Roman"/>
          <w:sz w:val="20"/>
        </w:rPr>
        <w:t xml:space="preserve">, it ceases to be outstanding unless and until the Trustee and the Company receive proof satisfactory to them that the replaced Security is held by a holder in due course.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 </w:t>
      </w:r>
    </w:p>
    <w:p>
      <w:pPr>
        <w:pStyle w:val="TextBody"/>
        <w:bidi w:val="0"/>
        <w:spacing w:before="240" w:after="0"/>
        <w:jc w:val="left"/>
        <w:rPr>
          <w:rFonts w:ascii="Times New Roman" w:hAnsi="Times New Roman"/>
          <w:sz w:val="20"/>
        </w:rPr>
      </w:pPr>
      <w:r>
        <w:rPr>
          <w:rFonts w:ascii="Times New Roman" w:hAnsi="Times New Roman"/>
          <w:sz w:val="20"/>
        </w:rPr>
        <w:t xml:space="preserve">A Security does not cease to be outstanding because the Company or one of its affiliates holds such Security, </w:t>
      </w:r>
      <w:r>
        <w:rPr>
          <w:rFonts w:ascii="Times New Roman" w:hAnsi="Times New Roman"/>
          <w:i/>
          <w:sz w:val="20"/>
        </w:rPr>
        <w:t>provided, however</w:t>
      </w:r>
      <w:r>
        <w:rPr>
          <w:rFonts w:ascii="Times New Roman" w:hAnsi="Times New Roman"/>
          <w:sz w:val="20"/>
        </w:rPr>
        <w:t xml:space="preserve">,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i/>
          <w:sz w:val="20"/>
        </w:rPr>
        <w:t>Temporary Securities</w:t>
      </w:r>
      <w:r>
        <w:rPr>
          <w:rFonts w:ascii="Times New Roman" w:hAnsi="Times New Roman"/>
          <w:sz w:val="20"/>
        </w:rPr>
        <w:t xml:space="preserve">. 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 definitive Securities of such series to be prepared without unreasonable delay. After the preparation of definitive Securities of any series, the temporary Securities of such series shall be exchangeable for definitive Securities of such series and tenor upon surrender of such temporary Securities at the office or agency of the Company designated for such purpose pursuant to </w:t>
      </w:r>
      <w:r>
        <w:rPr>
          <w:rFonts w:ascii="Times New Roman" w:hAnsi="Times New Roman"/>
          <w:sz w:val="20"/>
          <w:u w:val="single"/>
        </w:rPr>
        <w:t>Section 4.02</w:t>
      </w:r>
      <w:r>
        <w:rPr>
          <w:rFonts w:ascii="Times New Roman" w:hAnsi="Times New Roman"/>
          <w:sz w:val="20"/>
        </w:rPr>
        <w:t xml:space="preserve">, without charge to the Holder. Upon surrender for cancellation of any one or more temporary Securities of any series the Company shall 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i/>
          <w:sz w:val="20"/>
        </w:rPr>
        <w:t>Cancellation</w:t>
      </w:r>
      <w:r>
        <w:rPr>
          <w:rFonts w:ascii="Times New Roman" w:hAnsi="Times New Roman"/>
          <w:sz w:val="20"/>
        </w:rPr>
        <w:t xml:space="preserve">. 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i/>
          <w:sz w:val="20"/>
        </w:rPr>
        <w:t>CUSIP Numbers</w:t>
      </w:r>
      <w:r>
        <w:rPr>
          <w:rFonts w:ascii="Times New Roman" w:hAnsi="Times New Roman"/>
          <w:sz w:val="20"/>
        </w:rPr>
        <w:t xml:space="preserve">. The Company in issuing the Securities may use CUSIP, ISIN and/or CINS numbers (if then generally in use), and the Trustee shall use CUSIP numbers, ISIN numbers or CINS numbers, as the case may be, in notices of redemption or exchange as a convenience to Holders and no representation shall be made as to the correctness of such numbers either as printed on the Securities or as contained in any notice of redemption or exchange.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i/>
          <w:sz w:val="20"/>
        </w:rPr>
        <w:t>Defaulted Interest</w:t>
      </w:r>
      <w:r>
        <w:rPr>
          <w:rFonts w:ascii="Times New Roman" w:hAnsi="Times New Roman"/>
          <w:sz w:val="20"/>
        </w:rPr>
        <w:t xml:space="preserve">. If the Company defaults in a payment of interest on the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w:t>
      </w:r>
      <w:r>
        <w:rPr>
          <w:rFonts w:ascii="Times New Roman" w:hAnsi="Times New Roman"/>
          <w:sz w:val="20"/>
          <w:u w:val="single"/>
        </w:rPr>
        <w:t>Section 2.03</w:t>
      </w:r>
      <w:r>
        <w:rPr>
          <w:rFonts w:ascii="Times New Roman" w:hAnsi="Times New Roman"/>
          <w:sz w:val="20"/>
        </w:rPr>
        <w:t xml:space="preserve">)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Securities and to the Trustee a notice that states the special record date, the payment date and the amount of defaulted interest to be paid.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i/>
          <w:sz w:val="20"/>
        </w:rPr>
        <w:t>Series May Include Tranches</w:t>
      </w:r>
      <w:r>
        <w:rPr>
          <w:rFonts w:ascii="Times New Roman" w:hAnsi="Times New Roman"/>
          <w:sz w:val="20"/>
        </w:rPr>
        <w:t>. A series of Securities may include one or more tranches (each a </w:t>
      </w:r>
      <w:r>
        <w:rPr>
          <w:rFonts w:ascii="Times New Roman" w:hAnsi="Times New Roman"/>
          <w:b/>
          <w:sz w:val="20"/>
        </w:rPr>
        <w:t>tranche</w:t>
      </w:r>
      <w:r>
        <w:rPr>
          <w:rFonts w:ascii="Times New Roman" w:hAnsi="Times New Roman"/>
          <w:sz w:val="20"/>
        </w:rPr>
        <w:t xml:space="preserve">) of Securities, including Securities issued in a Periodic Offering. The Securities of different tranches may have one or more different terms, including authentication dates and public offering prices, but all the Securities within each such tranche shall have identical terms, including authentication date and public offering price. Notwithstanding any other provision of this Indenture, with respect to </w:t>
      </w:r>
      <w:r>
        <w:rPr>
          <w:rFonts w:ascii="Times New Roman" w:hAnsi="Times New Roman"/>
          <w:sz w:val="20"/>
          <w:u w:val="single"/>
        </w:rPr>
        <w:t>Sections 2.02</w:t>
      </w:r>
      <w:r>
        <w:rPr>
          <w:rFonts w:ascii="Times New Roman" w:hAnsi="Times New Roman"/>
          <w:sz w:val="20"/>
        </w:rPr>
        <w:t xml:space="preserve"> (other than the fourth, sixth and seventh paragraphs thereof) through </w:t>
      </w:r>
      <w:r>
        <w:rPr>
          <w:rFonts w:ascii="Times New Roman" w:hAnsi="Times New Roman"/>
          <w:sz w:val="20"/>
          <w:u w:val="single"/>
        </w:rPr>
        <w:t>2.04</w:t>
      </w:r>
      <w:r>
        <w:rPr>
          <w:rFonts w:ascii="Times New Roman" w:hAnsi="Times New Roman"/>
          <w:sz w:val="20"/>
        </w:rPr>
        <w:t xml:space="preserve">, </w:t>
      </w:r>
      <w:r>
        <w:rPr>
          <w:rFonts w:ascii="Times New Roman" w:hAnsi="Times New Roman"/>
          <w:sz w:val="20"/>
          <w:u w:val="single"/>
        </w:rPr>
        <w:t>2.07</w:t>
      </w:r>
      <w:r>
        <w:rPr>
          <w:rFonts w:ascii="Times New Roman" w:hAnsi="Times New Roman"/>
          <w:sz w:val="20"/>
        </w:rPr>
        <w:t xml:space="preserve">, </w:t>
      </w:r>
      <w:r>
        <w:rPr>
          <w:rFonts w:ascii="Times New Roman" w:hAnsi="Times New Roman"/>
          <w:sz w:val="20"/>
          <w:u w:val="single"/>
        </w:rPr>
        <w:t>2.08</w:t>
      </w:r>
      <w:r>
        <w:rPr>
          <w:rFonts w:ascii="Times New Roman" w:hAnsi="Times New Roman"/>
          <w:sz w:val="20"/>
        </w:rPr>
        <w:t xml:space="preserve">, </w:t>
      </w:r>
      <w:r>
        <w:rPr>
          <w:rFonts w:ascii="Times New Roman" w:hAnsi="Times New Roman"/>
          <w:sz w:val="20"/>
          <w:u w:val="single"/>
        </w:rPr>
        <w:t>2.10</w:t>
      </w:r>
      <w:r>
        <w:rPr>
          <w:rFonts w:ascii="Times New Roman" w:hAnsi="Times New Roman"/>
          <w:sz w:val="20"/>
        </w:rPr>
        <w:t xml:space="preserve">, </w:t>
      </w:r>
      <w:r>
        <w:rPr>
          <w:rFonts w:ascii="Times New Roman" w:hAnsi="Times New Roman"/>
          <w:sz w:val="20"/>
          <w:u w:val="single"/>
        </w:rPr>
        <w:t>3.01</w:t>
      </w:r>
      <w:r>
        <w:rPr>
          <w:rFonts w:ascii="Times New Roman" w:hAnsi="Times New Roman"/>
          <w:sz w:val="20"/>
        </w:rPr>
        <w:t xml:space="preserve"> through </w:t>
      </w:r>
      <w:r>
        <w:rPr>
          <w:rFonts w:ascii="Times New Roman" w:hAnsi="Times New Roman"/>
          <w:sz w:val="20"/>
          <w:u w:val="single"/>
        </w:rPr>
        <w:t>3.05</w:t>
      </w:r>
      <w:r>
        <w:rPr>
          <w:rFonts w:ascii="Times New Roman" w:hAnsi="Times New Roman"/>
          <w:sz w:val="20"/>
        </w:rPr>
        <w:t xml:space="preserve">, </w:t>
      </w:r>
      <w:r>
        <w:rPr>
          <w:rFonts w:ascii="Times New Roman" w:hAnsi="Times New Roman"/>
          <w:sz w:val="20"/>
          <w:u w:val="single"/>
        </w:rPr>
        <w:t>4.02</w:t>
      </w:r>
      <w:r>
        <w:rPr>
          <w:rFonts w:ascii="Times New Roman" w:hAnsi="Times New Roman"/>
          <w:sz w:val="20"/>
        </w:rPr>
        <w:t xml:space="preserve">, </w:t>
      </w:r>
      <w:r>
        <w:rPr>
          <w:rFonts w:ascii="Times New Roman" w:hAnsi="Times New Roman"/>
          <w:sz w:val="20"/>
          <w:u w:val="single"/>
        </w:rPr>
        <w:t>6.01</w:t>
      </w:r>
      <w:r>
        <w:rPr>
          <w:rFonts w:ascii="Times New Roman" w:hAnsi="Times New Roman"/>
          <w:sz w:val="20"/>
        </w:rPr>
        <w:t xml:space="preserve"> through </w:t>
      </w:r>
      <w:r>
        <w:rPr>
          <w:rFonts w:ascii="Times New Roman" w:hAnsi="Times New Roman"/>
          <w:sz w:val="20"/>
          <w:u w:val="single"/>
        </w:rPr>
        <w:t>6.14</w:t>
      </w:r>
      <w:r>
        <w:rPr>
          <w:rFonts w:ascii="Times New Roman" w:hAnsi="Times New Roman"/>
          <w:sz w:val="20"/>
        </w:rPr>
        <w:t xml:space="preserve">, </w:t>
      </w:r>
      <w:r>
        <w:rPr>
          <w:rFonts w:ascii="Times New Roman" w:hAnsi="Times New Roman"/>
          <w:sz w:val="20"/>
          <w:u w:val="single"/>
        </w:rPr>
        <w:t>8.01</w:t>
      </w:r>
      <w:r>
        <w:rPr>
          <w:rFonts w:ascii="Times New Roman" w:hAnsi="Times New Roman"/>
          <w:sz w:val="20"/>
        </w:rPr>
        <w:t xml:space="preserve"> through </w:t>
      </w:r>
      <w:r>
        <w:rPr>
          <w:rFonts w:ascii="Times New Roman" w:hAnsi="Times New Roman"/>
          <w:sz w:val="20"/>
          <w:u w:val="single"/>
        </w:rPr>
        <w:t>8.07</w:t>
      </w:r>
      <w:r>
        <w:rPr>
          <w:rFonts w:ascii="Times New Roman" w:hAnsi="Times New Roman"/>
          <w:sz w:val="20"/>
        </w:rPr>
        <w:t xml:space="preserve">, </w:t>
      </w:r>
      <w:r>
        <w:rPr>
          <w:rFonts w:ascii="Times New Roman" w:hAnsi="Times New Roman"/>
          <w:sz w:val="20"/>
          <w:u w:val="single"/>
        </w:rPr>
        <w:t>9.02</w:t>
      </w:r>
      <w:r>
        <w:rPr>
          <w:rFonts w:ascii="Times New Roman" w:hAnsi="Times New Roman"/>
          <w:sz w:val="20"/>
        </w:rPr>
        <w:t xml:space="preserve"> and </w:t>
      </w:r>
      <w:r>
        <w:rPr>
          <w:rFonts w:ascii="Times New Roman" w:hAnsi="Times New Roman"/>
          <w:sz w:val="20"/>
          <w:u w:val="single"/>
        </w:rPr>
        <w:t>10.07</w:t>
      </w:r>
      <w:r>
        <w:rPr>
          <w:rFonts w:ascii="Times New Roman" w:hAnsi="Times New Roman"/>
          <w:sz w:val="20"/>
        </w:rPr>
        <w:t xml:space="preserve">, if any series of Securities includes more than one tranche, all provisions of such sections applicable to any series of Securities shall be deemed equally applicable to each tranche of any series of Securities in the same manner as though originally designated a series unless otherwise provided with respect to such series or tranche pursuant to </w:t>
      </w:r>
      <w:r>
        <w:rPr>
          <w:rFonts w:ascii="Times New Roman" w:hAnsi="Times New Roman"/>
          <w:sz w:val="20"/>
          <w:u w:val="single"/>
        </w:rPr>
        <w:t>Section 2.03</w:t>
      </w:r>
      <w:r>
        <w:rPr>
          <w:rFonts w:ascii="Times New Roman" w:hAnsi="Times New Roman"/>
          <w:sz w:val="20"/>
        </w:rPr>
        <w:t xml:space="preserve">.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3 </w:t>
      </w:r>
    </w:p>
    <w:p>
      <w:pPr>
        <w:pStyle w:val="TextBody"/>
        <w:bidi w:val="0"/>
        <w:spacing w:before="0" w:after="0"/>
        <w:jc w:val="center"/>
        <w:rPr>
          <w:rFonts w:ascii="Times New Roman" w:hAnsi="Times New Roman"/>
          <w:sz w:val="20"/>
        </w:rPr>
      </w:pPr>
      <w:r>
        <w:rPr>
          <w:rFonts w:ascii="Times New Roman" w:hAnsi="Times New Roman"/>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i/>
          <w:sz w:val="20"/>
        </w:rPr>
        <w:t>Applicability of Article</w:t>
      </w:r>
      <w:r>
        <w:rPr>
          <w:rFonts w:ascii="Times New Roman" w:hAnsi="Times New Roman"/>
          <w:sz w:val="20"/>
        </w:rPr>
        <w:t xml:space="preserve">. The provisions of this Article shall be applicable to the Securities of any series that are redeemable before their maturity or to any sinking fund for the retirement of Securities of a series except as otherwise specified as contemplated by </w:t>
      </w:r>
      <w:r>
        <w:rPr>
          <w:rFonts w:ascii="Times New Roman" w:hAnsi="Times New Roman"/>
          <w:sz w:val="20"/>
          <w:u w:val="single"/>
        </w:rPr>
        <w:t>Section 2.03</w:t>
      </w:r>
      <w:r>
        <w:rPr>
          <w:rFonts w:ascii="Times New Roman" w:hAnsi="Times New Roman"/>
          <w:sz w:val="20"/>
        </w:rPr>
        <w:t xml:space="preserve">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i/>
          <w:sz w:val="20"/>
        </w:rPr>
        <w:t>Notice of Redemption; Partial Redemptions</w:t>
      </w:r>
      <w:r>
        <w:rPr>
          <w:rFonts w:ascii="Times New Roman" w:hAnsi="Times New Roman"/>
          <w:sz w:val="20"/>
        </w:rPr>
        <w:t xml:space="preserve">. Notice of redemption to the Holders of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and tenor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The notice of redemption of Securities of any series to be redeemed at the option of the Company shall be given by the Company or, at the Companys request, by the Trustee in the name and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or before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as provided in </w:t>
      </w:r>
      <w:r>
        <w:rPr>
          <w:rFonts w:ascii="Times New Roman" w:hAnsi="Times New Roman"/>
          <w:sz w:val="20"/>
          <w:u w:val="single"/>
        </w:rPr>
        <w:t>Section 2.06</w:t>
      </w:r>
      <w:r>
        <w:rPr>
          <w:rFonts w:ascii="Times New Roman" w:hAnsi="Times New Roman"/>
          <w:sz w:val="20"/>
        </w:rPr>
        <w:t xml:space="preserve">)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w:t>
      </w:r>
      <w:r>
        <w:rPr>
          <w:rFonts w:ascii="Times New Roman" w:hAnsi="Times New Roman"/>
          <w:sz w:val="20"/>
          <w:u w:val="single"/>
        </w:rPr>
        <w:t>Section 3.02</w:t>
      </w:r>
      <w:r>
        <w:rPr>
          <w:rFonts w:ascii="Times New Roman" w:hAnsi="Times New Roman"/>
          <w:sz w:val="20"/>
        </w:rPr>
        <w:t xml:space="preserve">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w:t>
      </w:r>
      <w:r>
        <w:rPr>
          <w:rFonts w:ascii="Times New Roman" w:hAnsi="Times New Roman"/>
          <w:sz w:val="20"/>
          <w:u w:val="single"/>
        </w:rPr>
        <w:t>Section 3.02</w:t>
      </w:r>
      <w:r>
        <w:rPr>
          <w:rFonts w:ascii="Times New Roman" w:hAnsi="Times New Roman"/>
          <w:sz w:val="20"/>
        </w:rPr>
        <w:t xml:space="preserve">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i/>
          <w:sz w:val="20"/>
        </w:rPr>
        <w:t>Payment of Securities Called for Redemption</w:t>
      </w:r>
      <w:r>
        <w:rPr>
          <w:rFonts w:ascii="Times New Roman" w:hAnsi="Times New Roman"/>
          <w:sz w:val="20"/>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 in the payment of such Securities at the redemption price, together with interest accrued to such date) interest on the Securities or portions of Securities so called for redemption shall cease to accrue, and, except as provided in </w:t>
      </w:r>
      <w:r>
        <w:rPr>
          <w:rFonts w:ascii="Times New Roman" w:hAnsi="Times New Roman"/>
          <w:sz w:val="20"/>
          <w:u w:val="single"/>
        </w:rPr>
        <w:t>Sections 7.12</w:t>
      </w:r>
      <w:r>
        <w:rPr>
          <w:rFonts w:ascii="Times New Roman" w:hAnsi="Times New Roman"/>
          <w:sz w:val="20"/>
        </w:rPr>
        <w:t xml:space="preserve"> and </w:t>
      </w:r>
      <w:r>
        <w:rPr>
          <w:rFonts w:ascii="Times New Roman" w:hAnsi="Times New Roman"/>
          <w:sz w:val="20"/>
          <w:u w:val="single"/>
        </w:rPr>
        <w:t>8.02</w:t>
      </w:r>
      <w:r>
        <w:rPr>
          <w:rFonts w:ascii="Times New Roman" w:hAnsi="Times New Roman"/>
          <w:sz w:val="20"/>
        </w:rPr>
        <w:t xml:space="preserve">,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Company at the applicable redemption price, together with interest accrued thereon to the date fixed for redemption; </w:t>
      </w:r>
      <w:r>
        <w:rPr>
          <w:rFonts w:ascii="Times New Roman" w:hAnsi="Times New Roman"/>
          <w:i/>
          <w:sz w:val="20"/>
        </w:rPr>
        <w:t>provided</w:t>
      </w:r>
      <w:r>
        <w:rPr>
          <w:rFonts w:ascii="Times New Roman" w:hAnsi="Times New Roman"/>
          <w:sz w:val="20"/>
        </w:rPr>
        <w:t xml:space="preserve"> that payment of interest becoming due on or prior to the date fixed for redemption shall be payable to the Holders registered as such on the relevant record date subject to the terms and provisions of </w:t>
      </w:r>
      <w:r>
        <w:rPr>
          <w:rFonts w:ascii="Times New Roman" w:hAnsi="Times New Roman"/>
          <w:sz w:val="20"/>
          <w:u w:val="single"/>
        </w:rPr>
        <w:t>Sections 2.04</w:t>
      </w:r>
      <w:r>
        <w:rPr>
          <w:rFonts w:ascii="Times New Roman" w:hAnsi="Times New Roman"/>
          <w:sz w:val="20"/>
        </w:rPr>
        <w:t xml:space="preserve"> and </w:t>
      </w:r>
      <w:r>
        <w:rPr>
          <w:rFonts w:ascii="Times New Roman" w:hAnsi="Times New Roman"/>
          <w:sz w:val="20"/>
          <w:u w:val="single"/>
        </w:rPr>
        <w:t>2.13</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presentation of any Security of any series redeemed in part only, the Company shall execute and the Trustee shall authenticate and deliver to or on the order of the Holder thereof, at the expense of the Company, a new Security or Securities of such series and tenor, of authorized denominations, in Principal amount equal to the unredeemed portion of the Security so presented.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i/>
          <w:sz w:val="20"/>
        </w:rPr>
        <w:t>Exclusion of Certain Securities from Eligibility for Selection for Redemption</w:t>
      </w:r>
      <w:r>
        <w:rPr>
          <w:rFonts w:ascii="Times New Roman" w:hAnsi="Times New Roman"/>
          <w:sz w:val="20"/>
        </w:rPr>
        <w:t xml:space="preserve">. Unless otherwise provided with respect to any series of Securities, 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i/>
          <w:sz w:val="20"/>
        </w:rPr>
        <w:t>Mandatory and Optional Sinking Funds</w:t>
      </w:r>
      <w:r>
        <w:rPr>
          <w:rFonts w:ascii="Times New Roman" w:hAnsi="Times New Roman"/>
          <w:sz w:val="20"/>
        </w:rPr>
        <w:t>. The minimum amount of any sinking fund payment provided for by the terms of Securities of any series is herein referred to as a </w:t>
      </w:r>
      <w:r>
        <w:rPr>
          <w:rFonts w:ascii="Times New Roman" w:hAnsi="Times New Roman"/>
          <w:b/>
          <w:sz w:val="20"/>
        </w:rPr>
        <w:t>mandatory sinking fund payment</w:t>
      </w:r>
      <w:r>
        <w:rPr>
          <w:rFonts w:ascii="Times New Roman" w:hAnsi="Times New Roman"/>
          <w:sz w:val="20"/>
        </w:rPr>
        <w:t>, and any payment in excess of such minimum amount provided for by the terms of the Securities of any series is herein referred to as an </w:t>
      </w:r>
      <w:r>
        <w:rPr>
          <w:rFonts w:ascii="Times New Roman" w:hAnsi="Times New Roman"/>
          <w:b/>
          <w:sz w:val="20"/>
        </w:rPr>
        <w:t>optional sinking fund payment</w:t>
      </w:r>
      <w:r>
        <w:rPr>
          <w:rFonts w:ascii="Times New Roman" w:hAnsi="Times New Roman"/>
          <w:sz w:val="20"/>
        </w:rPr>
        <w:t>. The date on which a sinking fund payment is to be made is herein referred to as the </w:t>
      </w:r>
      <w:r>
        <w:rPr>
          <w:rFonts w:ascii="Times New Roman" w:hAnsi="Times New Roman"/>
          <w:b/>
          <w:sz w:val="20"/>
        </w:rPr>
        <w:t>sinking fund payment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 acquired (except as aforesaid) by the Company and delivered to the Trustee for cancellation pursuant to </w:t>
      </w:r>
      <w:r>
        <w:rPr>
          <w:rFonts w:ascii="Times New Roman" w:hAnsi="Times New Roman"/>
          <w:sz w:val="20"/>
          <w:u w:val="single"/>
        </w:rPr>
        <w:t>Section 2.11</w:t>
      </w:r>
      <w:r>
        <w:rPr>
          <w:rFonts w:ascii="Times New Roman" w:hAnsi="Times New Roman"/>
          <w:sz w:val="20"/>
        </w:rPr>
        <w:t xml:space="preserve">,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w:t>
      </w:r>
      <w:r>
        <w:rPr>
          <w:rFonts w:ascii="Times New Roman" w:hAnsi="Times New Roman"/>
          <w:sz w:val="20"/>
          <w:u w:val="single"/>
        </w:rPr>
        <w:t>Section 2.11</w:t>
      </w:r>
      <w:r>
        <w:rPr>
          <w:rFonts w:ascii="Times New Roman" w:hAnsi="Times New Roman"/>
          <w:sz w:val="20"/>
        </w:rPr>
        <w:t xml:space="preserve">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w:t>
      </w:r>
      <w:r>
        <w:rPr>
          <w:rFonts w:ascii="Times New Roman" w:hAnsi="Times New Roman"/>
          <w:sz w:val="20"/>
          <w:u w:val="single"/>
        </w:rPr>
        <w:t>Section 3.02</w:t>
      </w:r>
      <w:r>
        <w:rPr>
          <w:rFonts w:ascii="Times New Roman" w:hAnsi="Times New Roman"/>
          <w:sz w:val="20"/>
        </w:rPr>
        <w:t xml:space="preserve">, for redemption on such sinking fund payment date a sufficient Principal amount of Securities of such series to 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 (b) an entity specifically identified in such Officers Certificate as directly or indirectly controlling or controlled by or under direct or indirect common control with the Company. The Trustee, in the name and at the expense of the Company (or the Company, if it shall so request the Trustee in writing) shall cause notice of redemption of the Securities of such series to be given in substantially the manner provided in </w:t>
      </w:r>
      <w:r>
        <w:rPr>
          <w:rFonts w:ascii="Times New Roman" w:hAnsi="Times New Roman"/>
          <w:sz w:val="20"/>
          <w:u w:val="single"/>
        </w:rPr>
        <w:t>Section 3.02</w:t>
      </w:r>
      <w:r>
        <w:rPr>
          <w:rFonts w:ascii="Times New Roman" w:hAnsi="Times New Roman"/>
          <w:sz w:val="20"/>
        </w:rPr>
        <w:t xml:space="preserve"> (and with the effect provided in </w:t>
      </w:r>
      <w:r>
        <w:rPr>
          <w:rFonts w:ascii="Times New Roman" w:hAnsi="Times New Roman"/>
          <w:sz w:val="20"/>
          <w:u w:val="single"/>
        </w:rPr>
        <w:t>Section 3.03</w:t>
      </w:r>
      <w:r>
        <w:rPr>
          <w:rFonts w:ascii="Times New Roman" w:hAnsi="Times New Roman"/>
          <w:sz w:val="20"/>
        </w:rPr>
        <w:t xml:space="preserve">)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w:t>
      </w:r>
    </w:p>
    <w:p>
      <w:pPr>
        <w:pStyle w:val="TextBody"/>
        <w:bidi w:val="0"/>
        <w:spacing w:before="240" w:after="0"/>
        <w:jc w:val="left"/>
        <w:rPr>
          <w:rFonts w:ascii="Times New Roman" w:hAnsi="Times New Roman"/>
          <w:sz w:val="20"/>
        </w:rPr>
      </w:pPr>
      <w:r>
        <w:rPr>
          <w:rFonts w:ascii="Times New Roman" w:hAnsi="Times New Roman"/>
          <w:sz w:val="20"/>
        </w:rPr>
        <w:t xml:space="preserve">On or before 10:00 a.m. New York City time on each sinking fund payment date, the Company shall pay to the Trustee in cash or shall otherwise provide for the payment of all interest accrued to the date fixed for redemption on Securities to be redeemed on the next following sinking fund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w:t>
      </w:r>
      <w:r>
        <w:rPr>
          <w:rFonts w:ascii="Times New Roman" w:hAnsi="Times New Roman"/>
          <w:i/>
          <w:sz w:val="20"/>
        </w:rPr>
        <w:t>provided</w:t>
      </w:r>
      <w:r>
        <w:rPr>
          <w:rFonts w:ascii="Times New Roman" w:hAnsi="Times New Roman"/>
          <w:sz w:val="20"/>
        </w:rPr>
        <w:t xml:space="preserve">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w:t>
      </w:r>
      <w:r>
        <w:rPr>
          <w:rFonts w:ascii="Times New Roman" w:hAnsi="Times New Roman"/>
          <w:sz w:val="20"/>
          <w:u w:val="single"/>
        </w:rPr>
        <w:t>Article 6</w:t>
      </w:r>
      <w:r>
        <w:rPr>
          <w:rFonts w:ascii="Times New Roman" w:hAnsi="Times New Roman"/>
          <w:sz w:val="20"/>
        </w:rPr>
        <w:t xml:space="preserve"> and held for the payment of all such Securities. In case such Event of Default shall have been waived as provided in </w:t>
      </w:r>
      <w:r>
        <w:rPr>
          <w:rFonts w:ascii="Times New Roman" w:hAnsi="Times New Roman"/>
          <w:sz w:val="20"/>
          <w:u w:val="single"/>
        </w:rPr>
        <w:t>Section 6.04</w:t>
      </w:r>
      <w:r>
        <w:rPr>
          <w:rFonts w:ascii="Times New Roman" w:hAnsi="Times New Roman"/>
          <w:sz w:val="20"/>
        </w:rPr>
        <w:t xml:space="preserve"> or the Default cured on or before the sixtieth day preceding the sinking fund payment date in any year, such moneys shall thereafter be applied on the next succeeding sinking fund payment date in accordance with this Section to the redemption of such Securities. </w:t>
      </w:r>
    </w:p>
    <w:p>
      <w:pPr>
        <w:pStyle w:val="TextBody"/>
        <w:bidi w:val="0"/>
        <w:spacing w:before="480" w:after="0"/>
        <w:jc w:val="center"/>
        <w:rPr>
          <w:rFonts w:ascii="Times New Roman" w:hAnsi="Times New Roman"/>
          <w:sz w:val="20"/>
        </w:rPr>
      </w:pPr>
      <w:r>
        <w:rPr>
          <w:rFonts w:ascii="Times New Roman" w:hAnsi="Times New Roman"/>
          <w:sz w:val="20"/>
        </w:rPr>
        <w:t xml:space="preserve">ARTICLE 4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Payment of Securities</w:t>
      </w:r>
      <w:r>
        <w:rPr>
          <w:rFonts w:ascii="Times New Roman" w:hAnsi="Times New Roman"/>
          <w:sz w:val="20"/>
        </w:rPr>
        <w:t xml:space="preserve">. The Company shall pay the Principal of and interest on the Securities on the dates and in the manner provided in the Securities and this Indenture. The interest on Securities (together with any additional amounts payable pursuant to the terms of such Securities) shall be payable only to the Holders thereof (subject to </w:t>
      </w:r>
      <w:r>
        <w:rPr>
          <w:rFonts w:ascii="Times New Roman" w:hAnsi="Times New Roman"/>
          <w:sz w:val="20"/>
          <w:u w:val="single"/>
        </w:rPr>
        <w:t>Section 2.04</w:t>
      </w:r>
      <w:r>
        <w:rPr>
          <w:rFonts w:ascii="Times New Roman" w:hAnsi="Times New Roman"/>
          <w:sz w:val="20"/>
        </w:rPr>
        <w:t xml:space="preserve">) and at the option of the Company may be paid by mailing checks for such interest payable to or upon the written order of such Holders at their last addresses as they appear on the Security Register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provisions of this Indenture and the Securities of any series to the contrary, if the Company and a Holder of any Security so agree, payments of interest on, and any portion of the Principal of, such Holders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w:t>
      </w:r>
      <w:r>
        <w:rPr>
          <w:rFonts w:ascii="Times New Roman" w:hAnsi="Times New Roman"/>
          <w:sz w:val="20"/>
          <w:u w:val="single"/>
        </w:rPr>
        <w:t>Section 4.01</w:t>
      </w:r>
      <w:r>
        <w:rPr>
          <w:rFonts w:ascii="Times New Roman" w:hAnsi="Times New Roman"/>
          <w:sz w:val="20"/>
        </w:rPr>
        <w:t xml:space="preserve">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pay interest on overdue Principal, and interest on overdue installments of interest, to the extent lawful, at the rate per annum specified in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Maintenance of Office or Agency</w:t>
      </w:r>
      <w:r>
        <w:rPr>
          <w:rFonts w:ascii="Times New Roman" w:hAnsi="Times New Roman"/>
          <w:sz w:val="20"/>
        </w:rPr>
        <w:t xml:space="preserve">. The Company will maintain in the United States of America,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w:t>
      </w:r>
      <w:r>
        <w:rPr>
          <w:rFonts w:ascii="Times New Roman" w:hAnsi="Times New Roman"/>
          <w:sz w:val="20"/>
          <w:u w:val="single"/>
        </w:rPr>
        <w:t>Section 10.02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other offices or agencies where the Securities of any series may be presented or surrendered for any or all such purposes and may from time to time rescind such designations; </w:t>
      </w:r>
      <w:r>
        <w:rPr>
          <w:rFonts w:ascii="Times New Roman" w:hAnsi="Times New Roman"/>
          <w:i/>
          <w:sz w:val="20"/>
        </w:rPr>
        <w:t>provided</w:t>
      </w:r>
      <w:r>
        <w:rPr>
          <w:rFonts w:ascii="Times New Roman" w:hAnsi="Times New Roman"/>
          <w:sz w:val="20"/>
        </w:rPr>
        <w:t xml:space="preserve">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i/>
          <w:sz w:val="20"/>
        </w:rPr>
        <w:t>Securityholders</w:t>
      </w:r>
      <w:r>
        <w:rPr>
          <w:rFonts w:ascii="Times New Roman" w:hAnsi="Times New Roman"/>
          <w:sz w:val="20"/>
        </w:rPr>
        <w:t xml:space="preserve"> </w:t>
      </w:r>
      <w:r>
        <w:rPr>
          <w:rFonts w:ascii="Times New Roman" w:hAnsi="Times New Roman"/>
          <w:i/>
          <w:sz w:val="20"/>
        </w:rPr>
        <w:t>Lists</w:t>
      </w:r>
      <w:r>
        <w:rPr>
          <w:rFonts w:ascii="Times New Roman" w:hAnsi="Times New Roman"/>
          <w:sz w:val="20"/>
        </w:rPr>
        <w:t xml:space="preserve">. The Company will furnish or cause to be furnished to the Trustee a list in such form as the Trustee may reasonably require of the names and addresses of the holders of the Securities pursuant to Section 312 of the Trust Indenture Act (a) semi-annually not more than 15 days after each record date for the payment of semi-annual interest on the Securities, as hereinabove specified, as of such record date, and (b) at such other times as the Trustee may request in writing, within thirty days after receipt by the Company of any such request as of a date not more than 15 days prior to the time such information is furnished.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i/>
          <w:sz w:val="20"/>
        </w:rPr>
        <w:t>Certificate to Trustee</w:t>
      </w:r>
      <w:r>
        <w:rPr>
          <w:rFonts w:ascii="Times New Roman" w:hAnsi="Times New Roman"/>
          <w:sz w:val="20"/>
        </w:rPr>
        <w:t xml:space="preserve">. The Company will furnish to the Trustee annually, on or before a date not more than four months after the end of its fiscal year (which, on the date hereof, is a calendar year), a brief certificate (which need not contain the statements required by </w:t>
      </w:r>
      <w:r>
        <w:rPr>
          <w:rFonts w:ascii="Times New Roman" w:hAnsi="Times New Roman"/>
          <w:sz w:val="20"/>
          <w:u w:val="single"/>
        </w:rPr>
        <w:t>Section 10.04</w:t>
      </w:r>
      <w:r>
        <w:rPr>
          <w:rFonts w:ascii="Times New Roman" w:hAnsi="Times New Roman"/>
          <w:sz w:val="20"/>
        </w:rPr>
        <w:t xml:space="preserve">)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i/>
          <w:sz w:val="20"/>
        </w:rPr>
        <w:t>Reports by the Company</w:t>
      </w:r>
      <w:r>
        <w:rPr>
          <w:rFonts w:ascii="Times New Roman" w:hAnsi="Times New Roman"/>
          <w:sz w:val="20"/>
        </w:rPr>
        <w:t xml:space="preserve">. 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4.06. </w:t>
      </w:r>
      <w:r>
        <w:rPr>
          <w:rFonts w:ascii="Times New Roman" w:hAnsi="Times New Roman"/>
          <w:i/>
          <w:sz w:val="20"/>
        </w:rPr>
        <w:t>Additional Amounts</w:t>
      </w:r>
      <w:r>
        <w:rPr>
          <w:rFonts w:ascii="Times New Roman" w:hAnsi="Times New Roman"/>
          <w:sz w:val="20"/>
        </w:rPr>
        <w:t xml:space="preserve">. If the Securities of a series provide for the payment of additional amounts, at least 10 days prior to the first interest payment date with respect to that series of Securities and at least 10 days prior to each date of payment of Principal of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Indenture there is mentioned, in any context, the payment of the Principal of or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the payment of additional amounts in those provisions hereof where such express mention is not made. </w:t>
      </w:r>
    </w:p>
    <w:p>
      <w:pPr>
        <w:pStyle w:val="TextBody"/>
        <w:bidi w:val="0"/>
        <w:spacing w:before="480" w:after="0"/>
        <w:jc w:val="center"/>
        <w:rPr>
          <w:rFonts w:ascii="Times New Roman" w:hAnsi="Times New Roman"/>
          <w:sz w:val="20"/>
        </w:rPr>
      </w:pPr>
      <w:r>
        <w:rPr>
          <w:rFonts w:ascii="Times New Roman" w:hAnsi="Times New Roman"/>
          <w:sz w:val="20"/>
        </w:rPr>
        <w:t xml:space="preserve">ARTICLE 5 </w:t>
      </w:r>
    </w:p>
    <w:p>
      <w:pPr>
        <w:pStyle w:val="TextBody"/>
        <w:bidi w:val="0"/>
        <w:spacing w:before="0" w:after="0"/>
        <w:jc w:val="center"/>
        <w:rPr>
          <w:rFonts w:ascii="Times New Roman" w:hAnsi="Times New Roman"/>
          <w:sz w:val="20"/>
        </w:rPr>
      </w:pPr>
      <w:r>
        <w:rPr>
          <w:rFonts w:ascii="Times New Roman" w:hAnsi="Times New Roman"/>
          <w:sz w:val="20"/>
        </w:rPr>
        <w:t xml:space="preserve">SUCCESSOR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When Company May Merge, Etc.</w:t>
      </w:r>
      <w:r>
        <w:rPr>
          <w:rFonts w:ascii="Times New Roman" w:hAnsi="Times New Roman"/>
          <w:sz w:val="20"/>
        </w:rPr>
        <w:t xml:space="preserve"> Unless otherwise provided pursuant to </w:t>
      </w:r>
      <w:r>
        <w:rPr>
          <w:rFonts w:ascii="Times New Roman" w:hAnsi="Times New Roman"/>
          <w:sz w:val="20"/>
          <w:u w:val="single"/>
        </w:rPr>
        <w:t>Section 2.03</w:t>
      </w:r>
      <w:r>
        <w:rPr>
          <w:rFonts w:ascii="Times New Roman" w:hAnsi="Times New Roman"/>
          <w:sz w:val="20"/>
        </w:rPr>
        <w:t xml:space="preserve"> in connection with the establishment of a series, the Company shall not consolidate or combine with, merge with or into, directly or indirectly, or sell, assign, convey, transfer, lease or otherwise dispose of all or substantially all of its property and assets to any Person or Persons in a single transaction or through a series of transactions unless: </w:t>
      </w:r>
    </w:p>
    <w:p>
      <w:pPr>
        <w:pStyle w:val="TextBody"/>
        <w:bidi w:val="0"/>
        <w:spacing w:before="120" w:after="0"/>
        <w:jc w:val="left"/>
        <w:rPr>
          <w:rFonts w:ascii="Times New Roman" w:hAnsi="Times New Roman"/>
          <w:sz w:val="20"/>
        </w:rPr>
      </w:pPr>
      <w:r>
        <w:rPr>
          <w:rFonts w:ascii="Times New Roman" w:hAnsi="Times New Roman"/>
          <w:sz w:val="20"/>
        </w:rPr>
        <w:t>(a) the Company shall be the continuing Person or, if the Company is not the continuing Person, the resulting, surviving or transferee Person (the </w:t>
      </w:r>
      <w:r>
        <w:rPr>
          <w:rFonts w:ascii="Times New Roman" w:hAnsi="Times New Roman"/>
          <w:b/>
          <w:sz w:val="20"/>
        </w:rPr>
        <w:t>Surviving Entity</w:t>
      </w:r>
      <w:r>
        <w:rPr>
          <w:rFonts w:ascii="Times New Roman" w:hAnsi="Times New Roman"/>
          <w:sz w:val="20"/>
        </w:rPr>
        <w:t xml:space="preserve">) is a company organized and existing under the laws of any member state of the European Union or the United States of America or any State or territory thereof; </w:t>
      </w:r>
    </w:p>
    <w:p>
      <w:pPr>
        <w:pStyle w:val="TextBody"/>
        <w:bidi w:val="0"/>
        <w:spacing w:before="240" w:after="0"/>
        <w:jc w:val="left"/>
        <w:rPr>
          <w:rFonts w:ascii="Times New Roman" w:hAnsi="Times New Roman"/>
          <w:sz w:val="20"/>
        </w:rPr>
      </w:pPr>
      <w:r>
        <w:rPr>
          <w:rFonts w:ascii="Times New Roman" w:hAnsi="Times New Roman"/>
          <w:sz w:val="20"/>
        </w:rPr>
        <w:t xml:space="preserve">(b) the Surviving Entity shall expressly assume all of the Companys obligations under the Securities and this Indenture, and shall, if required by law to effectuate the assumption, execute supplemental indentures which shall be delivered to the Trustee and shall be in form and substance reasonably satisfactory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immediately after giving effect to such transaction or series of transactions on a pro forma basis, no Default has occurred and is continuing; and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or the Surviving Entity shall have delivered to the Trustee an Officers Certificate and Opinion of Counsel stating that (x) the transaction or series of transactions and such supplemental indenture, if any, complies with this </w:t>
      </w:r>
      <w:r>
        <w:rPr>
          <w:rFonts w:ascii="Times New Roman" w:hAnsi="Times New Roman"/>
          <w:sz w:val="20"/>
          <w:u w:val="single"/>
        </w:rPr>
        <w:t>Section 5.01</w:t>
      </w:r>
      <w:r>
        <w:rPr>
          <w:rFonts w:ascii="Times New Roman" w:hAnsi="Times New Roman"/>
          <w:sz w:val="20"/>
        </w:rPr>
        <w:t xml:space="preserve">, (y) such supplemental indenture (if any) constitutes the legal, valid and binding obligation of the Company and such Surviving Entity enforceable against such Surviving Entity in accordance with its terms, subject to customary exceptions and (z) all conditions precedent in this Indenture relating to the transaction or series of transactions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Successor Substituted</w:t>
      </w:r>
      <w:r>
        <w:rPr>
          <w:rFonts w:ascii="Times New Roman" w:hAnsi="Times New Roman"/>
          <w:sz w:val="20"/>
        </w:rPr>
        <w:t xml:space="preserve">. Upon any consolidation, combination or merger, or any sale, assignment, conveyance, transfer, lease or other disposition of all or substantially all of the property and assets of the Company in accordance with </w:t>
      </w:r>
      <w:r>
        <w:rPr>
          <w:rFonts w:ascii="Times New Roman" w:hAnsi="Times New Roman"/>
          <w:sz w:val="20"/>
          <w:u w:val="single"/>
        </w:rPr>
        <w:t>Section 5.01</w:t>
      </w:r>
      <w:r>
        <w:rPr>
          <w:rFonts w:ascii="Times New Roman" w:hAnsi="Times New Roman"/>
          <w:sz w:val="20"/>
        </w:rPr>
        <w:t xml:space="preserve"> of this Indenture, the Surviving Entity shall succeed to, and be substituted for, and may exercise every right and power of, the Company under this Indenture with the same effect as if such Surviving Entity had been named as the Company herein and thereafter the predecessor Person, except in the case of (x) a lease or (y) any sale, assignment, conveyance, transfer, lease or other disposition to one or more Subsidiaries of the Company, shall be discharged from all obligations and covenants under this Indenture and the Securities. </w:t>
      </w:r>
    </w:p>
    <w:p>
      <w:pPr>
        <w:pStyle w:val="TextBody"/>
        <w:bidi w:val="0"/>
        <w:spacing w:before="480" w:after="0"/>
        <w:jc w:val="center"/>
        <w:rPr>
          <w:rFonts w:ascii="Times New Roman" w:hAnsi="Times New Roman"/>
          <w:sz w:val="20"/>
        </w:rPr>
      </w:pPr>
      <w:r>
        <w:rPr>
          <w:rFonts w:ascii="Times New Roman" w:hAnsi="Times New Roman"/>
          <w:sz w:val="20"/>
        </w:rPr>
        <w:t xml:space="preserve">ARTICLE 6 </w:t>
      </w:r>
    </w:p>
    <w:p>
      <w:pPr>
        <w:pStyle w:val="TextBody"/>
        <w:bidi w:val="0"/>
        <w:spacing w:before="0" w:after="0"/>
        <w:jc w:val="center"/>
        <w:rPr>
          <w:rFonts w:ascii="Times New Roman" w:hAnsi="Times New Roman"/>
          <w:sz w:val="20"/>
        </w:rPr>
      </w:pPr>
      <w:r>
        <w:rPr>
          <w:rFonts w:ascii="Times New Roman" w:hAnsi="Times New Roman"/>
          <w:sz w:val="20"/>
        </w:rPr>
        <w:t xml:space="preserve">DEFAULT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i/>
          <w:sz w:val="20"/>
        </w:rPr>
        <w:t>Events of Default</w:t>
      </w:r>
      <w:r>
        <w:rPr>
          <w:rFonts w:ascii="Times New Roman" w:hAnsi="Times New Roman"/>
          <w:sz w:val="20"/>
        </w:rPr>
        <w:t>. An </w:t>
      </w:r>
      <w:r>
        <w:rPr>
          <w:rFonts w:ascii="Times New Roman" w:hAnsi="Times New Roman"/>
          <w:b/>
          <w:sz w:val="20"/>
        </w:rPr>
        <w:t>Event of Default</w:t>
      </w:r>
      <w:r>
        <w:rPr>
          <w:rFonts w:ascii="Times New Roman" w:hAnsi="Times New Roman"/>
          <w:sz w:val="20"/>
        </w:rPr>
        <w:t xml:space="preserve"> shall occur with respect to the Securities of any series if: </w:t>
      </w:r>
    </w:p>
    <w:p>
      <w:pPr>
        <w:pStyle w:val="TextBody"/>
        <w:bidi w:val="0"/>
        <w:spacing w:before="120" w:after="0"/>
        <w:jc w:val="left"/>
        <w:rPr>
          <w:rFonts w:ascii="Times New Roman" w:hAnsi="Times New Roman"/>
          <w:sz w:val="20"/>
        </w:rPr>
      </w:pPr>
      <w:r>
        <w:rPr>
          <w:rFonts w:ascii="Times New Roman" w:hAnsi="Times New Roman"/>
          <w:sz w:val="20"/>
        </w:rPr>
        <w:t xml:space="preserve">(a) the Company defaults in the payment of the Principal of any Security of such series when the same becomes due and payable at maturity, upon acceleration, redemption or mandatory repurchase, including as a sinking fund installment,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defaults in the payment of interest on any Security of such series when the same becomes due and payable, and such default continues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defaults in the performance of or breaches any other covenant or agreement of the Company in this Indenture with respect to any Security of such series or in the Securities of such series (other than a covenant or agreement in respect of which noncompliance by the Company would otherwise be an Event of Default) and such default or breach continues for a period of 90 consecutive days or more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(d) 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(i) commences a voluntary case under any applicable bankruptcy, insolvency or other similar law now or hereafter in effect, or consents to the entry of an order for relief in an involuntary case under any such law, (ii) consents to the appointment of or taking possession by a receiver, liquidator, assignee, custodian, trustee, sequestrator or similar official of the Company or for all or substantially all of the property and assets of the Company or (iii) effects any general assignment for the benefit of creditors; or </w:t>
      </w:r>
    </w:p>
    <w:p>
      <w:pPr>
        <w:pStyle w:val="TextBody"/>
        <w:bidi w:val="0"/>
        <w:spacing w:before="240" w:after="0"/>
        <w:jc w:val="left"/>
        <w:rPr>
          <w:rFonts w:ascii="Times New Roman" w:hAnsi="Times New Roman"/>
          <w:sz w:val="20"/>
        </w:rPr>
      </w:pPr>
      <w:r>
        <w:rPr>
          <w:rFonts w:ascii="Times New Roman" w:hAnsi="Times New Roman"/>
          <w:sz w:val="20"/>
        </w:rPr>
        <w:t xml:space="preserve">(f) any other Event of Default established pursuant to </w:t>
      </w:r>
      <w:r>
        <w:rPr>
          <w:rFonts w:ascii="Times New Roman" w:hAnsi="Times New Roman"/>
          <w:sz w:val="20"/>
          <w:u w:val="single"/>
        </w:rPr>
        <w:t>Section 2.03</w:t>
      </w:r>
      <w:r>
        <w:rPr>
          <w:rFonts w:ascii="Times New Roman" w:hAnsi="Times New Roman"/>
          <w:sz w:val="20"/>
        </w:rPr>
        <w:t xml:space="preserve"> with respect to the Securities of such series occurs.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i/>
          <w:sz w:val="20"/>
        </w:rPr>
        <w:t>Acceleration</w:t>
      </w:r>
      <w:r>
        <w:rPr>
          <w:rFonts w:ascii="Times New Roman" w:hAnsi="Times New Roman"/>
          <w:sz w:val="20"/>
        </w:rPr>
        <w:t xml:space="preserve">. (a) If an Event of Default other than as described in clauses (d) or (e) of </w:t>
      </w:r>
      <w:r>
        <w:rPr>
          <w:rFonts w:ascii="Times New Roman" w:hAnsi="Times New Roman"/>
          <w:sz w:val="20"/>
          <w:u w:val="single"/>
        </w:rPr>
        <w:t>Section 6.01</w:t>
      </w:r>
      <w:r>
        <w:rPr>
          <w:rFonts w:ascii="Times New Roman" w:hAnsi="Times New Roman"/>
          <w:sz w:val="20"/>
        </w:rPr>
        <w:t xml:space="preserve"> with respect to the Securities of any series then outstanding occurs and is continuing, then, and in each and every such case, except for any series of Securities the Principal of which shall have already become due and payable, either the Trustee or the Holders of not less than 25% in aggregate Principal amount of the Securities of all such series then outstanding hereunder in respect of which an Event of Default has occurred (all such series voting together as a single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w:t>
      </w:r>
      <w:r>
        <w:rPr>
          <w:rFonts w:ascii="Times New Roman" w:hAnsi="Times New Roman"/>
          <w:sz w:val="20"/>
          <w:u w:val="single"/>
        </w:rPr>
        <w:t>Section 2.03</w:t>
      </w:r>
      <w:r>
        <w:rPr>
          <w:rFonts w:ascii="Times New Roman" w:hAnsi="Times New Roman"/>
          <w:sz w:val="20"/>
        </w:rPr>
        <w:t xml:space="preserve">) of all Securities of the affected series, and the interest accrued thereon, if any, to be due and payable immediately, and upon any such declaration the same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(b) If an Event of Default described in clause (d) or (e) of </w:t>
      </w:r>
      <w:r>
        <w:rPr>
          <w:rFonts w:ascii="Times New Roman" w:hAnsi="Times New Roman"/>
          <w:sz w:val="20"/>
          <w:u w:val="single"/>
        </w:rPr>
        <w:t>Section 6.01</w:t>
      </w:r>
      <w:r>
        <w:rPr>
          <w:rFonts w:ascii="Times New Roman" w:hAnsi="Times New Roman"/>
          <w:sz w:val="20"/>
        </w:rPr>
        <w:t xml:space="preserve"> occurs and is continuing, then the Principal amount (or, if any Securities are Original Issue Discount Securities, such portion of the Principal as may be specified in the terms thereof established pursuant to </w:t>
      </w:r>
      <w:r>
        <w:rPr>
          <w:rFonts w:ascii="Times New Roman" w:hAnsi="Times New Roman"/>
          <w:sz w:val="20"/>
          <w:u w:val="single"/>
        </w:rPr>
        <w:t>Section 2.03</w:t>
      </w:r>
      <w:r>
        <w:rPr>
          <w:rFonts w:ascii="Times New Roman" w:hAnsi="Times New Roman"/>
          <w:sz w:val="20"/>
        </w:rPr>
        <w:t xml:space="preserve">) of all the Securities then outstanding and interest accrued thereon, if any, shall be and become immediately due and payable, without any declaration, notice or other action by any Holder or the Trustee, to the full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however, are subject to the condition that if, at any time after the Principal (or, if the Securities are Original Issue Discount Securities, such portion of the Principal as may be specified in the terms thereof established pursuant to </w:t>
      </w:r>
      <w:r>
        <w:rPr>
          <w:rFonts w:ascii="Times New Roman" w:hAnsi="Times New Roman"/>
          <w:sz w:val="20"/>
          <w:u w:val="single"/>
        </w:rPr>
        <w:t>Section 2.03</w:t>
      </w:r>
      <w:r>
        <w:rPr>
          <w:rFonts w:ascii="Times New Roman" w:hAnsi="Times New Roman"/>
          <w:sz w:val="20"/>
        </w:rPr>
        <w:t xml:space="preserve">)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Trustee under </w:t>
      </w:r>
      <w:r>
        <w:rPr>
          <w:rFonts w:ascii="Times New Roman" w:hAnsi="Times New Roman"/>
          <w:sz w:val="20"/>
          <w:u w:val="single"/>
        </w:rPr>
        <w:t>Section 7.07</w:t>
      </w:r>
      <w:r>
        <w:rPr>
          <w:rFonts w:ascii="Times New Roman" w:hAnsi="Times New Roman"/>
          <w:sz w:val="20"/>
        </w:rPr>
        <w:t xml:space="preserve">, and if any and all Events of Default under the Indenture, other than the non-payment of the Principal of and interest on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i/>
          <w:sz w:val="20"/>
        </w:rPr>
        <w:t>Other Remedies</w:t>
      </w:r>
      <w:r>
        <w:rPr>
          <w:rFonts w:ascii="Times New Roman" w:hAnsi="Times New Roman"/>
          <w:sz w:val="20"/>
        </w:rPr>
        <w:t xml:space="preserve">. 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maintain a proceeding even if it does not possess any of the Securities or does not produce any of them in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i/>
          <w:sz w:val="20"/>
        </w:rPr>
        <w:t>Waiver of Past Defaults</w:t>
      </w:r>
      <w:r>
        <w:rPr>
          <w:rFonts w:ascii="Times New Roman" w:hAnsi="Times New Roman"/>
          <w:sz w:val="20"/>
        </w:rPr>
        <w:t xml:space="preserve">. Subject to </w:t>
      </w:r>
      <w:r>
        <w:rPr>
          <w:rFonts w:ascii="Times New Roman" w:hAnsi="Times New Roman"/>
          <w:sz w:val="20"/>
          <w:u w:val="single"/>
        </w:rPr>
        <w:t>Sections 6.02</w:t>
      </w:r>
      <w:r>
        <w:rPr>
          <w:rFonts w:ascii="Times New Roman" w:hAnsi="Times New Roman"/>
          <w:sz w:val="20"/>
        </w:rPr>
        <w:t xml:space="preserve">, </w:t>
      </w:r>
      <w:r>
        <w:rPr>
          <w:rFonts w:ascii="Times New Roman" w:hAnsi="Times New Roman"/>
          <w:sz w:val="20"/>
          <w:u w:val="single"/>
        </w:rPr>
        <w:t>6.07</w:t>
      </w:r>
      <w:r>
        <w:rPr>
          <w:rFonts w:ascii="Times New Roman" w:hAnsi="Times New Roman"/>
          <w:sz w:val="20"/>
        </w:rPr>
        <w:t xml:space="preserve"> and </w:t>
      </w:r>
      <w:r>
        <w:rPr>
          <w:rFonts w:ascii="Times New Roman" w:hAnsi="Times New Roman"/>
          <w:sz w:val="20"/>
          <w:u w:val="single"/>
        </w:rPr>
        <w:t>9.02</w:t>
      </w:r>
      <w:r>
        <w:rPr>
          <w:rFonts w:ascii="Times New Roman" w:hAnsi="Times New Roman"/>
          <w:sz w:val="20"/>
        </w:rPr>
        <w:t xml:space="preserve">, the Holders of at least a majority in Principal amount (or, if the Securities are Original Issue Discount Securities, such portion of the Principal as is then accelerable under </w:t>
      </w:r>
      <w:r>
        <w:rPr>
          <w:rFonts w:ascii="Times New Roman" w:hAnsi="Times New Roman"/>
          <w:sz w:val="20"/>
          <w:u w:val="single"/>
        </w:rPr>
        <w:t>Section 6.02</w:t>
      </w:r>
      <w:r>
        <w:rPr>
          <w:rFonts w:ascii="Times New Roman" w:hAnsi="Times New Roman"/>
          <w:sz w:val="20"/>
        </w:rPr>
        <w:t xml:space="preserve">)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w:t>
      </w:r>
      <w:r>
        <w:rPr>
          <w:rFonts w:ascii="Times New Roman" w:hAnsi="Times New Roman"/>
          <w:sz w:val="20"/>
          <w:u w:val="single"/>
        </w:rPr>
        <w:t>Section 6.01</w:t>
      </w:r>
      <w:r>
        <w:rPr>
          <w:rFonts w:ascii="Times New Roman" w:hAnsi="Times New Roman"/>
          <w:sz w:val="20"/>
        </w:rPr>
        <w:t xml:space="preserve">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i/>
          <w:sz w:val="20"/>
        </w:rPr>
        <w:t>Control by Majority</w:t>
      </w:r>
      <w:r>
        <w:rPr>
          <w:rFonts w:ascii="Times New Roman" w:hAnsi="Times New Roman"/>
          <w:sz w:val="20"/>
        </w:rPr>
        <w:t xml:space="preserve">. Subject to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7.02(e)</w:t>
      </w:r>
      <w:r>
        <w:rPr>
          <w:rFonts w:ascii="Times New Roman" w:hAnsi="Times New Roman"/>
          <w:sz w:val="20"/>
        </w:rPr>
        <w:t xml:space="preserve">, the Holders of at least a majority in aggregate Principal amount (or, if any Securities are Original Issue Discount Securities, such portion of the Principal as is then accelerable under </w:t>
      </w:r>
      <w:r>
        <w:rPr>
          <w:rFonts w:ascii="Times New Roman" w:hAnsi="Times New Roman"/>
          <w:sz w:val="20"/>
          <w:u w:val="single"/>
        </w:rPr>
        <w:t>Section 6.02</w:t>
      </w:r>
      <w:r>
        <w:rPr>
          <w:rFonts w:ascii="Times New Roman" w:hAnsi="Times New Roman"/>
          <w:sz w:val="20"/>
        </w:rPr>
        <w:t xml:space="preserve">)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w:t>
      </w:r>
      <w:r>
        <w:rPr>
          <w:rFonts w:ascii="Times New Roman" w:hAnsi="Times New Roman"/>
          <w:i/>
          <w:sz w:val="20"/>
        </w:rPr>
        <w:t>provided</w:t>
      </w:r>
      <w:r>
        <w:rPr>
          <w:rFonts w:ascii="Times New Roman" w:hAnsi="Times New Roman"/>
          <w:sz w:val="20"/>
        </w:rPr>
        <w:t xml:space="preserve">,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Trustee may take any other action it deems proper that is not inconsistent with any directions received from Holders of Securities pursuant to this </w:t>
      </w:r>
      <w:r>
        <w:rPr>
          <w:rFonts w:ascii="Times New Roman" w:hAnsi="Times New Roman"/>
          <w:sz w:val="20"/>
          <w:u w:val="single"/>
        </w:rPr>
        <w:t>Section 6.05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6.06. </w:t>
      </w:r>
      <w:r>
        <w:rPr>
          <w:rFonts w:ascii="Times New Roman" w:hAnsi="Times New Roman"/>
          <w:i/>
          <w:sz w:val="20"/>
        </w:rPr>
        <w:t>Limitation on Suits</w:t>
      </w:r>
      <w:r>
        <w:rPr>
          <w:rFonts w:ascii="Times New Roman" w:hAnsi="Times New Roman"/>
          <w:sz w:val="20"/>
        </w:rPr>
        <w:t xml:space="preserve">. No Holder of any Security of any series may institute any proceeding, judicial or otherwise, with respect to this Indenture or the Securities of such series,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given to the Trustee written notice of a continuing Event of Default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(b) the Holders of at least 25% in aggregate Principal amount of outstanding Securities of all such series affected shall have made written request to the Trustee to institute proceedings in respect of such Event of Default in its own name as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(c) such Holder or Holders have offered to the Trustee indemnity or security reasonably satisfactory to it against any costs, liabilities or expenses to be incurred in compliance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(d) the Trustee for 60 days after its receipt of such notice, request and offer of indemnity has failed to institute any such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(e) during such 60-day period, the Holders of a majority in aggregate Principal amount of the outstanding Securities of all such affected series have not given the Trustee a direction that is inconsistent with such written request. </w:t>
      </w:r>
    </w:p>
    <w:p>
      <w:pPr>
        <w:pStyle w:val="TextBody"/>
        <w:bidi w:val="0"/>
        <w:spacing w:before="240" w:after="0"/>
        <w:jc w:val="left"/>
        <w:rPr>
          <w:rFonts w:ascii="Times New Roman" w:hAnsi="Times New Roman"/>
          <w:sz w:val="20"/>
        </w:rPr>
      </w:pPr>
      <w:r>
        <w:rPr>
          <w:rFonts w:ascii="Times New Roman" w:hAnsi="Times New Roman"/>
          <w:sz w:val="20"/>
        </w:rPr>
        <w:t xml:space="preserve">A Holder may not use this Indenture to prejudice the rights of another Holder or to obtain a preference or priority over such other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i/>
          <w:sz w:val="20"/>
        </w:rPr>
        <w:t>Rights of Holders to Receive Payment</w:t>
      </w:r>
      <w:r>
        <w:rPr>
          <w:rFonts w:ascii="Times New Roman" w:hAnsi="Times New Roman"/>
          <w:sz w:val="20"/>
        </w:rPr>
        <w:t xml:space="preserve">. 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i/>
          <w:sz w:val="20"/>
        </w:rPr>
        <w:t>Collection Suit by Trustee</w:t>
      </w:r>
      <w:r>
        <w:rPr>
          <w:rFonts w:ascii="Times New Roman" w:hAnsi="Times New Roman"/>
          <w:sz w:val="20"/>
        </w:rPr>
        <w:t xml:space="preserve">. If an Event of Default with respect to the Securities of any series in payment of Principal or interest specified in clause (a) or (b) of </w:t>
      </w:r>
      <w:r>
        <w:rPr>
          <w:rFonts w:ascii="Times New Roman" w:hAnsi="Times New Roman"/>
          <w:sz w:val="20"/>
          <w:u w:val="single"/>
        </w:rPr>
        <w:t>Section 6.01</w:t>
      </w:r>
      <w:r>
        <w:rPr>
          <w:rFonts w:ascii="Times New Roman" w:hAnsi="Times New Roman"/>
          <w:sz w:val="20"/>
        </w:rPr>
        <w:t xml:space="preserve"> occurs and is continuing, the Trustee may recover judgment in its own name and as trustee of an express trust against the Company for the whole amount (or such portion thereof as specified in the terms established pursuant to </w:t>
      </w:r>
      <w:r>
        <w:rPr>
          <w:rFonts w:ascii="Times New Roman" w:hAnsi="Times New Roman"/>
          <w:sz w:val="20"/>
          <w:u w:val="single"/>
        </w:rPr>
        <w:t>Section 2.03</w:t>
      </w:r>
      <w:r>
        <w:rPr>
          <w:rFonts w:ascii="Times New Roman" w:hAnsi="Times New Roman"/>
          <w:sz w:val="20"/>
        </w:rPr>
        <w:t xml:space="preserve">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w:t>
      </w:r>
      <w:r>
        <w:rPr>
          <w:rFonts w:ascii="Times New Roman" w:hAnsi="Times New Roman"/>
          <w:sz w:val="20"/>
          <w:u w:val="single"/>
        </w:rPr>
        <w:t>Section 7.07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6.09. </w:t>
      </w:r>
      <w:r>
        <w:rPr>
          <w:rFonts w:ascii="Times New Roman" w:hAnsi="Times New Roman"/>
          <w:i/>
          <w:sz w:val="20"/>
        </w:rPr>
        <w:t>Trustee May File Proofs of Claim</w:t>
      </w:r>
      <w:r>
        <w:rPr>
          <w:rFonts w:ascii="Times New Roman" w:hAnsi="Times New Roman"/>
          <w:sz w:val="20"/>
        </w:rPr>
        <w:t xml:space="preserve">. The Trustee may file such proofs of claim and other papers or documents as may be necessary or advisable in order to have the claims of the Trustee (including any claim for amounts due the Trustee under </w:t>
      </w:r>
      <w:r>
        <w:rPr>
          <w:rFonts w:ascii="Times New Roman" w:hAnsi="Times New Roman"/>
          <w:sz w:val="20"/>
          <w:u w:val="single"/>
        </w:rPr>
        <w:t>Section 7.07</w:t>
      </w:r>
      <w:r>
        <w:rPr>
          <w:rFonts w:ascii="Times New Roman" w:hAnsi="Times New Roman"/>
          <w:sz w:val="20"/>
        </w:rPr>
        <w:t xml:space="preserve">)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w:t>
      </w:r>
      <w:r>
        <w:rPr>
          <w:rFonts w:ascii="Times New Roman" w:hAnsi="Times New Roman"/>
          <w:sz w:val="20"/>
          <w:u w:val="single"/>
        </w:rPr>
        <w:t>Section 7.07</w:t>
      </w:r>
      <w:r>
        <w:rPr>
          <w:rFonts w:ascii="Times New Roman" w:hAnsi="Times New Roman"/>
          <w:sz w:val="20"/>
        </w:rPr>
        <w:t xml:space="preserve">.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i/>
          <w:sz w:val="20"/>
        </w:rPr>
        <w:t>Application of Proceeds</w:t>
      </w:r>
      <w:r>
        <w:rPr>
          <w:rFonts w:ascii="Times New Roman" w:hAnsi="Times New Roman"/>
          <w:sz w:val="20"/>
        </w:rPr>
        <w:t xml:space="preserve">. 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all amounts due the Trustee under </w:t>
      </w:r>
      <w:r>
        <w:rPr>
          <w:rFonts w:ascii="Times New Roman" w:hAnsi="Times New Roman"/>
          <w:sz w:val="20"/>
          <w:u w:val="single"/>
        </w:rPr>
        <w:t>Section 7.07</w:t>
      </w:r>
      <w:r>
        <w:rPr>
          <w:rFonts w:ascii="Times New Roman" w:hAnsi="Times New Roman"/>
          <w:sz w:val="20"/>
        </w:rPr>
        <w:t xml:space="preserve"> applicable to the Securities of such series in respect of which moneys have been collected; </w:t>
      </w:r>
    </w:p>
    <w:p>
      <w:pPr>
        <w:pStyle w:val="TextBody"/>
        <w:bidi w:val="0"/>
        <w:spacing w:before="240" w:after="0"/>
        <w:jc w:val="left"/>
        <w:rPr>
          <w:rFonts w:ascii="Times New Roman" w:hAnsi="Times New Roman"/>
          <w:sz w:val="20"/>
        </w:rPr>
      </w:pPr>
      <w:r>
        <w:rPr>
          <w:rFonts w:ascii="Times New Roman" w:hAnsi="Times New Roman"/>
          <w:sz w:val="20"/>
        </w:rPr>
        <w:t xml:space="preserve">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 </w:t>
      </w:r>
    </w:p>
    <w:p>
      <w:pPr>
        <w:pStyle w:val="TextBody"/>
        <w:bidi w:val="0"/>
        <w:spacing w:before="240" w:after="0"/>
        <w:jc w:val="left"/>
        <w:rPr>
          <w:rFonts w:ascii="Times New Roman" w:hAnsi="Times New Roman"/>
          <w:sz w:val="20"/>
        </w:rPr>
      </w:pPr>
      <w:r>
        <w:rPr>
          <w:rFonts w:ascii="Times New Roman" w:hAnsi="Times New Roman"/>
          <w:sz w:val="20"/>
        </w:rPr>
        <w:t xml:space="preserve">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FOURTH: To the payment of the remainder, if any, to the Company or any other person lawfully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i/>
          <w:sz w:val="20"/>
        </w:rPr>
        <w:t>Restoration of Rights and Remedies</w:t>
      </w:r>
      <w:r>
        <w:rPr>
          <w:rFonts w:ascii="Times New Roman" w:hAnsi="Times New Roman"/>
          <w:sz w:val="20"/>
        </w:rPr>
        <w:t xml:space="preserve">.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i/>
          <w:sz w:val="20"/>
        </w:rPr>
        <w:t>Undertaking for Costs</w:t>
      </w:r>
      <w:r>
        <w:rPr>
          <w:rFonts w:ascii="Times New Roman" w:hAnsi="Times New Roman"/>
          <w:sz w:val="20"/>
        </w:rPr>
        <w:t xml:space="preserve">. 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w:t>
      </w:r>
      <w:r>
        <w:rPr>
          <w:rFonts w:ascii="Times New Roman" w:hAnsi="Times New Roman"/>
          <w:sz w:val="20"/>
          <w:u w:val="single"/>
        </w:rPr>
        <w:t>Section 6.12</w:t>
      </w:r>
      <w:r>
        <w:rPr>
          <w:rFonts w:ascii="Times New Roman" w:hAnsi="Times New Roman"/>
          <w:sz w:val="20"/>
        </w:rPr>
        <w:t xml:space="preserve"> does not apply to a suit by a Holder pursuant to </w:t>
      </w:r>
      <w:r>
        <w:rPr>
          <w:rFonts w:ascii="Times New Roman" w:hAnsi="Times New Roman"/>
          <w:sz w:val="20"/>
          <w:u w:val="single"/>
        </w:rPr>
        <w:t>Section 6.07</w:t>
      </w:r>
      <w:r>
        <w:rPr>
          <w:rFonts w:ascii="Times New Roman" w:hAnsi="Times New Roman"/>
          <w:sz w:val="20"/>
        </w:rPr>
        <w:t xml:space="preserve">, a suit instituted by the Trustee or a suit by Holders of more than 10% in Principal amount of the outstanding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i/>
          <w:sz w:val="20"/>
        </w:rPr>
        <w:t>Rights and Remedies Cumulative</w:t>
      </w:r>
      <w:r>
        <w:rPr>
          <w:rFonts w:ascii="Times New Roman" w:hAnsi="Times New Roman"/>
          <w:sz w:val="20"/>
        </w:rPr>
        <w:t xml:space="preserve">. Except as otherwise provided with respect to the replacement or payment of mutilated, destroyed, lost or wrongfully taken Securities in </w:t>
      </w:r>
      <w:r>
        <w:rPr>
          <w:rFonts w:ascii="Times New Roman" w:hAnsi="Times New Roman"/>
          <w:sz w:val="20"/>
          <w:u w:val="single"/>
        </w:rPr>
        <w:t>Section 2.08</w:t>
      </w:r>
      <w:r>
        <w:rPr>
          <w:rFonts w:ascii="Times New Roman" w:hAnsi="Times New Roman"/>
          <w:sz w:val="20"/>
        </w:rPr>
        <w:t xml:space="preserve">,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i/>
          <w:sz w:val="20"/>
        </w:rPr>
        <w:t>Delay or Omission not Waiver</w:t>
      </w:r>
      <w:r>
        <w:rPr>
          <w:rFonts w:ascii="Times New Roman" w:hAnsi="Times New Roman"/>
          <w:sz w:val="20"/>
        </w:rPr>
        <w:t xml:space="preserve">. No delay or omission of the Trustee or of any Holder to exercise any right or remedy accruing upon any Event of Default shall impair any such right or remedy or constitute a waiver of any such Event of Default or an acquiescence therein. Every right and remedy given by this </w:t>
      </w:r>
      <w:r>
        <w:rPr>
          <w:rFonts w:ascii="Times New Roman" w:hAnsi="Times New Roman"/>
          <w:sz w:val="20"/>
          <w:u w:val="single"/>
        </w:rPr>
        <w:t>Article 6</w:t>
      </w:r>
      <w:r>
        <w:rPr>
          <w:rFonts w:ascii="Times New Roman" w:hAnsi="Times New Roman"/>
          <w:sz w:val="20"/>
        </w:rPr>
        <w:t xml:space="preserve"> or by law to the Trustee or to the Holders may be exercised from time to time, and as often as may be deemed expedient, by the Trustee or by the Holders,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7 </w:t>
      </w:r>
    </w:p>
    <w:p>
      <w:pPr>
        <w:pStyle w:val="TextBody"/>
        <w:bidi w:val="0"/>
        <w:spacing w:before="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General</w:t>
      </w:r>
      <w:r>
        <w:rPr>
          <w:rFonts w:ascii="Times New Roman" w:hAnsi="Times New Roman"/>
          <w:sz w:val="20"/>
        </w:rPr>
        <w:t xml:space="preserve">. 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w:t>
      </w:r>
      <w:r>
        <w:rPr>
          <w:rFonts w:ascii="Times New Roman" w:hAnsi="Times New Roman"/>
          <w:sz w:val="20"/>
          <w:u w:val="single"/>
        </w:rPr>
        <w:t>Article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Certain Rights of Trustee</w:t>
      </w:r>
      <w:r>
        <w:rPr>
          <w:rFonts w:ascii="Times New Roman" w:hAnsi="Times New Roman"/>
          <w:sz w:val="20"/>
        </w:rPr>
        <w:t xml:space="preserve">. Subject to Trust Indenture Act Sections 315(a) through (d):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 </w:t>
      </w:r>
    </w:p>
    <w:p>
      <w:pPr>
        <w:pStyle w:val="TextBody"/>
        <w:bidi w:val="0"/>
        <w:spacing w:before="24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and/or an Opinion of Counsel, which shall conform to </w:t>
      </w:r>
      <w:r>
        <w:rPr>
          <w:rFonts w:ascii="Times New Roman" w:hAnsi="Times New Roman"/>
          <w:sz w:val="20"/>
          <w:u w:val="single"/>
        </w:rPr>
        <w:t>Section 10.04</w:t>
      </w:r>
      <w:r>
        <w:rPr>
          <w:rFonts w:ascii="Times New Roman" w:hAnsi="Times New Roman"/>
          <w:sz w:val="20"/>
        </w:rPr>
        <w:t xml:space="preserve"> and shall cover such other matters as the Trustee may reasonably request. The Trustee shall not be liable for any action it takes or omits to take in good faith in reliance on such certificate or opinion. Subject to </w:t>
      </w:r>
      <w:r>
        <w:rPr>
          <w:rFonts w:ascii="Times New Roman" w:hAnsi="Times New Roman"/>
          <w:sz w:val="20"/>
          <w:u w:val="single"/>
        </w:rPr>
        <w:t>Sections 7.01</w:t>
      </w:r>
      <w:r>
        <w:rPr>
          <w:rFonts w:ascii="Times New Roman" w:hAnsi="Times New Roman"/>
          <w:sz w:val="20"/>
        </w:rPr>
        <w:t xml:space="preserve"> and </w:t>
      </w:r>
      <w:r>
        <w:rPr>
          <w:rFonts w:ascii="Times New Roman" w:hAnsi="Times New Roman"/>
          <w:sz w:val="20"/>
          <w:u w:val="single"/>
        </w:rPr>
        <w:t>7.02</w:t>
      </w:r>
      <w:r>
        <w:rPr>
          <w:rFonts w:ascii="Times New Roman" w:hAnsi="Times New Roman"/>
          <w:sz w:val="20"/>
        </w:rPr>
        <w:t xml:space="preserve">,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act through its attorneys and agents not regularly in its employ and shall not be responsible for the misconduct or negligence of any agent or attorney appointed with due care; </w:t>
      </w:r>
    </w:p>
    <w:p>
      <w:pPr>
        <w:pStyle w:val="TextBody"/>
        <w:bidi w:val="0"/>
        <w:spacing w:before="240" w:after="0"/>
        <w:jc w:val="left"/>
        <w:rPr>
          <w:rFonts w:ascii="Times New Roman" w:hAnsi="Times New Roman"/>
          <w:sz w:val="20"/>
        </w:rPr>
      </w:pPr>
      <w:r>
        <w:rPr>
          <w:rFonts w:ascii="Times New Roman" w:hAnsi="Times New Roman"/>
          <w:sz w:val="20"/>
        </w:rPr>
        <w:t xml:space="preserve">(d)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be under no obligation to exercise any of the rights or powers vested in it by this Indenture at the request, order or direction of any of the Holders, unless such Holders shall have offered to the Trustee security or indemnity reasonably satisfactory to it against any costs, expenses or liabilities that might be incurred by it in compliance with such request or direction;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Trustee shall not be liable for any action it takes or omits to take in good faith that it believes to be authorized or within its rights or powers or for any action it takes or omits to take in accordance with the direction of the Holders in accordance with </w:t>
      </w:r>
      <w:r>
        <w:rPr>
          <w:rFonts w:ascii="Times New Roman" w:hAnsi="Times New Roman"/>
          <w:sz w:val="20"/>
          <w:u w:val="single"/>
        </w:rPr>
        <w:t>Section 6.05</w:t>
      </w:r>
      <w:r>
        <w:rPr>
          <w:rFonts w:ascii="Times New Roman" w:hAnsi="Times New Roman"/>
          <w:sz w:val="20"/>
        </w:rPr>
        <w:t xml:space="preserve"> relating to the time, method and place of conducting any proceeding for any remedy available to the Trustee, or exercising any trust or power conferred upon the Trustee,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(g) the Trustee may consult with counsel and the written advice of such counsel or any Opinion of Counsel shall be full and complete authorization and protection in respect of any action taken, suffered or omitted by it hereunder in good faith and in reliance thereon; and </w:t>
      </w:r>
    </w:p>
    <w:p>
      <w:pPr>
        <w:pStyle w:val="TextBody"/>
        <w:bidi w:val="0"/>
        <w:spacing w:before="240" w:after="0"/>
        <w:jc w:val="left"/>
        <w:rPr>
          <w:rFonts w:ascii="Times New Roman" w:hAnsi="Times New Roman"/>
          <w:sz w:val="20"/>
        </w:rPr>
      </w:pPr>
      <w:r>
        <w:rPr>
          <w:rFonts w:ascii="Times New Roman" w:hAnsi="Times New Roman"/>
          <w:sz w:val="20"/>
        </w:rPr>
        <w:t xml:space="preserve">(h) prior to the occurrence of an Event of Default hereunder and after the curing or waiving of all Events of Default,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w:t>
      </w:r>
      <w:r>
        <w:rPr>
          <w:rFonts w:ascii="Times New Roman" w:hAnsi="Times New Roman"/>
          <w:i/>
          <w:sz w:val="20"/>
        </w:rPr>
        <w:t>provided</w:t>
      </w:r>
      <w:r>
        <w:rPr>
          <w:rFonts w:ascii="Times New Roman" w:hAnsi="Times New Roman"/>
          <w:sz w:val="20"/>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Individual Rights of Trustee</w:t>
      </w:r>
      <w:r>
        <w:rPr>
          <w:rFonts w:ascii="Times New Roman" w:hAnsi="Times New Roman"/>
          <w:sz w:val="20"/>
        </w:rPr>
        <w:t xml:space="preserve">. The Trustee, in its individual or any other capacity, may become the owner or pledgee of Securities and may otherwise deal with the Company or its Affiliates with the same rights it would have if it were not the Trustee. Any Agent may do the same with like rights. However, the Trustee is subject to Trust Indenture Act Sections 310(b) and 311. For purposes of Trust Indenture Act Section 311(b)(4) and (6), the following terms shall mean: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cash transaction</w:t>
      </w:r>
      <w:r>
        <w:rPr>
          <w:rFonts w:ascii="Times New Roman" w:hAnsi="Times New Roman"/>
          <w:sz w:val="20"/>
        </w:rPr>
        <w:t xml:space="preserve"> means any transaction in which full payment for goods or securities sold is made within seven days after delivery of the goods or securities in currency or in checks or other orders drawn upon banks or bankers and payable upon demand; and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self-liquidating paper</w:t>
      </w:r>
      <w:r>
        <w:rPr>
          <w:rFonts w:ascii="Times New Roman" w:hAnsi="Times New Roman"/>
          <w:sz w:val="20"/>
        </w:rPr>
        <w:t xml:space="preserve">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w:t>
      </w:r>
      <w:r>
        <w:rPr>
          <w:rFonts w:ascii="Times New Roman" w:hAnsi="Times New Roman"/>
          <w:i/>
          <w:sz w:val="20"/>
        </w:rPr>
        <w:t>provided</w:t>
      </w:r>
      <w:r>
        <w:rPr>
          <w:rFonts w:ascii="Times New Roman" w:hAnsi="Times New Roman"/>
          <w:sz w:val="20"/>
        </w:rPr>
        <w:t xml:space="preserve"> the security is received by the Trustee simultaneously with the creation of the creditor relationship with the Company arising from the making, drawing, negotiating or incurring of the draft, bill of exchange, acceptance or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7.04. </w:t>
      </w:r>
      <w:r>
        <w:rPr>
          <w:rFonts w:ascii="Times New Roman" w:hAnsi="Times New Roman"/>
          <w:i/>
          <w:sz w:val="20"/>
        </w:rPr>
        <w:t>Trustees Disclaimer</w:t>
      </w:r>
      <w:r>
        <w:rPr>
          <w:rFonts w:ascii="Times New Roman" w:hAnsi="Times New Roman"/>
          <w:sz w:val="20"/>
        </w:rPr>
        <w:t xml:space="preserve">. 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i/>
          <w:sz w:val="20"/>
        </w:rPr>
        <w:t>Notice of Default</w:t>
      </w:r>
      <w:r>
        <w:rPr>
          <w:rFonts w:ascii="Times New Roman" w:hAnsi="Times New Roman"/>
          <w:sz w:val="20"/>
        </w:rPr>
        <w:t xml:space="preserve">. If any Default with respect to the Securities of any series occurs and is continuing and if such Default is known to the actual knowledge of a Responsible Officer with the Corporate Trust Office of the Trustee, the Trustee shall give to each Holder of Securities of such series notice of such Default within 90 days after it occurs to all Holders of Securities of such series in the manner and to the extent provided in Section 313(a) of the Trust Indenture Act, unless such Default shall have been cured or waived before the mailing of such notice;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in the case of a Default in the payment of the Principal of or interest on any Security, the Trustee shall be protected in withholding such notice if the Trustee in good faith determines that the withholding of such notice is in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i/>
          <w:sz w:val="20"/>
        </w:rPr>
        <w:t>Reports by Trustee to Holders</w:t>
      </w:r>
      <w:r>
        <w:rPr>
          <w:rFonts w:ascii="Times New Roman" w:hAnsi="Times New Roman"/>
          <w:sz w:val="20"/>
        </w:rPr>
        <w:t xml:space="preserve">.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i/>
          <w:sz w:val="20"/>
        </w:rPr>
        <w:t>Compensation and Indemnity</w:t>
      </w:r>
      <w:r>
        <w:rPr>
          <w:rFonts w:ascii="Times New Roman" w:hAnsi="Times New Roman"/>
          <w:sz w:val="20"/>
        </w:rPr>
        <w:t xml:space="preserve">. The Company shall pay to the Trustee such compensation as shall be agreed upon in writing from time to time for its services. The compensation of the Trustee shall not be limited by any law on compensation of a Trustee of an express trust. The Company shall reimburse the Trustee and any 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secure the Companys payment obligations in this </w:t>
      </w:r>
      <w:r>
        <w:rPr>
          <w:rFonts w:ascii="Times New Roman" w:hAnsi="Times New Roman"/>
          <w:sz w:val="20"/>
          <w:u w:val="single"/>
        </w:rPr>
        <w:t>Section 7.07</w:t>
      </w:r>
      <w:r>
        <w:rPr>
          <w:rFonts w:ascii="Times New Roman" w:hAnsi="Times New Roman"/>
          <w:sz w:val="20"/>
        </w:rPr>
        <w:t xml:space="preserve">, the Trustee shall have a lien prior to the Securities on all money or property held or collected by the Trustee, in its capacity as Trustee, except money or property held in trust to pay Principal of, and interest on particular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Without prejudice to any other rights available to the Trustee under applicable law, if the Trustee renders services and incurs expenses following an Event of Default under </w:t>
      </w:r>
      <w:r>
        <w:rPr>
          <w:rFonts w:ascii="Times New Roman" w:hAnsi="Times New Roman"/>
          <w:sz w:val="20"/>
          <w:u w:val="single"/>
        </w:rPr>
        <w:t>Section 6.01(d)</w:t>
      </w:r>
      <w:r>
        <w:rPr>
          <w:rFonts w:ascii="Times New Roman" w:hAnsi="Times New Roman"/>
          <w:sz w:val="20"/>
        </w:rPr>
        <w:t xml:space="preserve"> or </w:t>
      </w:r>
      <w:r>
        <w:rPr>
          <w:rFonts w:ascii="Times New Roman" w:hAnsi="Times New Roman"/>
          <w:sz w:val="20"/>
          <w:u w:val="single"/>
        </w:rPr>
        <w:t>Section 6.01(e)</w:t>
      </w:r>
      <w:r>
        <w:rPr>
          <w:rFonts w:ascii="Times New Roman" w:hAnsi="Times New Roman"/>
          <w:sz w:val="20"/>
        </w:rPr>
        <w:t xml:space="preserve"> hereof, the parties hereto and the holders by their acceptance of the Securities hereby agree that such expenses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i/>
          <w:sz w:val="20"/>
        </w:rPr>
        <w:t>Replacement of Trustee</w:t>
      </w:r>
      <w:r>
        <w:rPr>
          <w:rFonts w:ascii="Times New Roman" w:hAnsi="Times New Roman"/>
          <w:sz w:val="20"/>
        </w:rPr>
        <w:t xml:space="preserve">. A resignation or removal of the Trustee as Trustee with respect to the Securities of any series and appointment of a successor Trustee as Trustee with respect to the Securities of any series shall become effective only upon the successor Trustees acceptance of appointment as provided in this </w:t>
      </w:r>
      <w:r>
        <w:rPr>
          <w:rFonts w:ascii="Times New Roman" w:hAnsi="Times New Roman"/>
          <w:sz w:val="20"/>
          <w:u w:val="single"/>
        </w:rPr>
        <w:t>Section 7.08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w:t>
      </w:r>
      <w:r>
        <w:rPr>
          <w:rFonts w:ascii="Times New Roman" w:hAnsi="Times New Roman"/>
          <w:sz w:val="20"/>
          <w:u w:val="single"/>
        </w:rPr>
        <w:t>Section 7.11</w:t>
      </w:r>
      <w:r>
        <w:rPr>
          <w:rFonts w:ascii="Times New Roman" w:hAnsi="Times New Roman"/>
          <w:sz w:val="20"/>
        </w:rPr>
        <w:t xml:space="preserve"> of this Indenture; (ii) the Trustee is adjudged a bankrupt or insolvent; (iii) a receiver or other public officer takes charge of the Trustee or its property; or (iv)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w:t>
      </w:r>
      <w:r>
        <w:rPr>
          <w:rFonts w:ascii="Times New Roman" w:hAnsi="Times New Roman"/>
          <w:sz w:val="20"/>
          <w:u w:val="single"/>
        </w:rPr>
        <w:t>Section 7.09</w:t>
      </w:r>
      <w:r>
        <w:rPr>
          <w:rFonts w:ascii="Times New Roman" w:hAnsi="Times New Roman"/>
          <w:sz w:val="20"/>
        </w:rPr>
        <w:t xml:space="preserve">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replacement of the Trustee with respect to the Securities of any series pursuant to this </w:t>
      </w:r>
      <w:r>
        <w:rPr>
          <w:rFonts w:ascii="Times New Roman" w:hAnsi="Times New Roman"/>
          <w:sz w:val="20"/>
          <w:u w:val="single"/>
        </w:rPr>
        <w:t>Section 7.08</w:t>
      </w:r>
      <w:r>
        <w:rPr>
          <w:rFonts w:ascii="Times New Roman" w:hAnsi="Times New Roman"/>
          <w:sz w:val="20"/>
        </w:rPr>
        <w:t xml:space="preserve"> and </w:t>
      </w:r>
      <w:r>
        <w:rPr>
          <w:rFonts w:ascii="Times New Roman" w:hAnsi="Times New Roman"/>
          <w:sz w:val="20"/>
          <w:u w:val="single"/>
        </w:rPr>
        <w:t>Section 7.09</w:t>
      </w:r>
      <w:r>
        <w:rPr>
          <w:rFonts w:ascii="Times New Roman" w:hAnsi="Times New Roman"/>
          <w:sz w:val="20"/>
        </w:rPr>
        <w:t xml:space="preserve">, the Companys obligations under </w:t>
      </w:r>
      <w:r>
        <w:rPr>
          <w:rFonts w:ascii="Times New Roman" w:hAnsi="Times New Roman"/>
          <w:sz w:val="20"/>
          <w:u w:val="single"/>
        </w:rPr>
        <w:t>Section 7.07</w:t>
      </w:r>
      <w:r>
        <w:rPr>
          <w:rFonts w:ascii="Times New Roman" w:hAnsi="Times New Roman"/>
          <w:sz w:val="20"/>
        </w:rPr>
        <w:t xml:space="preserve"> shall continue for the benefit of the retiring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i/>
          <w:sz w:val="20"/>
        </w:rPr>
        <w:t>Acceptance of Appointment by Successor</w:t>
      </w:r>
      <w:r>
        <w:rPr>
          <w:rFonts w:ascii="Times New Roman" w:hAnsi="Times New Roman"/>
          <w:sz w:val="20"/>
        </w:rPr>
        <w:t xml:space="preserve">.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w:t>
      </w:r>
      <w:r>
        <w:rPr>
          <w:rFonts w:ascii="Times New Roman" w:hAnsi="Times New Roman"/>
          <w:sz w:val="20"/>
          <w:u w:val="single"/>
        </w:rPr>
        <w:t>Section 7.07</w:t>
      </w:r>
      <w:r>
        <w:rPr>
          <w:rFonts w:ascii="Times New Roman" w:hAnsi="Times New Roman"/>
          <w:sz w:val="20"/>
        </w:rPr>
        <w:t xml:space="preserve">,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sz w:val="20"/>
        </w:rPr>
        <w:t xml:space="preserve">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successor Trustee shall accept its appointment unless at the time of such acceptance such successor Trustee shall be eligible under this Article and qualified under Section 310(b)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i/>
          <w:sz w:val="20"/>
        </w:rPr>
        <w:t>Successor Trustee By Merger, Etc.</w:t>
      </w:r>
      <w:r>
        <w:rPr>
          <w:rFonts w:ascii="Times New Roman" w:hAnsi="Times New Roman"/>
          <w:sz w:val="20"/>
        </w:rPr>
        <w:t xml:space="preserve">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i/>
          <w:sz w:val="20"/>
        </w:rPr>
        <w:t>Eligibility</w:t>
      </w:r>
      <w:r>
        <w:rPr>
          <w:rFonts w:ascii="Times New Roman" w:hAnsi="Times New Roman"/>
          <w:sz w:val="20"/>
        </w:rPr>
        <w:t xml:space="preserve">. This Indenture shall always have a Trustee who satisfies the requirements of Trust Indenture Act Section 310(a). The Trustee shall have a combined capital and surplus of at least $25,000,000 as set forth in its most recent published annual report of condition.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i/>
          <w:sz w:val="20"/>
        </w:rPr>
        <w:t>Money Held in Trust</w:t>
      </w:r>
      <w:r>
        <w:rPr>
          <w:rFonts w:ascii="Times New Roman" w:hAnsi="Times New Roman"/>
          <w:sz w:val="20"/>
        </w:rPr>
        <w:t xml:space="preserve">. 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w:t>
      </w:r>
      <w:r>
        <w:rPr>
          <w:rFonts w:ascii="Times New Roman" w:hAnsi="Times New Roman"/>
          <w:sz w:val="20"/>
          <w:u w:val="single"/>
        </w:rPr>
        <w:t>Article 8</w:t>
      </w:r>
      <w:r>
        <w:rPr>
          <w:rFonts w:ascii="Times New Roman" w:hAnsi="Times New Roman"/>
          <w:sz w:val="20"/>
        </w:rPr>
        <w:t xml:space="preserve"> of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8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OF INDENTURE; UNCLAIMED MONEYS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i/>
          <w:sz w:val="20"/>
        </w:rPr>
        <w:t>Satisfaction and Discharge of Indenture</w:t>
      </w:r>
      <w:r>
        <w:rPr>
          <w:rFonts w:ascii="Times New Roman" w:hAnsi="Times New Roman"/>
          <w:sz w:val="20"/>
        </w:rPr>
        <w:t xml:space="preserve">. If at any time (a) (i) all Securities of any series issued that have been authenticated and delivered have been delivered by the Company to the Trustee for cancellation (other than Securities of such series which have been destroyed, lost or stolen and which have been replaced or paid as provided in </w:t>
      </w:r>
      <w:r>
        <w:rPr>
          <w:rFonts w:ascii="Times New Roman" w:hAnsi="Times New Roman"/>
          <w:sz w:val="20"/>
          <w:u w:val="single"/>
        </w:rPr>
        <w:t>Section 2.08</w:t>
      </w:r>
      <w:r>
        <w:rPr>
          <w:rFonts w:ascii="Times New Roman" w:hAnsi="Times New Roman"/>
          <w:sz w:val="20"/>
        </w:rPr>
        <w:t xml:space="preserve">); or (ii) all the Securities of any series issued that have not been delivered by the Company to the Trustee for cancellation shall have become due and payable, or are by their terms to become due and payable within one year or are to be called for redemption within one year under arrangements satisfactory to the Trustee for the giving of notice of redemption by such Trustee in the Companys name and at the Companys expense, the Company shall have irrevocably deposited or caused to be deposited with the Trustee as trust funds the entire amount in cash (other than moneys repaid by the Trustee or any paying agent to the Company in accordance with </w:t>
      </w:r>
      <w:r>
        <w:rPr>
          <w:rFonts w:ascii="Times New Roman" w:hAnsi="Times New Roman"/>
          <w:sz w:val="20"/>
          <w:u w:val="single"/>
        </w:rPr>
        <w:t>Section 8.04</w:t>
      </w:r>
      <w:r>
        <w:rPr>
          <w:rFonts w:ascii="Times New Roman" w:hAnsi="Times New Roman"/>
          <w:sz w:val="20"/>
        </w:rPr>
        <w:t xml:space="preserve">)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w:t>
      </w:r>
      <w:r>
        <w:rPr>
          <w:rFonts w:ascii="Times New Roman" w:hAnsi="Times New Roman"/>
          <w:sz w:val="20"/>
          <w:u w:val="single"/>
        </w:rPr>
        <w:t>Section 2.08</w:t>
      </w:r>
      <w:r>
        <w:rPr>
          <w:rFonts w:ascii="Times New Roman" w:hAnsi="Times New Roman"/>
          <w:sz w:val="20"/>
        </w:rPr>
        <w:t xml:space="preserve">) not theretofore delivered to the Trustee for cancellation, including Principal and interest due or to become due on or prior to such date of maturity or redemption as the case may be; (b) the Company has paid or caused to be paid all other sums then due and payable under this Indenture; and (c) the Company has delivered to the Trustee an Officers Certificate and an Opinion of Counsel, each stating that all conditions precedent under this Indenture relating to the satisfaction and discharge of this Indenture pursuant to this </w:t>
      </w:r>
      <w:r>
        <w:rPr>
          <w:rFonts w:ascii="Times New Roman" w:hAnsi="Times New Roman"/>
          <w:sz w:val="20"/>
          <w:u w:val="single"/>
        </w:rPr>
        <w:t>Section 8.01</w:t>
      </w:r>
      <w:r>
        <w:rPr>
          <w:rFonts w:ascii="Times New Roman" w:hAnsi="Times New Roman"/>
          <w:sz w:val="20"/>
        </w:rPr>
        <w:t xml:space="preserve"> have been complied with,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w:t>
      </w:r>
      <w:r>
        <w:rPr>
          <w:rFonts w:ascii="Times New Roman" w:hAnsi="Times New Roman"/>
          <w:i/>
          <w:sz w:val="20"/>
        </w:rPr>
        <w:t>provided</w:t>
      </w:r>
      <w:r>
        <w:rPr>
          <w:rFonts w:ascii="Times New Roman" w:hAnsi="Times New Roman"/>
          <w:sz w:val="20"/>
        </w:rPr>
        <w:t xml:space="preserve">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i/>
          <w:sz w:val="20"/>
        </w:rPr>
        <w:t>Application by Trustee of Funds Deposited for Payment of Securities</w:t>
      </w:r>
      <w:r>
        <w:rPr>
          <w:rFonts w:ascii="Times New Roman" w:hAnsi="Times New Roman"/>
          <w:sz w:val="20"/>
        </w:rPr>
        <w:t xml:space="preserve">. Subject to </w:t>
      </w:r>
      <w:r>
        <w:rPr>
          <w:rFonts w:ascii="Times New Roman" w:hAnsi="Times New Roman"/>
          <w:sz w:val="20"/>
          <w:u w:val="single"/>
        </w:rPr>
        <w:t>Section 8.04</w:t>
      </w:r>
      <w:r>
        <w:rPr>
          <w:rFonts w:ascii="Times New Roman" w:hAnsi="Times New Roman"/>
          <w:sz w:val="20"/>
        </w:rPr>
        <w:t xml:space="preserve">, all moneys (including U.S. Government Obligations and the proceeds thereof) deposited with the Trustee pursuant to </w:t>
      </w:r>
      <w:r>
        <w:rPr>
          <w:rFonts w:ascii="Times New Roman" w:hAnsi="Times New Roman"/>
          <w:sz w:val="20"/>
          <w:u w:val="single"/>
        </w:rPr>
        <w:t>Section 8.01</w:t>
      </w:r>
      <w:r>
        <w:rPr>
          <w:rFonts w:ascii="Times New Roman" w:hAnsi="Times New Roman"/>
          <w:sz w:val="20"/>
        </w:rPr>
        <w:t xml:space="preserve">, </w:t>
      </w:r>
      <w:r>
        <w:rPr>
          <w:rFonts w:ascii="Times New Roman" w:hAnsi="Times New Roman"/>
          <w:sz w:val="20"/>
          <w:u w:val="single"/>
        </w:rPr>
        <w:t>Section 8.05</w:t>
      </w:r>
      <w:r>
        <w:rPr>
          <w:rFonts w:ascii="Times New Roman" w:hAnsi="Times New Roman"/>
          <w:sz w:val="20"/>
        </w:rPr>
        <w:t xml:space="preserve"> or </w:t>
      </w:r>
      <w:r>
        <w:rPr>
          <w:rFonts w:ascii="Times New Roman" w:hAnsi="Times New Roman"/>
          <w:sz w:val="20"/>
          <w:u w:val="single"/>
        </w:rPr>
        <w:t>Section 8.06</w:t>
      </w:r>
      <w:r>
        <w:rPr>
          <w:rFonts w:ascii="Times New Roman" w:hAnsi="Times New Roman"/>
          <w:sz w:val="20"/>
        </w:rPr>
        <w:t xml:space="preserve">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i/>
          <w:sz w:val="20"/>
        </w:rPr>
        <w:t>Repayment of Moneys Held by Paying Agent</w:t>
      </w:r>
      <w:r>
        <w:rPr>
          <w:rFonts w:ascii="Times New Roman" w:hAnsi="Times New Roman"/>
          <w:sz w:val="20"/>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i/>
          <w:sz w:val="20"/>
        </w:rPr>
        <w:t>Return of Moneys Held by Trustee and Paying Agent Unclaimed for Two Years</w:t>
      </w:r>
      <w:r>
        <w:rPr>
          <w:rFonts w:ascii="Times New Roman" w:hAnsi="Times New Roman"/>
          <w:sz w:val="20"/>
        </w:rPr>
        <w:t xml:space="preserve">.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8.05. </w:t>
      </w:r>
      <w:r>
        <w:rPr>
          <w:rFonts w:ascii="Times New Roman" w:hAnsi="Times New Roman"/>
          <w:i/>
          <w:sz w:val="20"/>
        </w:rPr>
        <w:t>Defeasance and Discharge of Indenture</w:t>
      </w:r>
      <w:r>
        <w:rPr>
          <w:rFonts w:ascii="Times New Roman" w:hAnsi="Times New Roman"/>
          <w:sz w:val="20"/>
        </w:rPr>
        <w:t xml:space="preserve">. The Company shall be deemed to have paid and shall be discharged from any and all obligations in respect of the Securities of any series,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(a) rights of Holders of the Securities of such series to receive payments of Principal thereof, premium thereto, and interest thereon, upon the original stated due dates therefor, (b) the Companys obligations with respect to the issuance of temporary Securities and the registration of transfer with respect to the Securities of such series, the Companys right of optional redemption, substitution of mutilated, defaced, destroyed, lost or stolen Securities of such series and the maintenance of an office or agency for payment for security payments held in trust pursuant to clause (i) hereof, (c) the rights, obligations and immunities of the Trustee hereunder, and (d) the defeasance provisions contained in </w:t>
      </w:r>
      <w:r>
        <w:rPr>
          <w:rFonts w:ascii="Times New Roman" w:hAnsi="Times New Roman"/>
          <w:sz w:val="20"/>
          <w:u w:val="single"/>
        </w:rPr>
        <w:t>Article 8</w:t>
      </w:r>
      <w:r>
        <w:rPr>
          <w:rFonts w:ascii="Times New Roman" w:hAnsi="Times New Roman"/>
          <w:sz w:val="20"/>
        </w:rPr>
        <w:t xml:space="preserve"> of this Indenture; </w:t>
      </w:r>
      <w:r>
        <w:rPr>
          <w:rFonts w:ascii="Times New Roman" w:hAnsi="Times New Roman"/>
          <w:i/>
          <w:sz w:val="20"/>
        </w:rPr>
        <w:t>provided</w:t>
      </w:r>
      <w:r>
        <w:rPr>
          <w:rFonts w:ascii="Times New Roman" w:hAnsi="Times New Roman"/>
          <w:sz w:val="20"/>
        </w:rPr>
        <w:t xml:space="preserve">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(i) with reference to this </w:t>
      </w:r>
      <w:r>
        <w:rPr>
          <w:rFonts w:ascii="Times New Roman" w:hAnsi="Times New Roman"/>
          <w:sz w:val="20"/>
          <w:u w:val="single"/>
        </w:rPr>
        <w:t>Section 8.05</w:t>
      </w:r>
      <w:r>
        <w:rPr>
          <w:rFonts w:ascii="Times New Roman" w:hAnsi="Times New Roman"/>
          <w:sz w:val="20"/>
        </w:rPr>
        <w:t xml:space="preserve"> the Company irrevocably has deposited or caused to be deposited with the Trustee (or another qualifying trustee satisfying the requirements of </w:t>
      </w:r>
      <w:r>
        <w:rPr>
          <w:rFonts w:ascii="Times New Roman" w:hAnsi="Times New Roman"/>
          <w:sz w:val="20"/>
          <w:u w:val="single"/>
        </w:rPr>
        <w:t>Section 7.11</w:t>
      </w:r>
      <w:r>
        <w:rPr>
          <w:rFonts w:ascii="Times New Roman" w:hAnsi="Times New Roman"/>
          <w:sz w:val="20"/>
        </w:rPr>
        <w:t xml:space="preserve">) as trust funds in trust, for the purposes of making the following payments, specifically pledged as security for, and dedicated solely to, the benefit of the Holders of the Securities of such series, (A) money in an amount, (B) U.S. Government Obligations which through the payment of interest and principal in respect thereof in accordance with their terms will provide not later than one day before the due date of any payment referred to in subclause (x) or (y) of this clause (i), or (C)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has delivered to the Trustee an Opinion of Counsel to the effect that, under then applicable U.S. federal income tax law, Holders of Securities of such series will not recognize gain or loss for U.S. federal income tax purposes as a result of the Companys exercise of its option under this </w:t>
      </w:r>
      <w:r>
        <w:rPr>
          <w:rFonts w:ascii="Times New Roman" w:hAnsi="Times New Roman"/>
          <w:sz w:val="20"/>
          <w:u w:val="single"/>
        </w:rPr>
        <w:t>Section 8.05</w:t>
      </w:r>
      <w:r>
        <w:rPr>
          <w:rFonts w:ascii="Times New Roman" w:hAnsi="Times New Roman"/>
          <w:sz w:val="20"/>
        </w:rPr>
        <w:t xml:space="preserve"> and will be subject to U.S. federal income tax on the same amount and in the same manner and at the same times as would have been the case if such deposit, defeasance and discharge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(iii) no Default under either clause (d) or clause (e) of </w:t>
      </w:r>
      <w:r>
        <w:rPr>
          <w:rFonts w:ascii="Times New Roman" w:hAnsi="Times New Roman"/>
          <w:sz w:val="20"/>
          <w:u w:val="single"/>
        </w:rPr>
        <w:t>Section 6.01</w:t>
      </w:r>
      <w:r>
        <w:rPr>
          <w:rFonts w:ascii="Times New Roman" w:hAnsi="Times New Roman"/>
          <w:sz w:val="20"/>
        </w:rPr>
        <w:t xml:space="preserve"> shall have occurred and be continuing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if at such time the Securities of such series are listed on a national securities exchange, the Company has delivered to the Trustee an Opinion of Counsel to the effect that the Securities of such series will not be delisted as a result of such deposit, 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(v) the Company shall have delivered to the Trustee an Officers Certificate and an Opinion of Counsel, each stating that all conditions precedent to the defeasance and discharge under this </w:t>
      </w:r>
      <w:r>
        <w:rPr>
          <w:rFonts w:ascii="Times New Roman" w:hAnsi="Times New Roman"/>
          <w:sz w:val="20"/>
          <w:u w:val="single"/>
        </w:rPr>
        <w:t>Section 8.05</w:t>
      </w:r>
      <w:r>
        <w:rPr>
          <w:rFonts w:ascii="Times New Roman" w:hAnsi="Times New Roman"/>
          <w:sz w:val="20"/>
        </w:rPr>
        <w:t xml:space="preserve"> have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(vi) 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i/>
          <w:sz w:val="20"/>
        </w:rPr>
        <w:t>Defeasance of Certain Obligations</w:t>
      </w:r>
      <w:r>
        <w:rPr>
          <w:rFonts w:ascii="Times New Roman" w:hAnsi="Times New Roman"/>
          <w:sz w:val="20"/>
        </w:rPr>
        <w:t xml:space="preserve">. The Company may omit to comply with any term, provision or condition set forth in, and this Indenture will no longer be in effect with respect to, any covenant established pursuant to </w:t>
      </w:r>
      <w:r>
        <w:rPr>
          <w:rFonts w:ascii="Times New Roman" w:hAnsi="Times New Roman"/>
          <w:sz w:val="20"/>
          <w:u w:val="single"/>
        </w:rPr>
        <w:t>Section 2.03(s)</w:t>
      </w:r>
      <w:r>
        <w:rPr>
          <w:rFonts w:ascii="Times New Roman" w:hAnsi="Times New Roman"/>
          <w:sz w:val="20"/>
        </w:rPr>
        <w:t xml:space="preserve"> and clause (c) and clause (f) (with respect to any covenants established pursuant to </w:t>
      </w:r>
      <w:r>
        <w:rPr>
          <w:rFonts w:ascii="Times New Roman" w:hAnsi="Times New Roman"/>
          <w:sz w:val="20"/>
          <w:u w:val="single"/>
        </w:rPr>
        <w:t>Section 2.03(s)</w:t>
      </w:r>
      <w:r>
        <w:rPr>
          <w:rFonts w:ascii="Times New Roman" w:hAnsi="Times New Roman"/>
          <w:sz w:val="20"/>
        </w:rPr>
        <w:t xml:space="preserve">) of </w:t>
      </w:r>
      <w:r>
        <w:rPr>
          <w:rFonts w:ascii="Times New Roman" w:hAnsi="Times New Roman"/>
          <w:sz w:val="20"/>
          <w:u w:val="single"/>
        </w:rPr>
        <w:t>Section 6.01</w:t>
      </w:r>
      <w:r>
        <w:rPr>
          <w:rFonts w:ascii="Times New Roman" w:hAnsi="Times New Roman"/>
          <w:sz w:val="20"/>
        </w:rPr>
        <w:t xml:space="preserve"> shall be deemed not to constitute a Default or an Event of Default with respect to Securities of any series, if: </w:t>
      </w:r>
    </w:p>
    <w:p>
      <w:pPr>
        <w:pStyle w:val="TextBody"/>
        <w:bidi w:val="0"/>
        <w:spacing w:before="120" w:after="0"/>
        <w:jc w:val="left"/>
        <w:rPr>
          <w:rFonts w:ascii="Times New Roman" w:hAnsi="Times New Roman"/>
          <w:sz w:val="20"/>
        </w:rPr>
      </w:pPr>
      <w:r>
        <w:rPr>
          <w:rFonts w:ascii="Times New Roman" w:hAnsi="Times New Roman"/>
          <w:sz w:val="20"/>
        </w:rPr>
        <w:t xml:space="preserve">(a) with reference to this </w:t>
      </w:r>
      <w:r>
        <w:rPr>
          <w:rFonts w:ascii="Times New Roman" w:hAnsi="Times New Roman"/>
          <w:sz w:val="20"/>
          <w:u w:val="single"/>
        </w:rPr>
        <w:t>Section 8.06</w:t>
      </w:r>
      <w:r>
        <w:rPr>
          <w:rFonts w:ascii="Times New Roman" w:hAnsi="Times New Roman"/>
          <w:sz w:val="20"/>
        </w:rPr>
        <w:t xml:space="preserve">, the Company has irrevocably deposited or caused to be deposited with the Trustee (or another qualifying trustee satisfying the requirements of </w:t>
      </w:r>
      <w:r>
        <w:rPr>
          <w:rFonts w:ascii="Times New Roman" w:hAnsi="Times New Roman"/>
          <w:sz w:val="20"/>
          <w:u w:val="single"/>
        </w:rPr>
        <w:t>Section 7.11</w:t>
      </w:r>
      <w:r>
        <w:rPr>
          <w:rFonts w:ascii="Times New Roman" w:hAnsi="Times New Roman"/>
          <w:sz w:val="20"/>
        </w:rPr>
        <w:t xml:space="preserve">) as trust funds in trust, for the purposes of making the following payments, specifically pledged as security for, and dedicated solely to, the benefits of the Holders of the Securities of such series, (i) money in an amount, (ii) U.S. Government Obligations which through the payment of interest and principal in respect thereof in accordance with their terms will provide not later than one day before the due date of any payment referred to in subclause (x) or (y) of this clause (a), or (iii)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the Securities of such series and the Indenture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delivered to the Trustee an Opinion of Counsel to the effect that Holders of Securities of such series will not recognize gain or loss for U.S. federal income tax purposes as a result of the Companys exercise of its option under this </w:t>
      </w:r>
      <w:r>
        <w:rPr>
          <w:rFonts w:ascii="Times New Roman" w:hAnsi="Times New Roman"/>
          <w:sz w:val="20"/>
          <w:u w:val="single"/>
        </w:rPr>
        <w:t>Section 8.06</w:t>
      </w:r>
      <w:r>
        <w:rPr>
          <w:rFonts w:ascii="Times New Roman" w:hAnsi="Times New Roman"/>
          <w:sz w:val="20"/>
        </w:rPr>
        <w:t xml:space="preserve"> and will be subject to U.S. federal income tax on the same amount and in the same manner and at the same times as would have been the case if such deposit and defeasance had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Default with respect to the outstanding Securities of such series shall have occurred and be continuing at the time of such deposit immediately after giving effect to such deposit; </w:t>
      </w:r>
    </w:p>
    <w:p>
      <w:pPr>
        <w:pStyle w:val="TextBody"/>
        <w:bidi w:val="0"/>
        <w:spacing w:before="240" w:after="0"/>
        <w:jc w:val="left"/>
        <w:rPr>
          <w:rFonts w:ascii="Times New Roman" w:hAnsi="Times New Roman"/>
          <w:sz w:val="20"/>
        </w:rPr>
      </w:pPr>
      <w:r>
        <w:rPr>
          <w:rFonts w:ascii="Times New Roman" w:hAnsi="Times New Roman"/>
          <w:sz w:val="20"/>
        </w:rPr>
        <w:t xml:space="preserve">(d) if at such time the Securities of such series are listed on a national securities exchange, the Company has delivered to the Trustee an Opinion of Counsel to the effect that the Securities of such series will not be delisted as a result of such deposit, defeasance and discharge;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have delivered to the Trustee an Officers Certificate and an Opinion of Counsel, each stating that all conditions precedent to the defeasance under this Section have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(f) 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i/>
          <w:sz w:val="20"/>
        </w:rPr>
        <w:t>Reinstatement</w:t>
      </w:r>
      <w:r>
        <w:rPr>
          <w:rFonts w:ascii="Times New Roman" w:hAnsi="Times New Roman"/>
          <w:sz w:val="20"/>
        </w:rPr>
        <w:t xml:space="preserve">. If the Trustee or paying agent is unable to apply any monies or U.S. Government Obligations in accordance with </w:t>
      </w:r>
      <w:r>
        <w:rPr>
          <w:rFonts w:ascii="Times New Roman" w:hAnsi="Times New Roman"/>
          <w:sz w:val="20"/>
          <w:u w:val="single"/>
        </w:rPr>
        <w:t>Article 8</w:t>
      </w:r>
      <w:r>
        <w:rPr>
          <w:rFonts w:ascii="Times New Roman" w:hAnsi="Times New Roman"/>
          <w:sz w:val="20"/>
        </w:rPr>
        <w:t xml:space="preserve">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w:t>
      </w:r>
      <w:r>
        <w:rPr>
          <w:rFonts w:ascii="Times New Roman" w:hAnsi="Times New Roman"/>
          <w:sz w:val="20"/>
          <w:u w:val="single"/>
        </w:rPr>
        <w:t>Article 8</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i/>
          <w:sz w:val="20"/>
        </w:rPr>
        <w:t>Indemnity</w:t>
      </w:r>
      <w:r>
        <w:rPr>
          <w:rFonts w:ascii="Times New Roman" w:hAnsi="Times New Roman"/>
          <w:sz w:val="20"/>
        </w:rPr>
        <w:t xml:space="preserve">. The Company shall pay and indemnify the Trustee (or other qualifying trustee, collectively for purposes of this </w:t>
      </w:r>
      <w:r>
        <w:rPr>
          <w:rFonts w:ascii="Times New Roman" w:hAnsi="Times New Roman"/>
          <w:sz w:val="20"/>
          <w:u w:val="single"/>
        </w:rPr>
        <w:t>Section 8.08</w:t>
      </w:r>
      <w:r>
        <w:rPr>
          <w:rFonts w:ascii="Times New Roman" w:hAnsi="Times New Roman"/>
          <w:sz w:val="20"/>
        </w:rPr>
        <w:t xml:space="preserve"> and </w:t>
      </w:r>
      <w:r>
        <w:rPr>
          <w:rFonts w:ascii="Times New Roman" w:hAnsi="Times New Roman"/>
          <w:sz w:val="20"/>
          <w:u w:val="single"/>
        </w:rPr>
        <w:t>Section 8.02</w:t>
      </w:r>
      <w:r>
        <w:rPr>
          <w:rFonts w:ascii="Times New Roman" w:hAnsi="Times New Roman"/>
          <w:sz w:val="20"/>
        </w:rPr>
        <w:t>, the </w:t>
      </w:r>
      <w:r>
        <w:rPr>
          <w:rFonts w:ascii="Times New Roman" w:hAnsi="Times New Roman"/>
          <w:b/>
          <w:sz w:val="20"/>
        </w:rPr>
        <w:t>Trustee</w:t>
      </w:r>
      <w:r>
        <w:rPr>
          <w:rFonts w:ascii="Times New Roman" w:hAnsi="Times New Roman"/>
          <w:sz w:val="20"/>
        </w:rPr>
        <w:t xml:space="preserve">) against any tax, fee or other charge, imposed on or assessed against the U.S. Government Obligations deposited pursuant to </w:t>
      </w:r>
      <w:r>
        <w:rPr>
          <w:rFonts w:ascii="Times New Roman" w:hAnsi="Times New Roman"/>
          <w:sz w:val="20"/>
          <w:u w:val="single"/>
        </w:rPr>
        <w:t>Section 8.01</w:t>
      </w:r>
      <w:r>
        <w:rPr>
          <w:rFonts w:ascii="Times New Roman" w:hAnsi="Times New Roman"/>
          <w:sz w:val="20"/>
        </w:rPr>
        <w:t xml:space="preserve">, </w:t>
      </w:r>
      <w:r>
        <w:rPr>
          <w:rFonts w:ascii="Times New Roman" w:hAnsi="Times New Roman"/>
          <w:sz w:val="20"/>
          <w:u w:val="single"/>
        </w:rPr>
        <w:t>8.05</w:t>
      </w:r>
      <w:r>
        <w:rPr>
          <w:rFonts w:ascii="Times New Roman" w:hAnsi="Times New Roman"/>
          <w:sz w:val="20"/>
        </w:rPr>
        <w:t xml:space="preserve"> or </w:t>
      </w:r>
      <w:r>
        <w:rPr>
          <w:rFonts w:ascii="Times New Roman" w:hAnsi="Times New Roman"/>
          <w:sz w:val="20"/>
          <w:u w:val="single"/>
        </w:rPr>
        <w:t>8.06</w:t>
      </w:r>
      <w:r>
        <w:rPr>
          <w:rFonts w:ascii="Times New Roman" w:hAnsi="Times New Roman"/>
          <w:sz w:val="20"/>
        </w:rPr>
        <w:t xml:space="preserve"> or the principal or interest received in respect thereof other than any such tax, fee or other charge which by law is for the account of the Holders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i/>
          <w:sz w:val="20"/>
        </w:rPr>
        <w:t>Excess Funds</w:t>
      </w:r>
      <w:r>
        <w:rPr>
          <w:rFonts w:ascii="Times New Roman" w:hAnsi="Times New Roman"/>
          <w:sz w:val="20"/>
        </w:rPr>
        <w:t xml:space="preserve">. Anything in this </w:t>
      </w:r>
      <w:r>
        <w:rPr>
          <w:rFonts w:ascii="Times New Roman" w:hAnsi="Times New Roman"/>
          <w:sz w:val="20"/>
          <w:u w:val="single"/>
        </w:rPr>
        <w:t>Article 8</w:t>
      </w:r>
      <w:r>
        <w:rPr>
          <w:rFonts w:ascii="Times New Roman" w:hAnsi="Times New Roman"/>
          <w:sz w:val="20"/>
        </w:rPr>
        <w:t xml:space="preserve"> to the contrary notwithstanding, the Trustee shall deliver or pay to the Company from time to time upon request of the Company, any money or U.S. Government Obligations (or other property and any proceeds therefrom) held by it as provided in </w:t>
      </w:r>
      <w:r>
        <w:rPr>
          <w:rFonts w:ascii="Times New Roman" w:hAnsi="Times New Roman"/>
          <w:sz w:val="20"/>
          <w:u w:val="single"/>
        </w:rPr>
        <w:t>Section 8.01</w:t>
      </w:r>
      <w:r>
        <w:rPr>
          <w:rFonts w:ascii="Times New Roman" w:hAnsi="Times New Roman"/>
          <w:sz w:val="20"/>
        </w:rPr>
        <w:t xml:space="preserve">, </w:t>
      </w:r>
      <w:r>
        <w:rPr>
          <w:rFonts w:ascii="Times New Roman" w:hAnsi="Times New Roman"/>
          <w:sz w:val="20"/>
          <w:u w:val="single"/>
        </w:rPr>
        <w:t>8.05</w:t>
      </w:r>
      <w:r>
        <w:rPr>
          <w:rFonts w:ascii="Times New Roman" w:hAnsi="Times New Roman"/>
          <w:sz w:val="20"/>
        </w:rPr>
        <w:t xml:space="preserve"> or </w:t>
      </w:r>
      <w:r>
        <w:rPr>
          <w:rFonts w:ascii="Times New Roman" w:hAnsi="Times New Roman"/>
          <w:sz w:val="20"/>
          <w:u w:val="single"/>
        </w:rPr>
        <w:t>8.06</w:t>
      </w:r>
      <w:r>
        <w:rPr>
          <w:rFonts w:ascii="Times New Roman" w:hAnsi="Times New Roman"/>
          <w:sz w:val="20"/>
        </w:rPr>
        <w:t xml:space="preserve">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w:t>
      </w:r>
      <w:r>
        <w:rPr>
          <w:rFonts w:ascii="Times New Roman" w:hAnsi="Times New Roman"/>
          <w:sz w:val="20"/>
          <w:u w:val="single"/>
        </w:rPr>
        <w:t>Article 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8.10. </w:t>
      </w:r>
      <w:r>
        <w:rPr>
          <w:rFonts w:ascii="Times New Roman" w:hAnsi="Times New Roman"/>
          <w:i/>
          <w:sz w:val="20"/>
        </w:rPr>
        <w:t>Qualifying Trustee</w:t>
      </w:r>
      <w:r>
        <w:rPr>
          <w:rFonts w:ascii="Times New Roman" w:hAnsi="Times New Roman"/>
          <w:sz w:val="20"/>
        </w:rPr>
        <w:t xml:space="preserve">. Any trustee appointed pursuant to </w:t>
      </w:r>
      <w:r>
        <w:rPr>
          <w:rFonts w:ascii="Times New Roman" w:hAnsi="Times New Roman"/>
          <w:sz w:val="20"/>
          <w:u w:val="single"/>
        </w:rPr>
        <w:t>Section 8.05</w:t>
      </w:r>
      <w:r>
        <w:rPr>
          <w:rFonts w:ascii="Times New Roman" w:hAnsi="Times New Roman"/>
          <w:sz w:val="20"/>
        </w:rPr>
        <w:t xml:space="preserve"> or </w:t>
      </w:r>
      <w:r>
        <w:rPr>
          <w:rFonts w:ascii="Times New Roman" w:hAnsi="Times New Roman"/>
          <w:sz w:val="20"/>
          <w:u w:val="single"/>
        </w:rPr>
        <w:t>8.06</w:t>
      </w:r>
      <w:r>
        <w:rPr>
          <w:rFonts w:ascii="Times New Roman" w:hAnsi="Times New Roman"/>
          <w:sz w:val="20"/>
        </w:rPr>
        <w:t xml:space="preserve">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 </w:t>
      </w:r>
    </w:p>
    <w:p>
      <w:pPr>
        <w:pStyle w:val="TextBody"/>
        <w:bidi w:val="0"/>
        <w:spacing w:before="480" w:after="0"/>
        <w:jc w:val="center"/>
        <w:rPr>
          <w:rFonts w:ascii="Times New Roman" w:hAnsi="Times New Roman"/>
          <w:sz w:val="20"/>
        </w:rPr>
      </w:pPr>
      <w:r>
        <w:rPr>
          <w:rFonts w:ascii="Times New Roman" w:hAnsi="Times New Roman"/>
          <w:sz w:val="20"/>
        </w:rPr>
        <w:t xml:space="preserve">ARTICLE 9 </w:t>
      </w:r>
    </w:p>
    <w:p>
      <w:pPr>
        <w:pStyle w:val="TextBody"/>
        <w:bidi w:val="0"/>
        <w:spacing w:before="0" w:after="0"/>
        <w:jc w:val="center"/>
        <w:rPr>
          <w:rFonts w:ascii="Times New Roman" w:hAnsi="Times New Roman"/>
          <w:sz w:val="20"/>
        </w:rPr>
      </w:pPr>
      <w:r>
        <w:rPr>
          <w:rFonts w:ascii="Times New Roman" w:hAnsi="Times New Roman"/>
          <w:sz w:val="20"/>
        </w:rPr>
        <w:t xml:space="preserve">AMENDMENTS, SUPPLEMENTS AND WAIVERS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i/>
          <w:sz w:val="20"/>
        </w:rPr>
        <w:t>Without Consent of Holders</w:t>
      </w:r>
      <w:r>
        <w:rPr>
          <w:rFonts w:ascii="Times New Roman" w:hAnsi="Times New Roman"/>
          <w:sz w:val="20"/>
        </w:rPr>
        <w:t xml:space="preserve">. The Company and the Trustee may amend or supplement this Indenture or the Securities of any series without notice to or the consent of any Holder: </w:t>
      </w:r>
    </w:p>
    <w:p>
      <w:pPr>
        <w:pStyle w:val="TextBody"/>
        <w:bidi w:val="0"/>
        <w:spacing w:before="120" w:after="0"/>
        <w:jc w:val="left"/>
        <w:rPr>
          <w:rFonts w:ascii="Times New Roman" w:hAnsi="Times New Roman"/>
          <w:sz w:val="20"/>
        </w:rPr>
      </w:pPr>
      <w:r>
        <w:rPr>
          <w:rFonts w:ascii="Times New Roman" w:hAnsi="Times New Roman"/>
          <w:sz w:val="20"/>
        </w:rPr>
        <w:t xml:space="preserve">(a) to cure any ambiguity, defect or inconsistency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to comply with </w:t>
      </w:r>
      <w:r>
        <w:rPr>
          <w:rFonts w:ascii="Times New Roman" w:hAnsi="Times New Roman"/>
          <w:sz w:val="20"/>
          <w:u w:val="single"/>
        </w:rPr>
        <w:t>Article 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to maintain the qualification of this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(d) 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w:t>
      </w:r>
      <w:r>
        <w:rPr>
          <w:rFonts w:ascii="Times New Roman" w:hAnsi="Times New Roman"/>
          <w:sz w:val="20"/>
          <w:u w:val="single"/>
        </w:rPr>
        <w:t>Section 7.09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to establish the form or forms or terms of Securities of any series as permitted by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to provide for uncertificated Securities and to make all appropriate changes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(g) to conform any provision to the applicable corresponding provision set forth in the offering document for the offering of such series of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(h) to make any change that does not materially and adversely affect the rights of any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i/>
          <w:sz w:val="20"/>
        </w:rPr>
        <w:t>With Consent of Holders</w:t>
      </w:r>
      <w:r>
        <w:rPr>
          <w:rFonts w:ascii="Times New Roman" w:hAnsi="Times New Roman"/>
          <w:sz w:val="20"/>
        </w:rPr>
        <w:t xml:space="preserve">. Subject to </w:t>
      </w:r>
      <w:r>
        <w:rPr>
          <w:rFonts w:ascii="Times New Roman" w:hAnsi="Times New Roman"/>
          <w:sz w:val="20"/>
          <w:u w:val="single"/>
        </w:rPr>
        <w:t>Sections 6.04</w:t>
      </w:r>
      <w:r>
        <w:rPr>
          <w:rFonts w:ascii="Times New Roman" w:hAnsi="Times New Roman"/>
          <w:sz w:val="20"/>
        </w:rPr>
        <w:t xml:space="preserve"> and </w:t>
      </w:r>
      <w:r>
        <w:rPr>
          <w:rFonts w:ascii="Times New Roman" w:hAnsi="Times New Roman"/>
          <w:sz w:val="20"/>
          <w:u w:val="single"/>
        </w:rPr>
        <w:t>6.07</w:t>
      </w:r>
      <w:r>
        <w:rPr>
          <w:rFonts w:ascii="Times New Roman" w:hAnsi="Times New Roman"/>
          <w:sz w:val="20"/>
        </w:rPr>
        <w:t xml:space="preserve">, without prior notice to any Holders, the Company and the Trustee may amend this Indenture and the Securities of any series with the written consent of the Holders of a majority in Principal amount of the outstanding Securities of each series affected by such amendment (all such series voting together as a single class), and the Holders of a majority in Principal amount of the outstanding Securities of each series affected thereby (all such series voting together as a single class) by written notice to the Trustee may waive future compliance by the Company with any provision of this Indenture or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provisions of this </w:t>
      </w:r>
      <w:r>
        <w:rPr>
          <w:rFonts w:ascii="Times New Roman" w:hAnsi="Times New Roman"/>
          <w:sz w:val="20"/>
          <w:u w:val="single"/>
        </w:rPr>
        <w:t>Section 9.02</w:t>
      </w:r>
      <w:r>
        <w:rPr>
          <w:rFonts w:ascii="Times New Roman" w:hAnsi="Times New Roman"/>
          <w:sz w:val="20"/>
        </w:rPr>
        <w:t xml:space="preserve">, without the consent of each Holder affected thereby, an amendment or waiver, including a waiver pursuant to </w:t>
      </w:r>
      <w:r>
        <w:rPr>
          <w:rFonts w:ascii="Times New Roman" w:hAnsi="Times New Roman"/>
          <w:sz w:val="20"/>
          <w:u w:val="single"/>
        </w:rPr>
        <w:t>Section 6.04</w:t>
      </w:r>
      <w:r>
        <w:rPr>
          <w:rFonts w:ascii="Times New Roman" w:hAnsi="Times New Roman"/>
          <w:sz w:val="20"/>
        </w:rPr>
        <w:t xml:space="preserve">, may not: </w:t>
      </w:r>
    </w:p>
    <w:p>
      <w:pPr>
        <w:pStyle w:val="TextBody"/>
        <w:bidi w:val="0"/>
        <w:spacing w:before="120" w:after="0"/>
        <w:jc w:val="left"/>
        <w:rPr>
          <w:rFonts w:ascii="Times New Roman" w:hAnsi="Times New Roman"/>
          <w:sz w:val="20"/>
        </w:rPr>
      </w:pPr>
      <w:r>
        <w:rPr>
          <w:rFonts w:ascii="Times New Roman" w:hAnsi="Times New Roman"/>
          <w:sz w:val="20"/>
        </w:rPr>
        <w:t xml:space="preserve">(a) change the stated maturity of the Principal of, or any sinking fund obligation or any installment of interest on, such Holders Security; </w:t>
      </w:r>
    </w:p>
    <w:p>
      <w:pPr>
        <w:pStyle w:val="TextBody"/>
        <w:bidi w:val="0"/>
        <w:spacing w:before="240" w:after="0"/>
        <w:jc w:val="left"/>
        <w:rPr>
          <w:rFonts w:ascii="Times New Roman" w:hAnsi="Times New Roman"/>
          <w:sz w:val="20"/>
        </w:rPr>
      </w:pPr>
      <w:r>
        <w:rPr>
          <w:rFonts w:ascii="Times New Roman" w:hAnsi="Times New Roman"/>
          <w:sz w:val="20"/>
        </w:rPr>
        <w:t xml:space="preserve">(b) reduce the Principal amount thereof or the rate of interest thereon (including any amount in respect of original issue discount); </w:t>
      </w:r>
    </w:p>
    <w:p>
      <w:pPr>
        <w:pStyle w:val="TextBody"/>
        <w:bidi w:val="0"/>
        <w:spacing w:before="240" w:after="0"/>
        <w:jc w:val="left"/>
        <w:rPr>
          <w:rFonts w:ascii="Times New Roman" w:hAnsi="Times New Roman"/>
          <w:sz w:val="20"/>
        </w:rPr>
      </w:pPr>
      <w:r>
        <w:rPr>
          <w:rFonts w:ascii="Times New Roman" w:hAnsi="Times New Roman"/>
          <w:sz w:val="20"/>
        </w:rPr>
        <w:t xml:space="preserve">(c) reduce the above stated percentage of outstanding Securities the consent of whose holders is necessary to modify or amend the Indenture with respect to the Securities of the relevant series; and </w:t>
      </w:r>
    </w:p>
    <w:p>
      <w:pPr>
        <w:pStyle w:val="TextBody"/>
        <w:bidi w:val="0"/>
        <w:spacing w:before="240" w:after="0"/>
        <w:jc w:val="left"/>
        <w:rPr>
          <w:rFonts w:ascii="Times New Roman" w:hAnsi="Times New Roman"/>
          <w:sz w:val="20"/>
        </w:rPr>
      </w:pPr>
      <w:r>
        <w:rPr>
          <w:rFonts w:ascii="Times New Roman" w:hAnsi="Times New Roman"/>
          <w:sz w:val="20"/>
        </w:rPr>
        <w:t xml:space="preserve">(d) 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any Holder under this </w:t>
      </w:r>
      <w:r>
        <w:rPr>
          <w:rFonts w:ascii="Times New Roman" w:hAnsi="Times New Roman"/>
          <w:sz w:val="20"/>
          <w:u w:val="single"/>
        </w:rPr>
        <w:t>Section 9.02</w:t>
      </w:r>
      <w:r>
        <w:rPr>
          <w:rFonts w:ascii="Times New Roman" w:hAnsi="Times New Roman"/>
          <w:sz w:val="20"/>
        </w:rPr>
        <w:t xml:space="preserve"> to approve the particular form of any proposed amendment, supplement or waiver, but it shall be sufficient if such consent approves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After an amendment, supplement or waiver under this </w:t>
      </w:r>
      <w:r>
        <w:rPr>
          <w:rFonts w:ascii="Times New Roman" w:hAnsi="Times New Roman"/>
          <w:sz w:val="20"/>
          <w:u w:val="single"/>
        </w:rPr>
        <w:t>Section 9.02</w:t>
      </w:r>
      <w:r>
        <w:rPr>
          <w:rFonts w:ascii="Times New Roman" w:hAnsi="Times New Roman"/>
          <w:sz w:val="20"/>
        </w:rPr>
        <w:t xml:space="preserve">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i/>
          <w:sz w:val="20"/>
        </w:rPr>
        <w:t>Revocation and Effect of Consent</w:t>
      </w:r>
      <w:r>
        <w:rPr>
          <w:rFonts w:ascii="Times New Roman" w:hAnsi="Times New Roman"/>
          <w:sz w:val="20"/>
        </w:rPr>
        <w:t xml:space="preserve">. 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 become effective with respect to any Securities affected thereby on receipt by the Trustee of written consents from the requisite Holders of outstanding Securities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 consent previously given, whether or not such Persons continue to be such Holders after such record date. No such consent shall be valid or effective for more than 90 days after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After an amendment, supplement or waiver becomes effective with respect to the Securities of any series affected thereby, it shall bind every Holder of such Securities unless it is of the type described in any of clauses (a) through (d) of </w:t>
      </w:r>
      <w:r>
        <w:rPr>
          <w:rFonts w:ascii="Times New Roman" w:hAnsi="Times New Roman"/>
          <w:sz w:val="20"/>
          <w:u w:val="single"/>
        </w:rPr>
        <w:t>Section 9.02</w:t>
      </w:r>
      <w:r>
        <w:rPr>
          <w:rFonts w:ascii="Times New Roman" w:hAnsi="Times New Roman"/>
          <w:sz w:val="20"/>
        </w:rPr>
        <w:t xml:space="preserve">. In case of an amendment or waiver of the type described in clauses (a) through (d) of </w:t>
      </w:r>
      <w:r>
        <w:rPr>
          <w:rFonts w:ascii="Times New Roman" w:hAnsi="Times New Roman"/>
          <w:sz w:val="20"/>
          <w:u w:val="single"/>
        </w:rPr>
        <w:t>Section 9.02</w:t>
      </w:r>
      <w:r>
        <w:rPr>
          <w:rFonts w:ascii="Times New Roman" w:hAnsi="Times New Roman"/>
          <w:sz w:val="20"/>
        </w:rPr>
        <w:t xml:space="preserve">, the amendment or waiver shall bind each such Holder who has consented to it and every subsequent Holder of a Security that evidences the same indebtedness as the Security of the consenting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i/>
          <w:sz w:val="20"/>
        </w:rPr>
        <w:t>Notation on or Exchange of Securities</w:t>
      </w:r>
      <w:r>
        <w:rPr>
          <w:rFonts w:ascii="Times New Roman" w:hAnsi="Times New Roman"/>
          <w:sz w:val="20"/>
        </w:rPr>
        <w:t xml:space="preserve">. 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i/>
          <w:sz w:val="20"/>
        </w:rPr>
        <w:t>Trustee to Sign Amendments, Etc.</w:t>
      </w:r>
      <w:r>
        <w:rPr>
          <w:rFonts w:ascii="Times New Roman" w:hAnsi="Times New Roman"/>
          <w:sz w:val="20"/>
        </w:rPr>
        <w:t xml:space="preserve"> The Trustee shall be entitled to receive, and shall be fully protected in relying upon, an Opinion of Counsel stating that the execution of any amendment, supplement or waiver authorized pursuant to this </w:t>
      </w:r>
      <w:r>
        <w:rPr>
          <w:rFonts w:ascii="Times New Roman" w:hAnsi="Times New Roman"/>
          <w:sz w:val="20"/>
          <w:u w:val="single"/>
        </w:rPr>
        <w:t>Article 9</w:t>
      </w:r>
      <w:r>
        <w:rPr>
          <w:rFonts w:ascii="Times New Roman" w:hAnsi="Times New Roman"/>
          <w:sz w:val="20"/>
        </w:rPr>
        <w:t xml:space="preserve">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i/>
          <w:sz w:val="20"/>
        </w:rPr>
        <w:t>Conformity with Trust Indenture Act</w:t>
      </w:r>
      <w:r>
        <w:rPr>
          <w:rFonts w:ascii="Times New Roman" w:hAnsi="Times New Roman"/>
          <w:sz w:val="20"/>
        </w:rPr>
        <w:t xml:space="preserve">. Every supplemental indenture executed pursuant to this </w:t>
      </w:r>
      <w:r>
        <w:rPr>
          <w:rFonts w:ascii="Times New Roman" w:hAnsi="Times New Roman"/>
          <w:sz w:val="20"/>
          <w:u w:val="single"/>
        </w:rPr>
        <w:t>Article 9</w:t>
      </w:r>
      <w:r>
        <w:rPr>
          <w:rFonts w:ascii="Times New Roman" w:hAnsi="Times New Roman"/>
          <w:sz w:val="20"/>
        </w:rPr>
        <w:t xml:space="preserve"> shall conform to the requirements of the Trust Indenture Act as then in effect. </w:t>
      </w:r>
    </w:p>
    <w:p>
      <w:pPr>
        <w:pStyle w:val="TextBody"/>
        <w:bidi w:val="0"/>
        <w:spacing w:before="480" w:after="0"/>
        <w:jc w:val="center"/>
        <w:rPr>
          <w:rFonts w:ascii="Times New Roman" w:hAnsi="Times New Roman"/>
          <w:sz w:val="20"/>
        </w:rPr>
      </w:pPr>
      <w:r>
        <w:rPr>
          <w:rFonts w:ascii="Times New Roman" w:hAnsi="Times New Roman"/>
          <w:sz w:val="20"/>
        </w:rPr>
        <w:t xml:space="preserve">ARTICLE 10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i/>
          <w:sz w:val="20"/>
        </w:rPr>
        <w:t>Trust Indenture Act of 1939</w:t>
      </w:r>
      <w:r>
        <w:rPr>
          <w:rFonts w:ascii="Times New Roman" w:hAnsi="Times New Roman"/>
          <w:sz w:val="20"/>
        </w:rPr>
        <w:t xml:space="preserve">. This Indenture shall incorporate and be governed by the provisions of the Trust Indenture Act that are required to be part of and to govern indentures qualified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i/>
          <w:sz w:val="20"/>
        </w:rPr>
        <w:t>Notices</w:t>
      </w:r>
      <w:r>
        <w:rPr>
          <w:rFonts w:ascii="Times New Roman" w:hAnsi="Times New Roman"/>
          <w:sz w:val="20"/>
        </w:rPr>
        <w:t xml:space="preserve">. Any notice or communication shall be sufficiently given if written and (a) if delivered in person, when received or (b) if mailed by first class mail,   days after mailing, or (c) as between the Company and the Trustee if sent by facsimile transmission, when transmission is confirmed, in each case addressed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Pharvaris N.V. </w:t>
      </w:r>
    </w:p>
    <w:p>
      <w:pPr>
        <w:pStyle w:val="TextBody"/>
        <w:bidi w:val="0"/>
        <w:spacing w:before="0" w:after="0"/>
        <w:jc w:val="left"/>
        <w:rPr>
          <w:rFonts w:ascii="Times New Roman" w:hAnsi="Times New Roman"/>
          <w:sz w:val="20"/>
        </w:rPr>
      </w:pPr>
      <w:r>
        <w:rPr>
          <w:rFonts w:ascii="Times New Roman" w:hAnsi="Times New Roman"/>
          <w:sz w:val="20"/>
        </w:rPr>
        <w:t xml:space="preserve">Emmy Noetherweg 2 </w:t>
      </w:r>
    </w:p>
    <w:p>
      <w:pPr>
        <w:pStyle w:val="TextBody"/>
        <w:bidi w:val="0"/>
        <w:spacing w:before="0" w:after="0"/>
        <w:jc w:val="left"/>
        <w:rPr>
          <w:rFonts w:ascii="Times New Roman" w:hAnsi="Times New Roman"/>
          <w:sz w:val="20"/>
        </w:rPr>
      </w:pPr>
      <w:r>
        <w:rPr>
          <w:rFonts w:ascii="Times New Roman" w:hAnsi="Times New Roman"/>
          <w:sz w:val="20"/>
        </w:rPr>
        <w:t xml:space="preserve">2333 BK Leiden, The Netherlands </w:t>
      </w:r>
    </w:p>
    <w:p>
      <w:pPr>
        <w:pStyle w:val="TextBody"/>
        <w:bidi w:val="0"/>
        <w:spacing w:before="0" w:after="0"/>
        <w:jc w:val="left"/>
        <w:rPr>
          <w:rFonts w:ascii="Times New Roman" w:hAnsi="Times New Roman"/>
          <w:sz w:val="20"/>
        </w:rPr>
      </w:pPr>
      <w:r>
        <w:rPr>
          <w:rFonts w:ascii="Times New Roman" w:hAnsi="Times New Roman"/>
          <w:sz w:val="20"/>
        </w:rPr>
        <w:t xml:space="preserve">Facsimile: []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24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Facsimile: []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written notice to the other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shall be sufficiently given to Holders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Failure to mail a notice or communication to a Holder or any defect in it shall not affect its sufficiency with respect to other Holders. Except as otherwise provided in this Indenture, if a notice or communication is mailed in the manner provided in this </w:t>
      </w:r>
      <w:r>
        <w:rPr>
          <w:rFonts w:ascii="Times New Roman" w:hAnsi="Times New Roman"/>
          <w:sz w:val="20"/>
          <w:u w:val="single"/>
        </w:rPr>
        <w:t>Section 10.02</w:t>
      </w:r>
      <w:r>
        <w:rPr>
          <w:rFonts w:ascii="Times New Roman" w:hAnsi="Times New Roman"/>
          <w:sz w:val="20"/>
        </w:rPr>
        <w:t xml:space="preserve">, it is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240" w:after="0"/>
        <w:jc w:val="left"/>
        <w:rPr>
          <w:rFonts w:ascii="Times New Roman" w:hAnsi="Times New Roman"/>
          <w:sz w:val="20"/>
        </w:rPr>
      </w:pPr>
      <w:r>
        <w:rPr>
          <w:rFonts w:ascii="Times New Roman" w:hAnsi="Times New Roman"/>
          <w:sz w:val="20"/>
        </w:rPr>
        <w:t xml:space="preserve">In case it shall be impracticable to give notice as herein contemplated, then such notification as shall be made with the approval of the Trustee shall constitute a sufficient notification for every purpose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i/>
          <w:sz w:val="20"/>
        </w:rPr>
        <w:t>Certificate and Opinion as to Conditions Precedent</w:t>
      </w:r>
      <w:r>
        <w:rPr>
          <w:rFonts w:ascii="Times New Roman" w:hAnsi="Times New Roman"/>
          <w:sz w:val="20"/>
        </w:rPr>
        <w:t xml:space="preserve">. Upon any request or application by the Company to the Trustee to take any action under this Indenture, the Company shall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(a) an Officers Certificate stating that, in the opinion of the signers, all conditions precedent, if any, provided for in this Indenture relating to the proposed action have been complied with;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 Opinion of Counsel stating that, in the opinion of such counsel, all such conditions precedent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i/>
          <w:sz w:val="20"/>
        </w:rPr>
        <w:t>Statements Required in Certificate or Opinion</w:t>
      </w:r>
      <w:r>
        <w:rPr>
          <w:rFonts w:ascii="Times New Roman" w:hAnsi="Times New Roman"/>
          <w:sz w:val="20"/>
        </w:rPr>
        <w:t xml:space="preserve">. Each certificate or opinion with respect to compliance with a condition or covenant provided for in this Indenture (other than the certificate required by </w:t>
      </w:r>
      <w:r>
        <w:rPr>
          <w:rFonts w:ascii="Times New Roman" w:hAnsi="Times New Roman"/>
          <w:sz w:val="20"/>
          <w:u w:val="single"/>
        </w:rPr>
        <w:t>Section 4.04</w:t>
      </w:r>
      <w:r>
        <w:rPr>
          <w:rFonts w:ascii="Times New Roman" w:hAnsi="Times New Roman"/>
          <w:sz w:val="20"/>
        </w:rPr>
        <w:t xml:space="preserve">) shall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each person signing such certificate or opinion has read such covenant or condition and the definitions herein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 or opinion contained in such certificate or opinion is based; </w:t>
      </w:r>
    </w:p>
    <w:p>
      <w:pPr>
        <w:pStyle w:val="TextBody"/>
        <w:bidi w:val="0"/>
        <w:spacing w:before="240" w:after="0"/>
        <w:jc w:val="left"/>
        <w:rPr>
          <w:rFonts w:ascii="Times New Roman" w:hAnsi="Times New Roman"/>
          <w:sz w:val="20"/>
        </w:rPr>
      </w:pPr>
      <w:r>
        <w:rPr>
          <w:rFonts w:ascii="Times New Roman" w:hAnsi="Times New Roman"/>
          <w:sz w:val="20"/>
        </w:rPr>
        <w:t xml:space="preserve">(c) a statement that, in the opinion of each such person, he has made such examination or investigation as is necessary to enable him to express an informed opinion as to whether or not such covenant or condition has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(d) a statement as to whether or not, in the opinion of each such person, such condition or covenant has been complied with; </w:t>
      </w:r>
      <w:r>
        <w:rPr>
          <w:rFonts w:ascii="Times New Roman" w:hAnsi="Times New Roman"/>
          <w:i/>
          <w:sz w:val="20"/>
        </w:rPr>
        <w:t>provided, however</w:t>
      </w:r>
      <w:r>
        <w:rPr>
          <w:rFonts w:ascii="Times New Roman" w:hAnsi="Times New Roman"/>
          <w:sz w:val="20"/>
        </w:rPr>
        <w:t xml:space="preserve">, that, with respect to matters of fact, an Opinion of Counsel may rely on an Officers Certificate or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i/>
          <w:sz w:val="20"/>
        </w:rPr>
        <w:t>Evidence of Ownership</w:t>
      </w:r>
      <w:r>
        <w:rPr>
          <w:rFonts w:ascii="Times New Roman" w:hAnsi="Times New Roman"/>
          <w:sz w:val="20"/>
        </w:rPr>
        <w:t xml:space="preserve">. 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i/>
          <w:sz w:val="20"/>
        </w:rPr>
        <w:t>Rules by Trustee, Paying Agent or Registrar</w:t>
      </w:r>
      <w:r>
        <w:rPr>
          <w:rFonts w:ascii="Times New Roman" w:hAnsi="Times New Roman"/>
          <w:sz w:val="20"/>
        </w:rPr>
        <w:t xml:space="preserve">. The Trustee may make reasonable rules for action by or at a meeting of Holders. The Paying Agent or Registrar may make reasonable rules for its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i/>
          <w:sz w:val="20"/>
        </w:rPr>
        <w:t>Payment Date Other Than a Business Day</w:t>
      </w:r>
      <w:r>
        <w:rPr>
          <w:rFonts w:ascii="Times New Roman" w:hAnsi="Times New Roman"/>
          <w:sz w:val="20"/>
        </w:rPr>
        <w:t xml:space="preserve">. Except as otherwise provided with respect to a series of Securities, if any date for payment of Principal or interest on any Security shall not be a Business Day at any place of payment, then 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i/>
          <w:sz w:val="20"/>
        </w:rPr>
        <w:t>Governing Law</w:t>
      </w:r>
      <w:r>
        <w:rPr>
          <w:rFonts w:ascii="Times New Roman" w:hAnsi="Times New Roman"/>
          <w:sz w:val="20"/>
        </w:rPr>
        <w:t xml:space="preserve">. The laws of the State of New York shall govern this Indenture and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10.09. </w:t>
      </w:r>
      <w:r>
        <w:rPr>
          <w:rFonts w:ascii="Times New Roman" w:hAnsi="Times New Roman"/>
          <w:i/>
          <w:sz w:val="20"/>
        </w:rPr>
        <w:t>No Adverse Interpretation of Other Agreements</w:t>
      </w:r>
      <w:r>
        <w:rPr>
          <w:rFonts w:ascii="Times New Roman" w:hAnsi="Times New Roman"/>
          <w:sz w:val="20"/>
        </w:rPr>
        <w:t xml:space="preserve">. This Indenture may not be used to interpret another indenture or loan or debt agreement of the Company or any Subsidiary of the Company. Any such indenture or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i/>
          <w:sz w:val="20"/>
        </w:rPr>
        <w:t>Successors</w:t>
      </w:r>
      <w:r>
        <w:rPr>
          <w:rFonts w:ascii="Times New Roman" w:hAnsi="Times New Roman"/>
          <w:sz w:val="20"/>
        </w:rPr>
        <w:t xml:space="preserve">. All agreements of the Company in this Indenture and the Securities shall bind its successors. All agreements of the Trustee in this Indenture shall bind its 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i/>
          <w:sz w:val="20"/>
        </w:rPr>
        <w:t>Duplicate Originals</w:t>
      </w:r>
      <w:r>
        <w:rPr>
          <w:rFonts w:ascii="Times New Roman" w:hAnsi="Times New Roman"/>
          <w:sz w:val="20"/>
        </w:rPr>
        <w:t xml:space="preserve">. The parties may sign any number of copies of this Indenture. Each signed copy shall be an original, but all of them together represent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i/>
          <w:sz w:val="20"/>
        </w:rPr>
        <w:t>Separability</w:t>
      </w:r>
      <w:r>
        <w:rPr>
          <w:rFonts w:ascii="Times New Roman" w:hAnsi="Times New Roman"/>
          <w:sz w:val="20"/>
        </w:rPr>
        <w:t xml:space="preserve">. In case any provision in this Indenture or in the Securities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i/>
          <w:sz w:val="20"/>
        </w:rPr>
        <w:t>Table of Contents, Headings, Etc.</w:t>
      </w:r>
      <w:r>
        <w:rPr>
          <w:rFonts w:ascii="Times New Roman" w:hAnsi="Times New Roman"/>
          <w:sz w:val="20"/>
        </w:rPr>
        <w:t xml:space="preserve"> The Table of Contents and headings of the Articles and Sections of this Indenture have been inserted for convenience of reference only, are not to be considered a part hereof and shall in no way modify or restrict any of the terms and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10.14. </w:t>
      </w:r>
      <w:r>
        <w:rPr>
          <w:rFonts w:ascii="Times New Roman" w:hAnsi="Times New Roman"/>
          <w:i/>
          <w:sz w:val="20"/>
        </w:rPr>
        <w:t>Incorporators, Stockholders, Officers and Directors of Company Exempt from Individual Liability</w:t>
      </w:r>
      <w:r>
        <w:rPr>
          <w:rFonts w:ascii="Times New Roman" w:hAnsi="Times New Roman"/>
          <w:sz w:val="20"/>
        </w:rPr>
        <w:t xml:space="preserve">. No recourse under or upon any obligation, covenant or agreement contained in this Indenture or any indenture supplemental hereto, or in any Security,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10.15. </w:t>
      </w:r>
      <w:r>
        <w:rPr>
          <w:rFonts w:ascii="Times New Roman" w:hAnsi="Times New Roman"/>
          <w:i/>
          <w:sz w:val="20"/>
        </w:rPr>
        <w:t>Judgment Currency</w:t>
      </w:r>
      <w:r>
        <w:rPr>
          <w:rFonts w:ascii="Times New Roman" w:hAnsi="Times New Roman"/>
          <w:sz w:val="20"/>
        </w:rPr>
        <w:t>. The Company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Times New Roman" w:hAnsi="Times New Roman"/>
          <w:b/>
          <w:sz w:val="20"/>
        </w:rPr>
        <w:t>Required Currency</w:t>
      </w:r>
      <w:r>
        <w:rPr>
          <w:rFonts w:ascii="Times New Roman" w:hAnsi="Times New Roman"/>
          <w:sz w:val="20"/>
        </w:rPr>
        <w:t>) into a currency in which a judgment will be rendered (the </w:t>
      </w:r>
      <w:r>
        <w:rPr>
          <w:rFonts w:ascii="Times New Roman" w:hAnsi="Times New Roman"/>
          <w:b/>
          <w:sz w:val="20"/>
        </w:rPr>
        <w:t>Judgment Currency</w:t>
      </w:r>
      <w:r>
        <w:rPr>
          <w:rFonts w:ascii="Times New Roman" w:hAnsi="Times New Roman"/>
          <w:sz w:val="20"/>
        </w:rPr>
        <w:t xml:space="preserve">),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10.16. </w:t>
      </w:r>
      <w:r>
        <w:rPr>
          <w:rFonts w:ascii="Times New Roman" w:hAnsi="Times New Roman"/>
          <w:i/>
          <w:sz w:val="20"/>
        </w:rPr>
        <w:t>Waiver of Jury Trial</w:t>
      </w:r>
      <w:r>
        <w:rPr>
          <w:rFonts w:ascii="Times New Roman" w:hAnsi="Times New Roman"/>
          <w:sz w:val="20"/>
        </w:rPr>
        <w:t xml:space="preserve">. EACH OF THE COMPANY AND THE TRUSTEE IRREVOCABLY WAIVES, TO THE FULLEST EXTENT PERMITTED BY APPLICABLE LAW, ANY AND ALL RIGHT TO TRIAL BY JURY IN ANY LEGAL PROCEEDING ARISING OUT OF OR RELATING TO THIS INDENTURE, THE SECURITIES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10.17. </w:t>
      </w:r>
      <w:r>
        <w:rPr>
          <w:rFonts w:ascii="Times New Roman" w:hAnsi="Times New Roman"/>
          <w:i/>
          <w:sz w:val="20"/>
        </w:rPr>
        <w:t>Force Majeure</w:t>
      </w:r>
      <w:r>
        <w:rPr>
          <w:rFonts w:ascii="Times New Roman" w:hAnsi="Times New Roman"/>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480" w:after="0"/>
        <w:jc w:val="center"/>
        <w:rPr>
          <w:rFonts w:ascii="Times New Roman" w:hAnsi="Times New Roman"/>
          <w:sz w:val="20"/>
        </w:rPr>
      </w:pPr>
      <w:r>
        <w:rPr>
          <w:rFonts w:ascii="Times New Roman" w:hAnsi="Times New Roman"/>
          <w:sz w:val="20"/>
        </w:rPr>
        <w:t xml:space="preserve">ARTICLE 11 </w:t>
      </w:r>
    </w:p>
    <w:p>
      <w:pPr>
        <w:pStyle w:val="TextBody"/>
        <w:bidi w:val="0"/>
        <w:spacing w:before="0" w:after="0"/>
        <w:jc w:val="center"/>
        <w:rPr>
          <w:rFonts w:ascii="Times New Roman" w:hAnsi="Times New Roman"/>
          <w:sz w:val="20"/>
        </w:rPr>
      </w:pPr>
      <w:r>
        <w:rPr>
          <w:rFonts w:ascii="Times New Roman" w:hAnsi="Times New Roman"/>
          <w:sz w:val="20"/>
        </w:rPr>
        <w:t xml:space="preserve">SUBORDINATION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i/>
          <w:sz w:val="20"/>
        </w:rPr>
        <w:t>Agreement to Subordinate</w:t>
      </w:r>
      <w:r>
        <w:rPr>
          <w:rFonts w:ascii="Times New Roman" w:hAnsi="Times New Roman"/>
          <w:sz w:val="20"/>
        </w:rPr>
        <w:t xml:space="preserve">. The Company covenants and agrees, and each Holder of a Security issued hereunder, by his acceptance thereof, likewise covenants and agrees, that all Securities shall be issued subject to the provisions of this Article; and each Person holding any Security, whether upon original issue or upon transfer, assignment or exchange thereof, accepts and agrees that the principal of and interest on all Securities issued hereunder shall, to the extent and in the manner herein set forth, be subordinated and subject in right of payment to the prior payment in full of all Senior Indebtedness, and that the subordination is for the benefit of the holders of the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i/>
          <w:sz w:val="20"/>
        </w:rPr>
        <w:t>Payments to Securityholders</w:t>
      </w:r>
      <w:r>
        <w:rPr>
          <w:rFonts w:ascii="Times New Roman" w:hAnsi="Times New Roman"/>
          <w:sz w:val="20"/>
        </w:rPr>
        <w:t xml:space="preserve">. As to each series of Securities, if any, issued hereunder, in the event (a) of any insolvency or bankruptcy proceedings, or any receivership, dissolution, winding-up, total or partial liquidation, reorganization or other similar proceedings in respect of the Company or a substantial part of its property, whether voluntary or involuntary, or (b) that (i) a default shall have occurred with respect to the payment of principal of or interest on or other monetary amounts due and payable with respect to any Senior Indebtedness, or (ii) there shall have occurred an event of default (other than a default in the payment of principal or interest or other monetary amounts due and payable) in respect of any Senior Indebtedness, as defined in such Senior Indebtedness or in the instrument under which the same is outstanding, permitting the holder or holders thereof to accelerate the maturity thereof, and such default or event of default shall not be cured or was continued beyond the period of grace, if any, in respect thereof, and such default or event of default shall not have been waived or shall not have ceased to exist, or (c) separately with respect to each series of Securities, that the principal of and accrued interest on such Securities shall have been declared due and payable pursuant to </w:t>
      </w:r>
      <w:r>
        <w:rPr>
          <w:rFonts w:ascii="Times New Roman" w:hAnsi="Times New Roman"/>
          <w:sz w:val="20"/>
          <w:u w:val="single"/>
        </w:rPr>
        <w:t>Section 6.01</w:t>
      </w:r>
      <w:r>
        <w:rPr>
          <w:rFonts w:ascii="Times New Roman" w:hAnsi="Times New Roman"/>
          <w:sz w:val="20"/>
        </w:rPr>
        <w:t xml:space="preserve"> and such declaration shall not have been rescinded and annulled as provided in </w:t>
      </w:r>
      <w:r>
        <w:rPr>
          <w:rFonts w:ascii="Times New Roman" w:hAnsi="Times New Roman"/>
          <w:sz w:val="20"/>
          <w:u w:val="single"/>
        </w:rPr>
        <w:t>Section 6.01</w:t>
      </w:r>
      <w:r>
        <w:rPr>
          <w:rFonts w:ascii="Times New Roman" w:hAnsi="Times New Roman"/>
          <w:sz w:val="20"/>
        </w:rPr>
        <w:t xml:space="preserve">, then the holders of all Senior Indebtedness shall first be entitled to receive payment in full of all amounts due or to become due thereon, or provision shall be made, in accordance with the terms of such Senior Indebtedness, for such payment in money or moneys worth, before the Holders of such series of Securities are entitled to receive a payment on account of the principal of or interest on the indebtedness evidenced by such series of Securities, including, without limitation, any payments made pursuant to </w:t>
      </w:r>
      <w:r>
        <w:rPr>
          <w:rFonts w:ascii="Times New Roman" w:hAnsi="Times New Roman"/>
          <w:sz w:val="20"/>
          <w:u w:val="single"/>
        </w:rPr>
        <w:t>Article 3</w:t>
      </w:r>
      <w:r>
        <w:rPr>
          <w:rFonts w:ascii="Times New Roman" w:hAnsi="Times New Roman"/>
          <w:sz w:val="20"/>
        </w:rPr>
        <w:t xml:space="preserve">, or any cash payments to purchase such series of Securities at the option of the Holders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any such insolvency or bankruptcy proceeding, receivership, dissolution, winding-up, total or partial liquidation, reorganization, or other similar proceeding referred to in clause (a) of the immediately preceding paragraph, any payment or distribution of assets of the Company of any kind or character, whether in cash, property or securities, to which the Holders of the Securities or the Trustee under this Indenture would be entitled, except for the provisions hereof, shall be paid by the Company or by any receiver, trustee in bankruptcy, liquidating trustee, agent or other Person making such payment or distribution or, to the extent required by the next succeeding paragraph, by the Holders of the Securities or the Trustee, if received by them or it, directly to the holders of Senior Indebtedness (pro rata to such holders on the basis of the respective amounts of Senior Indebtedness held by such holders) or their respective representatives, or to the trustee or trustees under any indenture pursuant to which any instruments evidencing any of such Senior Indebtedness may have been issued, as their respective interests may appear, to the extent necessary to pay all Senior Indebtedness in full after giving effect to any concurrent payment or distribution to or for the holders of Senior Indebtedness, before any payment or distribution is made to the Holders of the indebtedness evidenced by the Securities (including any cash payments to repurchase such Securities at the option of the Holders thereof) or to the Trustee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notwithstanding the foregoing, any payment or distribution of assets of the Company of any kind or character, whether in cash, property or securities, prohibited by the foregoing provisions of this Section, shall be received by the Trustee under this Indenture or the Holders of the Securities before all Senior Indebtedness is paid in full or provision is made for such payment in accordance with its terms, and if such fact shall, at or prior to the time of such payment or distribution, have been known to the Trustee, then such payment or distribution shall be held in trust for the benefit of and shall be paid over or delivered to the holders of such Senior Indebtedness or their respective representatives, or to the trustee or trustees under any indenture pursuant to which any instruments evidencing any of such Senior Indebtedness may have been issued, as their respective interests may appear, for application to the payment of all Senior Indebtedness remaining unpaid until all such Senior Indebtedness shall have been paid in full in accordance with its terms, after giving effect to any concurrent payment or distribution to or for the holders of such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Article only, the words, cash, property or securities shall not be deemed to include shares of stock of the Company as reorganized or readjusted, or securities of the Company or any other corporation provided for by a plan of arrangement, reorganization or readjustment, the payment of which is subordinated (at least to the extent provided in this Article with respect to the Securities) to the payment of all Senior Indebtedness which may at the time be outstanding; </w:t>
      </w:r>
      <w:r>
        <w:rPr>
          <w:rFonts w:ascii="Times New Roman" w:hAnsi="Times New Roman"/>
          <w:i/>
          <w:sz w:val="20"/>
        </w:rPr>
        <w:t>provided</w:t>
      </w:r>
      <w:r>
        <w:rPr>
          <w:rFonts w:ascii="Times New Roman" w:hAnsi="Times New Roman"/>
          <w:sz w:val="20"/>
        </w:rPr>
        <w:t xml:space="preserve"> that (i) the Senior Indebtedness is assumed by the new corporation, if any, resulting from any such arrangement, reorganization or readjustment, and (ii) the rights of the holders of the Senior Indebtedness are not, without the consent of such holders, altered by such arrangement, reorganization or readjustment. The consolidation of the Company with, or the merger of the Company with or into, another corporation or the liquidation or dissolution of the Company following the conveyance or transfer of all or substantially all of its assets to another corporation upon the terms and conditions provided in </w:t>
      </w:r>
      <w:r>
        <w:rPr>
          <w:rFonts w:ascii="Times New Roman" w:hAnsi="Times New Roman"/>
          <w:sz w:val="20"/>
          <w:u w:val="single"/>
        </w:rPr>
        <w:t>Article 5</w:t>
      </w:r>
      <w:r>
        <w:rPr>
          <w:rFonts w:ascii="Times New Roman" w:hAnsi="Times New Roman"/>
          <w:sz w:val="20"/>
        </w:rPr>
        <w:t xml:space="preserve"> shall not be deemed a dissolution, winding-up, liquidation or reorganization for the purposes of this Section if such other corporation shall, as a part of such consolidation, merger, conveyance or transfer, comply with the conditions stated in </w:t>
      </w:r>
      <w:r>
        <w:rPr>
          <w:rFonts w:ascii="Times New Roman" w:hAnsi="Times New Roman"/>
          <w:sz w:val="20"/>
          <w:u w:val="single"/>
        </w:rPr>
        <w:t>Article 5</w:t>
      </w:r>
      <w:r>
        <w:rPr>
          <w:rFonts w:ascii="Times New Roman" w:hAnsi="Times New Roman"/>
          <w:sz w:val="20"/>
        </w:rPr>
        <w:t xml:space="preserve">. Nothing in this Section shall apply to claims of, or payments to, the Trustee under or pursuant to </w:t>
      </w:r>
      <w:r>
        <w:rPr>
          <w:rFonts w:ascii="Times New Roman" w:hAnsi="Times New Roman"/>
          <w:sz w:val="20"/>
          <w:u w:val="single"/>
        </w:rPr>
        <w:t>Article 7</w:t>
      </w:r>
      <w:r>
        <w:rPr>
          <w:rFonts w:ascii="Times New Roman" w:hAnsi="Times New Roman"/>
          <w:sz w:val="20"/>
        </w:rPr>
        <w:t xml:space="preserve">, except as expressly provided therein. This Section shall be subject to the further provisions of </w:t>
      </w:r>
      <w:r>
        <w:rPr>
          <w:rFonts w:ascii="Times New Roman" w:hAnsi="Times New Roman"/>
          <w:sz w:val="20"/>
          <w:u w:val="single"/>
        </w:rPr>
        <w:t>Section 11.05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11.03. </w:t>
      </w:r>
      <w:r>
        <w:rPr>
          <w:rFonts w:ascii="Times New Roman" w:hAnsi="Times New Roman"/>
          <w:i/>
          <w:sz w:val="20"/>
        </w:rPr>
        <w:t>Subrogation</w:t>
      </w:r>
      <w:r>
        <w:rPr>
          <w:rFonts w:ascii="Times New Roman" w:hAnsi="Times New Roman"/>
          <w:sz w:val="20"/>
        </w:rPr>
        <w:t xml:space="preserve">. Subject to the payment in full of all Senior Indebtedness, the Holders of the Securities subject to the provisions of </w:t>
      </w:r>
      <w:r>
        <w:rPr>
          <w:rFonts w:ascii="Times New Roman" w:hAnsi="Times New Roman"/>
          <w:sz w:val="20"/>
          <w:u w:val="single"/>
        </w:rPr>
        <w:t>Section 11.02</w:t>
      </w:r>
      <w:r>
        <w:rPr>
          <w:rFonts w:ascii="Times New Roman" w:hAnsi="Times New Roman"/>
          <w:sz w:val="20"/>
        </w:rPr>
        <w:t xml:space="preserve"> shall be subrogated (equally and ratably with the holders of all obligations of the Company which by their express terms are subordinated to Senior Indebtedness of the Company to the same extent as the Securities are subordinated and which are entitled to like rights of subrogation) to the rights of the holders of Senior Indebtedness to receive payments or distributions of cash, property or securities of the Company applicable to the Senior Indebtedness until the principal of and interest on such Securities shall be paid in full; and, for the purpose of such subrogation, no payments or distributions to the holders of the Senior Indebtedness of any cash, property or securities to which the Holders of such Securities or the Trustee on their behalf would be entitled except for the provisions of this Article, and no payment over pursuant to the provisions of this Article to the holders of Senior Indebtedness by Holders of such Securities or the Trustee on their behalf shall, as between the Company, its creditors other than holders of Senior Indebtedness and the Holders of such Securities, be deemed to be a payment by the Company to or on account of the Senior Indebtedness; and no payments or distributions of cash, property or securities to or for the benefit of the Holders of the Securities pursuant to the subrogation provision of this Article, which would otherwise have been paid to the holders of Senior Indebtedness, shall be deemed to be a payment by the Company to or for the account of such Securities. The provisions of this Article are intended solely for the purpose of defining the relative rights of the Holders of the Securities, on the one hand, and the holders of the Senior Indebtedness,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Article or elsewhere in this Indenture or in the Securities is intended to or shall impair, as between the issuer, its creditors other than the holders of Senior Indebtedness, and the Holders of the Securities, the obligation of the Company, which is absolute and unconditional, to pay to the Holders of the Securities the principal of and interest on the Securities as and when the same shall become due and payable in accordance with their terms, or is intended to or shall affect the relative rights against the Company of the Holders of the Securities and creditors of the Company other than the holders of Senior Indebtedness, nor shall anything herein or therein prevent the Holder of any Security or the Trustee on his behalf from exercising all remedies otherwise permitted by applicable law upon default under this Indenture, subject to the rights, if any, under this Article of the holders of Senior Indebtedness in respect of cash, property or securities of the Company received upon the exercise of any such remedy.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any payment or distribution of assets of the Company referred to in this Article, the Trustee, subject to the provisions of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and the Holders of the Securities shall be entitled to rely upon any order or decree made by any court of competent jurisdiction in which such insolvency, bankruptcy, dissolution, winding-up, liquidation, arrangement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i/>
          <w:sz w:val="20"/>
        </w:rPr>
        <w:t>Authorization by Securityholders</w:t>
      </w:r>
      <w:r>
        <w:rPr>
          <w:rFonts w:ascii="Times New Roman" w:hAnsi="Times New Roman"/>
          <w:sz w:val="20"/>
        </w:rPr>
        <w:t xml:space="preserve">. Each Holder of a Security by his acceptance thereof authorizes the Trustee on his behalf to take such action as may be necessary or appropriate to effectuate the subordination provided in this Article and appoints the Trustee his attorney-in-fact for any and all such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i/>
          <w:sz w:val="20"/>
        </w:rPr>
        <w:t>Notice to Trustee</w:t>
      </w:r>
      <w:r>
        <w:rPr>
          <w:rFonts w:ascii="Times New Roman" w:hAnsi="Times New Roman"/>
          <w:sz w:val="20"/>
        </w:rPr>
        <w:t xml:space="preserve">. The Company shall give prompt written notice to the Trustee and to any paying agent of any fact known to the Company which would prohibit the making of any payment of monies to or by the Trustee or any paying agent in respect of the Securities pursuant to the provisions of this Article. Regardless of anything to the contrary contained in this Article or elsewhere in this Indenture, the Trustee shall not be charged with knowledge of the existence of any Senior Indebtedness or of any default or event of default with respect to any Senior Indebtedness or of any other facts which would prohibit the making of any payment of monies to or by the Trustee in respect of the Securities, unless and until the Trustee shall have received notice in writing (which may be by telegram, telecopy or other similar writing) at its Corporate Trust Office to that effect signed by an officer of the Company, or by a holder or agent of a holder of Senior Indebtedness who shall have been certified by the Company or otherwise established to the reasonable satisfaction of the Trustee to be such holder or agent, or by the trustee under any indenture pursuant to which Senior Indebtedness shall be outstanding, and, prior to the receipt of any such written notice, the Trustee shall, subject to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be entitled to assume that no such facts exist; </w:t>
      </w:r>
      <w:r>
        <w:rPr>
          <w:rFonts w:ascii="Times New Roman" w:hAnsi="Times New Roman"/>
          <w:i/>
          <w:sz w:val="20"/>
        </w:rPr>
        <w:t>provided</w:t>
      </w:r>
      <w:r>
        <w:rPr>
          <w:rFonts w:ascii="Times New Roman" w:hAnsi="Times New Roman"/>
          <w:sz w:val="20"/>
        </w:rPr>
        <w:t xml:space="preserve"> that if on a date at least two Business Days prior to the date upon which by the terms hereof any such monies shall become payable for any purpose (including, without limitation, the payment of the principal of or interest on any Security) the Trustee shall not have received with respect to such monies the notice provided for in this Section, then, regardless of anything herein to the contrary, the Trustee shall have full power and authority to receive such monies and to apply the same to the purpose for which they were received, and shall not be affected by any notice to the contrary which may be received by it on or after such prior date. </w:t>
      </w:r>
    </w:p>
    <w:p>
      <w:pPr>
        <w:pStyle w:val="TextBody"/>
        <w:bidi w:val="0"/>
        <w:spacing w:before="240" w:after="0"/>
        <w:jc w:val="left"/>
        <w:rPr>
          <w:rFonts w:ascii="Times New Roman" w:hAnsi="Times New Roman"/>
          <w:sz w:val="20"/>
        </w:rPr>
      </w:pPr>
      <w:r>
        <w:rPr>
          <w:rFonts w:ascii="Times New Roman" w:hAnsi="Times New Roman"/>
          <w:sz w:val="20"/>
        </w:rPr>
        <w:t xml:space="preserve">Regardless of anything to the contrary herein (but subject, in the case of clause (a) of this paragraph, to the second paragraph of </w:t>
      </w:r>
      <w:r>
        <w:rPr>
          <w:rFonts w:ascii="Times New Roman" w:hAnsi="Times New Roman"/>
          <w:sz w:val="20"/>
          <w:u w:val="single"/>
        </w:rPr>
        <w:t>Section 11.02</w:t>
      </w:r>
      <w:r>
        <w:rPr>
          <w:rFonts w:ascii="Times New Roman" w:hAnsi="Times New Roman"/>
          <w:sz w:val="20"/>
        </w:rPr>
        <w:t xml:space="preserve">), nothing shall prevent (a) any payment by the Company or the Trustee to the Securityholders of amounts in connection with a redemption of Securities if (i) notice of such redemption has been given pursuant to </w:t>
      </w:r>
      <w:r>
        <w:rPr>
          <w:rFonts w:ascii="Times New Roman" w:hAnsi="Times New Roman"/>
          <w:sz w:val="20"/>
          <w:u w:val="single"/>
        </w:rPr>
        <w:t>Article 3</w:t>
      </w:r>
      <w:r>
        <w:rPr>
          <w:rFonts w:ascii="Times New Roman" w:hAnsi="Times New Roman"/>
          <w:sz w:val="20"/>
        </w:rPr>
        <w:t xml:space="preserve"> prior to the receipt by the Trustee of written notice as aforesaid, and (ii) such notice of redemption is given not earlier than 60 days before any redemption date, or (b) any payment by the Trustee to the Securityholders of amounts deposited with it pursuant to </w:t>
      </w:r>
      <w:r>
        <w:rPr>
          <w:rFonts w:ascii="Times New Roman" w:hAnsi="Times New Roman"/>
          <w:sz w:val="20"/>
          <w:u w:val="single"/>
        </w:rPr>
        <w:t>Section 8.01</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the case of </w:t>
      </w:r>
      <w:r>
        <w:rPr>
          <w:rFonts w:ascii="Times New Roman" w:hAnsi="Times New Roman"/>
          <w:sz w:val="20"/>
          <w:u w:val="single"/>
        </w:rPr>
        <w:t>Section 8.05</w:t>
      </w:r>
      <w:r>
        <w:rPr>
          <w:rFonts w:ascii="Times New Roman" w:hAnsi="Times New Roman"/>
          <w:sz w:val="20"/>
        </w:rPr>
        <w:t xml:space="preserve">, the applicable Securities are deemed to have been paid and discharged, and in the case of </w:t>
      </w:r>
      <w:r>
        <w:rPr>
          <w:rFonts w:ascii="Times New Roman" w:hAnsi="Times New Roman"/>
          <w:sz w:val="20"/>
          <w:u w:val="single"/>
        </w:rPr>
        <w:t>Section 8.01</w:t>
      </w:r>
      <w:r>
        <w:rPr>
          <w:rFonts w:ascii="Times New Roman" w:hAnsi="Times New Roman"/>
          <w:sz w:val="20"/>
        </w:rPr>
        <w:t xml:space="preserve">, the Trustee shall not have received, by at least two Business Days prior to the date of execution of instruments acknowledging the satisfaction of and discharge of this Indenture with respect to the applicable Securities, the notice provided in the preceding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the Trustee shall be entitled to rely on the delivery to it of a written notice by a Person representing himself to be a holder of Senior Indebtedness (or a trustee on behalf of such holder) to establish that such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i/>
          <w:sz w:val="20"/>
        </w:rPr>
        <w:t>Trustees Relation to Senior Indebtedness</w:t>
      </w:r>
      <w:r>
        <w:rPr>
          <w:rFonts w:ascii="Times New Roman" w:hAnsi="Times New Roman"/>
          <w:sz w:val="20"/>
        </w:rPr>
        <w:t xml:space="preserve">. The Trustee and any agent of the Company or the Trustee shall be entitled to all the rights set forth in this Article with respect to any Senior Indebtedness which may at any time be held by it in its individual or any other capacity to the same extent as any other holder of Senior Indebtedness and nothing in the second paragraph of </w:t>
      </w:r>
      <w:r>
        <w:rPr>
          <w:rFonts w:ascii="Times New Roman" w:hAnsi="Times New Roman"/>
          <w:sz w:val="20"/>
          <w:u w:val="single"/>
        </w:rPr>
        <w:t>Section 2.02</w:t>
      </w:r>
      <w:r>
        <w:rPr>
          <w:rFonts w:ascii="Times New Roman" w:hAnsi="Times New Roman"/>
          <w:sz w:val="20"/>
        </w:rPr>
        <w:t xml:space="preserve"> or elsewhere in this Indenture shall deprive the Trustee or any such agent of any of its rights as such holder. Nothing in this Article shall apply to claims of, or payments to, the Trustee under or pursuant to </w:t>
      </w:r>
      <w:r>
        <w:rPr>
          <w:rFonts w:ascii="Times New Roman" w:hAnsi="Times New Roman"/>
          <w:sz w:val="20"/>
          <w:u w:val="single"/>
        </w:rPr>
        <w:t>Section 7.07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holders of Senior Indebtedness, the Trustee undertakes to perform or to observe only such of its covenants and obligations as are specifically set forth in this Article, and no implied covenants or obligations with respect to the holders of Senior Indebtedness shall be read into this Indenture against the Trustee. The Trustee shall not be deemed to owe any fiduciary duty to the holders of Senior Indebtedness and, subject to the provisions of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the Trustee shall not be liable to any holder of Senior Indebtedness if it shall in good faith pay over or deliver to Holders of Securities, the Company or any other Person monies or assets to which any holder of Senior Indebtedness shall be entitled by virtue of this Article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i/>
          <w:sz w:val="20"/>
        </w:rPr>
        <w:t>No Impairment of Subordination</w:t>
      </w:r>
      <w:r>
        <w:rPr>
          <w:rFonts w:ascii="Times New Roman" w:hAnsi="Times New Roman"/>
          <w:sz w:val="20"/>
        </w:rPr>
        <w:t xml:space="preserve">.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which any such holder may have or otherwise be charged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all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27"/>
        <w:gridCol w:w="70"/>
        <w:gridCol w:w="3585"/>
      </w:tblGrid>
      <w:tr>
        <w:trPr/>
        <w:tc>
          <w:tcPr>
            <w:tcW w:w="427"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58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PHARVARIS N.V.</w:t>
            </w:r>
          </w:p>
          <w:p>
            <w:pPr>
              <w:pStyle w:val="TableContents"/>
              <w:bidi w:val="0"/>
              <w:spacing w:before="0" w:after="20"/>
              <w:jc w:val="left"/>
              <w:rPr>
                <w:rFonts w:ascii="Times New Roman" w:hAnsi="Times New Roman"/>
                <w:sz w:val="20"/>
              </w:rPr>
            </w:pPr>
            <w:r>
              <w:rPr>
                <w:rFonts w:ascii="Times New Roman" w:hAnsi="Times New Roman"/>
                <w:sz w:val="20"/>
              </w:rPr>
              <w:t>as the Company</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pPr>
            <w:r>
              <w:rPr/>
              <w:t>By:</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3585" w:type="dxa"/>
            <w:tcBorders>
              <w:bottom w:val="single" w:sz="2" w:space="0" w:color="000000"/>
            </w:tcBorders>
            <w:tcMar>
              <w:bottom w:w="28" w:type="dxa"/>
            </w:tcMar>
          </w:tcPr>
          <w:p>
            <w:pPr>
              <w:pStyle w:val="TableContents"/>
              <w:bidi w:val="0"/>
              <w:spacing w:before="0" w:after="283"/>
              <w:jc w:val="left"/>
              <w:rPr/>
            </w:pPr>
            <w:r>
              <w:rPr/>
              <w:t> </w:t>
            </w:r>
          </w:p>
        </w:tc>
      </w:tr>
      <w:tr>
        <w:trPr/>
        <w:tc>
          <w:tcPr>
            <w:tcW w:w="427" w:type="dxa"/>
            <w:tcBorders/>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left"/>
              <w:rPr/>
            </w:pPr>
            <w:r>
              <w:rPr/>
              <w:t>Name:</w:t>
            </w:r>
          </w:p>
        </w:tc>
      </w:tr>
      <w:tr>
        <w:trPr/>
        <w:tc>
          <w:tcPr>
            <w:tcW w:w="427" w:type="dxa"/>
            <w:tcBorders/>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left"/>
              <w:rPr/>
            </w:pPr>
            <w:r>
              <w:rPr/>
              <w:t>Title:</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sz w:val="4"/>
                <w:szCs w:val="4"/>
              </w:rPr>
            </w:pPr>
            <w:r>
              <w:rPr>
                <w:sz w:val="4"/>
                <w:szCs w:val="4"/>
              </w:rPr>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3585" w:type="dxa"/>
            <w:tcBorders>
              <w:bottom w:val="single" w:sz="2" w:space="0" w:color="000000"/>
            </w:tcBorders>
            <w:tcMar>
              <w:bottom w:w="28" w:type="dxa"/>
            </w:tcMar>
          </w:tcPr>
          <w:p>
            <w:pPr>
              <w:pStyle w:val="TableContents"/>
              <w:bidi w:val="0"/>
              <w:spacing w:before="0" w:after="283"/>
              <w:jc w:val="left"/>
              <w:rPr/>
            </w:pPr>
            <w:r>
              <w:rPr/>
              <w:t> </w:t>
            </w:r>
          </w:p>
        </w:tc>
      </w:tr>
      <w:tr>
        <w:trPr/>
        <w:tc>
          <w:tcPr>
            <w:tcW w:w="427" w:type="dxa"/>
            <w:tcBorders/>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left"/>
              <w:rPr/>
            </w:pPr>
            <w:r>
              <w:rPr/>
              <w:t>Name:</w:t>
            </w:r>
          </w:p>
        </w:tc>
      </w:tr>
      <w:tr>
        <w:trPr/>
        <w:tc>
          <w:tcPr>
            <w:tcW w:w="427" w:type="dxa"/>
            <w:tcBorders/>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the Trustee</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pPr>
            <w:r>
              <w:rPr/>
              <w:t>By:</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3585" w:type="dxa"/>
            <w:tcBorders>
              <w:bottom w:val="single" w:sz="2" w:space="0" w:color="000000"/>
            </w:tcBorders>
            <w:tcMar>
              <w:bottom w:w="28" w:type="dxa"/>
            </w:tcMar>
          </w:tcPr>
          <w:p>
            <w:pPr>
              <w:pStyle w:val="TableContents"/>
              <w:bidi w:val="0"/>
              <w:spacing w:before="0" w:after="283"/>
              <w:jc w:val="left"/>
              <w:rPr/>
            </w:pPr>
            <w:r>
              <w:rPr/>
              <w:t> </w:t>
            </w:r>
          </w:p>
        </w:tc>
      </w:tr>
      <w:tr>
        <w:trPr/>
        <w:tc>
          <w:tcPr>
            <w:tcW w:w="427" w:type="dxa"/>
            <w:tcBorders/>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left"/>
              <w:rPr/>
            </w:pPr>
            <w:r>
              <w:rPr/>
              <w:t>Name:</w:t>
            </w:r>
          </w:p>
        </w:tc>
      </w:tr>
      <w:tr>
        <w:trPr/>
        <w:tc>
          <w:tcPr>
            <w:tcW w:w="427" w:type="dxa"/>
            <w:tcBorders/>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5" w:type="dxa"/>
            <w:tcBorders/>
          </w:tcPr>
          <w:p>
            <w:pPr>
              <w:pStyle w:val="TableContents"/>
              <w:bidi w:val="0"/>
              <w:spacing w:before="0" w:after="283"/>
              <w:jc w:val="left"/>
              <w:rPr/>
            </w:pPr>
            <w:r>
              <w:rPr/>
              <w:t>Title:</w:t>
            </w:r>
          </w:p>
        </w:tc>
      </w:tr>
    </w:tbl>
    <w:p>
      <w:pPr>
        <w:pStyle w:val="TextBody"/>
        <w:bidi w:val="0"/>
        <w:jc w:val="left"/>
        <w:rPr/>
      </w:pPr>
      <w:bookmarkStart w:id="46" w:name="d807379dex51.htm"/>
      <w:bookmarkStart w:id="47" w:name="ksd807379dex51"/>
      <w:bookmarkEnd w:id="46"/>
      <w:bookmarkEnd w:id="47"/>
      <w:r>
        <w:rPr/>
        <w:t> </w:t>
      </w:r>
      <w:r>
        <w:br w:type="page"/>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971550" cy="4704080"/>
                <wp:effectExtent l="0" t="0" r="0" b="0"/>
                <wp:wrapSquare wrapText="right"/>
                <wp:docPr id="4" name="Frame1"/>
                <a:graphic xmlns:a="http://schemas.openxmlformats.org/drawingml/2006/main">
                  <a:graphicData uri="http://schemas.microsoft.com/office/word/2010/wordprocessingShape">
                    <wps:wsp>
                      <wps:cNvSpPr txBox="1"/>
                      <wps:spPr>
                        <a:xfrm>
                          <a:off x="0" y="0"/>
                          <a:ext cx="971550" cy="4704080"/>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ATTORNEYS  CIVIL LAW NOTARIES  TAX ADVISERS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tblGrid>
                            <w:tr>
                              <w:trPr/>
                              <w:tc>
                                <w:tcPr>
                                  <w:tcW w:w="1530"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0"/>
                                    <w:jc w:val="left"/>
                                    <w:rPr>
                                      <w:rFonts w:ascii="Times New Roman" w:hAnsi="Times New Roman"/>
                                      <w:sz w:val="20"/>
                                    </w:rPr>
                                  </w:pPr>
                                  <w:r>
                                    <w:rPr>
                                      <w:rFonts w:ascii="Times New Roman" w:hAnsi="Times New Roman"/>
                                      <w:sz w:val="20"/>
                                    </w:rPr>
                                    <w:t>P.O. Box 7113</w:t>
                                  </w:r>
                                </w:p>
                                <w:p>
                                  <w:pPr>
                                    <w:pStyle w:val="TableContents"/>
                                    <w:bidi w:val="0"/>
                                    <w:spacing w:before="0" w:after="0"/>
                                    <w:jc w:val="left"/>
                                    <w:rPr>
                                      <w:rFonts w:ascii="Times New Roman" w:hAnsi="Times New Roman"/>
                                      <w:sz w:val="20"/>
                                    </w:rPr>
                                  </w:pPr>
                                  <w:r>
                                    <w:rPr>
                                      <w:rFonts w:ascii="Times New Roman" w:hAnsi="Times New Roman"/>
                                      <w:sz w:val="20"/>
                                    </w:rPr>
                                    <w:t>1007 JC Amsterdam</w:t>
                                  </w:r>
                                </w:p>
                                <w:p>
                                  <w:pPr>
                                    <w:pStyle w:val="TableContents"/>
                                    <w:bidi w:val="0"/>
                                    <w:spacing w:before="0" w:after="0"/>
                                    <w:jc w:val="left"/>
                                    <w:rPr>
                                      <w:rFonts w:ascii="Times New Roman" w:hAnsi="Times New Roman"/>
                                      <w:sz w:val="20"/>
                                    </w:rPr>
                                  </w:pPr>
                                  <w:r>
                                    <w:rPr>
                                      <w:rFonts w:ascii="Times New Roman" w:hAnsi="Times New Roman"/>
                                      <w:sz w:val="20"/>
                                    </w:rPr>
                                    <w:t>Beethovenstraat 400</w:t>
                                  </w:r>
                                </w:p>
                                <w:p>
                                  <w:pPr>
                                    <w:pStyle w:val="TableContents"/>
                                    <w:bidi w:val="0"/>
                                    <w:spacing w:before="0" w:after="0"/>
                                    <w:jc w:val="left"/>
                                    <w:rPr>
                                      <w:rFonts w:ascii="Times New Roman" w:hAnsi="Times New Roman"/>
                                      <w:sz w:val="20"/>
                                    </w:rPr>
                                  </w:pPr>
                                  <w:r>
                                    <w:rPr>
                                      <w:rFonts w:ascii="Times New Roman" w:hAnsi="Times New Roman"/>
                                      <w:sz w:val="20"/>
                                    </w:rPr>
                                    <w:t>1082 PR Amsterdam</w:t>
                                  </w:r>
                                </w:p>
                                <w:p>
                                  <w:pPr>
                                    <w:pStyle w:val="TableContents"/>
                                    <w:bidi w:val="0"/>
                                    <w:spacing w:before="0" w:after="0"/>
                                    <w:jc w:val="left"/>
                                    <w:rPr>
                                      <w:rFonts w:ascii="Times New Roman" w:hAnsi="Times New Roman"/>
                                      <w:sz w:val="20"/>
                                    </w:rPr>
                                  </w:pPr>
                                  <w:r>
                                    <w:rPr>
                                      <w:rFonts w:ascii="Times New Roman" w:hAnsi="Times New Roman"/>
                                      <w:sz w:val="20"/>
                                    </w:rPr>
                                    <w:t>T +31 20 71 71 000</w:t>
                                  </w:r>
                                </w:p>
                                <w:p>
                                  <w:pPr>
                                    <w:pStyle w:val="TableContents"/>
                                    <w:bidi w:val="0"/>
                                    <w:spacing w:before="0" w:after="0"/>
                                    <w:jc w:val="left"/>
                                    <w:rPr>
                                      <w:rFonts w:ascii="Times New Roman" w:hAnsi="Times New Roman"/>
                                      <w:sz w:val="20"/>
                                    </w:rPr>
                                  </w:pPr>
                                  <w:r>
                                    <w:rPr>
                                      <w:rFonts w:ascii="Times New Roman" w:hAnsi="Times New Roman"/>
                                      <w:sz w:val="20"/>
                                    </w:rPr>
                                    <w:t>F +31 20 71 71 111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Amsterdam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Brussels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London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Luxemburg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New York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Rotterdam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370.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ATTORNEYS  CIVIL LAW NOTARIES  TAX ADVISERS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tblGrid>
                      <w:tr>
                        <w:trPr/>
                        <w:tc>
                          <w:tcPr>
                            <w:tcW w:w="1530"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0"/>
                              <w:jc w:val="left"/>
                              <w:rPr>
                                <w:rFonts w:ascii="Times New Roman" w:hAnsi="Times New Roman"/>
                                <w:sz w:val="20"/>
                              </w:rPr>
                            </w:pPr>
                            <w:r>
                              <w:rPr>
                                <w:rFonts w:ascii="Times New Roman" w:hAnsi="Times New Roman"/>
                                <w:sz w:val="20"/>
                              </w:rPr>
                              <w:t>P.O. Box 7113</w:t>
                            </w:r>
                          </w:p>
                          <w:p>
                            <w:pPr>
                              <w:pStyle w:val="TableContents"/>
                              <w:bidi w:val="0"/>
                              <w:spacing w:before="0" w:after="0"/>
                              <w:jc w:val="left"/>
                              <w:rPr>
                                <w:rFonts w:ascii="Times New Roman" w:hAnsi="Times New Roman"/>
                                <w:sz w:val="20"/>
                              </w:rPr>
                            </w:pPr>
                            <w:r>
                              <w:rPr>
                                <w:rFonts w:ascii="Times New Roman" w:hAnsi="Times New Roman"/>
                                <w:sz w:val="20"/>
                              </w:rPr>
                              <w:t>1007 JC Amsterdam</w:t>
                            </w:r>
                          </w:p>
                          <w:p>
                            <w:pPr>
                              <w:pStyle w:val="TableContents"/>
                              <w:bidi w:val="0"/>
                              <w:spacing w:before="0" w:after="0"/>
                              <w:jc w:val="left"/>
                              <w:rPr>
                                <w:rFonts w:ascii="Times New Roman" w:hAnsi="Times New Roman"/>
                                <w:sz w:val="20"/>
                              </w:rPr>
                            </w:pPr>
                            <w:r>
                              <w:rPr>
                                <w:rFonts w:ascii="Times New Roman" w:hAnsi="Times New Roman"/>
                                <w:sz w:val="20"/>
                              </w:rPr>
                              <w:t>Beethovenstraat 400</w:t>
                            </w:r>
                          </w:p>
                          <w:p>
                            <w:pPr>
                              <w:pStyle w:val="TableContents"/>
                              <w:bidi w:val="0"/>
                              <w:spacing w:before="0" w:after="0"/>
                              <w:jc w:val="left"/>
                              <w:rPr>
                                <w:rFonts w:ascii="Times New Roman" w:hAnsi="Times New Roman"/>
                                <w:sz w:val="20"/>
                              </w:rPr>
                            </w:pPr>
                            <w:r>
                              <w:rPr>
                                <w:rFonts w:ascii="Times New Roman" w:hAnsi="Times New Roman"/>
                                <w:sz w:val="20"/>
                              </w:rPr>
                              <w:t>1082 PR Amsterdam</w:t>
                            </w:r>
                          </w:p>
                          <w:p>
                            <w:pPr>
                              <w:pStyle w:val="TableContents"/>
                              <w:bidi w:val="0"/>
                              <w:spacing w:before="0" w:after="0"/>
                              <w:jc w:val="left"/>
                              <w:rPr>
                                <w:rFonts w:ascii="Times New Roman" w:hAnsi="Times New Roman"/>
                                <w:sz w:val="20"/>
                              </w:rPr>
                            </w:pPr>
                            <w:r>
                              <w:rPr>
                                <w:rFonts w:ascii="Times New Roman" w:hAnsi="Times New Roman"/>
                                <w:sz w:val="20"/>
                              </w:rPr>
                              <w:t>T +31 20 71 71 000</w:t>
                            </w:r>
                          </w:p>
                          <w:p>
                            <w:pPr>
                              <w:pStyle w:val="TableContents"/>
                              <w:bidi w:val="0"/>
                              <w:spacing w:before="0" w:after="0"/>
                              <w:jc w:val="left"/>
                              <w:rPr>
                                <w:rFonts w:ascii="Times New Roman" w:hAnsi="Times New Roman"/>
                                <w:sz w:val="20"/>
                              </w:rPr>
                            </w:pPr>
                            <w:r>
                              <w:rPr>
                                <w:rFonts w:ascii="Times New Roman" w:hAnsi="Times New Roman"/>
                                <w:sz w:val="20"/>
                              </w:rPr>
                              <w:t>F +31 20 71 71 111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Amsterdam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Brussels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London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Luxemburg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New York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Rotterdam</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5313680" cy="6502400"/>
                <wp:effectExtent l="0" t="0" r="0" b="0"/>
                <wp:wrapSquare wrapText="right"/>
                <wp:docPr id="5" name="Frame2"/>
                <a:graphic xmlns:a="http://schemas.openxmlformats.org/drawingml/2006/main">
                  <a:graphicData uri="http://schemas.microsoft.com/office/word/2010/wordprocessingShape">
                    <wps:wsp>
                      <wps:cNvSpPr txBox="1"/>
                      <wps:spPr>
                        <a:xfrm>
                          <a:off x="0" y="0"/>
                          <a:ext cx="5313680" cy="6502400"/>
                        </a:xfrm>
                        <a:prstGeom prst="rect"/>
                        <a:solidFill>
                          <a:srgbClr val="FFFFFF"/>
                        </a:solidFill>
                      </wps:spPr>
                      <wps:txbx>
                        <w:txbxContent>
                          <w:p>
                            <w:pPr>
                              <w:pStyle w:val="TextBody"/>
                              <w:bidi w:val="0"/>
                              <w:spacing w:before="0" w:after="0"/>
                              <w:jc w:val="right"/>
                              <w:rPr>
                                <w:rFonts w:ascii="Times New Roman" w:hAnsi="Times New Roman"/>
                                <w:b/>
                                <w:sz w:val="20"/>
                              </w:rPr>
                            </w:pPr>
                            <w:r>
                              <w:rPr>
                                <w:rFonts w:ascii="Times New Roman" w:hAnsi="Times New Roman"/>
                                <w:b/>
                                <w:sz w:val="20"/>
                              </w:rPr>
                              <w:t xml:space="preserve">Exhibit 5.1 </w:t>
                            </w:r>
                          </w:p>
                          <w:p>
                            <w:pPr>
                              <w:pStyle w:val="TextBody"/>
                              <w:bidi w:val="0"/>
                              <w:spacing w:before="0" w:after="0"/>
                              <w:jc w:val="left"/>
                              <w:rPr/>
                            </w:pPr>
                            <w:r>
                              <w:rPr/>
                              <w:t> </w:t>
                            </w:r>
                          </w:p>
                          <w:p>
                            <w:pPr>
                              <w:pStyle w:val="TextBody"/>
                              <w:bidi w:val="0"/>
                              <w:spacing w:before="0" w:after="0"/>
                              <w:jc w:val="center"/>
                              <w:rPr/>
                            </w:pPr>
                            <w:r>
                              <w:rPr/>
                              <w:drawing>
                                <wp:inline distT="0" distB="0" distL="0" distR="0">
                                  <wp:extent cx="1266825" cy="1524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24"/>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Amsterdam, April 12, 2024 </w:t>
                            </w:r>
                          </w:p>
                          <w:p>
                            <w:pPr>
                              <w:pStyle w:val="TextBody"/>
                              <w:bidi w:val="0"/>
                              <w:spacing w:before="720" w:after="0"/>
                              <w:jc w:val="left"/>
                              <w:rPr>
                                <w:rFonts w:ascii="Times New Roman" w:hAnsi="Times New Roman"/>
                                <w:sz w:val="20"/>
                              </w:rPr>
                            </w:pPr>
                            <w:r>
                              <w:rPr>
                                <w:rFonts w:ascii="Times New Roman" w:hAnsi="Times New Roman"/>
                                <w:sz w:val="20"/>
                              </w:rPr>
                              <w:t xml:space="preserve">To the Company: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legal counsel as to Dutch law to the Company in connection with the filing of the Registration Statement and the accompanying Prospectus Supplement with the SEC. This opinion letter is rendered to you in order to be filed with the SEC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expressed in this opinion letter, we have reviewed and relied upon drafts of the Registration Statement and the Prospectus Supplement and pdf copies of the other Corporate Documents and we have assumed that any issuance of Registered Securities shall be effected for bona fide commercial reasons. We have not investigated or verified any factual matter disclosed to us in the course of our review.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Corporate Documents subsequent to the date of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 </w:t>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512pt;mso-wrap-distance-left:0pt;mso-wrap-distance-right:0pt;mso-wrap-distance-top:0pt;mso-wrap-distance-bottom:0pt;margin-top:0pt;mso-position-vertical:top;mso-position-vertical-relative:text;margin-left:76.5pt;mso-position-horizontal:left;mso-position-horizontal-relative:text">
                <v:textbox inset="0in,0in,0in,0in">
                  <w:txbxContent>
                    <w:p>
                      <w:pPr>
                        <w:pStyle w:val="TextBody"/>
                        <w:bidi w:val="0"/>
                        <w:spacing w:before="0" w:after="0"/>
                        <w:jc w:val="right"/>
                        <w:rPr>
                          <w:rFonts w:ascii="Times New Roman" w:hAnsi="Times New Roman"/>
                          <w:b/>
                          <w:sz w:val="20"/>
                        </w:rPr>
                      </w:pPr>
                      <w:r>
                        <w:rPr>
                          <w:rFonts w:ascii="Times New Roman" w:hAnsi="Times New Roman"/>
                          <w:b/>
                          <w:sz w:val="20"/>
                        </w:rPr>
                        <w:t xml:space="preserve">Exhibit 5.1 </w:t>
                      </w:r>
                    </w:p>
                    <w:p>
                      <w:pPr>
                        <w:pStyle w:val="TextBody"/>
                        <w:bidi w:val="0"/>
                        <w:spacing w:before="0" w:after="0"/>
                        <w:jc w:val="left"/>
                        <w:rPr/>
                      </w:pPr>
                      <w:r>
                        <w:rPr/>
                        <w:t> </w:t>
                      </w:r>
                    </w:p>
                    <w:p>
                      <w:pPr>
                        <w:pStyle w:val="TextBody"/>
                        <w:bidi w:val="0"/>
                        <w:spacing w:before="0" w:after="0"/>
                        <w:jc w:val="center"/>
                        <w:rPr/>
                      </w:pPr>
                      <w:r>
                        <w:rPr/>
                        <w:drawing>
                          <wp:inline distT="0" distB="0" distL="0" distR="0">
                            <wp:extent cx="1266825" cy="152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25"/>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Amsterdam, April 12, 2024 </w:t>
                      </w:r>
                    </w:p>
                    <w:p>
                      <w:pPr>
                        <w:pStyle w:val="TextBody"/>
                        <w:bidi w:val="0"/>
                        <w:spacing w:before="720" w:after="0"/>
                        <w:jc w:val="left"/>
                        <w:rPr>
                          <w:rFonts w:ascii="Times New Roman" w:hAnsi="Times New Roman"/>
                          <w:sz w:val="20"/>
                        </w:rPr>
                      </w:pPr>
                      <w:r>
                        <w:rPr>
                          <w:rFonts w:ascii="Times New Roman" w:hAnsi="Times New Roman"/>
                          <w:sz w:val="20"/>
                        </w:rPr>
                        <w:t xml:space="preserve">To the Company: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legal counsel as to Dutch law to the Company in connection with the filing of the Registration Statement and the accompanying Prospectus Supplement with the SEC. This opinion letter is rendered to you in order to be filed with the SEC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expressed in this opinion letter, we have reviewed and relied upon drafts of the Registration Statement and the Prospectus Supplement and pdf copies of the other Corporate Documents and we have assumed that any issuance of Registered Securities shall be effected for bona fide commercial reasons. We have not investigated or verified any factual matter disclosed to us in the course of our review.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Corporate Documents subsequent to the date of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 </w:t>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1266825" cy="152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26"/>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12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971550" cy="175260"/>
                <wp:effectExtent l="0" t="0" r="0" b="0"/>
                <wp:wrapSquare wrapText="right"/>
                <wp:docPr id="9" name="Frame3"/>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5313680" cy="6471920"/>
                <wp:effectExtent l="0" t="0" r="0" b="0"/>
                <wp:wrapSquare wrapText="right"/>
                <wp:docPr id="10" name="Frame4"/>
                <a:graphic xmlns:a="http://schemas.openxmlformats.org/drawingml/2006/main">
                  <a:graphicData uri="http://schemas.microsoft.com/office/word/2010/wordprocessingShape">
                    <wps:wsp>
                      <wps:cNvSpPr txBox="1"/>
                      <wps:spPr>
                        <a:xfrm>
                          <a:off x="0" y="0"/>
                          <a:ext cx="5313680" cy="6471920"/>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opinion letter, we have assumed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70"/>
                              <w:gridCol w:w="8098"/>
                            </w:tblGrid>
                            <w:tr>
                              <w:trPr/>
                              <w:tc>
                                <w:tcPr>
                                  <w:tcW w:w="270" w:type="dxa"/>
                                  <w:tcBorders/>
                                </w:tcPr>
                                <w:p>
                                  <w:pPr>
                                    <w:pStyle w:val="TableContents"/>
                                    <w:bidi w:val="0"/>
                                    <w:spacing w:before="0" w:after="283"/>
                                    <w:jc w:val="left"/>
                                    <w:rPr/>
                                  </w:pPr>
                                  <w:r>
                                    <w:rPr/>
                                    <w:t>a.</w:t>
                                  </w:r>
                                </w:p>
                              </w:tc>
                              <w:tc>
                                <w:tcPr>
                                  <w:tcW w:w="80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copy of a document conforms to the original, each original is authentic, and each signature is the genuine signature of the individual purported to have placed that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80"/>
                              <w:gridCol w:w="8088"/>
                            </w:tblGrid>
                            <w:tr>
                              <w:trPr/>
                              <w:tc>
                                <w:tcPr>
                                  <w:tcW w:w="280" w:type="dxa"/>
                                  <w:tcBorders/>
                                </w:tcPr>
                                <w:p>
                                  <w:pPr>
                                    <w:pStyle w:val="TableContents"/>
                                    <w:bidi w:val="0"/>
                                    <w:spacing w:before="0" w:after="283"/>
                                    <w:jc w:val="left"/>
                                    <w:rPr/>
                                  </w:pPr>
                                  <w:r>
                                    <w:rPr/>
                                    <w:t>b.</w:t>
                                  </w:r>
                                </w:p>
                              </w:tc>
                              <w:tc>
                                <w:tcPr>
                                  <w:tcW w:w="8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signature under any document is an electronic signature (as opposed to a handwritten (wet ink) signature) only, the method used for signing is sufficiently reliable;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4"/>
                              <w:gridCol w:w="8124"/>
                            </w:tblGrid>
                            <w:tr>
                              <w:trPr/>
                              <w:tc>
                                <w:tcPr>
                                  <w:tcW w:w="244" w:type="dxa"/>
                                  <w:tcBorders/>
                                </w:tcPr>
                                <w:p>
                                  <w:pPr>
                                    <w:pStyle w:val="TableContents"/>
                                    <w:bidi w:val="0"/>
                                    <w:spacing w:before="0" w:after="283"/>
                                    <w:jc w:val="left"/>
                                    <w:rPr/>
                                  </w:pPr>
                                  <w:r>
                                    <w:rPr/>
                                    <w:t>c.</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being an automatic shelf registration statement, will become effective immediately upon filing, and the Prospectus Supplement has been filed with the SEC, in each case, in the form reviewed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1"/>
                              <w:gridCol w:w="8177"/>
                            </w:tblGrid>
                            <w:tr>
                              <w:trPr/>
                              <w:tc>
                                <w:tcPr>
                                  <w:tcW w:w="191" w:type="dxa"/>
                                  <w:tcBorders/>
                                </w:tcPr>
                                <w:p>
                                  <w:pPr>
                                    <w:pStyle w:val="TableContents"/>
                                    <w:bidi w:val="0"/>
                                    <w:spacing w:before="0" w:after="283"/>
                                    <w:jc w:val="left"/>
                                    <w:rPr/>
                                  </w:pPr>
                                  <w:r>
                                    <w:rPr/>
                                    <w:t>d.</w:t>
                                  </w:r>
                                </w:p>
                              </w:tc>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each Relevant Moment, (i) the Ordinary Shares shall have been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52"/>
                              <w:gridCol w:w="7616"/>
                            </w:tblGrid>
                            <w:tr>
                              <w:trPr/>
                              <w:tc>
                                <w:tcPr>
                                  <w:tcW w:w="752" w:type="dxa"/>
                                  <w:tcBorders/>
                                </w:tcPr>
                                <w:p>
                                  <w:pPr>
                                    <w:pStyle w:val="TableContents"/>
                                    <w:bidi w:val="0"/>
                                    <w:spacing w:before="0" w:after="283"/>
                                    <w:jc w:val="left"/>
                                    <w:rPr/>
                                  </w:pPr>
                                  <w:r>
                                    <w:rPr/>
                                    <w:t>e.</w:t>
                                  </w:r>
                                </w:p>
                              </w:tc>
                              <w:tc>
                                <w:tcPr>
                                  <w:tcW w:w="761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Deed of Incorporation is a valid notarial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27"/>
                              <w:gridCol w:w="8041"/>
                            </w:tblGrid>
                            <w:tr>
                              <w:trPr/>
                              <w:tc>
                                <w:tcPr>
                                  <w:tcW w:w="327" w:type="dxa"/>
                                  <w:tcBorders/>
                                </w:tcPr>
                                <w:p>
                                  <w:pPr>
                                    <w:pStyle w:val="TableContents"/>
                                    <w:bidi w:val="0"/>
                                    <w:spacing w:before="0" w:after="283"/>
                                    <w:jc w:val="left"/>
                                    <w:rPr/>
                                  </w:pPr>
                                  <w:r>
                                    <w:rPr/>
                                    <w:t>f.</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Articles are the Articles of Association currently in force and as they will be in force at each Relevant Moment;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509.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opinion letter, we have assumed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70"/>
                        <w:gridCol w:w="8098"/>
                      </w:tblGrid>
                      <w:tr>
                        <w:trPr/>
                        <w:tc>
                          <w:tcPr>
                            <w:tcW w:w="270" w:type="dxa"/>
                            <w:tcBorders/>
                          </w:tcPr>
                          <w:p>
                            <w:pPr>
                              <w:pStyle w:val="TableContents"/>
                              <w:bidi w:val="0"/>
                              <w:spacing w:before="0" w:after="283"/>
                              <w:jc w:val="left"/>
                              <w:rPr/>
                            </w:pPr>
                            <w:r>
                              <w:rPr/>
                              <w:t>a.</w:t>
                            </w:r>
                          </w:p>
                        </w:tc>
                        <w:tc>
                          <w:tcPr>
                            <w:tcW w:w="80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copy of a document conforms to the original, each original is authentic, and each signature is the genuine signature of the individual purported to have placed that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80"/>
                        <w:gridCol w:w="8088"/>
                      </w:tblGrid>
                      <w:tr>
                        <w:trPr/>
                        <w:tc>
                          <w:tcPr>
                            <w:tcW w:w="280" w:type="dxa"/>
                            <w:tcBorders/>
                          </w:tcPr>
                          <w:p>
                            <w:pPr>
                              <w:pStyle w:val="TableContents"/>
                              <w:bidi w:val="0"/>
                              <w:spacing w:before="0" w:after="283"/>
                              <w:jc w:val="left"/>
                              <w:rPr/>
                            </w:pPr>
                            <w:r>
                              <w:rPr/>
                              <w:t>b.</w:t>
                            </w:r>
                          </w:p>
                        </w:tc>
                        <w:tc>
                          <w:tcPr>
                            <w:tcW w:w="8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signature under any document is an electronic signature (as opposed to a handwritten (wet ink) signature) only, the method used for signing is sufficiently reliable;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4"/>
                        <w:gridCol w:w="8124"/>
                      </w:tblGrid>
                      <w:tr>
                        <w:trPr/>
                        <w:tc>
                          <w:tcPr>
                            <w:tcW w:w="244" w:type="dxa"/>
                            <w:tcBorders/>
                          </w:tcPr>
                          <w:p>
                            <w:pPr>
                              <w:pStyle w:val="TableContents"/>
                              <w:bidi w:val="0"/>
                              <w:spacing w:before="0" w:after="283"/>
                              <w:jc w:val="left"/>
                              <w:rPr/>
                            </w:pPr>
                            <w:r>
                              <w:rPr/>
                              <w:t>c.</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being an automatic shelf registration statement, will become effective immediately upon filing, and the Prospectus Supplement has been filed with the SEC, in each case, in the form reviewed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1"/>
                        <w:gridCol w:w="8177"/>
                      </w:tblGrid>
                      <w:tr>
                        <w:trPr/>
                        <w:tc>
                          <w:tcPr>
                            <w:tcW w:w="191" w:type="dxa"/>
                            <w:tcBorders/>
                          </w:tcPr>
                          <w:p>
                            <w:pPr>
                              <w:pStyle w:val="TableContents"/>
                              <w:bidi w:val="0"/>
                              <w:spacing w:before="0" w:after="283"/>
                              <w:jc w:val="left"/>
                              <w:rPr/>
                            </w:pPr>
                            <w:r>
                              <w:rPr/>
                              <w:t>d.</w:t>
                            </w:r>
                          </w:p>
                        </w:tc>
                        <w:tc>
                          <w:tcPr>
                            <w:tcW w:w="81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each Relevant Moment, (i) the Ordinary Shares shall have been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52"/>
                        <w:gridCol w:w="7616"/>
                      </w:tblGrid>
                      <w:tr>
                        <w:trPr/>
                        <w:tc>
                          <w:tcPr>
                            <w:tcW w:w="752" w:type="dxa"/>
                            <w:tcBorders/>
                          </w:tcPr>
                          <w:p>
                            <w:pPr>
                              <w:pStyle w:val="TableContents"/>
                              <w:bidi w:val="0"/>
                              <w:spacing w:before="0" w:after="283"/>
                              <w:jc w:val="left"/>
                              <w:rPr/>
                            </w:pPr>
                            <w:r>
                              <w:rPr/>
                              <w:t>e.</w:t>
                            </w:r>
                          </w:p>
                        </w:tc>
                        <w:tc>
                          <w:tcPr>
                            <w:tcW w:w="761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Deed of Incorporation is a valid notarial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27"/>
                        <w:gridCol w:w="8041"/>
                      </w:tblGrid>
                      <w:tr>
                        <w:trPr/>
                        <w:tc>
                          <w:tcPr>
                            <w:tcW w:w="327" w:type="dxa"/>
                            <w:tcBorders/>
                          </w:tcPr>
                          <w:p>
                            <w:pPr>
                              <w:pStyle w:val="TableContents"/>
                              <w:bidi w:val="0"/>
                              <w:spacing w:before="0" w:after="283"/>
                              <w:jc w:val="left"/>
                              <w:rPr/>
                            </w:pPr>
                            <w:r>
                              <w:rPr/>
                              <w:t>f.</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Articles are the Articles of Association currently in force and as they will be in force at each Relevant Moment; </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1266825" cy="1524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27"/>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12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971550" cy="175260"/>
                <wp:effectExtent l="0" t="0" r="0" b="0"/>
                <wp:wrapSquare wrapText="right"/>
                <wp:docPr id="12" name="Frame5"/>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5313680" cy="5163820"/>
                <wp:effectExtent l="0" t="0" r="0" b="0"/>
                <wp:wrapSquare wrapText="right"/>
                <wp:docPr id="13" name="Frame6"/>
                <a:graphic xmlns:a="http://schemas.openxmlformats.org/drawingml/2006/main">
                  <a:graphicData uri="http://schemas.microsoft.com/office/word/2010/wordprocessingShape">
                    <wps:wsp>
                      <wps:cNvSpPr txBox="1"/>
                      <wps:spPr>
                        <a:xfrm>
                          <a:off x="0" y="0"/>
                          <a:ext cx="5313680" cy="5163820"/>
                        </a:xfrm>
                        <a:prstGeom prst="rect"/>
                        <a:solidFill>
                          <a:srgbClr val="FFFFFF"/>
                        </a:solidFill>
                      </wps:spPr>
                      <wps:txbx>
                        <w:txbxContent>
                          <w:tbl>
                            <w:tblPr>
                              <w:tblW w:w="5000" w:type="pct"/>
                              <w:jc w:val="left"/>
                              <w:tblInd w:w="0" w:type="dxa"/>
                              <w:tblLayout w:type="fixed"/>
                              <w:tblCellMar>
                                <w:top w:w="0" w:type="dxa"/>
                                <w:left w:w="0" w:type="dxa"/>
                                <w:bottom w:w="0" w:type="dxa"/>
                                <w:right w:w="0" w:type="dxa"/>
                              </w:tblCellMar>
                            </w:tblPr>
                            <w:tblGrid>
                              <w:gridCol w:w="293"/>
                              <w:gridCol w:w="8075"/>
                            </w:tblGrid>
                            <w:tr>
                              <w:trPr/>
                              <w:tc>
                                <w:tcPr>
                                  <w:tcW w:w="293" w:type="dxa"/>
                                  <w:tcBorders/>
                                </w:tcPr>
                                <w:p>
                                  <w:pPr>
                                    <w:pStyle w:val="TableContents"/>
                                    <w:bidi w:val="0"/>
                                    <w:spacing w:before="0" w:after="283"/>
                                    <w:jc w:val="left"/>
                                    <w:rPr/>
                                  </w:pPr>
                                  <w:r>
                                    <w:rPr/>
                                    <w:t>g.</w:t>
                                  </w:r>
                                </w:p>
                              </w:tc>
                              <w:tc>
                                <w:tcPr>
                                  <w:tcW w:w="8075" w:type="dxa"/>
                                  <w:tcBorders/>
                                </w:tcPr>
                                <w:p>
                                  <w:pPr>
                                    <w:pStyle w:val="TableContents"/>
                                    <w:bidi w:val="0"/>
                                    <w:spacing w:before="0" w:after="0"/>
                                    <w:jc w:val="left"/>
                                    <w:rPr>
                                      <w:rFonts w:ascii="Times New Roman" w:hAnsi="Times New Roman"/>
                                      <w:sz w:val="20"/>
                                    </w:rPr>
                                  </w:pPr>
                                  <w:r>
                                    <w:rPr>
                                      <w:rFonts w:ascii="Times New Roman" w:hAnsi="Times New Roman"/>
                                      <w:sz w:val="20"/>
                                    </w:rPr>
                                    <w:t>at each Relevant Moment, the authorised share capital (</w:t>
                                  </w:r>
                                  <w:r>
                                    <w:rPr>
                                      <w:rFonts w:ascii="Times New Roman" w:hAnsi="Times New Roman"/>
                                      <w:i/>
                                      <w:sz w:val="20"/>
                                    </w:rPr>
                                    <w:t>maatschappelijk kapitaal</w:t>
                                  </w:r>
                                  <w:r>
                                    <w:rPr>
                                      <w:rFonts w:ascii="Times New Roman" w:hAnsi="Times New Roman"/>
                                      <w:sz w:val="20"/>
                                    </w:rPr>
                                    <w:t xml:space="preserve">) of the Company shall allow for the issuance of the Registered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0"/>
                              <w:gridCol w:w="8178"/>
                            </w:tblGrid>
                            <w:tr>
                              <w:trPr/>
                              <w:tc>
                                <w:tcPr>
                                  <w:tcW w:w="190" w:type="dxa"/>
                                  <w:tcBorders/>
                                </w:tcPr>
                                <w:p>
                                  <w:pPr>
                                    <w:pStyle w:val="TableContents"/>
                                    <w:bidi w:val="0"/>
                                    <w:spacing w:before="0" w:after="283"/>
                                    <w:jc w:val="left"/>
                                    <w:rPr/>
                                  </w:pPr>
                                  <w:r>
                                    <w:rPr/>
                                    <w:t>h.</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at each Relevant Moment, the Company will not have (i) been dissolved (</w:t>
                                  </w:r>
                                  <w:r>
                                    <w:rPr>
                                      <w:rFonts w:ascii="Times New Roman" w:hAnsi="Times New Roman"/>
                                      <w:i/>
                                      <w:sz w:val="20"/>
                                    </w:rPr>
                                    <w:t>ontbonden</w:t>
                                  </w:r>
                                  <w:r>
                                    <w:rPr>
                                      <w:rFonts w:ascii="Times New Roman" w:hAnsi="Times New Roman"/>
                                      <w:sz w:val="20"/>
                                    </w:rPr>
                                    <w:t>), (ii) ceased to exist pursuant to a merger (</w:t>
                                  </w:r>
                                  <w:r>
                                    <w:rPr>
                                      <w:rFonts w:ascii="Times New Roman" w:hAnsi="Times New Roman"/>
                                      <w:i/>
                                      <w:sz w:val="20"/>
                                    </w:rPr>
                                    <w:t>fusie</w:t>
                                  </w:r>
                                  <w:r>
                                    <w:rPr>
                                      <w:rFonts w:ascii="Times New Roman" w:hAnsi="Times New Roman"/>
                                      <w:sz w:val="20"/>
                                    </w:rPr>
                                    <w:t>) or a division (</w:t>
                                  </w:r>
                                  <w:r>
                                    <w:rPr>
                                      <w:rFonts w:ascii="Times New Roman" w:hAnsi="Times New Roman"/>
                                      <w:i/>
                                      <w:sz w:val="20"/>
                                    </w:rPr>
                                    <w:t>splitsing</w:t>
                                  </w:r>
                                  <w:r>
                                    <w:rPr>
                                      <w:rFonts w:ascii="Times New Roman" w:hAnsi="Times New Roman"/>
                                      <w:sz w:val="20"/>
                                    </w:rPr>
                                    <w:t>), (iii) been converted (</w:t>
                                  </w:r>
                                  <w:r>
                                    <w:rPr>
                                      <w:rFonts w:ascii="Times New Roman" w:hAnsi="Times New Roman"/>
                                      <w:i/>
                                      <w:sz w:val="20"/>
                                    </w:rPr>
                                    <w:t>omgezet</w:t>
                                  </w:r>
                                  <w:r>
                                    <w:rPr>
                                      <w:rFonts w:ascii="Times New Roman" w:hAnsi="Times New Roman"/>
                                      <w:sz w:val="20"/>
                                    </w:rPr>
                                    <w:t>) into another legal form, either national or foreign, (iv) had its assets placed under administration (</w:t>
                                  </w:r>
                                  <w:r>
                                    <w:rPr>
                                      <w:rFonts w:ascii="Times New Roman" w:hAnsi="Times New Roman"/>
                                      <w:i/>
                                      <w:sz w:val="20"/>
                                    </w:rPr>
                                    <w:t>onder bewind gesteld</w:t>
                                  </w:r>
                                  <w:r>
                                    <w:rPr>
                                      <w:rFonts w:ascii="Times New Roman" w:hAnsi="Times New Roman"/>
                                      <w:sz w:val="20"/>
                                    </w:rPr>
                                    <w:t>), (v) been declared bankrupt (</w:t>
                                  </w:r>
                                  <w:r>
                                    <w:rPr>
                                      <w:rFonts w:ascii="Times New Roman" w:hAnsi="Times New Roman"/>
                                      <w:i/>
                                      <w:sz w:val="20"/>
                                    </w:rPr>
                                    <w:t>failliet verklaard</w:t>
                                  </w:r>
                                  <w:r>
                                    <w:rPr>
                                      <w:rFonts w:ascii="Times New Roman" w:hAnsi="Times New Roman"/>
                                      <w:sz w:val="20"/>
                                    </w:rPr>
                                    <w:t>), (vi) been granted a suspension of payments (</w:t>
                                  </w:r>
                                  <w:r>
                                    <w:rPr>
                                      <w:rFonts w:ascii="Times New Roman" w:hAnsi="Times New Roman"/>
                                      <w:i/>
                                      <w:sz w:val="20"/>
                                    </w:rPr>
                                    <w:t>surseance van betaling verleend</w:t>
                                  </w:r>
                                  <w:r>
                                    <w:rPr>
                                      <w:rFonts w:ascii="Times New Roman" w:hAnsi="Times New Roman"/>
                                      <w:sz w:val="20"/>
                                    </w:rPr>
                                    <w:t>), (vii) started or become subject to statutory proceedings for the restructuring of its debts (</w:t>
                                  </w:r>
                                  <w:r>
                                    <w:rPr>
                                      <w:rFonts w:ascii="Times New Roman" w:hAnsi="Times New Roman"/>
                                      <w:i/>
                                      <w:sz w:val="20"/>
                                    </w:rPr>
                                    <w:t>akkoordprocedure</w:t>
                                  </w:r>
                                  <w:r>
                                    <w:rPr>
                                      <w:rFonts w:ascii="Times New Roman" w:hAnsi="Times New Roman"/>
                                      <w:sz w:val="20"/>
                                    </w:rPr>
                                    <w:t xml:space="preserve">) or (viii) been made subject to similar proceedings in any jurisdiction or otherwise been limited in its power to dispose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8146"/>
                            </w:tblGrid>
                            <w:tr>
                              <w:trPr/>
                              <w:tc>
                                <w:tcPr>
                                  <w:tcW w:w="222" w:type="dxa"/>
                                  <w:tcBorders/>
                                </w:tcPr>
                                <w:p>
                                  <w:pPr>
                                    <w:pStyle w:val="TableContents"/>
                                    <w:bidi w:val="0"/>
                                    <w:spacing w:before="0" w:after="283"/>
                                    <w:jc w:val="left"/>
                                    <w:rPr/>
                                  </w:pPr>
                                  <w:r>
                                    <w:rPr/>
                                    <w:t>i.</w:t>
                                  </w:r>
                                </w:p>
                              </w:tc>
                              <w:tc>
                                <w:tcPr>
                                  <w:tcW w:w="8146" w:type="dxa"/>
                                  <w:tcBorders/>
                                </w:tcPr>
                                <w:p>
                                  <w:pPr>
                                    <w:pStyle w:val="TableContents"/>
                                    <w:bidi w:val="0"/>
                                    <w:spacing w:before="0" w:after="0"/>
                                    <w:jc w:val="left"/>
                                    <w:rPr>
                                      <w:rFonts w:ascii="Times New Roman" w:hAnsi="Times New Roman"/>
                                      <w:sz w:val="20"/>
                                    </w:rPr>
                                  </w:pPr>
                                  <w:r>
                                    <w:rPr>
                                      <w:rFonts w:ascii="Times New Roman" w:hAnsi="Times New Roman"/>
                                      <w:sz w:val="20"/>
                                    </w:rPr>
                                    <w:t>any Registered Securities shall be issued, and any pre-emption rights in connection therewith shall have been excluded, pursuant to resolutions validly passed by the corporate body (</w:t>
                                  </w:r>
                                  <w:r>
                                    <w:rPr>
                                      <w:rFonts w:ascii="Times New Roman" w:hAnsi="Times New Roman"/>
                                      <w:i/>
                                      <w:sz w:val="20"/>
                                    </w:rPr>
                                    <w:t>orgaan</w:t>
                                  </w:r>
                                  <w:r>
                                    <w:rPr>
                                      <w:rFonts w:ascii="Times New Roman" w:hAnsi="Times New Roman"/>
                                      <w:sz w:val="20"/>
                                    </w:rPr>
                                    <w:t xml:space="preserve">) of the Company duly authorised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8"/>
                              <w:gridCol w:w="8210"/>
                            </w:tblGrid>
                            <w:tr>
                              <w:trPr/>
                              <w:tc>
                                <w:tcPr>
                                  <w:tcW w:w="158" w:type="dxa"/>
                                  <w:tcBorders/>
                                </w:tcPr>
                                <w:p>
                                  <w:pPr>
                                    <w:pStyle w:val="TableContents"/>
                                    <w:bidi w:val="0"/>
                                    <w:spacing w:before="0" w:after="283"/>
                                    <w:jc w:val="left"/>
                                    <w:rPr/>
                                  </w:pPr>
                                  <w:r>
                                    <w:rPr/>
                                    <w:t>j.</w:t>
                                  </w:r>
                                </w:p>
                              </w:tc>
                              <w:tc>
                                <w:tcPr>
                                  <w:tcW w:w="821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price for any Registered Shares shall at least equal the aggregate nominal value thereof, any conversion, exchange or exercise price of other Registered Securities shall at least equal the aggregate nominal value of the underlying Registered Shares, and any such issue, conversion, exchange or exercise price shall have been satisfied in cash and shall have been received and accepted by the Company ultimately upon the issuance of the relevant Registered Shares and, where relevant, the Company shall have consented to payment in a currency other than Euro;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9"/>
                              <w:gridCol w:w="8129"/>
                            </w:tblGrid>
                            <w:tr>
                              <w:trPr/>
                              <w:tc>
                                <w:tcPr>
                                  <w:tcW w:w="239" w:type="dxa"/>
                                  <w:tcBorders/>
                                </w:tcPr>
                                <w:p>
                                  <w:pPr>
                                    <w:pStyle w:val="TableContents"/>
                                    <w:bidi w:val="0"/>
                                    <w:spacing w:before="0" w:after="283"/>
                                    <w:jc w:val="left"/>
                                    <w:rPr/>
                                  </w:pPr>
                                  <w:r>
                                    <w:rPr/>
                                    <w:t>k.</w:t>
                                  </w:r>
                                </w:p>
                              </w:tc>
                              <w:tc>
                                <w:tcPr>
                                  <w:tcW w:w="81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Registered Shares issued in connection with the conversion, exchange or exercise of other Registered Securities shall be issued pursuant to a valid conversion, exchange or exercise of such Registered Securities in accordance with their respective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
                              <w:gridCol w:w="8134"/>
                            </w:tblGrid>
                            <w:tr>
                              <w:trPr/>
                              <w:tc>
                                <w:tcPr>
                                  <w:tcW w:w="234" w:type="dxa"/>
                                  <w:tcBorders/>
                                </w:tcPr>
                                <w:p>
                                  <w:pPr>
                                    <w:pStyle w:val="TableContents"/>
                                    <w:bidi w:val="0"/>
                                    <w:spacing w:before="0" w:after="283"/>
                                    <w:jc w:val="left"/>
                                    <w:rPr/>
                                  </w:pPr>
                                  <w:r>
                                    <w:rPr/>
                                    <w:t>l.</w:t>
                                  </w:r>
                                </w:p>
                              </w:tc>
                              <w:tc>
                                <w:tcPr>
                                  <w:tcW w:w="813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offer or sale of Registered Securities, to the extent made in the Netherlands shall be made only in conformity with the Prospectus Regulation, the PRIIPs Regulation and the rules promulgated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97"/>
                              <w:gridCol w:w="8071"/>
                            </w:tblGrid>
                            <w:tr>
                              <w:trPr/>
                              <w:tc>
                                <w:tcPr>
                                  <w:tcW w:w="297" w:type="dxa"/>
                                  <w:tcBorders/>
                                </w:tcPr>
                                <w:p>
                                  <w:pPr>
                                    <w:pStyle w:val="TableContents"/>
                                    <w:bidi w:val="0"/>
                                    <w:spacing w:before="0" w:after="283"/>
                                    <w:jc w:val="left"/>
                                    <w:rPr/>
                                  </w:pPr>
                                  <w:r>
                                    <w:rPr/>
                                    <w:t>m.</w:t>
                                  </w:r>
                                </w:p>
                              </w:tc>
                              <w:tc>
                                <w:tcPr>
                                  <w:tcW w:w="8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each Relevant Moment, each of the assumptions made in this opinion letter will be correct in all aspects by reference to the facts and circumstances then existing.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406.6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left"/>
                        <w:tblInd w:w="0" w:type="dxa"/>
                        <w:tblLayout w:type="fixed"/>
                        <w:tblCellMar>
                          <w:top w:w="0" w:type="dxa"/>
                          <w:left w:w="0" w:type="dxa"/>
                          <w:bottom w:w="0" w:type="dxa"/>
                          <w:right w:w="0" w:type="dxa"/>
                        </w:tblCellMar>
                      </w:tblPr>
                      <w:tblGrid>
                        <w:gridCol w:w="293"/>
                        <w:gridCol w:w="8075"/>
                      </w:tblGrid>
                      <w:tr>
                        <w:trPr/>
                        <w:tc>
                          <w:tcPr>
                            <w:tcW w:w="293" w:type="dxa"/>
                            <w:tcBorders/>
                          </w:tcPr>
                          <w:p>
                            <w:pPr>
                              <w:pStyle w:val="TableContents"/>
                              <w:bidi w:val="0"/>
                              <w:spacing w:before="0" w:after="283"/>
                              <w:jc w:val="left"/>
                              <w:rPr/>
                            </w:pPr>
                            <w:r>
                              <w:rPr/>
                              <w:t>g.</w:t>
                            </w:r>
                          </w:p>
                        </w:tc>
                        <w:tc>
                          <w:tcPr>
                            <w:tcW w:w="8075" w:type="dxa"/>
                            <w:tcBorders/>
                          </w:tcPr>
                          <w:p>
                            <w:pPr>
                              <w:pStyle w:val="TableContents"/>
                              <w:bidi w:val="0"/>
                              <w:spacing w:before="0" w:after="0"/>
                              <w:jc w:val="left"/>
                              <w:rPr>
                                <w:rFonts w:ascii="Times New Roman" w:hAnsi="Times New Roman"/>
                                <w:sz w:val="20"/>
                              </w:rPr>
                            </w:pPr>
                            <w:r>
                              <w:rPr>
                                <w:rFonts w:ascii="Times New Roman" w:hAnsi="Times New Roman"/>
                                <w:sz w:val="20"/>
                              </w:rPr>
                              <w:t>at each Relevant Moment, the authorised share capital (</w:t>
                            </w:r>
                            <w:r>
                              <w:rPr>
                                <w:rFonts w:ascii="Times New Roman" w:hAnsi="Times New Roman"/>
                                <w:i/>
                                <w:sz w:val="20"/>
                              </w:rPr>
                              <w:t>maatschappelijk kapitaal</w:t>
                            </w:r>
                            <w:r>
                              <w:rPr>
                                <w:rFonts w:ascii="Times New Roman" w:hAnsi="Times New Roman"/>
                                <w:sz w:val="20"/>
                              </w:rPr>
                              <w:t xml:space="preserve">) of the Company shall allow for the issuance of the Registered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0"/>
                        <w:gridCol w:w="8178"/>
                      </w:tblGrid>
                      <w:tr>
                        <w:trPr/>
                        <w:tc>
                          <w:tcPr>
                            <w:tcW w:w="190" w:type="dxa"/>
                            <w:tcBorders/>
                          </w:tcPr>
                          <w:p>
                            <w:pPr>
                              <w:pStyle w:val="TableContents"/>
                              <w:bidi w:val="0"/>
                              <w:spacing w:before="0" w:after="283"/>
                              <w:jc w:val="left"/>
                              <w:rPr/>
                            </w:pPr>
                            <w:r>
                              <w:rPr/>
                              <w:t>h.</w:t>
                            </w:r>
                          </w:p>
                        </w:tc>
                        <w:tc>
                          <w:tcPr>
                            <w:tcW w:w="8178" w:type="dxa"/>
                            <w:tcBorders/>
                          </w:tcPr>
                          <w:p>
                            <w:pPr>
                              <w:pStyle w:val="TableContents"/>
                              <w:bidi w:val="0"/>
                              <w:spacing w:before="0" w:after="0"/>
                              <w:jc w:val="left"/>
                              <w:rPr>
                                <w:rFonts w:ascii="Times New Roman" w:hAnsi="Times New Roman"/>
                                <w:sz w:val="20"/>
                              </w:rPr>
                            </w:pPr>
                            <w:r>
                              <w:rPr>
                                <w:rFonts w:ascii="Times New Roman" w:hAnsi="Times New Roman"/>
                                <w:sz w:val="20"/>
                              </w:rPr>
                              <w:t>at each Relevant Moment, the Company will not have (i) been dissolved (</w:t>
                            </w:r>
                            <w:r>
                              <w:rPr>
                                <w:rFonts w:ascii="Times New Roman" w:hAnsi="Times New Roman"/>
                                <w:i/>
                                <w:sz w:val="20"/>
                              </w:rPr>
                              <w:t>ontbonden</w:t>
                            </w:r>
                            <w:r>
                              <w:rPr>
                                <w:rFonts w:ascii="Times New Roman" w:hAnsi="Times New Roman"/>
                                <w:sz w:val="20"/>
                              </w:rPr>
                              <w:t>), (ii) ceased to exist pursuant to a merger (</w:t>
                            </w:r>
                            <w:r>
                              <w:rPr>
                                <w:rFonts w:ascii="Times New Roman" w:hAnsi="Times New Roman"/>
                                <w:i/>
                                <w:sz w:val="20"/>
                              </w:rPr>
                              <w:t>fusie</w:t>
                            </w:r>
                            <w:r>
                              <w:rPr>
                                <w:rFonts w:ascii="Times New Roman" w:hAnsi="Times New Roman"/>
                                <w:sz w:val="20"/>
                              </w:rPr>
                              <w:t>) or a division (</w:t>
                            </w:r>
                            <w:r>
                              <w:rPr>
                                <w:rFonts w:ascii="Times New Roman" w:hAnsi="Times New Roman"/>
                                <w:i/>
                                <w:sz w:val="20"/>
                              </w:rPr>
                              <w:t>splitsing</w:t>
                            </w:r>
                            <w:r>
                              <w:rPr>
                                <w:rFonts w:ascii="Times New Roman" w:hAnsi="Times New Roman"/>
                                <w:sz w:val="20"/>
                              </w:rPr>
                              <w:t>), (iii) been converted (</w:t>
                            </w:r>
                            <w:r>
                              <w:rPr>
                                <w:rFonts w:ascii="Times New Roman" w:hAnsi="Times New Roman"/>
                                <w:i/>
                                <w:sz w:val="20"/>
                              </w:rPr>
                              <w:t>omgezet</w:t>
                            </w:r>
                            <w:r>
                              <w:rPr>
                                <w:rFonts w:ascii="Times New Roman" w:hAnsi="Times New Roman"/>
                                <w:sz w:val="20"/>
                              </w:rPr>
                              <w:t>) into another legal form, either national or foreign, (iv) had its assets placed under administration (</w:t>
                            </w:r>
                            <w:r>
                              <w:rPr>
                                <w:rFonts w:ascii="Times New Roman" w:hAnsi="Times New Roman"/>
                                <w:i/>
                                <w:sz w:val="20"/>
                              </w:rPr>
                              <w:t>onder bewind gesteld</w:t>
                            </w:r>
                            <w:r>
                              <w:rPr>
                                <w:rFonts w:ascii="Times New Roman" w:hAnsi="Times New Roman"/>
                                <w:sz w:val="20"/>
                              </w:rPr>
                              <w:t>), (v) been declared bankrupt (</w:t>
                            </w:r>
                            <w:r>
                              <w:rPr>
                                <w:rFonts w:ascii="Times New Roman" w:hAnsi="Times New Roman"/>
                                <w:i/>
                                <w:sz w:val="20"/>
                              </w:rPr>
                              <w:t>failliet verklaard</w:t>
                            </w:r>
                            <w:r>
                              <w:rPr>
                                <w:rFonts w:ascii="Times New Roman" w:hAnsi="Times New Roman"/>
                                <w:sz w:val="20"/>
                              </w:rPr>
                              <w:t>), (vi) been granted a suspension of payments (</w:t>
                            </w:r>
                            <w:r>
                              <w:rPr>
                                <w:rFonts w:ascii="Times New Roman" w:hAnsi="Times New Roman"/>
                                <w:i/>
                                <w:sz w:val="20"/>
                              </w:rPr>
                              <w:t>surseance van betaling verleend</w:t>
                            </w:r>
                            <w:r>
                              <w:rPr>
                                <w:rFonts w:ascii="Times New Roman" w:hAnsi="Times New Roman"/>
                                <w:sz w:val="20"/>
                              </w:rPr>
                              <w:t>), (vii) started or become subject to statutory proceedings for the restructuring of its debts (</w:t>
                            </w:r>
                            <w:r>
                              <w:rPr>
                                <w:rFonts w:ascii="Times New Roman" w:hAnsi="Times New Roman"/>
                                <w:i/>
                                <w:sz w:val="20"/>
                              </w:rPr>
                              <w:t>akkoordprocedure</w:t>
                            </w:r>
                            <w:r>
                              <w:rPr>
                                <w:rFonts w:ascii="Times New Roman" w:hAnsi="Times New Roman"/>
                                <w:sz w:val="20"/>
                              </w:rPr>
                              <w:t xml:space="preserve">) or (viii) been made subject to similar proceedings in any jurisdiction or otherwise been limited in its power to dispose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8146"/>
                      </w:tblGrid>
                      <w:tr>
                        <w:trPr/>
                        <w:tc>
                          <w:tcPr>
                            <w:tcW w:w="222" w:type="dxa"/>
                            <w:tcBorders/>
                          </w:tcPr>
                          <w:p>
                            <w:pPr>
                              <w:pStyle w:val="TableContents"/>
                              <w:bidi w:val="0"/>
                              <w:spacing w:before="0" w:after="283"/>
                              <w:jc w:val="left"/>
                              <w:rPr/>
                            </w:pPr>
                            <w:r>
                              <w:rPr/>
                              <w:t>i.</w:t>
                            </w:r>
                          </w:p>
                        </w:tc>
                        <w:tc>
                          <w:tcPr>
                            <w:tcW w:w="8146" w:type="dxa"/>
                            <w:tcBorders/>
                          </w:tcPr>
                          <w:p>
                            <w:pPr>
                              <w:pStyle w:val="TableContents"/>
                              <w:bidi w:val="0"/>
                              <w:spacing w:before="0" w:after="0"/>
                              <w:jc w:val="left"/>
                              <w:rPr>
                                <w:rFonts w:ascii="Times New Roman" w:hAnsi="Times New Roman"/>
                                <w:sz w:val="20"/>
                              </w:rPr>
                            </w:pPr>
                            <w:r>
                              <w:rPr>
                                <w:rFonts w:ascii="Times New Roman" w:hAnsi="Times New Roman"/>
                                <w:sz w:val="20"/>
                              </w:rPr>
                              <w:t>any Registered Securities shall be issued, and any pre-emption rights in connection therewith shall have been excluded, pursuant to resolutions validly passed by the corporate body (</w:t>
                            </w:r>
                            <w:r>
                              <w:rPr>
                                <w:rFonts w:ascii="Times New Roman" w:hAnsi="Times New Roman"/>
                                <w:i/>
                                <w:sz w:val="20"/>
                              </w:rPr>
                              <w:t>orgaan</w:t>
                            </w:r>
                            <w:r>
                              <w:rPr>
                                <w:rFonts w:ascii="Times New Roman" w:hAnsi="Times New Roman"/>
                                <w:sz w:val="20"/>
                              </w:rPr>
                              <w:t xml:space="preserve">) of the Company duly authorised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8"/>
                        <w:gridCol w:w="8210"/>
                      </w:tblGrid>
                      <w:tr>
                        <w:trPr/>
                        <w:tc>
                          <w:tcPr>
                            <w:tcW w:w="158" w:type="dxa"/>
                            <w:tcBorders/>
                          </w:tcPr>
                          <w:p>
                            <w:pPr>
                              <w:pStyle w:val="TableContents"/>
                              <w:bidi w:val="0"/>
                              <w:spacing w:before="0" w:after="283"/>
                              <w:jc w:val="left"/>
                              <w:rPr/>
                            </w:pPr>
                            <w:r>
                              <w:rPr/>
                              <w:t>j.</w:t>
                            </w:r>
                          </w:p>
                        </w:tc>
                        <w:tc>
                          <w:tcPr>
                            <w:tcW w:w="821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price for any Registered Shares shall at least equal the aggregate nominal value thereof, any conversion, exchange or exercise price of other Registered Securities shall at least equal the aggregate nominal value of the underlying Registered Shares, and any such issue, conversion, exchange or exercise price shall have been satisfied in cash and shall have been received and accepted by the Company ultimately upon the issuance of the relevant Registered Shares and, where relevant, the Company shall have consented to payment in a currency other than Euro;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9"/>
                        <w:gridCol w:w="8129"/>
                      </w:tblGrid>
                      <w:tr>
                        <w:trPr/>
                        <w:tc>
                          <w:tcPr>
                            <w:tcW w:w="239" w:type="dxa"/>
                            <w:tcBorders/>
                          </w:tcPr>
                          <w:p>
                            <w:pPr>
                              <w:pStyle w:val="TableContents"/>
                              <w:bidi w:val="0"/>
                              <w:spacing w:before="0" w:after="283"/>
                              <w:jc w:val="left"/>
                              <w:rPr/>
                            </w:pPr>
                            <w:r>
                              <w:rPr/>
                              <w:t>k.</w:t>
                            </w:r>
                          </w:p>
                        </w:tc>
                        <w:tc>
                          <w:tcPr>
                            <w:tcW w:w="81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Registered Shares issued in connection with the conversion, exchange or exercise of other Registered Securities shall be issued pursuant to a valid conversion, exchange or exercise of such Registered Securities in accordance with their respective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
                        <w:gridCol w:w="8134"/>
                      </w:tblGrid>
                      <w:tr>
                        <w:trPr/>
                        <w:tc>
                          <w:tcPr>
                            <w:tcW w:w="234" w:type="dxa"/>
                            <w:tcBorders/>
                          </w:tcPr>
                          <w:p>
                            <w:pPr>
                              <w:pStyle w:val="TableContents"/>
                              <w:bidi w:val="0"/>
                              <w:spacing w:before="0" w:after="283"/>
                              <w:jc w:val="left"/>
                              <w:rPr/>
                            </w:pPr>
                            <w:r>
                              <w:rPr/>
                              <w:t>l.</w:t>
                            </w:r>
                          </w:p>
                        </w:tc>
                        <w:tc>
                          <w:tcPr>
                            <w:tcW w:w="813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offer or sale of Registered Securities, to the extent made in the Netherlands shall be made only in conformity with the Prospectus Regulation, the PRIIPs Regulation and the rules promulgated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97"/>
                        <w:gridCol w:w="8071"/>
                      </w:tblGrid>
                      <w:tr>
                        <w:trPr/>
                        <w:tc>
                          <w:tcPr>
                            <w:tcW w:w="297" w:type="dxa"/>
                            <w:tcBorders/>
                          </w:tcPr>
                          <w:p>
                            <w:pPr>
                              <w:pStyle w:val="TableContents"/>
                              <w:bidi w:val="0"/>
                              <w:spacing w:before="0" w:after="283"/>
                              <w:jc w:val="left"/>
                              <w:rPr/>
                            </w:pPr>
                            <w:r>
                              <w:rPr/>
                              <w:t>m.</w:t>
                            </w:r>
                          </w:p>
                        </w:tc>
                        <w:tc>
                          <w:tcPr>
                            <w:tcW w:w="80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each Relevant Moment, each of the assumptions made in this opinion letter will be correct in all aspects by reference to the facts and circumstances then existing. </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1266825" cy="15240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28"/>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12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971550" cy="175260"/>
                <wp:effectExtent l="0" t="0" r="0" b="0"/>
                <wp:wrapSquare wrapText="right"/>
                <wp:docPr id="15" name="Frame7"/>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5313680" cy="5361305"/>
                <wp:effectExtent l="0" t="0" r="0" b="0"/>
                <wp:wrapSquare wrapText="right"/>
                <wp:docPr id="16" name="Frame8"/>
                <a:graphic xmlns:a="http://schemas.openxmlformats.org/drawingml/2006/main">
                  <a:graphicData uri="http://schemas.microsoft.com/office/word/2010/wordprocessingShape">
                    <wps:wsp>
                      <wps:cNvSpPr txBox="1"/>
                      <wps:spPr>
                        <a:xfrm>
                          <a:off x="0" y="0"/>
                          <a:ext cx="5313680" cy="5361305"/>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Based upon and subject to the foregoing and subject to the qualifications set forth in this opinion letter and to any matters, documents or events not disclosed to us, we express the following opinions: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Status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77"/>
                              <w:gridCol w:w="8091"/>
                            </w:tblGrid>
                            <w:tr>
                              <w:trPr/>
                              <w:tc>
                                <w:tcPr>
                                  <w:tcW w:w="277" w:type="dxa"/>
                                  <w:tcBorders/>
                                </w:tcPr>
                                <w:p>
                                  <w:pPr>
                                    <w:pStyle w:val="TableContents"/>
                                    <w:bidi w:val="0"/>
                                    <w:spacing w:before="0" w:after="283"/>
                                    <w:jc w:val="left"/>
                                    <w:rPr/>
                                  </w:pPr>
                                  <w:r>
                                    <w:rPr/>
                                    <w:t>1.</w:t>
                                  </w:r>
                                </w:p>
                              </w:tc>
                              <w:tc>
                                <w:tcPr>
                                  <w:tcW w:w="80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been duly incorporated as a </w:t>
                                  </w:r>
                                  <w:r>
                                    <w:rPr>
                                      <w:rFonts w:ascii="Times New Roman" w:hAnsi="Times New Roman"/>
                                      <w:i/>
                                      <w:sz w:val="20"/>
                                    </w:rPr>
                                    <w:t>besloten</w:t>
                                  </w:r>
                                  <w:r>
                                    <w:rPr>
                                      <w:rFonts w:ascii="Times New Roman" w:hAnsi="Times New Roman"/>
                                      <w:sz w:val="20"/>
                                    </w:rPr>
                                    <w:t xml:space="preserve"> </w:t>
                                  </w:r>
                                  <w:r>
                                    <w:rPr>
                                      <w:rFonts w:ascii="Times New Roman" w:hAnsi="Times New Roman"/>
                                      <w:i/>
                                      <w:sz w:val="20"/>
                                    </w:rPr>
                                    <w:t>vennootschap</w:t>
                                  </w:r>
                                  <w:r>
                                    <w:rPr>
                                      <w:rFonts w:ascii="Times New Roman" w:hAnsi="Times New Roman"/>
                                      <w:sz w:val="20"/>
                                    </w:rPr>
                                    <w:t xml:space="preserve"> </w:t>
                                  </w:r>
                                  <w:r>
                                    <w:rPr>
                                      <w:rFonts w:ascii="Times New Roman" w:hAnsi="Times New Roman"/>
                                      <w:i/>
                                      <w:sz w:val="20"/>
                                    </w:rPr>
                                    <w:t>met beperkte</w:t>
                                  </w:r>
                                  <w:r>
                                    <w:rPr>
                                      <w:rFonts w:ascii="Times New Roman" w:hAnsi="Times New Roman"/>
                                      <w:sz w:val="20"/>
                                    </w:rPr>
                                    <w:t xml:space="preserve"> </w:t>
                                  </w:r>
                                  <w:r>
                                    <w:rPr>
                                      <w:rFonts w:ascii="Times New Roman" w:hAnsi="Times New Roman"/>
                                      <w:i/>
                                      <w:sz w:val="20"/>
                                    </w:rPr>
                                    <w:t>aansprakelijkheid</w:t>
                                  </w:r>
                                  <w:r>
                                    <w:rPr>
                                      <w:rFonts w:ascii="Times New Roman" w:hAnsi="Times New Roman"/>
                                      <w:sz w:val="20"/>
                                    </w:rPr>
                                    <w:t xml:space="preserve"> and is validly existing as a </w:t>
                                  </w:r>
                                  <w:r>
                                    <w:rPr>
                                      <w:rFonts w:ascii="Times New Roman" w:hAnsi="Times New Roman"/>
                                      <w:i/>
                                      <w:sz w:val="20"/>
                                    </w:rPr>
                                    <w:t>naamloze</w:t>
                                  </w:r>
                                  <w:r>
                                    <w:rPr>
                                      <w:rFonts w:ascii="Times New Roman" w:hAnsi="Times New Roman"/>
                                      <w:sz w:val="20"/>
                                    </w:rPr>
                                    <w:t xml:space="preserve"> </w:t>
                                  </w:r>
                                  <w:r>
                                    <w:rPr>
                                      <w:rFonts w:ascii="Times New Roman" w:hAnsi="Times New Roman"/>
                                      <w:i/>
                                      <w:sz w:val="20"/>
                                    </w:rPr>
                                    <w:t>vennootschap</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Registered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4"/>
                              <w:gridCol w:w="8174"/>
                            </w:tblGrid>
                            <w:tr>
                              <w:trPr/>
                              <w:tc>
                                <w:tcPr>
                                  <w:tcW w:w="194" w:type="dxa"/>
                                  <w:tcBorders/>
                                </w:tcPr>
                                <w:p>
                                  <w:pPr>
                                    <w:pStyle w:val="TableContents"/>
                                    <w:bidi w:val="0"/>
                                    <w:spacing w:before="0" w:after="283"/>
                                    <w:jc w:val="left"/>
                                    <w:rPr/>
                                  </w:pPr>
                                  <w:r>
                                    <w:rPr/>
                                    <w:t>2.</w:t>
                                  </w:r>
                                </w:p>
                              </w:tc>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receipt by the Company of payment in full for, or other satisfaction of the issue, conversion, exchange or exercise price for, the Registered Shares, and when issued by the Company and accepted by the acquiror(s) thereof, the Registered Shares shall be validly issued, fully paid and non-assessable.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1"/>
                              <w:gridCol w:w="8127"/>
                            </w:tblGrid>
                            <w:tr>
                              <w:trPr/>
                              <w:tc>
                                <w:tcPr>
                                  <w:tcW w:w="241" w:type="dxa"/>
                                  <w:tcBorders/>
                                </w:tcPr>
                                <w:p>
                                  <w:pPr>
                                    <w:pStyle w:val="TableContents"/>
                                    <w:bidi w:val="0"/>
                                    <w:spacing w:before="0" w:after="283"/>
                                    <w:jc w:val="left"/>
                                    <w:rPr/>
                                  </w:pPr>
                                  <w:r>
                                    <w:rPr/>
                                    <w:t>A.</w:t>
                                  </w:r>
                                </w:p>
                              </w:tc>
                              <w:tc>
                                <w:tcPr>
                                  <w:tcW w:w="8127" w:type="dxa"/>
                                  <w:tcBorders/>
                                </w:tcPr>
                                <w:p>
                                  <w:pPr>
                                    <w:pStyle w:val="TableContents"/>
                                    <w:bidi w:val="0"/>
                                    <w:spacing w:before="0" w:after="0"/>
                                    <w:jc w:val="left"/>
                                    <w:rPr>
                                      <w:rFonts w:ascii="Times New Roman" w:hAnsi="Times New Roman"/>
                                      <w:sz w:val="20"/>
                                    </w:rPr>
                                  </w:pPr>
                                  <w:r>
                                    <w:rPr>
                                      <w:rFonts w:ascii="Times New Roman" w:hAnsi="Times New Roman"/>
                                      <w:sz w:val="20"/>
                                    </w:rPr>
                                    <w:t>Opinion 1 must not be read to imply that the Company cannot be dissolved (</w:t>
                                  </w:r>
                                  <w:r>
                                    <w:rPr>
                                      <w:rFonts w:ascii="Times New Roman" w:hAnsi="Times New Roman"/>
                                      <w:i/>
                                      <w:sz w:val="20"/>
                                    </w:rPr>
                                    <w:t>ontbonden</w:t>
                                  </w:r>
                                  <w:r>
                                    <w:rPr>
                                      <w:rFonts w:ascii="Times New Roman" w:hAnsi="Times New Roman"/>
                                      <w:sz w:val="20"/>
                                    </w:rPr>
                                    <w:t>). A company such as the Company may be dissolved, inter alia by the competent court at the request of the companys board of directors, any interested party (</w:t>
                                  </w:r>
                                  <w:r>
                                    <w:rPr>
                                      <w:rFonts w:ascii="Times New Roman" w:hAnsi="Times New Roman"/>
                                      <w:i/>
                                      <w:sz w:val="20"/>
                                    </w:rPr>
                                    <w:t>belanghebbende</w:t>
                                  </w:r>
                                  <w:r>
                                    <w:rPr>
                                      <w:rFonts w:ascii="Times New Roman" w:hAnsi="Times New Roman"/>
                                      <w:sz w:val="20"/>
                                    </w:rPr>
                                    <w:t xml:space="preserve">) or the public prosecution office in certain circumstances, such as when there are certain defects in the incorporation of the company. Any such dissolution will not have retro-active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5"/>
                              <w:gridCol w:w="8153"/>
                            </w:tblGrid>
                            <w:tr>
                              <w:trPr/>
                              <w:tc>
                                <w:tcPr>
                                  <w:tcW w:w="215" w:type="dxa"/>
                                  <w:tcBorders/>
                                </w:tcPr>
                                <w:p>
                                  <w:pPr>
                                    <w:pStyle w:val="TableContents"/>
                                    <w:bidi w:val="0"/>
                                    <w:spacing w:before="0" w:after="283"/>
                                    <w:jc w:val="left"/>
                                    <w:rPr/>
                                  </w:pPr>
                                  <w:r>
                                    <w:rPr/>
                                    <w:t>B.</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Section 2:7 DCC, any transaction entered into by a legal entity may be nullified by the legal entity itself or its liquidator in bankruptcy proceedings (</w:t>
                                  </w:r>
                                  <w:r>
                                    <w:rPr>
                                      <w:rFonts w:ascii="Times New Roman" w:hAnsi="Times New Roman"/>
                                      <w:i/>
                                      <w:sz w:val="20"/>
                                    </w:rPr>
                                    <w:t>curator</w:t>
                                  </w:r>
                                  <w:r>
                                    <w:rPr>
                                      <w:rFonts w:ascii="Times New Roman" w:hAnsi="Times New Roman"/>
                                      <w:sz w:val="20"/>
                                    </w:rPr>
                                    <w:t>) if the objects of that entity were transgressed by the transaction and the other party to the transaction knew or should have known this without independent investigation (</w:t>
                                  </w:r>
                                  <w:r>
                                    <w:rPr>
                                      <w:rFonts w:ascii="Times New Roman" w:hAnsi="Times New Roman"/>
                                      <w:i/>
                                      <w:sz w:val="20"/>
                                    </w:rPr>
                                    <w:t>wist of zonder eigen onderzoek moest weten</w:t>
                                  </w:r>
                                  <w:r>
                                    <w:rPr>
                                      <w:rFonts w:ascii="Times New Roman" w:hAnsi="Times New Roman"/>
                                      <w:sz w:val="20"/>
                                    </w:rPr>
                                    <w:t>). The Dutch Supreme Court (</w:t>
                                  </w:r>
                                  <w:r>
                                    <w:rPr>
                                      <w:rFonts w:ascii="Times New Roman" w:hAnsi="Times New Roman"/>
                                      <w:i/>
                                      <w:sz w:val="20"/>
                                    </w:rPr>
                                    <w:t>Hoge Raad der Nederlanden</w:t>
                                  </w:r>
                                  <w:r>
                                    <w:rPr>
                                      <w:rFonts w:ascii="Times New Roman" w:hAnsi="Times New Roman"/>
                                      <w:sz w:val="20"/>
                                    </w:rPr>
                                    <w:t>) has ruled that in determining whether the objects of a legal entity are transgressed, not only the description of the objects in that legal entitys articles of association (</w:t>
                                  </w:r>
                                  <w:r>
                                    <w:rPr>
                                      <w:rFonts w:ascii="Times New Roman" w:hAnsi="Times New Roman"/>
                                      <w:i/>
                                      <w:sz w:val="20"/>
                                    </w:rPr>
                                    <w:t>statuten</w:t>
                                  </w:r>
                                  <w:r>
                                    <w:rPr>
                                      <w:rFonts w:ascii="Times New Roman" w:hAnsi="Times New Roman"/>
                                      <w:sz w:val="20"/>
                                    </w:rPr>
                                    <w:t xml:space="preserve">) is decisive, but all (relevant) circumstances must be taken into account, in particular whether the interests of the legal entity were served by the transaction. Based on the objects clause contained in the Current Articles, we have no reason to believe that, by issuing Registered Securities, the Company would transgress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422.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Based upon and subject to the foregoing and subject to the qualifications set forth in this opinion letter and to any matters, documents or events not disclosed to us, we express the following opinions: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Status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77"/>
                        <w:gridCol w:w="8091"/>
                      </w:tblGrid>
                      <w:tr>
                        <w:trPr/>
                        <w:tc>
                          <w:tcPr>
                            <w:tcW w:w="277" w:type="dxa"/>
                            <w:tcBorders/>
                          </w:tcPr>
                          <w:p>
                            <w:pPr>
                              <w:pStyle w:val="TableContents"/>
                              <w:bidi w:val="0"/>
                              <w:spacing w:before="0" w:after="283"/>
                              <w:jc w:val="left"/>
                              <w:rPr/>
                            </w:pPr>
                            <w:r>
                              <w:rPr/>
                              <w:t>1.</w:t>
                            </w:r>
                          </w:p>
                        </w:tc>
                        <w:tc>
                          <w:tcPr>
                            <w:tcW w:w="80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been duly incorporated as a </w:t>
                            </w:r>
                            <w:r>
                              <w:rPr>
                                <w:rFonts w:ascii="Times New Roman" w:hAnsi="Times New Roman"/>
                                <w:i/>
                                <w:sz w:val="20"/>
                              </w:rPr>
                              <w:t>besloten</w:t>
                            </w:r>
                            <w:r>
                              <w:rPr>
                                <w:rFonts w:ascii="Times New Roman" w:hAnsi="Times New Roman"/>
                                <w:sz w:val="20"/>
                              </w:rPr>
                              <w:t xml:space="preserve"> </w:t>
                            </w:r>
                            <w:r>
                              <w:rPr>
                                <w:rFonts w:ascii="Times New Roman" w:hAnsi="Times New Roman"/>
                                <w:i/>
                                <w:sz w:val="20"/>
                              </w:rPr>
                              <w:t>vennootschap</w:t>
                            </w:r>
                            <w:r>
                              <w:rPr>
                                <w:rFonts w:ascii="Times New Roman" w:hAnsi="Times New Roman"/>
                                <w:sz w:val="20"/>
                              </w:rPr>
                              <w:t xml:space="preserve"> </w:t>
                            </w:r>
                            <w:r>
                              <w:rPr>
                                <w:rFonts w:ascii="Times New Roman" w:hAnsi="Times New Roman"/>
                                <w:i/>
                                <w:sz w:val="20"/>
                              </w:rPr>
                              <w:t>met beperkte</w:t>
                            </w:r>
                            <w:r>
                              <w:rPr>
                                <w:rFonts w:ascii="Times New Roman" w:hAnsi="Times New Roman"/>
                                <w:sz w:val="20"/>
                              </w:rPr>
                              <w:t xml:space="preserve"> </w:t>
                            </w:r>
                            <w:r>
                              <w:rPr>
                                <w:rFonts w:ascii="Times New Roman" w:hAnsi="Times New Roman"/>
                                <w:i/>
                                <w:sz w:val="20"/>
                              </w:rPr>
                              <w:t>aansprakelijkheid</w:t>
                            </w:r>
                            <w:r>
                              <w:rPr>
                                <w:rFonts w:ascii="Times New Roman" w:hAnsi="Times New Roman"/>
                                <w:sz w:val="20"/>
                              </w:rPr>
                              <w:t xml:space="preserve"> and is validly existing as a </w:t>
                            </w:r>
                            <w:r>
                              <w:rPr>
                                <w:rFonts w:ascii="Times New Roman" w:hAnsi="Times New Roman"/>
                                <w:i/>
                                <w:sz w:val="20"/>
                              </w:rPr>
                              <w:t>naamloze</w:t>
                            </w:r>
                            <w:r>
                              <w:rPr>
                                <w:rFonts w:ascii="Times New Roman" w:hAnsi="Times New Roman"/>
                                <w:sz w:val="20"/>
                              </w:rPr>
                              <w:t xml:space="preserve"> </w:t>
                            </w:r>
                            <w:r>
                              <w:rPr>
                                <w:rFonts w:ascii="Times New Roman" w:hAnsi="Times New Roman"/>
                                <w:i/>
                                <w:sz w:val="20"/>
                              </w:rPr>
                              <w:t>vennootschap</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Registered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4"/>
                        <w:gridCol w:w="8174"/>
                      </w:tblGrid>
                      <w:tr>
                        <w:trPr/>
                        <w:tc>
                          <w:tcPr>
                            <w:tcW w:w="194" w:type="dxa"/>
                            <w:tcBorders/>
                          </w:tcPr>
                          <w:p>
                            <w:pPr>
                              <w:pStyle w:val="TableContents"/>
                              <w:bidi w:val="0"/>
                              <w:spacing w:before="0" w:after="283"/>
                              <w:jc w:val="left"/>
                              <w:rPr/>
                            </w:pPr>
                            <w:r>
                              <w:rPr/>
                              <w:t>2.</w:t>
                            </w:r>
                          </w:p>
                        </w:tc>
                        <w:tc>
                          <w:tcPr>
                            <w:tcW w:w="81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receipt by the Company of payment in full for, or other satisfaction of the issue, conversion, exchange or exercise price for, the Registered Shares, and when issued by the Company and accepted by the acquiror(s) thereof, the Registered Shares shall be validly issued, fully paid and non-assessable.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1"/>
                        <w:gridCol w:w="8127"/>
                      </w:tblGrid>
                      <w:tr>
                        <w:trPr/>
                        <w:tc>
                          <w:tcPr>
                            <w:tcW w:w="241" w:type="dxa"/>
                            <w:tcBorders/>
                          </w:tcPr>
                          <w:p>
                            <w:pPr>
                              <w:pStyle w:val="TableContents"/>
                              <w:bidi w:val="0"/>
                              <w:spacing w:before="0" w:after="283"/>
                              <w:jc w:val="left"/>
                              <w:rPr/>
                            </w:pPr>
                            <w:r>
                              <w:rPr/>
                              <w:t>A.</w:t>
                            </w:r>
                          </w:p>
                        </w:tc>
                        <w:tc>
                          <w:tcPr>
                            <w:tcW w:w="8127" w:type="dxa"/>
                            <w:tcBorders/>
                          </w:tcPr>
                          <w:p>
                            <w:pPr>
                              <w:pStyle w:val="TableContents"/>
                              <w:bidi w:val="0"/>
                              <w:spacing w:before="0" w:after="0"/>
                              <w:jc w:val="left"/>
                              <w:rPr>
                                <w:rFonts w:ascii="Times New Roman" w:hAnsi="Times New Roman"/>
                                <w:sz w:val="20"/>
                              </w:rPr>
                            </w:pPr>
                            <w:r>
                              <w:rPr>
                                <w:rFonts w:ascii="Times New Roman" w:hAnsi="Times New Roman"/>
                                <w:sz w:val="20"/>
                              </w:rPr>
                              <w:t>Opinion 1 must not be read to imply that the Company cannot be dissolved (</w:t>
                            </w:r>
                            <w:r>
                              <w:rPr>
                                <w:rFonts w:ascii="Times New Roman" w:hAnsi="Times New Roman"/>
                                <w:i/>
                                <w:sz w:val="20"/>
                              </w:rPr>
                              <w:t>ontbonden</w:t>
                            </w:r>
                            <w:r>
                              <w:rPr>
                                <w:rFonts w:ascii="Times New Roman" w:hAnsi="Times New Roman"/>
                                <w:sz w:val="20"/>
                              </w:rPr>
                              <w:t>). A company such as the Company may be dissolved, inter alia by the competent court at the request of the companys board of directors, any interested party (</w:t>
                            </w:r>
                            <w:r>
                              <w:rPr>
                                <w:rFonts w:ascii="Times New Roman" w:hAnsi="Times New Roman"/>
                                <w:i/>
                                <w:sz w:val="20"/>
                              </w:rPr>
                              <w:t>belanghebbende</w:t>
                            </w:r>
                            <w:r>
                              <w:rPr>
                                <w:rFonts w:ascii="Times New Roman" w:hAnsi="Times New Roman"/>
                                <w:sz w:val="20"/>
                              </w:rPr>
                              <w:t xml:space="preserve">) or the public prosecution office in certain circumstances, such as when there are certain defects in the incorporation of the company. Any such dissolution will not have retro-active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5"/>
                        <w:gridCol w:w="8153"/>
                      </w:tblGrid>
                      <w:tr>
                        <w:trPr/>
                        <w:tc>
                          <w:tcPr>
                            <w:tcW w:w="215" w:type="dxa"/>
                            <w:tcBorders/>
                          </w:tcPr>
                          <w:p>
                            <w:pPr>
                              <w:pStyle w:val="TableContents"/>
                              <w:bidi w:val="0"/>
                              <w:spacing w:before="0" w:after="283"/>
                              <w:jc w:val="left"/>
                              <w:rPr/>
                            </w:pPr>
                            <w:r>
                              <w:rPr/>
                              <w:t>B.</w:t>
                            </w:r>
                          </w:p>
                        </w:tc>
                        <w:tc>
                          <w:tcPr>
                            <w:tcW w:w="8153"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Section 2:7 DCC, any transaction entered into by a legal entity may be nullified by the legal entity itself or its liquidator in bankruptcy proceedings (</w:t>
                            </w:r>
                            <w:r>
                              <w:rPr>
                                <w:rFonts w:ascii="Times New Roman" w:hAnsi="Times New Roman"/>
                                <w:i/>
                                <w:sz w:val="20"/>
                              </w:rPr>
                              <w:t>curator</w:t>
                            </w:r>
                            <w:r>
                              <w:rPr>
                                <w:rFonts w:ascii="Times New Roman" w:hAnsi="Times New Roman"/>
                                <w:sz w:val="20"/>
                              </w:rPr>
                              <w:t>) if the objects of that entity were transgressed by the transaction and the other party to the transaction knew or should have known this without independent investigation (</w:t>
                            </w:r>
                            <w:r>
                              <w:rPr>
                                <w:rFonts w:ascii="Times New Roman" w:hAnsi="Times New Roman"/>
                                <w:i/>
                                <w:sz w:val="20"/>
                              </w:rPr>
                              <w:t>wist of zonder eigen onderzoek moest weten</w:t>
                            </w:r>
                            <w:r>
                              <w:rPr>
                                <w:rFonts w:ascii="Times New Roman" w:hAnsi="Times New Roman"/>
                                <w:sz w:val="20"/>
                              </w:rPr>
                              <w:t>). The Dutch Supreme Court (</w:t>
                            </w:r>
                            <w:r>
                              <w:rPr>
                                <w:rFonts w:ascii="Times New Roman" w:hAnsi="Times New Roman"/>
                                <w:i/>
                                <w:sz w:val="20"/>
                              </w:rPr>
                              <w:t>Hoge Raad der Nederlanden</w:t>
                            </w:r>
                            <w:r>
                              <w:rPr>
                                <w:rFonts w:ascii="Times New Roman" w:hAnsi="Times New Roman"/>
                                <w:sz w:val="20"/>
                              </w:rPr>
                              <w:t>) has ruled that in determining whether the objects of a legal entity are transgressed, not only the description of the objects in that legal entitys articles of association (</w:t>
                            </w:r>
                            <w:r>
                              <w:rPr>
                                <w:rFonts w:ascii="Times New Roman" w:hAnsi="Times New Roman"/>
                                <w:i/>
                                <w:sz w:val="20"/>
                              </w:rPr>
                              <w:t>statuten</w:t>
                            </w:r>
                            <w:r>
                              <w:rPr>
                                <w:rFonts w:ascii="Times New Roman" w:hAnsi="Times New Roman"/>
                                <w:sz w:val="20"/>
                              </w:rPr>
                              <w:t xml:space="preserve">) is decisive, but all (relevant) circumstances must be taken into account, in particular whether the interests of the legal entity were served by the transaction. Based on the objects clause contained in the Current Articles, we have no reason to believe that, by issuing Registered Securities, the Company would transgress </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1266825" cy="1524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29"/>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12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971550" cy="175260"/>
                <wp:effectExtent l="0" t="0" r="0" b="0"/>
                <wp:wrapSquare wrapText="right"/>
                <wp:docPr id="18" name="Frame9"/>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5313680" cy="6286500"/>
                <wp:effectExtent l="0" t="0" r="0" b="0"/>
                <wp:wrapSquare wrapText="right"/>
                <wp:docPr id="19" name="Frame10"/>
                <a:graphic xmlns:a="http://schemas.openxmlformats.org/drawingml/2006/main">
                  <a:graphicData uri="http://schemas.microsoft.com/office/word/2010/wordprocessingShape">
                    <wps:wsp>
                      <wps:cNvSpPr txBox="1"/>
                      <wps:spPr>
                        <a:xfrm>
                          <a:off x="0" y="0"/>
                          <a:ext cx="5313680" cy="6286500"/>
                        </a:xfrm>
                        <a:prstGeom prst="rect"/>
                        <a:solidFill>
                          <a:srgbClr val="FFFFFF"/>
                        </a:solidFill>
                      </wps:spPr>
                      <wps:txbx>
                        <w:txbxContent>
                          <w:tbl>
                            <w:tblPr>
                              <w:tblW w:w="5000" w:type="pct"/>
                              <w:jc w:val="left"/>
                              <w:tblInd w:w="0" w:type="dxa"/>
                              <w:tblLayout w:type="fixed"/>
                              <w:tblCellMar>
                                <w:top w:w="0" w:type="dxa"/>
                                <w:left w:w="0" w:type="dxa"/>
                                <w:bottom w:w="0" w:type="dxa"/>
                                <w:right w:w="0" w:type="dxa"/>
                              </w:tblCellMar>
                            </w:tblPr>
                            <w:tblGrid>
                              <w:gridCol w:w="136"/>
                              <w:gridCol w:w="8232"/>
                            </w:tblGrid>
                            <w:tr>
                              <w:trPr/>
                              <w:tc>
                                <w:tcPr>
                                  <w:tcW w:w="136" w:type="dxa"/>
                                  <w:tcBorders/>
                                  <w:vAlign w:val="center"/>
                                </w:tcPr>
                                <w:p>
                                  <w:pPr>
                                    <w:pStyle w:val="TableContents"/>
                                    <w:bidi w:val="0"/>
                                    <w:spacing w:before="0" w:after="283"/>
                                    <w:jc w:val="left"/>
                                    <w:rPr/>
                                  </w:pPr>
                                  <w:r>
                                    <w:rPr/>
                                    <w:t> </w:t>
                                  </w:r>
                                </w:p>
                              </w:tc>
                              <w:tc>
                                <w:tcPr>
                                  <w:tcW w:w="8232" w:type="dxa"/>
                                  <w:tcBorders/>
                                </w:tcPr>
                                <w:p>
                                  <w:pPr>
                                    <w:pStyle w:val="TableContents"/>
                                    <w:bidi w:val="0"/>
                                    <w:spacing w:before="0" w:after="283"/>
                                    <w:jc w:val="left"/>
                                    <w:rPr/>
                                  </w:pPr>
                                  <w:r>
                                    <w:rPr/>
                                    <w:t xml:space="preserve">the description of the objects contained in its Articles of Association. However, we cannot assess whether there are other relevant circumstances that must be taken into account, in particular whether the interests of the Company are served by issuing Registered Securities since this is a matter of fact.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7"/>
                              <w:gridCol w:w="8151"/>
                            </w:tblGrid>
                            <w:tr>
                              <w:trPr/>
                              <w:tc>
                                <w:tcPr>
                                  <w:tcW w:w="217" w:type="dxa"/>
                                  <w:tcBorders/>
                                </w:tcPr>
                                <w:p>
                                  <w:pPr>
                                    <w:pStyle w:val="TableContents"/>
                                    <w:bidi w:val="0"/>
                                    <w:spacing w:before="0" w:after="283"/>
                                    <w:jc w:val="left"/>
                                    <w:rPr/>
                                  </w:pPr>
                                  <w:r>
                                    <w:rPr/>
                                    <w:t>C.</w:t>
                                  </w:r>
                                </w:p>
                              </w:tc>
                              <w:tc>
                                <w:tcPr>
                                  <w:tcW w:w="81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Section 2:98c DCC, a </w:t>
                                  </w:r>
                                  <w:r>
                                    <w:rPr>
                                      <w:rFonts w:ascii="Times New Roman" w:hAnsi="Times New Roman"/>
                                      <w:i/>
                                      <w:sz w:val="20"/>
                                    </w:rPr>
                                    <w:t>naamloze vennootschap</w:t>
                                  </w:r>
                                  <w:r>
                                    <w:rPr>
                                      <w:rFonts w:ascii="Times New Roman" w:hAnsi="Times New Roman"/>
                                      <w:sz w:val="20"/>
                                    </w:rPr>
                                    <w:t xml:space="preserve"> may grant loans (</w:t>
                                  </w:r>
                                  <w:r>
                                    <w:rPr>
                                      <w:rFonts w:ascii="Times New Roman" w:hAnsi="Times New Roman"/>
                                      <w:i/>
                                      <w:sz w:val="20"/>
                                    </w:rPr>
                                    <w:t>leningen verstrekken</w:t>
                                  </w:r>
                                  <w:r>
                                    <w:rPr>
                                      <w:rFonts w:ascii="Times New Roman" w:hAnsi="Times New Roman"/>
                                      <w:sz w:val="20"/>
                                    </w:rPr>
                                    <w:t>) only in accordance with the restrictions set out in Section 2:98c DCC, and may not provide security (</w:t>
                                  </w:r>
                                  <w:r>
                                    <w:rPr>
                                      <w:rFonts w:ascii="Times New Roman" w:hAnsi="Times New Roman"/>
                                      <w:i/>
                                      <w:sz w:val="20"/>
                                    </w:rPr>
                                    <w:t>zekerheid stellen</w:t>
                                  </w:r>
                                  <w:r>
                                    <w:rPr>
                                      <w:rFonts w:ascii="Times New Roman" w:hAnsi="Times New Roman"/>
                                      <w:sz w:val="20"/>
                                    </w:rPr>
                                    <w:t>), give a price guarantee (</w:t>
                                  </w:r>
                                  <w:r>
                                    <w:rPr>
                                      <w:rFonts w:ascii="Times New Roman" w:hAnsi="Times New Roman"/>
                                      <w:i/>
                                      <w:sz w:val="20"/>
                                    </w:rPr>
                                    <w:t>koersgarantie geven</w:t>
                                  </w:r>
                                  <w:r>
                                    <w:rPr>
                                      <w:rFonts w:ascii="Times New Roman" w:hAnsi="Times New Roman"/>
                                      <w:sz w:val="20"/>
                                    </w:rPr>
                                    <w:t>) or otherwise bind itself, whether jointly and severally or otherwise with or for third parties (</w:t>
                                  </w:r>
                                  <w:r>
                                    <w:rPr>
                                      <w:rFonts w:ascii="Times New Roman" w:hAnsi="Times New Roman"/>
                                      <w:i/>
                                      <w:sz w:val="20"/>
                                    </w:rPr>
                                    <w:t>zich op andere wijze sterk maken of zich hoofdelijk of anderszins naast of voor anderen verbinden</w:t>
                                  </w:r>
                                  <w:r>
                                    <w:rPr>
                                      <w:rFonts w:ascii="Times New Roman" w:hAnsi="Times New Roman"/>
                                      <w:sz w:val="20"/>
                                    </w:rPr>
                                    <w:t>) with a view to (</w:t>
                                  </w:r>
                                  <w:r>
                                    <w:rPr>
                                      <w:rFonts w:ascii="Times New Roman" w:hAnsi="Times New Roman"/>
                                      <w:i/>
                                      <w:sz w:val="20"/>
                                    </w:rPr>
                                    <w:t>met het oog op</w:t>
                                  </w:r>
                                  <w:r>
                                    <w:rPr>
                                      <w:rFonts w:ascii="Times New Roman" w:hAnsi="Times New Roman"/>
                                      <w:sz w:val="20"/>
                                    </w:rPr>
                                    <w:t>) the subscription or acquisition by third parties of shares in its share capital or depository receipts. This prohibition also applies to its subsidiaries (</w:t>
                                  </w:r>
                                  <w:r>
                                    <w:rPr>
                                      <w:rFonts w:ascii="Times New Roman" w:hAnsi="Times New Roman"/>
                                      <w:i/>
                                      <w:sz w:val="20"/>
                                    </w:rPr>
                                    <w:t>dochtervennootschappen</w:t>
                                  </w:r>
                                  <w:r>
                                    <w:rPr>
                                      <w:rFonts w:ascii="Times New Roman" w:hAnsi="Times New Roman"/>
                                      <w:sz w:val="20"/>
                                    </w:rPr>
                                    <w:t>). It is generally assumed that a transaction entered into in violation of Section 2:98c DCC is null and void (</w:t>
                                  </w:r>
                                  <w:r>
                                    <w:rPr>
                                      <w:rFonts w:ascii="Times New Roman" w:hAnsi="Times New Roman"/>
                                      <w:i/>
                                      <w:sz w:val="20"/>
                                    </w:rPr>
                                    <w:t>nietig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5"/>
                              <w:gridCol w:w="7853"/>
                            </w:tblGrid>
                            <w:tr>
                              <w:trPr/>
                              <w:tc>
                                <w:tcPr>
                                  <w:tcW w:w="515" w:type="dxa"/>
                                  <w:tcBorders/>
                                </w:tcPr>
                                <w:p>
                                  <w:pPr>
                                    <w:pStyle w:val="TableContents"/>
                                    <w:bidi w:val="0"/>
                                    <w:spacing w:before="0" w:after="283"/>
                                    <w:jc w:val="left"/>
                                    <w:rPr/>
                                  </w:pPr>
                                  <w:r>
                                    <w:rPr/>
                                    <w:t>D.</w:t>
                                  </w:r>
                                </w:p>
                              </w:tc>
                              <w:tc>
                                <w:tcPr>
                                  <w:tcW w:w="78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opinions expressed in this opinion letter may be limited or affected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90"/>
                              <w:gridCol w:w="306"/>
                              <w:gridCol w:w="7772"/>
                            </w:tblGrid>
                            <w:tr>
                              <w:trPr/>
                              <w:tc>
                                <w:tcPr>
                                  <w:tcW w:w="29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77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rules relating to Insolvency Proceedings or similar proceedings under a foreign law and other rules affecting creditors rights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6"/>
                              <w:gridCol w:w="246"/>
                              <w:gridCol w:w="7936"/>
                            </w:tblGrid>
                            <w:tr>
                              <w:trPr/>
                              <w:tc>
                                <w:tcPr>
                                  <w:tcW w:w="186" w:type="dxa"/>
                                  <w:tcBorders/>
                                  <w:vAlign w:val="center"/>
                                </w:tcPr>
                                <w:p>
                                  <w:pPr>
                                    <w:pStyle w:val="TableContents"/>
                                    <w:bidi w:val="0"/>
                                    <w:spacing w:before="0" w:after="283"/>
                                    <w:jc w:val="left"/>
                                    <w:rPr/>
                                  </w:pPr>
                                  <w:r>
                                    <w:rPr/>
                                    <w:t> </w:t>
                                  </w:r>
                                </w:p>
                              </w:tc>
                              <w:tc>
                                <w:tcPr>
                                  <w:tcW w:w="246" w:type="dxa"/>
                                  <w:tcBorders/>
                                </w:tcPr>
                                <w:p>
                                  <w:pPr>
                                    <w:pStyle w:val="TableContents"/>
                                    <w:bidi w:val="0"/>
                                    <w:spacing w:before="0" w:after="283"/>
                                    <w:jc w:val="left"/>
                                    <w:rPr/>
                                  </w:pPr>
                                  <w:r>
                                    <w:rPr/>
                                    <w:t>b.</w:t>
                                  </w:r>
                                </w:p>
                              </w:tc>
                              <w:tc>
                                <w:tcPr>
                                  <w:tcW w:w="7936" w:type="dxa"/>
                                  <w:tcBorders/>
                                </w:tcPr>
                                <w:p>
                                  <w:pPr>
                                    <w:pStyle w:val="TableContents"/>
                                    <w:bidi w:val="0"/>
                                    <w:spacing w:before="0" w:after="0"/>
                                    <w:jc w:val="left"/>
                                    <w:rPr>
                                      <w:rFonts w:ascii="Times New Roman" w:hAnsi="Times New Roman"/>
                                      <w:sz w:val="20"/>
                                    </w:rPr>
                                  </w:pPr>
                                  <w:r>
                                    <w:rPr>
                                      <w:rFonts w:ascii="Times New Roman" w:hAnsi="Times New Roman"/>
                                      <w:sz w:val="20"/>
                                    </w:rPr>
                                    <w:t>the provisions of fraudulent preference and fraudulent conveyance (</w:t>
                                  </w:r>
                                  <w:r>
                                    <w:rPr>
                                      <w:rFonts w:ascii="Times New Roman" w:hAnsi="Times New Roman"/>
                                      <w:i/>
                                      <w:sz w:val="20"/>
                                    </w:rPr>
                                    <w:t>Actio Pauliana</w:t>
                                  </w:r>
                                  <w:r>
                                    <w:rPr>
                                      <w:rFonts w:ascii="Times New Roman" w:hAnsi="Times New Roman"/>
                                      <w:sz w:val="20"/>
                                    </w:rPr>
                                    <w:t xml:space="preserve">) and similar rights available in other jurisdictions to insolvency practitioners and insolvency office holders in bankruptcy proceedings or creditors;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75"/>
                              <w:gridCol w:w="775"/>
                              <w:gridCol w:w="6818"/>
                            </w:tblGrid>
                            <w:tr>
                              <w:trPr/>
                              <w:tc>
                                <w:tcPr>
                                  <w:tcW w:w="775" w:type="dxa"/>
                                  <w:tcBorders/>
                                  <w:vAlign w:val="center"/>
                                </w:tcPr>
                                <w:p>
                                  <w:pPr>
                                    <w:pStyle w:val="TableContents"/>
                                    <w:bidi w:val="0"/>
                                    <w:spacing w:before="0" w:after="283"/>
                                    <w:jc w:val="left"/>
                                    <w:rPr/>
                                  </w:pPr>
                                  <w:r>
                                    <w:rPr/>
                                    <w:t> </w:t>
                                  </w:r>
                                </w:p>
                              </w:tc>
                              <w:tc>
                                <w:tcPr>
                                  <w:tcW w:w="775" w:type="dxa"/>
                                  <w:tcBorders/>
                                </w:tcPr>
                                <w:p>
                                  <w:pPr>
                                    <w:pStyle w:val="TableContents"/>
                                    <w:bidi w:val="0"/>
                                    <w:spacing w:before="0" w:after="283"/>
                                    <w:jc w:val="left"/>
                                    <w:rPr/>
                                  </w:pPr>
                                  <w:r>
                                    <w:rPr/>
                                    <w:t>c.</w:t>
                                  </w:r>
                                </w:p>
                              </w:tc>
                              <w:tc>
                                <w:tcPr>
                                  <w:tcW w:w="6818" w:type="dxa"/>
                                  <w:tcBorders/>
                                </w:tcPr>
                                <w:p>
                                  <w:pPr>
                                    <w:pStyle w:val="TableContents"/>
                                    <w:bidi w:val="0"/>
                                    <w:spacing w:before="0" w:after="0"/>
                                    <w:jc w:val="left"/>
                                    <w:rPr>
                                      <w:rFonts w:ascii="Times New Roman" w:hAnsi="Times New Roman"/>
                                      <w:sz w:val="20"/>
                                    </w:rPr>
                                  </w:pPr>
                                  <w:r>
                                    <w:rPr>
                                      <w:rFonts w:ascii="Times New Roman" w:hAnsi="Times New Roman"/>
                                      <w:sz w:val="20"/>
                                    </w:rPr>
                                    <w:t>claims based on tort (</w:t>
                                  </w:r>
                                  <w:r>
                                    <w:rPr>
                                      <w:rFonts w:ascii="Times New Roman" w:hAnsi="Times New Roman"/>
                                      <w:i/>
                                      <w:sz w:val="20"/>
                                    </w:rPr>
                                    <w:t>onrechtmatige daad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6"/>
                              <w:gridCol w:w="258"/>
                              <w:gridCol w:w="7904"/>
                            </w:tblGrid>
                            <w:tr>
                              <w:trPr/>
                              <w:tc>
                                <w:tcPr>
                                  <w:tcW w:w="206" w:type="dxa"/>
                                  <w:tcBorders/>
                                  <w:vAlign w:val="center"/>
                                </w:tcPr>
                                <w:p>
                                  <w:pPr>
                                    <w:pStyle w:val="TableContents"/>
                                    <w:bidi w:val="0"/>
                                    <w:spacing w:before="0" w:after="283"/>
                                    <w:jc w:val="left"/>
                                    <w:rPr/>
                                  </w:pPr>
                                  <w:r>
                                    <w:rPr/>
                                    <w:t> </w:t>
                                  </w:r>
                                </w:p>
                              </w:tc>
                              <w:tc>
                                <w:tcPr>
                                  <w:tcW w:w="258" w:type="dxa"/>
                                  <w:tcBorders/>
                                </w:tcPr>
                                <w:p>
                                  <w:pPr>
                                    <w:pStyle w:val="TableContents"/>
                                    <w:bidi w:val="0"/>
                                    <w:spacing w:before="0" w:after="283"/>
                                    <w:jc w:val="left"/>
                                    <w:rPr/>
                                  </w:pPr>
                                  <w:r>
                                    <w:rPr/>
                                    <w:t>d.</w:t>
                                  </w:r>
                                </w:p>
                              </w:tc>
                              <w:tc>
                                <w:tcPr>
                                  <w:tcW w:w="7904" w:type="dxa"/>
                                  <w:tcBorders/>
                                </w:tcPr>
                                <w:p>
                                  <w:pPr>
                                    <w:pStyle w:val="TableContents"/>
                                    <w:bidi w:val="0"/>
                                    <w:spacing w:before="0" w:after="0"/>
                                    <w:jc w:val="left"/>
                                    <w:rPr>
                                      <w:rFonts w:ascii="Times New Roman" w:hAnsi="Times New Roman"/>
                                      <w:sz w:val="20"/>
                                    </w:rPr>
                                  </w:pPr>
                                  <w:r>
                                    <w:rPr>
                                      <w:rFonts w:ascii="Times New Roman" w:hAnsi="Times New Roman"/>
                                      <w:sz w:val="20"/>
                                    </w:rPr>
                                    <w:t>sanctions and measures, including but not limited to those concerning export control, pursuant to European Union regulations, under the Dutch Sanctions Act 1977 (</w:t>
                                  </w:r>
                                  <w:r>
                                    <w:rPr>
                                      <w:rFonts w:ascii="Times New Roman" w:hAnsi="Times New Roman"/>
                                      <w:i/>
                                      <w:sz w:val="20"/>
                                    </w:rPr>
                                    <w:t>Sanctiewet 1977</w:t>
                                  </w:r>
                                  <w:r>
                                    <w:rPr>
                                      <w:rFonts w:ascii="Times New Roman" w:hAnsi="Times New Roman"/>
                                      <w:sz w:val="20"/>
                                    </w:rPr>
                                    <w:t xml:space="preserve">) or other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
                              <w:gridCol w:w="442"/>
                              <w:gridCol w:w="7485"/>
                            </w:tblGrid>
                            <w:tr>
                              <w:trPr/>
                              <w:tc>
                                <w:tcPr>
                                  <w:tcW w:w="441" w:type="dxa"/>
                                  <w:tcBorders/>
                                  <w:vAlign w:val="center"/>
                                </w:tcPr>
                                <w:p>
                                  <w:pPr>
                                    <w:pStyle w:val="TableContents"/>
                                    <w:bidi w:val="0"/>
                                    <w:spacing w:before="0" w:after="283"/>
                                    <w:jc w:val="left"/>
                                    <w:rPr/>
                                  </w:pPr>
                                  <w:r>
                                    <w:rPr/>
                                    <w:t> </w:t>
                                  </w:r>
                                </w:p>
                              </w:tc>
                              <w:tc>
                                <w:tcPr>
                                  <w:tcW w:w="442" w:type="dxa"/>
                                  <w:tcBorders/>
                                </w:tcPr>
                                <w:p>
                                  <w:pPr>
                                    <w:pStyle w:val="TableContents"/>
                                    <w:bidi w:val="0"/>
                                    <w:spacing w:before="0" w:after="283"/>
                                    <w:jc w:val="left"/>
                                    <w:rPr/>
                                  </w:pPr>
                                  <w:r>
                                    <w:rPr/>
                                    <w:t>e.</w:t>
                                  </w:r>
                                </w:p>
                              </w:tc>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Anti-Boycott Regulation, Anti Money Laundering Laws and related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
                              <w:gridCol w:w="261"/>
                              <w:gridCol w:w="7873"/>
                            </w:tblGrid>
                            <w:tr>
                              <w:trPr/>
                              <w:tc>
                                <w:tcPr>
                                  <w:tcW w:w="234" w:type="dxa"/>
                                  <w:tcBorders/>
                                  <w:vAlign w:val="center"/>
                                </w:tcPr>
                                <w:p>
                                  <w:pPr>
                                    <w:pStyle w:val="TableContents"/>
                                    <w:bidi w:val="0"/>
                                    <w:spacing w:before="0" w:after="283"/>
                                    <w:jc w:val="left"/>
                                    <w:rPr/>
                                  </w:pPr>
                                  <w:r>
                                    <w:rPr/>
                                    <w:t> </w:t>
                                  </w:r>
                                </w:p>
                              </w:tc>
                              <w:tc>
                                <w:tcPr>
                                  <w:tcW w:w="261" w:type="dxa"/>
                                  <w:tcBorders/>
                                </w:tcPr>
                                <w:p>
                                  <w:pPr>
                                    <w:pStyle w:val="TableContents"/>
                                    <w:bidi w:val="0"/>
                                    <w:spacing w:before="0" w:after="283"/>
                                    <w:jc w:val="left"/>
                                    <w:rPr/>
                                  </w:pPr>
                                  <w:r>
                                    <w:rPr/>
                                    <w:t>f.</w:t>
                                  </w:r>
                                </w:p>
                              </w:tc>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intervention, recovery or resolution measure by any regulatory or other authority or governmental body in relation to financial enterprises or their affiliated entities; and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49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left"/>
                        <w:tblInd w:w="0" w:type="dxa"/>
                        <w:tblLayout w:type="fixed"/>
                        <w:tblCellMar>
                          <w:top w:w="0" w:type="dxa"/>
                          <w:left w:w="0" w:type="dxa"/>
                          <w:bottom w:w="0" w:type="dxa"/>
                          <w:right w:w="0" w:type="dxa"/>
                        </w:tblCellMar>
                      </w:tblPr>
                      <w:tblGrid>
                        <w:gridCol w:w="136"/>
                        <w:gridCol w:w="8232"/>
                      </w:tblGrid>
                      <w:tr>
                        <w:trPr/>
                        <w:tc>
                          <w:tcPr>
                            <w:tcW w:w="136" w:type="dxa"/>
                            <w:tcBorders/>
                            <w:vAlign w:val="center"/>
                          </w:tcPr>
                          <w:p>
                            <w:pPr>
                              <w:pStyle w:val="TableContents"/>
                              <w:bidi w:val="0"/>
                              <w:spacing w:before="0" w:after="283"/>
                              <w:jc w:val="left"/>
                              <w:rPr/>
                            </w:pPr>
                            <w:r>
                              <w:rPr/>
                              <w:t> </w:t>
                            </w:r>
                          </w:p>
                        </w:tc>
                        <w:tc>
                          <w:tcPr>
                            <w:tcW w:w="8232" w:type="dxa"/>
                            <w:tcBorders/>
                          </w:tcPr>
                          <w:p>
                            <w:pPr>
                              <w:pStyle w:val="TableContents"/>
                              <w:bidi w:val="0"/>
                              <w:spacing w:before="0" w:after="283"/>
                              <w:jc w:val="left"/>
                              <w:rPr/>
                            </w:pPr>
                            <w:r>
                              <w:rPr/>
                              <w:t xml:space="preserve">the description of the objects contained in its Articles of Association. However, we cannot assess whether there are other relevant circumstances that must be taken into account, in particular whether the interests of the Company are served by issuing Registered Securities since this is a matter of fact.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7"/>
                        <w:gridCol w:w="8151"/>
                      </w:tblGrid>
                      <w:tr>
                        <w:trPr/>
                        <w:tc>
                          <w:tcPr>
                            <w:tcW w:w="217" w:type="dxa"/>
                            <w:tcBorders/>
                          </w:tcPr>
                          <w:p>
                            <w:pPr>
                              <w:pStyle w:val="TableContents"/>
                              <w:bidi w:val="0"/>
                              <w:spacing w:before="0" w:after="283"/>
                              <w:jc w:val="left"/>
                              <w:rPr/>
                            </w:pPr>
                            <w:r>
                              <w:rPr/>
                              <w:t>C.</w:t>
                            </w:r>
                          </w:p>
                        </w:tc>
                        <w:tc>
                          <w:tcPr>
                            <w:tcW w:w="81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Section 2:98c DCC, a </w:t>
                            </w:r>
                            <w:r>
                              <w:rPr>
                                <w:rFonts w:ascii="Times New Roman" w:hAnsi="Times New Roman"/>
                                <w:i/>
                                <w:sz w:val="20"/>
                              </w:rPr>
                              <w:t>naamloze vennootschap</w:t>
                            </w:r>
                            <w:r>
                              <w:rPr>
                                <w:rFonts w:ascii="Times New Roman" w:hAnsi="Times New Roman"/>
                                <w:sz w:val="20"/>
                              </w:rPr>
                              <w:t xml:space="preserve"> may grant loans (</w:t>
                            </w:r>
                            <w:r>
                              <w:rPr>
                                <w:rFonts w:ascii="Times New Roman" w:hAnsi="Times New Roman"/>
                                <w:i/>
                                <w:sz w:val="20"/>
                              </w:rPr>
                              <w:t>leningen verstrekken</w:t>
                            </w:r>
                            <w:r>
                              <w:rPr>
                                <w:rFonts w:ascii="Times New Roman" w:hAnsi="Times New Roman"/>
                                <w:sz w:val="20"/>
                              </w:rPr>
                              <w:t>) only in accordance with the restrictions set out in Section 2:98c DCC, and may not provide security (</w:t>
                            </w:r>
                            <w:r>
                              <w:rPr>
                                <w:rFonts w:ascii="Times New Roman" w:hAnsi="Times New Roman"/>
                                <w:i/>
                                <w:sz w:val="20"/>
                              </w:rPr>
                              <w:t>zekerheid stellen</w:t>
                            </w:r>
                            <w:r>
                              <w:rPr>
                                <w:rFonts w:ascii="Times New Roman" w:hAnsi="Times New Roman"/>
                                <w:sz w:val="20"/>
                              </w:rPr>
                              <w:t>), give a price guarantee (</w:t>
                            </w:r>
                            <w:r>
                              <w:rPr>
                                <w:rFonts w:ascii="Times New Roman" w:hAnsi="Times New Roman"/>
                                <w:i/>
                                <w:sz w:val="20"/>
                              </w:rPr>
                              <w:t>koersgarantie geven</w:t>
                            </w:r>
                            <w:r>
                              <w:rPr>
                                <w:rFonts w:ascii="Times New Roman" w:hAnsi="Times New Roman"/>
                                <w:sz w:val="20"/>
                              </w:rPr>
                              <w:t>) or otherwise bind itself, whether jointly and severally or otherwise with or for third parties (</w:t>
                            </w:r>
                            <w:r>
                              <w:rPr>
                                <w:rFonts w:ascii="Times New Roman" w:hAnsi="Times New Roman"/>
                                <w:i/>
                                <w:sz w:val="20"/>
                              </w:rPr>
                              <w:t>zich op andere wijze sterk maken of zich hoofdelijk of anderszins naast of voor anderen verbinden</w:t>
                            </w:r>
                            <w:r>
                              <w:rPr>
                                <w:rFonts w:ascii="Times New Roman" w:hAnsi="Times New Roman"/>
                                <w:sz w:val="20"/>
                              </w:rPr>
                              <w:t>) with a view to (</w:t>
                            </w:r>
                            <w:r>
                              <w:rPr>
                                <w:rFonts w:ascii="Times New Roman" w:hAnsi="Times New Roman"/>
                                <w:i/>
                                <w:sz w:val="20"/>
                              </w:rPr>
                              <w:t>met het oog op</w:t>
                            </w:r>
                            <w:r>
                              <w:rPr>
                                <w:rFonts w:ascii="Times New Roman" w:hAnsi="Times New Roman"/>
                                <w:sz w:val="20"/>
                              </w:rPr>
                              <w:t>) the subscription or acquisition by third parties of shares in its share capital or depository receipts. This prohibition also applies to its subsidiaries (</w:t>
                            </w:r>
                            <w:r>
                              <w:rPr>
                                <w:rFonts w:ascii="Times New Roman" w:hAnsi="Times New Roman"/>
                                <w:i/>
                                <w:sz w:val="20"/>
                              </w:rPr>
                              <w:t>dochtervennootschappen</w:t>
                            </w:r>
                            <w:r>
                              <w:rPr>
                                <w:rFonts w:ascii="Times New Roman" w:hAnsi="Times New Roman"/>
                                <w:sz w:val="20"/>
                              </w:rPr>
                              <w:t>). It is generally assumed that a transaction entered into in violation of Section 2:98c DCC is null and void (</w:t>
                            </w:r>
                            <w:r>
                              <w:rPr>
                                <w:rFonts w:ascii="Times New Roman" w:hAnsi="Times New Roman"/>
                                <w:i/>
                                <w:sz w:val="20"/>
                              </w:rPr>
                              <w:t>nietig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5"/>
                        <w:gridCol w:w="7853"/>
                      </w:tblGrid>
                      <w:tr>
                        <w:trPr/>
                        <w:tc>
                          <w:tcPr>
                            <w:tcW w:w="515" w:type="dxa"/>
                            <w:tcBorders/>
                          </w:tcPr>
                          <w:p>
                            <w:pPr>
                              <w:pStyle w:val="TableContents"/>
                              <w:bidi w:val="0"/>
                              <w:spacing w:before="0" w:after="283"/>
                              <w:jc w:val="left"/>
                              <w:rPr/>
                            </w:pPr>
                            <w:r>
                              <w:rPr/>
                              <w:t>D.</w:t>
                            </w:r>
                          </w:p>
                        </w:tc>
                        <w:tc>
                          <w:tcPr>
                            <w:tcW w:w="78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opinions expressed in this opinion letter may be limited or affected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90"/>
                        <w:gridCol w:w="306"/>
                        <w:gridCol w:w="7772"/>
                      </w:tblGrid>
                      <w:tr>
                        <w:trPr/>
                        <w:tc>
                          <w:tcPr>
                            <w:tcW w:w="29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77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rules relating to Insolvency Proceedings or similar proceedings under a foreign law and other rules affecting creditors rights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6"/>
                        <w:gridCol w:w="246"/>
                        <w:gridCol w:w="7936"/>
                      </w:tblGrid>
                      <w:tr>
                        <w:trPr/>
                        <w:tc>
                          <w:tcPr>
                            <w:tcW w:w="186" w:type="dxa"/>
                            <w:tcBorders/>
                            <w:vAlign w:val="center"/>
                          </w:tcPr>
                          <w:p>
                            <w:pPr>
                              <w:pStyle w:val="TableContents"/>
                              <w:bidi w:val="0"/>
                              <w:spacing w:before="0" w:after="283"/>
                              <w:jc w:val="left"/>
                              <w:rPr/>
                            </w:pPr>
                            <w:r>
                              <w:rPr/>
                              <w:t> </w:t>
                            </w:r>
                          </w:p>
                        </w:tc>
                        <w:tc>
                          <w:tcPr>
                            <w:tcW w:w="246" w:type="dxa"/>
                            <w:tcBorders/>
                          </w:tcPr>
                          <w:p>
                            <w:pPr>
                              <w:pStyle w:val="TableContents"/>
                              <w:bidi w:val="0"/>
                              <w:spacing w:before="0" w:after="283"/>
                              <w:jc w:val="left"/>
                              <w:rPr/>
                            </w:pPr>
                            <w:r>
                              <w:rPr/>
                              <w:t>b.</w:t>
                            </w:r>
                          </w:p>
                        </w:tc>
                        <w:tc>
                          <w:tcPr>
                            <w:tcW w:w="7936" w:type="dxa"/>
                            <w:tcBorders/>
                          </w:tcPr>
                          <w:p>
                            <w:pPr>
                              <w:pStyle w:val="TableContents"/>
                              <w:bidi w:val="0"/>
                              <w:spacing w:before="0" w:after="0"/>
                              <w:jc w:val="left"/>
                              <w:rPr>
                                <w:rFonts w:ascii="Times New Roman" w:hAnsi="Times New Roman"/>
                                <w:sz w:val="20"/>
                              </w:rPr>
                            </w:pPr>
                            <w:r>
                              <w:rPr>
                                <w:rFonts w:ascii="Times New Roman" w:hAnsi="Times New Roman"/>
                                <w:sz w:val="20"/>
                              </w:rPr>
                              <w:t>the provisions of fraudulent preference and fraudulent conveyance (</w:t>
                            </w:r>
                            <w:r>
                              <w:rPr>
                                <w:rFonts w:ascii="Times New Roman" w:hAnsi="Times New Roman"/>
                                <w:i/>
                                <w:sz w:val="20"/>
                              </w:rPr>
                              <w:t>Actio Pauliana</w:t>
                            </w:r>
                            <w:r>
                              <w:rPr>
                                <w:rFonts w:ascii="Times New Roman" w:hAnsi="Times New Roman"/>
                                <w:sz w:val="20"/>
                              </w:rPr>
                              <w:t xml:space="preserve">) and similar rights available in other jurisdictions to insolvency practitioners and insolvency office holders in bankruptcy proceedings or creditors;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75"/>
                        <w:gridCol w:w="775"/>
                        <w:gridCol w:w="6818"/>
                      </w:tblGrid>
                      <w:tr>
                        <w:trPr/>
                        <w:tc>
                          <w:tcPr>
                            <w:tcW w:w="775" w:type="dxa"/>
                            <w:tcBorders/>
                            <w:vAlign w:val="center"/>
                          </w:tcPr>
                          <w:p>
                            <w:pPr>
                              <w:pStyle w:val="TableContents"/>
                              <w:bidi w:val="0"/>
                              <w:spacing w:before="0" w:after="283"/>
                              <w:jc w:val="left"/>
                              <w:rPr/>
                            </w:pPr>
                            <w:r>
                              <w:rPr/>
                              <w:t> </w:t>
                            </w:r>
                          </w:p>
                        </w:tc>
                        <w:tc>
                          <w:tcPr>
                            <w:tcW w:w="775" w:type="dxa"/>
                            <w:tcBorders/>
                          </w:tcPr>
                          <w:p>
                            <w:pPr>
                              <w:pStyle w:val="TableContents"/>
                              <w:bidi w:val="0"/>
                              <w:spacing w:before="0" w:after="283"/>
                              <w:jc w:val="left"/>
                              <w:rPr/>
                            </w:pPr>
                            <w:r>
                              <w:rPr/>
                              <w:t>c.</w:t>
                            </w:r>
                          </w:p>
                        </w:tc>
                        <w:tc>
                          <w:tcPr>
                            <w:tcW w:w="6818" w:type="dxa"/>
                            <w:tcBorders/>
                          </w:tcPr>
                          <w:p>
                            <w:pPr>
                              <w:pStyle w:val="TableContents"/>
                              <w:bidi w:val="0"/>
                              <w:spacing w:before="0" w:after="0"/>
                              <w:jc w:val="left"/>
                              <w:rPr>
                                <w:rFonts w:ascii="Times New Roman" w:hAnsi="Times New Roman"/>
                                <w:sz w:val="20"/>
                              </w:rPr>
                            </w:pPr>
                            <w:r>
                              <w:rPr>
                                <w:rFonts w:ascii="Times New Roman" w:hAnsi="Times New Roman"/>
                                <w:sz w:val="20"/>
                              </w:rPr>
                              <w:t>claims based on tort (</w:t>
                            </w:r>
                            <w:r>
                              <w:rPr>
                                <w:rFonts w:ascii="Times New Roman" w:hAnsi="Times New Roman"/>
                                <w:i/>
                                <w:sz w:val="20"/>
                              </w:rPr>
                              <w:t>onrechtmatige daad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6"/>
                        <w:gridCol w:w="258"/>
                        <w:gridCol w:w="7904"/>
                      </w:tblGrid>
                      <w:tr>
                        <w:trPr/>
                        <w:tc>
                          <w:tcPr>
                            <w:tcW w:w="206" w:type="dxa"/>
                            <w:tcBorders/>
                            <w:vAlign w:val="center"/>
                          </w:tcPr>
                          <w:p>
                            <w:pPr>
                              <w:pStyle w:val="TableContents"/>
                              <w:bidi w:val="0"/>
                              <w:spacing w:before="0" w:after="283"/>
                              <w:jc w:val="left"/>
                              <w:rPr/>
                            </w:pPr>
                            <w:r>
                              <w:rPr/>
                              <w:t> </w:t>
                            </w:r>
                          </w:p>
                        </w:tc>
                        <w:tc>
                          <w:tcPr>
                            <w:tcW w:w="258" w:type="dxa"/>
                            <w:tcBorders/>
                          </w:tcPr>
                          <w:p>
                            <w:pPr>
                              <w:pStyle w:val="TableContents"/>
                              <w:bidi w:val="0"/>
                              <w:spacing w:before="0" w:after="283"/>
                              <w:jc w:val="left"/>
                              <w:rPr/>
                            </w:pPr>
                            <w:r>
                              <w:rPr/>
                              <w:t>d.</w:t>
                            </w:r>
                          </w:p>
                        </w:tc>
                        <w:tc>
                          <w:tcPr>
                            <w:tcW w:w="7904" w:type="dxa"/>
                            <w:tcBorders/>
                          </w:tcPr>
                          <w:p>
                            <w:pPr>
                              <w:pStyle w:val="TableContents"/>
                              <w:bidi w:val="0"/>
                              <w:spacing w:before="0" w:after="0"/>
                              <w:jc w:val="left"/>
                              <w:rPr>
                                <w:rFonts w:ascii="Times New Roman" w:hAnsi="Times New Roman"/>
                                <w:sz w:val="20"/>
                              </w:rPr>
                            </w:pPr>
                            <w:r>
                              <w:rPr>
                                <w:rFonts w:ascii="Times New Roman" w:hAnsi="Times New Roman"/>
                                <w:sz w:val="20"/>
                              </w:rPr>
                              <w:t>sanctions and measures, including but not limited to those concerning export control, pursuant to European Union regulations, under the Dutch Sanctions Act 1977 (</w:t>
                            </w:r>
                            <w:r>
                              <w:rPr>
                                <w:rFonts w:ascii="Times New Roman" w:hAnsi="Times New Roman"/>
                                <w:i/>
                                <w:sz w:val="20"/>
                              </w:rPr>
                              <w:t>Sanctiewet 1977</w:t>
                            </w:r>
                            <w:r>
                              <w:rPr>
                                <w:rFonts w:ascii="Times New Roman" w:hAnsi="Times New Roman"/>
                                <w:sz w:val="20"/>
                              </w:rPr>
                              <w:t xml:space="preserve">) or other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
                        <w:gridCol w:w="442"/>
                        <w:gridCol w:w="7485"/>
                      </w:tblGrid>
                      <w:tr>
                        <w:trPr/>
                        <w:tc>
                          <w:tcPr>
                            <w:tcW w:w="441" w:type="dxa"/>
                            <w:tcBorders/>
                            <w:vAlign w:val="center"/>
                          </w:tcPr>
                          <w:p>
                            <w:pPr>
                              <w:pStyle w:val="TableContents"/>
                              <w:bidi w:val="0"/>
                              <w:spacing w:before="0" w:after="283"/>
                              <w:jc w:val="left"/>
                              <w:rPr/>
                            </w:pPr>
                            <w:r>
                              <w:rPr/>
                              <w:t> </w:t>
                            </w:r>
                          </w:p>
                        </w:tc>
                        <w:tc>
                          <w:tcPr>
                            <w:tcW w:w="442" w:type="dxa"/>
                            <w:tcBorders/>
                          </w:tcPr>
                          <w:p>
                            <w:pPr>
                              <w:pStyle w:val="TableContents"/>
                              <w:bidi w:val="0"/>
                              <w:spacing w:before="0" w:after="283"/>
                              <w:jc w:val="left"/>
                              <w:rPr/>
                            </w:pPr>
                            <w:r>
                              <w:rPr/>
                              <w:t>e.</w:t>
                            </w:r>
                          </w:p>
                        </w:tc>
                        <w:tc>
                          <w:tcPr>
                            <w:tcW w:w="74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Anti-Boycott Regulation, Anti Money Laundering Laws and related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
                        <w:gridCol w:w="261"/>
                        <w:gridCol w:w="7873"/>
                      </w:tblGrid>
                      <w:tr>
                        <w:trPr/>
                        <w:tc>
                          <w:tcPr>
                            <w:tcW w:w="234" w:type="dxa"/>
                            <w:tcBorders/>
                            <w:vAlign w:val="center"/>
                          </w:tcPr>
                          <w:p>
                            <w:pPr>
                              <w:pStyle w:val="TableContents"/>
                              <w:bidi w:val="0"/>
                              <w:spacing w:before="0" w:after="283"/>
                              <w:jc w:val="left"/>
                              <w:rPr/>
                            </w:pPr>
                            <w:r>
                              <w:rPr/>
                              <w:t> </w:t>
                            </w:r>
                          </w:p>
                        </w:tc>
                        <w:tc>
                          <w:tcPr>
                            <w:tcW w:w="261" w:type="dxa"/>
                            <w:tcBorders/>
                          </w:tcPr>
                          <w:p>
                            <w:pPr>
                              <w:pStyle w:val="TableContents"/>
                              <w:bidi w:val="0"/>
                              <w:spacing w:before="0" w:after="283"/>
                              <w:jc w:val="left"/>
                              <w:rPr/>
                            </w:pPr>
                            <w:r>
                              <w:rPr/>
                              <w:t>f.</w:t>
                            </w:r>
                          </w:p>
                        </w:tc>
                        <w:tc>
                          <w:tcPr>
                            <w:tcW w:w="78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intervention, recovery or resolution measure by any regulatory or other authority or governmental body in relation to financial enterprises or their affiliated entities; and </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1266825" cy="1524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30"/>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12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971550" cy="175260"/>
                <wp:effectExtent l="0" t="0" r="0" b="0"/>
                <wp:wrapSquare wrapText="right"/>
                <wp:docPr id="21" name="Frame11"/>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5313680" cy="3433445"/>
                <wp:effectExtent l="0" t="0" r="0" b="0"/>
                <wp:wrapSquare wrapText="right"/>
                <wp:docPr id="22" name="Frame12"/>
                <a:graphic xmlns:a="http://schemas.openxmlformats.org/drawingml/2006/main">
                  <a:graphicData uri="http://schemas.microsoft.com/office/word/2010/wordprocessingShape">
                    <wps:wsp>
                      <wps:cNvSpPr txBox="1"/>
                      <wps:spPr>
                        <a:xfrm>
                          <a:off x="0" y="0"/>
                          <a:ext cx="5313680" cy="3433445"/>
                        </a:xfrm>
                        <a:prstGeom prst="rect"/>
                        <a:solidFill>
                          <a:srgbClr val="FFFFFF"/>
                        </a:solidFill>
                      </wps:spPr>
                      <wps:txbx>
                        <w:txbxContent>
                          <w:tbl>
                            <w:tblPr>
                              <w:tblW w:w="5000" w:type="pct"/>
                              <w:jc w:val="left"/>
                              <w:tblInd w:w="0" w:type="dxa"/>
                              <w:tblLayout w:type="fixed"/>
                              <w:tblCellMar>
                                <w:top w:w="0" w:type="dxa"/>
                                <w:left w:w="0" w:type="dxa"/>
                                <w:bottom w:w="0" w:type="dxa"/>
                                <w:right w:w="0" w:type="dxa"/>
                              </w:tblCellMar>
                            </w:tblPr>
                            <w:tblGrid>
                              <w:gridCol w:w="120"/>
                              <w:gridCol w:w="206"/>
                              <w:gridCol w:w="8042"/>
                            </w:tblGrid>
                            <w:tr>
                              <w:trPr/>
                              <w:tc>
                                <w:tcPr>
                                  <w:tcW w:w="120" w:type="dxa"/>
                                  <w:tcBorders/>
                                  <w:vAlign w:val="center"/>
                                </w:tcPr>
                                <w:p>
                                  <w:pPr>
                                    <w:pStyle w:val="TableContents"/>
                                    <w:bidi w:val="0"/>
                                    <w:spacing w:before="0" w:after="283"/>
                                    <w:jc w:val="left"/>
                                    <w:rPr/>
                                  </w:pPr>
                                  <w:r>
                                    <w:rPr/>
                                    <w:t> </w:t>
                                  </w:r>
                                </w:p>
                              </w:tc>
                              <w:tc>
                                <w:tcPr>
                                  <w:tcW w:w="206" w:type="dxa"/>
                                  <w:tcBorders/>
                                </w:tcPr>
                                <w:p>
                                  <w:pPr>
                                    <w:pStyle w:val="TableContents"/>
                                    <w:bidi w:val="0"/>
                                    <w:spacing w:before="0" w:after="283"/>
                                    <w:jc w:val="left"/>
                                    <w:rPr/>
                                  </w:pPr>
                                  <w:r>
                                    <w:rPr/>
                                    <w:t>g.</w:t>
                                  </w:r>
                                </w:p>
                              </w:tc>
                              <w:tc>
                                <w:tcPr>
                                  <w:tcW w:w="8042" w:type="dxa"/>
                                  <w:tcBorders/>
                                </w:tcPr>
                                <w:p>
                                  <w:pPr>
                                    <w:pStyle w:val="TableContents"/>
                                    <w:bidi w:val="0"/>
                                    <w:spacing w:before="0" w:after="0"/>
                                    <w:jc w:val="left"/>
                                    <w:rPr>
                                      <w:rFonts w:ascii="Times New Roman" w:hAnsi="Times New Roman"/>
                                      <w:sz w:val="20"/>
                                    </w:rPr>
                                  </w:pPr>
                                  <w:r>
                                    <w:rPr>
                                      <w:rFonts w:ascii="Times New Roman" w:hAnsi="Times New Roman"/>
                                      <w:sz w:val="20"/>
                                    </w:rPr>
                                    <w:t>the rules of force majeure (</w:t>
                                  </w:r>
                                  <w:r>
                                    <w:rPr>
                                      <w:rFonts w:ascii="Times New Roman" w:hAnsi="Times New Roman"/>
                                      <w:i/>
                                      <w:sz w:val="20"/>
                                    </w:rPr>
                                    <w:t>niet toerekenbare tekortkoming</w:t>
                                  </w:r>
                                  <w:r>
                                    <w:rPr>
                                      <w:rFonts w:ascii="Times New Roman" w:hAnsi="Times New Roman"/>
                                      <w:sz w:val="20"/>
                                    </w:rPr>
                                    <w:t>), reasonableness and fairness (</w:t>
                                  </w:r>
                                  <w:r>
                                    <w:rPr>
                                      <w:rFonts w:ascii="Times New Roman" w:hAnsi="Times New Roman"/>
                                      <w:i/>
                                      <w:sz w:val="20"/>
                                    </w:rPr>
                                    <w:t>redelijkheid en billijkheid</w:t>
                                  </w:r>
                                  <w:r>
                                    <w:rPr>
                                      <w:rFonts w:ascii="Times New Roman" w:hAnsi="Times New Roman"/>
                                      <w:sz w:val="20"/>
                                    </w:rPr>
                                    <w:t>), suspension (</w:t>
                                  </w:r>
                                  <w:r>
                                    <w:rPr>
                                      <w:rFonts w:ascii="Times New Roman" w:hAnsi="Times New Roman"/>
                                      <w:i/>
                                      <w:sz w:val="20"/>
                                    </w:rPr>
                                    <w:t>opschorting</w:t>
                                  </w:r>
                                  <w:r>
                                    <w:rPr>
                                      <w:rFonts w:ascii="Times New Roman" w:hAnsi="Times New Roman"/>
                                      <w:sz w:val="20"/>
                                    </w:rPr>
                                    <w:t>), dissolution (</w:t>
                                  </w:r>
                                  <w:r>
                                    <w:rPr>
                                      <w:rFonts w:ascii="Times New Roman" w:hAnsi="Times New Roman"/>
                                      <w:i/>
                                      <w:sz w:val="20"/>
                                    </w:rPr>
                                    <w:t>ontbinding</w:t>
                                  </w:r>
                                  <w:r>
                                    <w:rPr>
                                      <w:rFonts w:ascii="Times New Roman" w:hAnsi="Times New Roman"/>
                                      <w:sz w:val="20"/>
                                    </w:rPr>
                                    <w:t>), unforeseen circumstances (</w:t>
                                  </w:r>
                                  <w:r>
                                    <w:rPr>
                                      <w:rFonts w:ascii="Times New Roman" w:hAnsi="Times New Roman"/>
                                      <w:i/>
                                      <w:sz w:val="20"/>
                                    </w:rPr>
                                    <w:t>onvoorziene omstandigheden</w:t>
                                  </w:r>
                                  <w:r>
                                    <w:rPr>
                                      <w:rFonts w:ascii="Times New Roman" w:hAnsi="Times New Roman"/>
                                      <w:sz w:val="20"/>
                                    </w:rPr>
                                    <w:t>) and vitiated consent (i.e., duress (</w:t>
                                  </w:r>
                                  <w:r>
                                    <w:rPr>
                                      <w:rFonts w:ascii="Times New Roman" w:hAnsi="Times New Roman"/>
                                      <w:i/>
                                      <w:sz w:val="20"/>
                                    </w:rPr>
                                    <w:t>bedreiging</w:t>
                                  </w:r>
                                  <w:r>
                                    <w:rPr>
                                      <w:rFonts w:ascii="Times New Roman" w:hAnsi="Times New Roman"/>
                                      <w:sz w:val="20"/>
                                    </w:rPr>
                                    <w:t>), fraud (</w:t>
                                  </w:r>
                                  <w:r>
                                    <w:rPr>
                                      <w:rFonts w:ascii="Times New Roman" w:hAnsi="Times New Roman"/>
                                      <w:i/>
                                      <w:sz w:val="20"/>
                                    </w:rPr>
                                    <w:t>bedrog</w:t>
                                  </w:r>
                                  <w:r>
                                    <w:rPr>
                                      <w:rFonts w:ascii="Times New Roman" w:hAnsi="Times New Roman"/>
                                      <w:sz w:val="20"/>
                                    </w:rPr>
                                    <w:t>), abuse of circumstances (</w:t>
                                  </w:r>
                                  <w:r>
                                    <w:rPr>
                                      <w:rFonts w:ascii="Times New Roman" w:hAnsi="Times New Roman"/>
                                      <w:i/>
                                      <w:sz w:val="20"/>
                                    </w:rPr>
                                    <w:t>misbruik van omstandigheden</w:t>
                                  </w:r>
                                  <w:r>
                                    <w:rPr>
                                      <w:rFonts w:ascii="Times New Roman" w:hAnsi="Times New Roman"/>
                                      <w:sz w:val="20"/>
                                    </w:rPr>
                                    <w:t>) and error (</w:t>
                                  </w:r>
                                  <w:r>
                                    <w:rPr>
                                      <w:rFonts w:ascii="Times New Roman" w:hAnsi="Times New Roman"/>
                                      <w:i/>
                                      <w:sz w:val="20"/>
                                    </w:rPr>
                                    <w:t>dwaling</w:t>
                                  </w:r>
                                  <w:r>
                                    <w:rPr>
                                      <w:rFonts w:ascii="Times New Roman" w:hAnsi="Times New Roman"/>
                                      <w:sz w:val="20"/>
                                    </w:rPr>
                                    <w:t>)) or a difference of intention (</w:t>
                                  </w:r>
                                  <w:r>
                                    <w:rPr>
                                      <w:rFonts w:ascii="Times New Roman" w:hAnsi="Times New Roman"/>
                                      <w:i/>
                                      <w:sz w:val="20"/>
                                    </w:rPr>
                                    <w:t>wil</w:t>
                                  </w:r>
                                  <w:r>
                                    <w:rPr>
                                      <w:rFonts w:ascii="Times New Roman" w:hAnsi="Times New Roman"/>
                                      <w:sz w:val="20"/>
                                    </w:rPr>
                                    <w:t>) and declaration (</w:t>
                                  </w:r>
                                  <w:r>
                                    <w:rPr>
                                      <w:rFonts w:ascii="Times New Roman" w:hAnsi="Times New Roman"/>
                                      <w:i/>
                                      <w:sz w:val="20"/>
                                    </w:rPr>
                                    <w:t>verklaring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6"/>
                              <w:gridCol w:w="8132"/>
                            </w:tblGrid>
                            <w:tr>
                              <w:trPr/>
                              <w:tc>
                                <w:tcPr>
                                  <w:tcW w:w="236" w:type="dxa"/>
                                  <w:tcBorders/>
                                </w:tcPr>
                                <w:p>
                                  <w:pPr>
                                    <w:pStyle w:val="TableContents"/>
                                    <w:bidi w:val="0"/>
                                    <w:spacing w:before="0" w:after="283"/>
                                    <w:jc w:val="left"/>
                                    <w:rPr/>
                                  </w:pPr>
                                  <w:r>
                                    <w:rPr/>
                                    <w:t>E.</w:t>
                                  </w:r>
                                </w:p>
                              </w:tc>
                              <w:tc>
                                <w:tcPr>
                                  <w:tcW w:w="81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95"/>
                              <w:gridCol w:w="8073"/>
                            </w:tblGrid>
                            <w:tr>
                              <w:trPr/>
                              <w:tc>
                                <w:tcPr>
                                  <w:tcW w:w="295" w:type="dxa"/>
                                  <w:tcBorders/>
                                </w:tcPr>
                                <w:p>
                                  <w:pPr>
                                    <w:pStyle w:val="TableContents"/>
                                    <w:bidi w:val="0"/>
                                    <w:spacing w:before="0" w:after="283"/>
                                    <w:jc w:val="left"/>
                                    <w:rPr/>
                                  </w:pPr>
                                  <w:r>
                                    <w:rPr/>
                                    <w:t>F.</w:t>
                                  </w:r>
                                </w:p>
                              </w:tc>
                              <w:tc>
                                <w:tcPr>
                                  <w:tcW w:w="80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letter does not purport to express any opinion or view on the operational rules and procedures of any clearing or settlement system or agency.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Sincerely yours, </w:t>
                            </w:r>
                          </w:p>
                          <w:p>
                            <w:pPr>
                              <w:pStyle w:val="TextBody"/>
                              <w:bidi w:val="0"/>
                              <w:spacing w:before="240" w:after="0"/>
                              <w:jc w:val="left"/>
                              <w:rPr>
                                <w:rFonts w:ascii="Times New Roman" w:hAnsi="Times New Roman"/>
                                <w:sz w:val="20"/>
                              </w:rPr>
                            </w:pPr>
                            <w:r>
                              <w:rPr>
                                <w:rFonts w:ascii="Times New Roman" w:hAnsi="Times New Roman"/>
                                <w:sz w:val="20"/>
                              </w:rPr>
                              <w:t xml:space="preserve">/s/ NautaDutilh N.V. </w:t>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270.3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left"/>
                        <w:tblInd w:w="0" w:type="dxa"/>
                        <w:tblLayout w:type="fixed"/>
                        <w:tblCellMar>
                          <w:top w:w="0" w:type="dxa"/>
                          <w:left w:w="0" w:type="dxa"/>
                          <w:bottom w:w="0" w:type="dxa"/>
                          <w:right w:w="0" w:type="dxa"/>
                        </w:tblCellMar>
                      </w:tblPr>
                      <w:tblGrid>
                        <w:gridCol w:w="120"/>
                        <w:gridCol w:w="206"/>
                        <w:gridCol w:w="8042"/>
                      </w:tblGrid>
                      <w:tr>
                        <w:trPr/>
                        <w:tc>
                          <w:tcPr>
                            <w:tcW w:w="120" w:type="dxa"/>
                            <w:tcBorders/>
                            <w:vAlign w:val="center"/>
                          </w:tcPr>
                          <w:p>
                            <w:pPr>
                              <w:pStyle w:val="TableContents"/>
                              <w:bidi w:val="0"/>
                              <w:spacing w:before="0" w:after="283"/>
                              <w:jc w:val="left"/>
                              <w:rPr/>
                            </w:pPr>
                            <w:r>
                              <w:rPr/>
                              <w:t> </w:t>
                            </w:r>
                          </w:p>
                        </w:tc>
                        <w:tc>
                          <w:tcPr>
                            <w:tcW w:w="206" w:type="dxa"/>
                            <w:tcBorders/>
                          </w:tcPr>
                          <w:p>
                            <w:pPr>
                              <w:pStyle w:val="TableContents"/>
                              <w:bidi w:val="0"/>
                              <w:spacing w:before="0" w:after="283"/>
                              <w:jc w:val="left"/>
                              <w:rPr/>
                            </w:pPr>
                            <w:r>
                              <w:rPr/>
                              <w:t>g.</w:t>
                            </w:r>
                          </w:p>
                        </w:tc>
                        <w:tc>
                          <w:tcPr>
                            <w:tcW w:w="8042" w:type="dxa"/>
                            <w:tcBorders/>
                          </w:tcPr>
                          <w:p>
                            <w:pPr>
                              <w:pStyle w:val="TableContents"/>
                              <w:bidi w:val="0"/>
                              <w:spacing w:before="0" w:after="0"/>
                              <w:jc w:val="left"/>
                              <w:rPr>
                                <w:rFonts w:ascii="Times New Roman" w:hAnsi="Times New Roman"/>
                                <w:sz w:val="20"/>
                              </w:rPr>
                            </w:pPr>
                            <w:r>
                              <w:rPr>
                                <w:rFonts w:ascii="Times New Roman" w:hAnsi="Times New Roman"/>
                                <w:sz w:val="20"/>
                              </w:rPr>
                              <w:t>the rules of force majeure (</w:t>
                            </w:r>
                            <w:r>
                              <w:rPr>
                                <w:rFonts w:ascii="Times New Roman" w:hAnsi="Times New Roman"/>
                                <w:i/>
                                <w:sz w:val="20"/>
                              </w:rPr>
                              <w:t>niet toerekenbare tekortkoming</w:t>
                            </w:r>
                            <w:r>
                              <w:rPr>
                                <w:rFonts w:ascii="Times New Roman" w:hAnsi="Times New Roman"/>
                                <w:sz w:val="20"/>
                              </w:rPr>
                              <w:t>), reasonableness and fairness (</w:t>
                            </w:r>
                            <w:r>
                              <w:rPr>
                                <w:rFonts w:ascii="Times New Roman" w:hAnsi="Times New Roman"/>
                                <w:i/>
                                <w:sz w:val="20"/>
                              </w:rPr>
                              <w:t>redelijkheid en billijkheid</w:t>
                            </w:r>
                            <w:r>
                              <w:rPr>
                                <w:rFonts w:ascii="Times New Roman" w:hAnsi="Times New Roman"/>
                                <w:sz w:val="20"/>
                              </w:rPr>
                              <w:t>), suspension (</w:t>
                            </w:r>
                            <w:r>
                              <w:rPr>
                                <w:rFonts w:ascii="Times New Roman" w:hAnsi="Times New Roman"/>
                                <w:i/>
                                <w:sz w:val="20"/>
                              </w:rPr>
                              <w:t>opschorting</w:t>
                            </w:r>
                            <w:r>
                              <w:rPr>
                                <w:rFonts w:ascii="Times New Roman" w:hAnsi="Times New Roman"/>
                                <w:sz w:val="20"/>
                              </w:rPr>
                              <w:t>), dissolution (</w:t>
                            </w:r>
                            <w:r>
                              <w:rPr>
                                <w:rFonts w:ascii="Times New Roman" w:hAnsi="Times New Roman"/>
                                <w:i/>
                                <w:sz w:val="20"/>
                              </w:rPr>
                              <w:t>ontbinding</w:t>
                            </w:r>
                            <w:r>
                              <w:rPr>
                                <w:rFonts w:ascii="Times New Roman" w:hAnsi="Times New Roman"/>
                                <w:sz w:val="20"/>
                              </w:rPr>
                              <w:t>), unforeseen circumstances (</w:t>
                            </w:r>
                            <w:r>
                              <w:rPr>
                                <w:rFonts w:ascii="Times New Roman" w:hAnsi="Times New Roman"/>
                                <w:i/>
                                <w:sz w:val="20"/>
                              </w:rPr>
                              <w:t>onvoorziene omstandigheden</w:t>
                            </w:r>
                            <w:r>
                              <w:rPr>
                                <w:rFonts w:ascii="Times New Roman" w:hAnsi="Times New Roman"/>
                                <w:sz w:val="20"/>
                              </w:rPr>
                              <w:t>) and vitiated consent (i.e., duress (</w:t>
                            </w:r>
                            <w:r>
                              <w:rPr>
                                <w:rFonts w:ascii="Times New Roman" w:hAnsi="Times New Roman"/>
                                <w:i/>
                                <w:sz w:val="20"/>
                              </w:rPr>
                              <w:t>bedreiging</w:t>
                            </w:r>
                            <w:r>
                              <w:rPr>
                                <w:rFonts w:ascii="Times New Roman" w:hAnsi="Times New Roman"/>
                                <w:sz w:val="20"/>
                              </w:rPr>
                              <w:t>), fraud (</w:t>
                            </w:r>
                            <w:r>
                              <w:rPr>
                                <w:rFonts w:ascii="Times New Roman" w:hAnsi="Times New Roman"/>
                                <w:i/>
                                <w:sz w:val="20"/>
                              </w:rPr>
                              <w:t>bedrog</w:t>
                            </w:r>
                            <w:r>
                              <w:rPr>
                                <w:rFonts w:ascii="Times New Roman" w:hAnsi="Times New Roman"/>
                                <w:sz w:val="20"/>
                              </w:rPr>
                              <w:t>), abuse of circumstances (</w:t>
                            </w:r>
                            <w:r>
                              <w:rPr>
                                <w:rFonts w:ascii="Times New Roman" w:hAnsi="Times New Roman"/>
                                <w:i/>
                                <w:sz w:val="20"/>
                              </w:rPr>
                              <w:t>misbruik van omstandigheden</w:t>
                            </w:r>
                            <w:r>
                              <w:rPr>
                                <w:rFonts w:ascii="Times New Roman" w:hAnsi="Times New Roman"/>
                                <w:sz w:val="20"/>
                              </w:rPr>
                              <w:t>) and error (</w:t>
                            </w:r>
                            <w:r>
                              <w:rPr>
                                <w:rFonts w:ascii="Times New Roman" w:hAnsi="Times New Roman"/>
                                <w:i/>
                                <w:sz w:val="20"/>
                              </w:rPr>
                              <w:t>dwaling</w:t>
                            </w:r>
                            <w:r>
                              <w:rPr>
                                <w:rFonts w:ascii="Times New Roman" w:hAnsi="Times New Roman"/>
                                <w:sz w:val="20"/>
                              </w:rPr>
                              <w:t>)) or a difference of intention (</w:t>
                            </w:r>
                            <w:r>
                              <w:rPr>
                                <w:rFonts w:ascii="Times New Roman" w:hAnsi="Times New Roman"/>
                                <w:i/>
                                <w:sz w:val="20"/>
                              </w:rPr>
                              <w:t>wil</w:t>
                            </w:r>
                            <w:r>
                              <w:rPr>
                                <w:rFonts w:ascii="Times New Roman" w:hAnsi="Times New Roman"/>
                                <w:sz w:val="20"/>
                              </w:rPr>
                              <w:t>) and declaration (</w:t>
                            </w:r>
                            <w:r>
                              <w:rPr>
                                <w:rFonts w:ascii="Times New Roman" w:hAnsi="Times New Roman"/>
                                <w:i/>
                                <w:sz w:val="20"/>
                              </w:rPr>
                              <w:t>verklaring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6"/>
                        <w:gridCol w:w="8132"/>
                      </w:tblGrid>
                      <w:tr>
                        <w:trPr/>
                        <w:tc>
                          <w:tcPr>
                            <w:tcW w:w="236" w:type="dxa"/>
                            <w:tcBorders/>
                          </w:tcPr>
                          <w:p>
                            <w:pPr>
                              <w:pStyle w:val="TableContents"/>
                              <w:bidi w:val="0"/>
                              <w:spacing w:before="0" w:after="283"/>
                              <w:jc w:val="left"/>
                              <w:rPr/>
                            </w:pPr>
                            <w:r>
                              <w:rPr/>
                              <w:t>E.</w:t>
                            </w:r>
                          </w:p>
                        </w:tc>
                        <w:tc>
                          <w:tcPr>
                            <w:tcW w:w="81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95"/>
                        <w:gridCol w:w="8073"/>
                      </w:tblGrid>
                      <w:tr>
                        <w:trPr/>
                        <w:tc>
                          <w:tcPr>
                            <w:tcW w:w="295" w:type="dxa"/>
                            <w:tcBorders/>
                          </w:tcPr>
                          <w:p>
                            <w:pPr>
                              <w:pStyle w:val="TableContents"/>
                              <w:bidi w:val="0"/>
                              <w:spacing w:before="0" w:after="283"/>
                              <w:jc w:val="left"/>
                              <w:rPr/>
                            </w:pPr>
                            <w:r>
                              <w:rPr/>
                              <w:t>F.</w:t>
                            </w:r>
                          </w:p>
                        </w:tc>
                        <w:tc>
                          <w:tcPr>
                            <w:tcW w:w="80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letter does not purport to express any opinion or view on the operational rules and procedures of any clearing or settlement system or agency.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Sincerely yours, </w:t>
                      </w:r>
                    </w:p>
                    <w:p>
                      <w:pPr>
                        <w:pStyle w:val="TextBody"/>
                        <w:bidi w:val="0"/>
                        <w:spacing w:before="240" w:after="0"/>
                        <w:jc w:val="left"/>
                        <w:rPr>
                          <w:rFonts w:ascii="Times New Roman" w:hAnsi="Times New Roman"/>
                          <w:sz w:val="20"/>
                        </w:rPr>
                      </w:pPr>
                      <w:r>
                        <w:rPr>
                          <w:rFonts w:ascii="Times New Roman" w:hAnsi="Times New Roman"/>
                          <w:sz w:val="20"/>
                        </w:rPr>
                        <w:t xml:space="preserve">/s/ NautaDutilh N.V. </w:t>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1266825" cy="15240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31"/>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12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971550" cy="175260"/>
                <wp:effectExtent l="0" t="0" r="0" b="0"/>
                <wp:wrapSquare wrapText="right"/>
                <wp:docPr id="24" name="Frame13"/>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5313680" cy="8812530"/>
                <wp:effectExtent l="0" t="0" r="0" b="0"/>
                <wp:wrapSquare wrapText="right"/>
                <wp:docPr id="25" name="Frame14"/>
                <a:graphic xmlns:a="http://schemas.openxmlformats.org/drawingml/2006/main">
                  <a:graphicData uri="http://schemas.microsoft.com/office/word/2010/wordprocessingShape">
                    <wps:wsp>
                      <wps:cNvSpPr txBox="1"/>
                      <wps:spPr>
                        <a:xfrm>
                          <a:off x="0" y="0"/>
                          <a:ext cx="5313680" cy="8812530"/>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EXHIBIT A </w:t>
                            </w:r>
                          </w:p>
                          <w:p>
                            <w:pPr>
                              <w:pStyle w:val="TextBody"/>
                              <w:bidi w:val="0"/>
                              <w:spacing w:before="120" w:after="0"/>
                              <w:jc w:val="left"/>
                              <w:rPr>
                                <w:rFonts w:ascii="Times New Roman" w:hAnsi="Times New Roman"/>
                                <w:b/>
                                <w:sz w:val="20"/>
                              </w:rPr>
                            </w:pPr>
                            <w:r>
                              <w:rPr>
                                <w:rFonts w:ascii="Times New Roman" w:hAnsi="Times New Roman"/>
                                <w:b/>
                                <w:sz w:val="20"/>
                              </w:rPr>
                              <w:t xml:space="preserve">LIST OF DEFINITIONS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6"/>
                              <w:gridCol w:w="167"/>
                              <w:gridCol w:w="5775"/>
                            </w:tblGrid>
                            <w:tr>
                              <w:trPr/>
                              <w:tc>
                                <w:tcPr>
                                  <w:tcW w:w="2426"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5775" w:type="dxa"/>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Anti Money Laundering Laws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The European Anti-Money Laundering Directives, as implemented in the Netherlands in the Money Laundering and Terrorist Financing Prevention Act (</w:t>
                                  </w:r>
                                  <w:r>
                                    <w:rPr>
                                      <w:i/>
                                    </w:rPr>
                                    <w:t>Wet ter voorkoming van witwassen en financieren van terrorisme</w:t>
                                  </w:r>
                                  <w:r>
                                    <w:rPr/>
                                    <w:t>) and the Dutch Criminal Code (</w:t>
                                  </w:r>
                                  <w:r>
                                    <w:rPr>
                                      <w:i/>
                                    </w:rPr>
                                    <w:t>Wetboek van Strafrecht</w:t>
                                  </w:r>
                                  <w:r>
                                    <w:rPr/>
                                    <w: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Anti-Boycott Regulation</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Regulation (EC) No 2271/96 on protecting against the effects of the extra-territorial application of legislation adopted by a third country, and actions based thereon or resulting therefrom.</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Articles of Association</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The Companys articles of association (</w:t>
                                  </w:r>
                                  <w:r>
                                    <w:rPr>
                                      <w:i/>
                                    </w:rPr>
                                    <w:t>statuten</w:t>
                                  </w:r>
                                  <w:r>
                                    <w:rPr/>
                                    <w:t>) as they read from time to time.</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ATM Shares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Up to USD 175,000,000 Ordinary Shares issuable pursuant to the Sales Agreement.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Bankruptcy Code</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The Dutch Bankruptcy Code (</w:t>
                                  </w:r>
                                  <w:r>
                                    <w:rPr>
                                      <w:i/>
                                    </w:rPr>
                                    <w:t>Faillissementswet</w:t>
                                  </w:r>
                                  <w:r>
                                    <w:rPr/>
                                    <w: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Commercial Register</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The Dutch Commercial Register (</w:t>
                                  </w:r>
                                  <w:r>
                                    <w:rPr>
                                      <w:i/>
                                    </w:rPr>
                                    <w:t>handelsregister</w:t>
                                  </w:r>
                                  <w:r>
                                    <w:rPr/>
                                    <w: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Company</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Pharvaris N.V., a public company with limited liability (</w:t>
                                  </w:r>
                                  <w:r>
                                    <w:rPr>
                                      <w:i/>
                                    </w:rPr>
                                    <w:t>naamloze vennootschap</w:t>
                                  </w:r>
                                  <w:r>
                                    <w:rPr/>
                                    <w:t>), registered with the Commercial Register under number 64239411.</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Corporate Documents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The Deed of Incorporation, the Deed of Conversion, the Deed of Amendment and the Current Articles, the Registration Statement and the Prospectus Supplement.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Current Articles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The Articles of Association as contained in the Deed of Amendment.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DCC</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The Dutch Civil Code (</w:t>
                                  </w:r>
                                  <w:r>
                                    <w:rPr>
                                      <w:i/>
                                    </w:rPr>
                                    <w:t>Burgerlijk Wetboek</w:t>
                                  </w:r>
                                  <w:r>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693.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EXHIBIT A </w:t>
                      </w:r>
                    </w:p>
                    <w:p>
                      <w:pPr>
                        <w:pStyle w:val="TextBody"/>
                        <w:bidi w:val="0"/>
                        <w:spacing w:before="120" w:after="0"/>
                        <w:jc w:val="left"/>
                        <w:rPr>
                          <w:rFonts w:ascii="Times New Roman" w:hAnsi="Times New Roman"/>
                          <w:b/>
                          <w:sz w:val="20"/>
                        </w:rPr>
                      </w:pPr>
                      <w:r>
                        <w:rPr>
                          <w:rFonts w:ascii="Times New Roman" w:hAnsi="Times New Roman"/>
                          <w:b/>
                          <w:sz w:val="20"/>
                        </w:rPr>
                        <w:t xml:space="preserve">LIST OF DEFINITIONS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6"/>
                        <w:gridCol w:w="167"/>
                        <w:gridCol w:w="5775"/>
                      </w:tblGrid>
                      <w:tr>
                        <w:trPr/>
                        <w:tc>
                          <w:tcPr>
                            <w:tcW w:w="2426"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5775" w:type="dxa"/>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Anti Money Laundering Laws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The European Anti-Money Laundering Directives, as implemented in the Netherlands in the Money Laundering and Terrorist Financing Prevention Act (</w:t>
                            </w:r>
                            <w:r>
                              <w:rPr>
                                <w:i/>
                              </w:rPr>
                              <w:t>Wet ter voorkoming van witwassen en financieren van terrorisme</w:t>
                            </w:r>
                            <w:r>
                              <w:rPr/>
                              <w:t>) and the Dutch Criminal Code (</w:t>
                            </w:r>
                            <w:r>
                              <w:rPr>
                                <w:i/>
                              </w:rPr>
                              <w:t>Wetboek van Strafrecht</w:t>
                            </w:r>
                            <w:r>
                              <w:rPr/>
                              <w: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Anti-Boycott Regulation</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Regulation (EC) No 2271/96 on protecting against the effects of the extra-territorial application of legislation adopted by a third country, and actions based thereon or resulting therefrom.</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Articles of Association</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The Companys articles of association (</w:t>
                            </w:r>
                            <w:r>
                              <w:rPr>
                                <w:i/>
                              </w:rPr>
                              <w:t>statuten</w:t>
                            </w:r>
                            <w:r>
                              <w:rPr/>
                              <w:t>) as they read from time to time.</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ATM Shares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Up to USD 175,000,000 Ordinary Shares issuable pursuant to the Sales Agreement.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Bankruptcy Code</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The Dutch Bankruptcy Code (</w:t>
                            </w:r>
                            <w:r>
                              <w:rPr>
                                <w:i/>
                              </w:rPr>
                              <w:t>Faillissementswet</w:t>
                            </w:r>
                            <w:r>
                              <w:rPr/>
                              <w: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Commercial Register</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The Dutch Commercial Register (</w:t>
                            </w:r>
                            <w:r>
                              <w:rPr>
                                <w:i/>
                              </w:rPr>
                              <w:t>handelsregister</w:t>
                            </w:r>
                            <w:r>
                              <w:rPr/>
                              <w: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Company</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Pharvaris N.V., a public company with limited liability (</w:t>
                            </w:r>
                            <w:r>
                              <w:rPr>
                                <w:i/>
                              </w:rPr>
                              <w:t>naamloze vennootschap</w:t>
                            </w:r>
                            <w:r>
                              <w:rPr/>
                              <w:t>), registered with the Commercial Register under number 64239411.</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Corporate Documents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The Deed of Incorporation, the Deed of Conversion, the Deed of Amendment and the Current Articles, the Registration Statement and the Prospectus Supplement.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Current Articles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The Articles of Association as contained in the Deed of Amendment.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DCC</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tcPr>
                          <w:p>
                            <w:pPr>
                              <w:pStyle w:val="TableContents"/>
                              <w:bidi w:val="0"/>
                              <w:spacing w:before="0" w:after="283"/>
                              <w:jc w:val="left"/>
                              <w:rPr/>
                            </w:pPr>
                            <w:r>
                              <w:rPr/>
                              <w:t>The Dutch Civil Code (</w:t>
                            </w:r>
                            <w:r>
                              <w:rPr>
                                <w:i/>
                              </w:rPr>
                              <w:t>Burgerlijk Wetboek</w:t>
                            </w: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1266825" cy="152400"/>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32"/>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120" w:after="0"/>
        <w:jc w:val="center"/>
        <w:rPr>
          <w:rFonts w:ascii="Times New Roman" w:hAnsi="Times New Roman"/>
          <w:sz w:val="20"/>
        </w:rPr>
      </w:pPr>
      <w:r>
        <w:rPr>
          <w:rFonts w:ascii="Times New Roman" w:hAnsi="Times New Roman"/>
          <w:sz w:val="20"/>
        </w:rPr>
        <w:t xml:space="preserve">8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971550" cy="175260"/>
                <wp:effectExtent l="0" t="0" r="0" b="0"/>
                <wp:wrapSquare wrapText="right"/>
                <wp:docPr id="27" name="Frame15"/>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5313680" cy="9741535"/>
                <wp:effectExtent l="0" t="0" r="0" b="0"/>
                <wp:wrapSquare wrapText="right"/>
                <wp:docPr id="28" name="Frame16"/>
                <a:graphic xmlns:a="http://schemas.openxmlformats.org/drawingml/2006/main">
                  <a:graphicData uri="http://schemas.microsoft.com/office/word/2010/wordprocessingShape">
                    <wps:wsp>
                      <wps:cNvSpPr txBox="1"/>
                      <wps:spPr>
                        <a:xfrm>
                          <a:off x="0" y="0"/>
                          <a:ext cx="5313680" cy="974153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2426"/>
                              <w:gridCol w:w="167"/>
                              <w:gridCol w:w="5775"/>
                            </w:tblGrid>
                            <w:tr>
                              <w:trPr/>
                              <w:tc>
                                <w:tcPr>
                                  <w:tcW w:w="2426"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577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Debt Securities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One or more series of debt securities issuable by the Company and registered pursuant to the Registration Statement.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Deed of Amendment</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The deed of amendment to the articles of association of the Company dated March 6, 2024.</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Deed of Conversion</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The deed of conversion and amendment to the Articles of Association dated February 5, 2021.</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Deed of Incorporation</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The Companys deed of incorporation (</w:t>
                                  </w:r>
                                  <w:r>
                                    <w:rPr>
                                      <w:i/>
                                    </w:rPr>
                                    <w:t>akte van oprichting</w:t>
                                  </w:r>
                                  <w:r>
                                    <w:rPr/>
                                    <w:t>) dated September 30, 2015.</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Insolvency Proceedings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Any insolvency proceedings within the meaning of Regulation (EU) 2015/848 on insolvency proceedings (recast), as amended by Regulation (EU) 2021/2260, listed in Annex A thereto and any statutory proceedings for the restructuring of debts (</w:t>
                                  </w:r>
                                  <w:r>
                                    <w:rPr>
                                      <w:i/>
                                    </w:rPr>
                                    <w:t>akkoordprocedure</w:t>
                                  </w:r>
                                  <w:r>
                                    <w:rPr/>
                                    <w:t>) pursuant to the Bankruptcy Code.</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NautaDutilh</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NautaDutilh N.V.</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the Netherlands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The European territory of the Kingdom of the Netherlands and </w:t>
                                  </w:r>
                                  <w:r>
                                    <w:rPr>
                                      <w:b/>
                                    </w:rPr>
                                    <w:t>Dutch</w:t>
                                  </w:r>
                                  <w:r>
                                    <w:rPr/>
                                    <w:t> is in or from the Netherlands.</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Ordinary Shares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Ordinary shares in the Companys capital, with a nominal value of EUR 0.12 each.</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PRIIPs Regulation</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Regulation (EU) No 1286/2014 on key information documents for packaged retail and insurance-based investment products (PRIIPs).</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Prospectus Regulation</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Regulation (EU) 2017/1129 on the prospectus to be published when securities are offered to the public or admitted to trading on a regulated market, and repealing Directive 2003/71/EC.</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Prospectus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The prospectus included in the Registration Statement, as supplemented by the Prospectus Supplement.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767.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2426"/>
                        <w:gridCol w:w="167"/>
                        <w:gridCol w:w="5775"/>
                      </w:tblGrid>
                      <w:tr>
                        <w:trPr/>
                        <w:tc>
                          <w:tcPr>
                            <w:tcW w:w="2426"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577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Debt Securities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One or more series of debt securities issuable by the Company and registered pursuant to the Registration Statement.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Deed of Amendment</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The deed of amendment to the articles of association of the Company dated March 6, 2024.</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Deed of Conversion</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The deed of conversion and amendment to the Articles of Association dated February 5, 2021.</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Deed of Incorporation</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The Companys deed of incorporation (</w:t>
                            </w:r>
                            <w:r>
                              <w:rPr>
                                <w:i/>
                              </w:rPr>
                              <w:t>akte van oprichting</w:t>
                            </w:r>
                            <w:r>
                              <w:rPr/>
                              <w:t>) dated September 30, 2015.</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Insolvency Proceedings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Any insolvency proceedings within the meaning of Regulation (EU) 2015/848 on insolvency proceedings (recast), as amended by Regulation (EU) 2021/2260, listed in Annex A thereto and any statutory proceedings for the restructuring of debts (</w:t>
                            </w:r>
                            <w:r>
                              <w:rPr>
                                <w:i/>
                              </w:rPr>
                              <w:t>akkoordprocedure</w:t>
                            </w:r>
                            <w:r>
                              <w:rPr/>
                              <w:t>) pursuant to the Bankruptcy Code.</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NautaDutilh</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NautaDutilh N.V.</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the Netherlands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The European territory of the Kingdom of the Netherlands and </w:t>
                            </w:r>
                            <w:r>
                              <w:rPr>
                                <w:b/>
                              </w:rPr>
                              <w:t>Dutch</w:t>
                            </w:r>
                            <w:r>
                              <w:rPr/>
                              <w:t> is in or from the Netherlands.</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Ordinary Shares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Ordinary shares in the Companys capital, with a nominal value of EUR 0.12 each.</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PRIIPs Regulation</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Regulation (EU) No 1286/2014 on key information documents for packaged retail and insurance-based investment products (PRIIPs).</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Prospectus Regulation</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Regulation (EU) 2017/1129 on the prospectus to be published when securities are offered to the public or admitted to trading on a regulated market, and repealing Directive 2003/71/EC.</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Prospectus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The prospectus included in the Registration Statement, as supplemented by the Prospectus Supplement.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1266825" cy="1524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33"/>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120" w:after="0"/>
        <w:jc w:val="center"/>
        <w:rPr>
          <w:rFonts w:ascii="Times New Roman" w:hAnsi="Times New Roman"/>
          <w:sz w:val="20"/>
        </w:rPr>
      </w:pPr>
      <w:r>
        <w:rPr>
          <w:rFonts w:ascii="Times New Roman" w:hAnsi="Times New Roman"/>
          <w:sz w:val="20"/>
        </w:rPr>
        <w:t xml:space="preserve">9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971550" cy="175260"/>
                <wp:effectExtent l="0" t="0" r="0" b="0"/>
                <wp:wrapSquare wrapText="right"/>
                <wp:docPr id="30" name="Frame17"/>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5313680" cy="7740015"/>
                <wp:effectExtent l="0" t="0" r="0" b="0"/>
                <wp:wrapSquare wrapText="right"/>
                <wp:docPr id="31" name="Frame18"/>
                <a:graphic xmlns:a="http://schemas.openxmlformats.org/drawingml/2006/main">
                  <a:graphicData uri="http://schemas.microsoft.com/office/word/2010/wordprocessingShape">
                    <wps:wsp>
                      <wps:cNvSpPr txBox="1"/>
                      <wps:spPr>
                        <a:xfrm>
                          <a:off x="0" y="0"/>
                          <a:ext cx="5313680" cy="774001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2426"/>
                              <w:gridCol w:w="166"/>
                              <w:gridCol w:w="5776"/>
                            </w:tblGrid>
                            <w:tr>
                              <w:trPr/>
                              <w:tc>
                                <w:tcPr>
                                  <w:tcW w:w="2426"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577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Prospectus Supplement</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283"/>
                                    <w:jc w:val="left"/>
                                    <w:rPr/>
                                  </w:pPr>
                                  <w:r>
                                    <w:rPr/>
                                    <w:t>The prospectus supplement in relation to the ATM Shares, supplementing the prospectus forming part of the Registration Statement, filed or to be filed by the Company with the SEC on April 12, 2024.</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Purchase Contracts</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283"/>
                                    <w:jc w:val="left"/>
                                    <w:rPr/>
                                  </w:pPr>
                                  <w:r>
                                    <w:rPr/>
                                    <w:t>One or more series of purchase contracts issuable by the Company and registered pursuant to the Registration Statement, for the purchase of Debt Securities, equity securities or other securities as specified in the applicable prospectus supplement.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Registered Securities</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283"/>
                                    <w:jc w:val="left"/>
                                    <w:rPr/>
                                  </w:pPr>
                                  <w:r>
                                    <w:rPr/>
                                    <w:t>The Debt Securities, Registered Shares, Units, Purchase Contracts and Warrants.</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Registered Shares</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following Ordinary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 the Ordinary Shares registered pursuant to the Registration Statement including the ATM Shares;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b.  the Ordinary Shares issuable pursuant to the conversion, exchange or exercise of other Registered Securities.</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Registration Statement</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283"/>
                                    <w:jc w:val="left"/>
                                    <w:rPr/>
                                  </w:pPr>
                                  <w:r>
                                    <w:rPr/>
                                    <w:t>The Companys registration statement on Form F-3 filed or to be filed with the SEC in the form reviewed by us.</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Relevant Moment</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283"/>
                                    <w:jc w:val="left"/>
                                    <w:rPr/>
                                  </w:pPr>
                                  <w:r>
                                    <w:rPr/>
                                    <w:t>Each time when one or more Registered Securities are issued by the Company.</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Sales Agreement</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283"/>
                                    <w:jc w:val="left"/>
                                    <w:rPr/>
                                  </w:pPr>
                                  <w:r>
                                    <w:rPr/>
                                    <w:t>The sales agreement entered into or to be entered into between the Company and Leerink Partners LLC in the form reviewed by us.</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SEC</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283"/>
                                    <w:jc w:val="left"/>
                                    <w:rPr/>
                                  </w:pPr>
                                  <w:r>
                                    <w:rPr/>
                                    <w:t>The United States Securities and Exchange Commission.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609.45pt;mso-wrap-distance-left:0pt;mso-wrap-distance-right:0pt;mso-wrap-distance-top:0pt;mso-wrap-distance-bottom:0pt;margin-top:0pt;mso-position-vertical:top;mso-position-vertical-relative:text;margin-left:76.5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2426"/>
                        <w:gridCol w:w="166"/>
                        <w:gridCol w:w="5776"/>
                      </w:tblGrid>
                      <w:tr>
                        <w:trPr/>
                        <w:tc>
                          <w:tcPr>
                            <w:tcW w:w="2426"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577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Prospectus Supplement</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283"/>
                              <w:jc w:val="left"/>
                              <w:rPr/>
                            </w:pPr>
                            <w:r>
                              <w:rPr/>
                              <w:t>The prospectus supplement in relation to the ATM Shares, supplementing the prospectus forming part of the Registration Statement, filed or to be filed by the Company with the SEC on April 12, 2024.</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Purchase Contracts</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283"/>
                              <w:jc w:val="left"/>
                              <w:rPr/>
                            </w:pPr>
                            <w:r>
                              <w:rPr/>
                              <w:t>One or more series of purchase contracts issuable by the Company and registered pursuant to the Registration Statement, for the purchase of Debt Securities, equity securities or other securities as specified in the applicable prospectus supplement.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Registered Securities</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283"/>
                              <w:jc w:val="left"/>
                              <w:rPr/>
                            </w:pPr>
                            <w:r>
                              <w:rPr/>
                              <w:t>The Debt Securities, Registered Shares, Units, Purchase Contracts and Warrants.</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Registered Shares</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following Ordinary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 the Ordinary Shares registered pursuant to the Registration Statement including the ATM Shares;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b.  the Ordinary Shares issuable pursuant to the conversion, exchange or exercise of other Registered Securities.</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Registration Statement</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283"/>
                              <w:jc w:val="left"/>
                              <w:rPr/>
                            </w:pPr>
                            <w:r>
                              <w:rPr/>
                              <w:t>The Companys registration statement on Form F-3 filed or to be filed with the SEC in the form reviewed by us.</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Relevant Moment</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283"/>
                              <w:jc w:val="left"/>
                              <w:rPr/>
                            </w:pPr>
                            <w:r>
                              <w:rPr/>
                              <w:t>Each time when one or more Registered Securities are issued by the Company.</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Sales Agreement</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283"/>
                              <w:jc w:val="left"/>
                              <w:rPr/>
                            </w:pPr>
                            <w:r>
                              <w:rPr/>
                              <w:t>The sales agreement entered into or to be entered into between the Company and Leerink Partners LLC in the form reviewed by us.</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SEC</w:t>
                            </w:r>
                            <w:r>
                              <w:rPr>
                                <w:rFonts w:ascii="Times New Roman" w:hAnsi="Times New Roman"/>
                                <w:sz w:val="20"/>
                              </w:rPr>
                              <w:t></w:t>
                            </w:r>
                          </w:p>
                        </w:tc>
                        <w:tc>
                          <w:tcPr>
                            <w:tcW w:w="166" w:type="dxa"/>
                            <w:tcBorders/>
                            <w:vAlign w:val="bottom"/>
                          </w:tcPr>
                          <w:p>
                            <w:pPr>
                              <w:pStyle w:val="TableContents"/>
                              <w:bidi w:val="0"/>
                              <w:spacing w:before="0" w:after="283"/>
                              <w:jc w:val="left"/>
                              <w:rPr/>
                            </w:pPr>
                            <w:r>
                              <w:rPr/>
                              <w:t>  </w:t>
                            </w:r>
                          </w:p>
                        </w:tc>
                        <w:tc>
                          <w:tcPr>
                            <w:tcW w:w="5776" w:type="dxa"/>
                            <w:tcBorders/>
                            <w:vAlign w:val="bottom"/>
                          </w:tcPr>
                          <w:p>
                            <w:pPr>
                              <w:pStyle w:val="TableContents"/>
                              <w:bidi w:val="0"/>
                              <w:spacing w:before="0" w:after="283"/>
                              <w:jc w:val="left"/>
                              <w:rPr/>
                            </w:pPr>
                            <w:r>
                              <w:rPr/>
                              <w:t>The United States Securities and Exchange Commission.</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1266825" cy="152400"/>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34"/>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12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971550" cy="175260"/>
                <wp:effectExtent l="0" t="0" r="0" b="0"/>
                <wp:wrapSquare wrapText="right"/>
                <wp:docPr id="33" name="Frame19"/>
                <a:graphic xmlns:a="http://schemas.openxmlformats.org/drawingml/2006/main">
                  <a:graphicData uri="http://schemas.microsoft.com/office/word/2010/wordprocessingShape">
                    <wps:wsp>
                      <wps:cNvSpPr txBox="1"/>
                      <wps:spPr>
                        <a:xfrm>
                          <a:off x="0" y="0"/>
                          <a:ext cx="9715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15000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5313680" cy="3089275"/>
                <wp:effectExtent l="0" t="0" r="0" b="0"/>
                <wp:wrapSquare wrapText="right"/>
                <wp:docPr id="34" name="Frame20"/>
                <a:graphic xmlns:a="http://schemas.openxmlformats.org/drawingml/2006/main">
                  <a:graphicData uri="http://schemas.microsoft.com/office/word/2010/wordprocessingShape">
                    <wps:wsp>
                      <wps:cNvSpPr txBox="1"/>
                      <wps:spPr>
                        <a:xfrm>
                          <a:off x="0" y="0"/>
                          <a:ext cx="5313680" cy="308927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2426"/>
                              <w:gridCol w:w="167"/>
                              <w:gridCol w:w="5775"/>
                            </w:tblGrid>
                            <w:tr>
                              <w:trPr/>
                              <w:tc>
                                <w:tcPr>
                                  <w:tcW w:w="2426"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577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Units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One or more series of units issuable by the Company and registered pursuant to the Registration Statement consisting of one or more Debt Securities, Registered Shares, Warrants, Purchase Contracts or any combination of such securities as specified in the applicable prospectus supplement.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Warrants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One or more series of warrants issuable by the Company and registered pursuant to the Registration Statement for the purchase of Debt Securities, Ordinary Shares or other securities as specified in the applicable prospectus supplement.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82000</wp14:pctWidth>
                </wp14:sizeRelH>
              </wp:anchor>
            </w:drawing>
          </mc:Choice>
          <mc:Fallback>
            <w:pict>
              <v:rect style="position:absolute;rotation:-0;width:418.4pt;height:243.25pt;mso-wrap-distance-left:0pt;mso-wrap-distance-right:0pt;mso-wrap-distance-top:0pt;mso-wrap-distance-bottom:0pt;margin-top:0pt;mso-position-vertical:top;mso-position-vertical-relative:text;margin-left:76.5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2426"/>
                        <w:gridCol w:w="167"/>
                        <w:gridCol w:w="5775"/>
                      </w:tblGrid>
                      <w:tr>
                        <w:trPr/>
                        <w:tc>
                          <w:tcPr>
                            <w:tcW w:w="2426"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577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Units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One or more series of units issuable by the Company and registered pursuant to the Registration Statement consisting of one or more Debt Securities, Registered Shares, Warrants, Purchase Contracts or any combination of such securities as specified in the applicable prospectus supplement.</w:t>
                            </w:r>
                          </w:p>
                        </w:tc>
                      </w:tr>
                      <w:tr>
                        <w:trPr>
                          <w:trHeight w:val="120" w:hRule="atLeast"/>
                        </w:trPr>
                        <w:tc>
                          <w:tcPr>
                            <w:tcW w:w="2426" w:type="dxa"/>
                            <w:tcBorders/>
                            <w:vAlign w:val="center"/>
                          </w:tcPr>
                          <w:p>
                            <w:pPr>
                              <w:pStyle w:val="TableContents"/>
                              <w:bidi w:val="0"/>
                              <w:spacing w:before="0" w:after="283"/>
                              <w:jc w:val="left"/>
                              <w:rPr>
                                <w:sz w:val="4"/>
                                <w:szCs w:val="4"/>
                              </w:rPr>
                            </w:pPr>
                            <w:r>
                              <w:rPr>
                                <w:sz w:val="4"/>
                                <w:szCs w:val="4"/>
                              </w:rPr>
                            </w:r>
                          </w:p>
                        </w:tc>
                        <w:tc>
                          <w:tcPr>
                            <w:tcW w:w="5942" w:type="dxa"/>
                            <w:gridSpan w:val="2"/>
                            <w:tcBorders/>
                            <w:vAlign w:val="center"/>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Warrants</w:t>
                            </w:r>
                            <w:r>
                              <w:rPr>
                                <w:rFonts w:ascii="Times New Roman" w:hAnsi="Times New Roman"/>
                                <w:sz w:val="20"/>
                              </w:rPr>
                              <w:t></w:t>
                            </w:r>
                          </w:p>
                        </w:tc>
                        <w:tc>
                          <w:tcPr>
                            <w:tcW w:w="167" w:type="dxa"/>
                            <w:tcBorders/>
                            <w:vAlign w:val="bottom"/>
                          </w:tcPr>
                          <w:p>
                            <w:pPr>
                              <w:pStyle w:val="TableContents"/>
                              <w:bidi w:val="0"/>
                              <w:spacing w:before="0" w:after="283"/>
                              <w:jc w:val="left"/>
                              <w:rPr/>
                            </w:pPr>
                            <w:r>
                              <w:rPr/>
                              <w:t>  </w:t>
                            </w:r>
                          </w:p>
                        </w:tc>
                        <w:tc>
                          <w:tcPr>
                            <w:tcW w:w="5775" w:type="dxa"/>
                            <w:tcBorders/>
                            <w:vAlign w:val="bottom"/>
                          </w:tcPr>
                          <w:p>
                            <w:pPr>
                              <w:pStyle w:val="TableContents"/>
                              <w:bidi w:val="0"/>
                              <w:spacing w:before="0" w:after="283"/>
                              <w:jc w:val="left"/>
                              <w:rPr/>
                            </w:pPr>
                            <w:r>
                              <w:rPr/>
                              <w:t>One or more series of warrants issuable by the Company and registered pursuant to the Registration Statement for the purchase of Debt Securities, Ordinary Shares or other securities as specified in the applicable prospectus supplement.</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right"/>
        <w:rPr>
          <w:rFonts w:ascii="Times New Roman" w:hAnsi="Times New Roman"/>
          <w:b/>
          <w:sz w:val="20"/>
        </w:rPr>
      </w:pPr>
      <w:bookmarkStart w:id="48" w:name="d807379dex52.htm"/>
      <w:bookmarkStart w:id="49" w:name="ksd807379dex52"/>
      <w:bookmarkEnd w:id="48"/>
      <w:bookmarkEnd w:id="49"/>
      <w:r>
        <w:rPr>
          <w:rFonts w:ascii="Times New Roman" w:hAnsi="Times New Roman"/>
          <w:b/>
          <w:sz w:val="20"/>
        </w:rPr>
        <w:t xml:space="preserve">Exhibit 5.2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0" cy="314325"/>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35"/>
                    <a:stretch>
                      <a:fillRect/>
                    </a:stretch>
                  </pic:blipFill>
                  <pic:spPr bwMode="auto">
                    <a:xfrm>
                      <a:off x="0" y="0"/>
                      <a:ext cx="2266950" cy="3143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601 Lexington Avenue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10022 </w:t>
      </w:r>
    </w:p>
    <w:p>
      <w:pPr>
        <w:pStyle w:val="TextBody"/>
        <w:bidi w:val="0"/>
        <w:spacing w:before="0" w:after="0"/>
        <w:jc w:val="center"/>
        <w:rPr>
          <w:rFonts w:ascii="Times New Roman" w:hAnsi="Times New Roman"/>
          <w:sz w:val="20"/>
        </w:rPr>
      </w:pPr>
      <w:r>
        <w:rPr>
          <w:rFonts w:ascii="Times New Roman" w:hAnsi="Times New Roman"/>
          <w:sz w:val="20"/>
        </w:rPr>
        <w:t xml:space="preserve">United States </w:t>
      </w:r>
    </w:p>
    <w:p>
      <w:pPr>
        <w:pStyle w:val="TextBody"/>
        <w:bidi w:val="0"/>
        <w:spacing w:before="240" w:after="0"/>
        <w:jc w:val="center"/>
        <w:rPr>
          <w:rFonts w:ascii="Times New Roman" w:hAnsi="Times New Roman"/>
          <w:sz w:val="20"/>
        </w:rPr>
      </w:pPr>
      <w:r>
        <w:rPr>
          <w:rFonts w:ascii="Times New Roman" w:hAnsi="Times New Roman"/>
          <w:sz w:val="20"/>
        </w:rPr>
        <w:t xml:space="preserve">+1 212 446 4800 </w:t>
      </w:r>
    </w:p>
    <w:p>
      <w:pPr>
        <w:pStyle w:val="TextBody"/>
        <w:bidi w:val="0"/>
        <w:spacing w:before="240" w:after="0"/>
        <w:jc w:val="center"/>
        <w:rPr>
          <w:rFonts w:ascii="Times New Roman" w:hAnsi="Times New Roman"/>
          <w:sz w:val="20"/>
        </w:rPr>
      </w:pPr>
      <w:r>
        <w:rPr>
          <w:rFonts w:ascii="Times New Roman" w:hAnsi="Times New Roman"/>
          <w:sz w:val="20"/>
        </w:rPr>
        <w:t xml:space="preserve">www.kirkland.com </w:t>
      </w:r>
    </w:p>
    <w:p>
      <w:pPr>
        <w:pStyle w:val="TextBody"/>
        <w:bidi w:val="0"/>
        <w:spacing w:before="240" w:after="0"/>
        <w:jc w:val="center"/>
        <w:rPr>
          <w:rFonts w:ascii="Times New Roman" w:hAnsi="Times New Roman"/>
          <w:sz w:val="20"/>
        </w:rPr>
      </w:pPr>
      <w:r>
        <w:rPr>
          <w:rFonts w:ascii="Times New Roman" w:hAnsi="Times New Roman"/>
          <w:sz w:val="20"/>
        </w:rPr>
        <w:t xml:space="preserve">April 12, 2024 </w:t>
      </w:r>
    </w:p>
    <w:p>
      <w:pPr>
        <w:pStyle w:val="TextBody"/>
        <w:bidi w:val="0"/>
        <w:spacing w:before="240" w:after="0"/>
        <w:jc w:val="left"/>
        <w:rPr>
          <w:rFonts w:ascii="Times New Roman" w:hAnsi="Times New Roman"/>
          <w:sz w:val="20"/>
        </w:rPr>
      </w:pPr>
      <w:r>
        <w:rPr>
          <w:rFonts w:ascii="Times New Roman" w:hAnsi="Times New Roman"/>
          <w:sz w:val="20"/>
        </w:rPr>
        <w:t xml:space="preserve">Pharvaris N.V. </w:t>
      </w:r>
    </w:p>
    <w:p>
      <w:pPr>
        <w:pStyle w:val="TextBody"/>
        <w:bidi w:val="0"/>
        <w:spacing w:before="0" w:after="0"/>
        <w:jc w:val="left"/>
        <w:rPr>
          <w:rFonts w:ascii="Times New Roman" w:hAnsi="Times New Roman"/>
          <w:sz w:val="20"/>
        </w:rPr>
      </w:pPr>
      <w:r>
        <w:rPr>
          <w:rFonts w:ascii="Times New Roman" w:hAnsi="Times New Roman"/>
          <w:sz w:val="20"/>
        </w:rPr>
        <w:t xml:space="preserve">Emmy Noetherweg 2 </w:t>
      </w:r>
    </w:p>
    <w:p>
      <w:pPr>
        <w:pStyle w:val="TextBody"/>
        <w:bidi w:val="0"/>
        <w:spacing w:before="0" w:after="0"/>
        <w:jc w:val="left"/>
        <w:rPr>
          <w:rFonts w:ascii="Times New Roman" w:hAnsi="Times New Roman"/>
          <w:sz w:val="20"/>
        </w:rPr>
      </w:pPr>
      <w:r>
        <w:rPr>
          <w:rFonts w:ascii="Times New Roman" w:hAnsi="Times New Roman"/>
          <w:sz w:val="20"/>
        </w:rPr>
        <w:t xml:space="preserve">2333 BK Leiden, The Netherlands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F-3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are issuing this opinion letter in our capacity as special U.S. counsel to Pharvaris N.V., a Dutch public company with limited liability (</w:t>
      </w:r>
      <w:r>
        <w:rPr>
          <w:rFonts w:ascii="Times New Roman" w:hAnsi="Times New Roman"/>
          <w:i/>
          <w:sz w:val="20"/>
        </w:rPr>
        <w:t>naamloze vennootschap</w:t>
      </w:r>
      <w:r>
        <w:rPr>
          <w:rFonts w:ascii="Times New Roman" w:hAnsi="Times New Roman"/>
          <w:sz w:val="20"/>
        </w:rPr>
        <w:t>) (the </w:t>
      </w:r>
      <w:r>
        <w:rPr>
          <w:rFonts w:ascii="Times New Roman" w:hAnsi="Times New Roman"/>
          <w:sz w:val="20"/>
          <w:u w:val="single"/>
        </w:rPr>
        <w:t>Company</w:t>
      </w:r>
      <w:r>
        <w:rPr>
          <w:rFonts w:ascii="Times New Roman" w:hAnsi="Times New Roman"/>
          <w:sz w:val="20"/>
        </w:rPr>
        <w:t>), in connection with the Registration Statement on Form F-3 (the </w:t>
      </w:r>
      <w:r>
        <w:rPr>
          <w:rFonts w:ascii="Times New Roman" w:hAnsi="Times New Roman"/>
          <w:sz w:val="20"/>
          <w:u w:val="single"/>
        </w:rPr>
        <w:t>Registration Statement</w:t>
      </w:r>
      <w:r>
        <w:rPr>
          <w:rFonts w:ascii="Times New Roman" w:hAnsi="Times New Roman"/>
          <w:sz w:val="20"/>
        </w:rPr>
        <w:t>), to be filed with Securities and Exchange Commission (the </w:t>
      </w:r>
      <w:r>
        <w:rPr>
          <w:rFonts w:ascii="Times New Roman" w:hAnsi="Times New Roman"/>
          <w:sz w:val="20"/>
          <w:u w:val="single"/>
        </w:rPr>
        <w:t>Commission</w:t>
      </w:r>
      <w:r>
        <w:rPr>
          <w:rFonts w:ascii="Times New Roman" w:hAnsi="Times New Roman"/>
          <w:sz w:val="20"/>
        </w:rPr>
        <w:t>) by the Company, to register the offer and sale by the Company, of up to $175,000,000 in initial offering price or number of (i) ordinary shares, nominal value 0.12 per share (the </w:t>
      </w:r>
      <w:r>
        <w:rPr>
          <w:rFonts w:ascii="Times New Roman" w:hAnsi="Times New Roman"/>
          <w:sz w:val="20"/>
          <w:u w:val="single"/>
        </w:rPr>
        <w:t>Ordinary Shares</w:t>
      </w:r>
      <w:r>
        <w:rPr>
          <w:rFonts w:ascii="Times New Roman" w:hAnsi="Times New Roman"/>
          <w:sz w:val="20"/>
        </w:rPr>
        <w:t>), of the Company; (ii) senior debt securities (the </w:t>
      </w:r>
      <w:r>
        <w:rPr>
          <w:rFonts w:ascii="Times New Roman" w:hAnsi="Times New Roman"/>
          <w:sz w:val="20"/>
          <w:u w:val="single"/>
        </w:rPr>
        <w:t>Senior Debt Securities</w:t>
      </w:r>
      <w:r>
        <w:rPr>
          <w:rFonts w:ascii="Times New Roman" w:hAnsi="Times New Roman"/>
          <w:sz w:val="20"/>
        </w:rPr>
        <w:t>), which may be issued pursuant to an indenture (the </w:t>
      </w:r>
      <w:r>
        <w:rPr>
          <w:rFonts w:ascii="Times New Roman" w:hAnsi="Times New Roman"/>
          <w:sz w:val="20"/>
          <w:u w:val="single"/>
        </w:rPr>
        <w:t>Senior Indenture</w:t>
      </w:r>
      <w:r>
        <w:rPr>
          <w:rFonts w:ascii="Times New Roman" w:hAnsi="Times New Roman"/>
          <w:sz w:val="20"/>
        </w:rPr>
        <w:t>) to be executed by the Company and the trustee to be named therein; and subordinated debt securities (the </w:t>
      </w:r>
      <w:r>
        <w:rPr>
          <w:rFonts w:ascii="Times New Roman" w:hAnsi="Times New Roman"/>
          <w:sz w:val="20"/>
          <w:u w:val="single"/>
        </w:rPr>
        <w:t>Subordinated Debt Securities</w:t>
      </w:r>
      <w:r>
        <w:rPr>
          <w:rFonts w:ascii="Times New Roman" w:hAnsi="Times New Roman"/>
          <w:sz w:val="20"/>
        </w:rPr>
        <w:t> and, together with the Senior Debt Securities, the </w:t>
      </w:r>
      <w:r>
        <w:rPr>
          <w:rFonts w:ascii="Times New Roman" w:hAnsi="Times New Roman"/>
          <w:sz w:val="20"/>
          <w:u w:val="single"/>
        </w:rPr>
        <w:t>Debt Securities</w:t>
      </w:r>
      <w:r>
        <w:rPr>
          <w:rFonts w:ascii="Times New Roman" w:hAnsi="Times New Roman"/>
          <w:sz w:val="20"/>
        </w:rPr>
        <w:t>), which may be issued pursuant to an indenture (the </w:t>
      </w:r>
      <w:r>
        <w:rPr>
          <w:rFonts w:ascii="Times New Roman" w:hAnsi="Times New Roman"/>
          <w:sz w:val="20"/>
          <w:u w:val="single"/>
        </w:rPr>
        <w:t>Subordinated Indenture</w:t>
      </w:r>
      <w:r>
        <w:rPr>
          <w:rFonts w:ascii="Times New Roman" w:hAnsi="Times New Roman"/>
          <w:sz w:val="20"/>
        </w:rPr>
        <w:t> and, together with the Senior Indenture, the </w:t>
      </w:r>
      <w:r>
        <w:rPr>
          <w:rFonts w:ascii="Times New Roman" w:hAnsi="Times New Roman"/>
          <w:sz w:val="20"/>
          <w:u w:val="single"/>
        </w:rPr>
        <w:t>Indentures</w:t>
      </w:r>
      <w:r>
        <w:rPr>
          <w:rFonts w:ascii="Times New Roman" w:hAnsi="Times New Roman"/>
          <w:sz w:val="20"/>
        </w:rPr>
        <w:t>) to be executed by the Company and the trustee to be named therein; (iii) warrants or other rights to purchase or otherwise acquire Ordinary Shares or Debt Securities of the Company (the </w:t>
      </w:r>
      <w:r>
        <w:rPr>
          <w:rFonts w:ascii="Times New Roman" w:hAnsi="Times New Roman"/>
          <w:sz w:val="20"/>
          <w:u w:val="single"/>
        </w:rPr>
        <w:t>Warrants</w:t>
      </w:r>
      <w:r>
        <w:rPr>
          <w:rFonts w:ascii="Times New Roman" w:hAnsi="Times New Roman"/>
          <w:sz w:val="20"/>
        </w:rPr>
        <w:t>); (iv) purchase contracts (the </w:t>
      </w:r>
      <w:r>
        <w:rPr>
          <w:rFonts w:ascii="Times New Roman" w:hAnsi="Times New Roman"/>
          <w:sz w:val="20"/>
          <w:u w:val="single"/>
        </w:rPr>
        <w:t>Purchase Contracts</w:t>
      </w:r>
      <w:r>
        <w:rPr>
          <w:rFonts w:ascii="Times New Roman" w:hAnsi="Times New Roman"/>
          <w:sz w:val="20"/>
        </w:rPr>
        <w:t>) for the purchase or sale of the Companys securities or securities of third parties, a basket of such securities, an index or indices of such securities or any combination of the above; and (v) units (the </w:t>
      </w:r>
      <w:r>
        <w:rPr>
          <w:rFonts w:ascii="Times New Roman" w:hAnsi="Times New Roman"/>
          <w:sz w:val="20"/>
          <w:u w:val="single"/>
        </w:rPr>
        <w:t>Units</w:t>
      </w:r>
      <w:r>
        <w:rPr>
          <w:rFonts w:ascii="Times New Roman" w:hAnsi="Times New Roman"/>
          <w:sz w:val="20"/>
        </w:rPr>
        <w:t xml:space="preserve">) consisting of one or more Ordinary Shares, Debt Securities, Warrants, Purchase Contracts, or any combination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opinions hereinafter expressed, we have examined the Registration Statement, copies of the forms of the Indentures and originals or copies, certified and otherwise identified to our satisfaction, of such other documents, corporate or limited liability company records, certificates of public officials and other instruments as we have deemed necessary as a basis for the opinions expressed herein. Insofar as the opinions expressed herein involve factual matters, we have relied (without independent factual investigation), to the extent we deemed proper or necessary, upon certificates of, and other communications with, officers and employees of the Company and upon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In connection with this opinion, we have assumed that (a) the Registration Statement will have become effective under the Securities Act of 1933, as amended (the </w:t>
      </w:r>
      <w:r>
        <w:rPr>
          <w:rFonts w:ascii="Times New Roman" w:hAnsi="Times New Roman"/>
          <w:sz w:val="20"/>
          <w:u w:val="single"/>
        </w:rPr>
        <w:t>Act</w:t>
      </w:r>
      <w:r>
        <w:rPr>
          <w:rFonts w:ascii="Times New Roman" w:hAnsi="Times New Roman"/>
          <w:sz w:val="20"/>
        </w:rPr>
        <w:t xml:space="preserve">); (b) a prospectus supplement will have been prepared and filed with the Commission describing the securities offered thereby; (c) all offered securities will be issued and sold in compliance with applicable federal and state securities laws and in the manner stated in the Registration Statement and the applicable prospectus supplement; (d) a definitive purchase, underwriting, sales agency or similar agreement with respect to the offered securities will have been duly authorized and validly executed and delivered by the Company and the other parties thereto; (e) any applicable indenture and indenture trustee will have been qualified under the Trust Indenture Act of 1939, as amended; and (f) with respect to any Units, consisting of one or more Ordinary Shares, Debt Securities, Warrants, Purchase Contracts, or any combination of such securities, such Units will be authorized, validly issued, fully paid and nonassessable (to the extent applicable).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15"/>
        </w:rPr>
      </w:pPr>
      <w:r>
        <w:rPr>
          <w:rFonts w:ascii="Times New Roman" w:hAnsi="Times New Roman"/>
          <w:sz w:val="15"/>
        </w:rPr>
        <w:t xml:space="preserve">Austin Bay Area Beijing Boston Brussels Chicago Dallas Hong  Kong Houston London Los Angeles Miami Munich Paris Salt Lake City Shanghai Washington, D.C.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1847850" cy="161925"/>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36"/>
                    <a:stretch>
                      <a:fillRect/>
                    </a:stretch>
                  </pic:blipFill>
                  <pic:spPr bwMode="auto">
                    <a:xfrm>
                      <a:off x="0" y="0"/>
                      <a:ext cx="1847850" cy="161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Pharvaris N.V. </w:t>
      </w:r>
    </w:p>
    <w:p>
      <w:pPr>
        <w:pStyle w:val="TextBody"/>
        <w:bidi w:val="0"/>
        <w:spacing w:before="0" w:after="0"/>
        <w:jc w:val="left"/>
        <w:rPr>
          <w:rFonts w:ascii="Times New Roman" w:hAnsi="Times New Roman"/>
          <w:sz w:val="20"/>
        </w:rPr>
      </w:pPr>
      <w:r>
        <w:rPr>
          <w:rFonts w:ascii="Times New Roman" w:hAnsi="Times New Roman"/>
          <w:sz w:val="20"/>
        </w:rPr>
        <w:t xml:space="preserve">April 12, 2024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on the foregoing, and having regard for such legal considerations as we have deemed relevant, we advise you that: </w:t>
      </w:r>
    </w:p>
    <w:p>
      <w:pPr>
        <w:pStyle w:val="TextBody"/>
        <w:bidi w:val="0"/>
        <w:spacing w:before="120" w:after="0"/>
        <w:jc w:val="left"/>
        <w:rPr>
          <w:rFonts w:ascii="Times New Roman" w:hAnsi="Times New Roman"/>
          <w:sz w:val="20"/>
        </w:rPr>
      </w:pPr>
      <w:r>
        <w:rPr>
          <w:rFonts w:ascii="Times New Roman" w:hAnsi="Times New Roman"/>
          <w:sz w:val="20"/>
        </w:rPr>
        <w:t xml:space="preserve">1. When the Debt Securities and the applicable Indenture have been authorized by appropriate corporate authorization, the applicable Indenture has been duly executed by the parties thereto, and the Debt Securities have been executed, authenticated and delivered in accordance with the applicable Indenture against payment therefor, the Debt Securities will be validly issued and the Debt Securities will constitute binding obligations of the Company in accordance with their terms and the terms of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2. When the Warrants and the related warrant agreement have been duly authorized by appropriate corporate authorization, the warrant agreement has been duly executed by the parties thereto, and the Warrants have been executed, countersigned, and delivered in accordance with the warrant agreement against payment therefor, the Warrants will be validly issued and will constitute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When the Purchase Contracts and the related purchase contract agreement have been duly authorized by appropriate corporate authorization, and the Purchase Contracts have been duly executed and issued in accordance with the related purchase contract agreement, the Purchase Contracts will constitute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4. When the Units and the related unit agreement have been duly authorized by appropriate corporate authorization, and the Units have been duly executed and issued in accordance with the related unit agreement, the Units will constitute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Each opinion (an </w:t>
      </w:r>
      <w:r>
        <w:rPr>
          <w:rFonts w:ascii="Times New Roman" w:hAnsi="Times New Roman"/>
          <w:sz w:val="20"/>
          <w:u w:val="single"/>
        </w:rPr>
        <w:t>enforceability opinion</w:t>
      </w:r>
      <w:r>
        <w:rPr>
          <w:rFonts w:ascii="Times New Roman" w:hAnsi="Times New Roman"/>
          <w:sz w:val="20"/>
        </w:rPr>
        <w:t xml:space="preserve">) in this letter that any security is a valid and binding obligation or is enforceable in accordance with its terms is subject to: (i) the effect of bankruptcy, insolvency, fraudulent conveyance and other similar laws and judicially developed doctrines in this area such as substantive consolidation and equitable subordination; (ii) the effect of general principles of equity; and (iii) other commonly recognized statutory and judicial constraints on enforceability including statutes of limitations. In addition, we do not express any opinion as to the enforceability of any rights to contribution or indemnification which may be violative of public policy underlying any law, rule or regulation (including any federal or state securities law, rule or regulation). General principles of equity include, but are not limited to: principles limiting the availability of specific performance and injunctive relief; principles which limit the availability of a remedy under certain circumstances where another remedy has been elected; principles requiring reasonableness, good faith and fair dealing in the performance and enforcement of an agreement by the party seeking enforcement; principles which may permit a party to cure a material failure to perform its obligations; and principles affording equitable defenses such as waiver, laches and estoppel. We express no opinion with respect to the enforceability of any provision which purports to waive the benefit of usury laws. It is possible that terms in a particular contract covered by our enforceability opinion may not prove enforceable for reasons other than those explicitly cited in this letter should an actual enforcement action be brought, but (subject to all the exceptions, qualifications, exclusions and other limitations contained in this letter) such unenforceability would not in our opinion prevent the party entitled to enforce that contract from realizing the principal benefits purported to be provided to that party by the terms in that contract which are covered by our enforceability opinion.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1847850" cy="161925"/>
            <wp:effectExtent l="0" t="0" r="0" b="0"/>
            <wp:docPr id="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6" descr=""/>
                    <pic:cNvPicPr>
                      <a:picLocks noChangeAspect="1" noChangeArrowheads="1"/>
                    </pic:cNvPicPr>
                  </pic:nvPicPr>
                  <pic:blipFill>
                    <a:blip r:embed="rId37"/>
                    <a:stretch>
                      <a:fillRect/>
                    </a:stretch>
                  </pic:blipFill>
                  <pic:spPr bwMode="auto">
                    <a:xfrm>
                      <a:off x="0" y="0"/>
                      <a:ext cx="1847850" cy="161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Pharvaris N.V. </w:t>
      </w:r>
    </w:p>
    <w:p>
      <w:pPr>
        <w:pStyle w:val="TextBody"/>
        <w:bidi w:val="0"/>
        <w:spacing w:before="0" w:after="0"/>
        <w:jc w:val="left"/>
        <w:rPr>
          <w:rFonts w:ascii="Times New Roman" w:hAnsi="Times New Roman"/>
          <w:sz w:val="20"/>
        </w:rPr>
      </w:pPr>
      <w:r>
        <w:rPr>
          <w:rFonts w:ascii="Times New Roman" w:hAnsi="Times New Roman"/>
          <w:sz w:val="20"/>
        </w:rPr>
        <w:t xml:space="preserve">April 12, 2024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does not cover the law of any jurisdiction other than the law of the State of New York. We did not find it necessary for the purposes of this opinion, and accordingly we do not purport to cover herein, the application of the securities or Blue Sky laws of the various states. We undertake no responsibility to update or supplement this opinion in response to changes in law or future events or other circumstances. We have assumed the indentures, purchase contract agreement, warrant agreement and unit agreement referenced in the numbered paragraphs above will be governed by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furnished to you in connection with the filing of the Registration Statement and is not to be used, circulated, quoted or otherwise relied upon or otherwise referred to by any other person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in accordance with the requirements of Item 601 of Regulation S-K promulgated under the Act, and no opinion is expressed herein as to any matter pertaining to the contents of the Registration Statement, other than as to the specific issues addressed herein, and no opinion may be inferred or implied beyond that expressly stated herein.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reference to our firm under the heading Legal Matters in the Registration Statement. In giving this consent, we do not thereby admit that we are in the category of persons whose consent is required under Section 7 of the Act or the rules and regulations of the Commission.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Yours very truly,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KIRKLAND &amp; ELLIS LLP</w:t>
            </w:r>
          </w:p>
        </w:tc>
      </w:tr>
    </w:tbl>
    <w:p>
      <w:pPr>
        <w:pStyle w:val="TextBody"/>
        <w:bidi w:val="0"/>
        <w:spacing w:before="0" w:after="0"/>
        <w:jc w:val="right"/>
        <w:rPr>
          <w:rFonts w:ascii="Times New Roman" w:hAnsi="Times New Roman"/>
          <w:b/>
          <w:sz w:val="20"/>
        </w:rPr>
      </w:pPr>
      <w:bookmarkStart w:id="50" w:name="d807379dex231.htm"/>
      <w:bookmarkStart w:id="51" w:name="ksd807379dex231"/>
      <w:bookmarkEnd w:id="50"/>
      <w:bookmarkEnd w:id="51"/>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F-3 of Pharvaris N.V. of our report dated April 10, 2024 relating to the financial statements, which appears in Pharvaris N.V.s Annual Report on Form 20-F for the year ended December 31, 2023.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PricewaterhouseCoopers Accountants N.V.</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Amsterdam, The Netherlands</w:t>
            </w:r>
          </w:p>
        </w:tc>
      </w:tr>
      <w:tr>
        <w:trPr/>
        <w:tc>
          <w:tcPr>
            <w:tcW w:w="4082" w:type="dxa"/>
            <w:tcBorders/>
          </w:tcPr>
          <w:p>
            <w:pPr>
              <w:pStyle w:val="TableContents"/>
              <w:bidi w:val="0"/>
              <w:spacing w:before="0" w:after="283"/>
              <w:jc w:val="left"/>
              <w:rPr/>
            </w:pPr>
            <w:r>
              <w:rPr/>
              <w:t>April 12, 2024</w:t>
            </w:r>
          </w:p>
        </w:tc>
      </w:tr>
    </w:tbl>
    <w:p>
      <w:pPr>
        <w:pStyle w:val="TextBody"/>
        <w:bidi w:val="0"/>
        <w:spacing w:before="0" w:after="0"/>
        <w:jc w:val="right"/>
        <w:rPr>
          <w:rFonts w:ascii="Times New Roman" w:hAnsi="Times New Roman"/>
          <w:b/>
          <w:sz w:val="20"/>
        </w:rPr>
      </w:pPr>
      <w:bookmarkStart w:id="52" w:name="d807379dexfilingfees.htm"/>
      <w:bookmarkStart w:id="53" w:name="ksd807379dexfilingfees"/>
      <w:bookmarkEnd w:id="52"/>
      <w:bookmarkEnd w:id="53"/>
      <w:r>
        <w:rPr>
          <w:rFonts w:ascii="Times New Roman" w:hAnsi="Times New Roman"/>
          <w:b/>
          <w:sz w:val="20"/>
        </w:rPr>
        <w:t xml:space="preserve">Exhibit 107 </w:t>
      </w:r>
      <w:r>
        <w:br w:type="page"/>
      </w:r>
    </w:p>
    <w:p>
      <w:pPr>
        <w:pStyle w:val="TextBody"/>
        <w:bidi w:val="0"/>
        <w:spacing w:before="0" w:after="0"/>
        <w:jc w:val="right"/>
        <w:rPr>
          <w:rFonts w:ascii="Times New Roman" w:hAnsi="Times New Roman"/>
          <w:b/>
          <w:sz w:val="20"/>
        </w:rPr>
      </w:pPr>
      <w:r>
        <w:rPr>
          <w:rFonts w:ascii="Times New Roman" w:hAnsi="Times New Roman"/>
          <w:b/>
          <w:sz w:val="20"/>
        </w:rPr>
        <w:t xml:space="preserve">EX-FILING FEES </w:t>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32"/>
        </w:rPr>
      </w:pPr>
      <w:r>
        <w:rPr>
          <w:rFonts w:ascii="Times New Roman" w:hAnsi="Times New Roman"/>
          <w:b/>
          <w:sz w:val="32"/>
        </w:rPr>
        <w:t xml:space="preserve">FORM F-3 </w:t>
      </w:r>
    </w:p>
    <w:p>
      <w:pPr>
        <w:pStyle w:val="TextBody"/>
        <w:bidi w:val="0"/>
        <w:spacing w:before="0" w:after="0"/>
        <w:jc w:val="center"/>
        <w:rPr>
          <w:rFonts w:ascii="Times New Roman" w:hAnsi="Times New Roman"/>
          <w:b/>
          <w:sz w:val="20"/>
        </w:rPr>
      </w:pPr>
      <w:r>
        <w:rPr>
          <w:rFonts w:ascii="Times New Roman" w:hAnsi="Times New Roman"/>
          <w:b/>
          <w:sz w:val="20"/>
        </w:rPr>
        <w:t xml:space="preserve">(Form Type) </w:t>
      </w:r>
    </w:p>
    <w:p>
      <w:pPr>
        <w:pStyle w:val="TextBody"/>
        <w:bidi w:val="0"/>
        <w:spacing w:before="240" w:after="0"/>
        <w:jc w:val="center"/>
        <w:rPr>
          <w:rFonts w:ascii="Times New Roman" w:hAnsi="Times New Roman"/>
          <w:b/>
          <w:sz w:val="40"/>
        </w:rPr>
      </w:pPr>
      <w:r>
        <w:rPr>
          <w:rFonts w:ascii="Times New Roman" w:hAnsi="Times New Roman"/>
          <w:b/>
          <w:sz w:val="40"/>
        </w:rPr>
        <w:t xml:space="preserve">Pharvaris N.V.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Table 1: Newly Registered and Carry Forward Securities </w:t>
      </w:r>
    </w:p>
    <w:p>
      <w:pPr>
        <w:pStyle w:val="TextBody"/>
        <w:bidi w:val="0"/>
        <w:spacing w:before="0" w:after="0"/>
        <w:jc w:val="left"/>
        <w:rPr/>
      </w:pPr>
      <w:r>
        <w:rPr/>
        <w:t> </w:t>
      </w:r>
    </w:p>
    <w:tbl>
      <w:tblPr>
        <w:tblW w:w="16110" w:type="dxa"/>
        <w:jc w:val="left"/>
        <w:tblInd w:w="0" w:type="dxa"/>
        <w:tblLayout w:type="fixed"/>
        <w:tblCellMar>
          <w:top w:w="0" w:type="dxa"/>
          <w:left w:w="0" w:type="dxa"/>
          <w:bottom w:w="0" w:type="dxa"/>
          <w:right w:w="0" w:type="dxa"/>
        </w:tblCellMar>
      </w:tblPr>
      <w:tblGrid>
        <w:gridCol w:w="755"/>
        <w:gridCol w:w="60"/>
        <w:gridCol w:w="1160"/>
        <w:gridCol w:w="60"/>
        <w:gridCol w:w="1535"/>
        <w:gridCol w:w="60"/>
        <w:gridCol w:w="1190"/>
        <w:gridCol w:w="60"/>
        <w:gridCol w:w="188"/>
        <w:gridCol w:w="912"/>
        <w:gridCol w:w="60"/>
        <w:gridCol w:w="60"/>
        <w:gridCol w:w="183"/>
        <w:gridCol w:w="887"/>
        <w:gridCol w:w="60"/>
        <w:gridCol w:w="60"/>
        <w:gridCol w:w="140"/>
        <w:gridCol w:w="1340"/>
        <w:gridCol w:w="60"/>
        <w:gridCol w:w="60"/>
        <w:gridCol w:w="140"/>
        <w:gridCol w:w="1160"/>
        <w:gridCol w:w="60"/>
        <w:gridCol w:w="60"/>
        <w:gridCol w:w="158"/>
        <w:gridCol w:w="1107"/>
        <w:gridCol w:w="60"/>
        <w:gridCol w:w="60"/>
        <w:gridCol w:w="467"/>
        <w:gridCol w:w="468"/>
        <w:gridCol w:w="60"/>
        <w:gridCol w:w="60"/>
        <w:gridCol w:w="467"/>
        <w:gridCol w:w="468"/>
        <w:gridCol w:w="60"/>
        <w:gridCol w:w="60"/>
        <w:gridCol w:w="467"/>
        <w:gridCol w:w="468"/>
        <w:gridCol w:w="60"/>
        <w:gridCol w:w="60"/>
        <w:gridCol w:w="595"/>
        <w:gridCol w:w="595"/>
        <w:gridCol w:w="60"/>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5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Security</w:t>
              <w:br/>
              <w:t>Type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3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Security</w:t>
              <w:br/>
              <w:t>Class Title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Fee</w:t>
              <w:br/>
              <w:t>Calculation</w:t>
              <w:br/>
              <w:t>or Carry</w:t>
              <w:br/>
              <w:t>Forward</w:t>
              <w:br/>
              <w:t>Rule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00" w:type="dxa"/>
            <w:gridSpan w:val="2"/>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Amount</w:t>
              <w:br/>
              <w:t>Registered</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70" w:type="dxa"/>
            <w:gridSpan w:val="2"/>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Proposed</w:t>
              <w:br/>
              <w:t>Maximum</w:t>
              <w:br/>
              <w:t>Offering</w:t>
              <w:br/>
              <w:t>Price Per</w:t>
              <w:br/>
              <w:t>Unit</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80" w:type="dxa"/>
            <w:gridSpan w:val="2"/>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Maximum</w:t>
              <w:br/>
              <w:t>Aggregate</w:t>
              <w:br/>
              <w:t>Offering</w:t>
              <w:br/>
              <w:t>Price (3)</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300" w:type="dxa"/>
            <w:gridSpan w:val="2"/>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Fee Rate</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gridSpan w:val="2"/>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Amount of</w:t>
              <w:br/>
              <w:t>Registration</w:t>
              <w:br/>
              <w:t>Fee (3)</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 w:type="dxa"/>
            <w:gridSpan w:val="2"/>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Carry</w:t>
              <w:br/>
              <w:t>Forward</w:t>
              <w:br/>
              <w:t>Form</w:t>
              <w:br/>
              <w:t>Type</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 w:type="dxa"/>
            <w:gridSpan w:val="2"/>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Carry</w:t>
              <w:br/>
              <w:t>Forward</w:t>
              <w:br/>
              <w:t>File</w:t>
              <w:br/>
              <w:t>Number</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 w:type="dxa"/>
            <w:gridSpan w:val="2"/>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Carry</w:t>
              <w:br/>
              <w:t>Forward</w:t>
              <w:br/>
              <w:t>Initial</w:t>
              <w:br/>
              <w:t>effective</w:t>
              <w:br/>
              <w:t>date</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gridSpan w:val="2"/>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Filing Fee</w:t>
              <w:br/>
              <w:t>Previously</w:t>
              <w:br/>
              <w:t>Paid In</w:t>
              <w:br/>
              <w:t>Connection</w:t>
              <w:br/>
              <w:t>with</w:t>
              <w:br/>
              <w:t>Unsold</w:t>
              <w:br/>
              <w:t>Securities</w:t>
              <w:br/>
              <w:t>to be</w:t>
              <w:br/>
              <w:t>Carried</w:t>
              <w:br/>
              <w:t>Forward</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16050" w:type="dxa"/>
            <w:gridSpan w:val="42"/>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0"/>
              <w:jc w:val="center"/>
              <w:rPr>
                <w:rFonts w:ascii="Times New Roman" w:hAnsi="Times New Roman"/>
                <w:sz w:val="16"/>
              </w:rPr>
            </w:pPr>
            <w:r>
              <w:rPr>
                <w:rFonts w:ascii="Times New Roman" w:hAnsi="Times New Roman"/>
                <w:sz w:val="16"/>
              </w:rPr>
              <w:t>Newly Registered Securities</w:t>
            </w:r>
          </w:p>
        </w:tc>
        <w:tc>
          <w:tcPr>
            <w:tcW w:w="6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p>
        </w:tc>
      </w:tr>
      <w:tr>
        <w:trPr/>
        <w:tc>
          <w:tcPr>
            <w:tcW w:w="75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16"/>
              </w:rPr>
            </w:pPr>
            <w:r>
              <w:rPr>
                <w:rFonts w:ascii="Times New Roman" w:hAnsi="Times New Roman"/>
                <w:sz w:val="16"/>
              </w:rPr>
              <w:t>Fees to Be Paid</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Equity</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3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Ordinary Shares, nominal value 0.12 per share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Rule 457(o)</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8"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12"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(1)</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887"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(2)</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340"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$175,000,000</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w:t>
            </w:r>
          </w:p>
        </w:tc>
        <w:tc>
          <w:tcPr>
            <w:tcW w:w="1160" w:type="dxa"/>
            <w:tcBorders>
              <w:top w:val="single" w:sz="2" w:space="0" w:color="000000"/>
              <w:bottom w:val="single" w:sz="2" w:space="0" w:color="000000"/>
            </w:tcBorders>
            <w:tcMar>
              <w:top w:w="28" w:type="dxa"/>
              <w:bottom w:w="28" w:type="dxa"/>
            </w:tcMar>
          </w:tcPr>
          <w:p>
            <w:pPr>
              <w:pStyle w:val="TableContents"/>
              <w:bidi w:val="0"/>
              <w:spacing w:before="0" w:after="283"/>
              <w:jc w:val="right"/>
              <w:rPr/>
            </w:pPr>
            <w:r>
              <w:rPr/>
              <w:t>0.00014760</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w:t>
            </w:r>
          </w:p>
        </w:tc>
        <w:tc>
          <w:tcPr>
            <w:tcW w:w="1107" w:type="dxa"/>
            <w:tcBorders>
              <w:top w:val="single" w:sz="2" w:space="0" w:color="000000"/>
              <w:bottom w:val="single" w:sz="2" w:space="0" w:color="000000"/>
            </w:tcBorders>
            <w:tcMar>
              <w:top w:w="28" w:type="dxa"/>
              <w:bottom w:w="28" w:type="dxa"/>
            </w:tcMar>
          </w:tcPr>
          <w:p>
            <w:pPr>
              <w:pStyle w:val="TableContents"/>
              <w:bidi w:val="0"/>
              <w:spacing w:before="0" w:after="283"/>
              <w:jc w:val="right"/>
              <w:rPr/>
            </w:pPr>
            <w:r>
              <w:rPr/>
              <w:t>25,830</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75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16"/>
              </w:rPr>
            </w:pPr>
            <w:r>
              <w:rPr>
                <w:rFonts w:ascii="Times New Roman" w:hAnsi="Times New Roman"/>
                <w:sz w:val="16"/>
              </w:rPr>
              <w:t>Fees to Be Paid</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Equity</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3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Ordinary Shares, nominal value 0.12 per share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Rule 456(b)</w:t>
              <w:br/>
              <w:t>and 457(r)</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8"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12"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887"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340"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60"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(5)</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07"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(5)</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75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16"/>
              </w:rPr>
            </w:pPr>
            <w:r>
              <w:rPr>
                <w:rFonts w:ascii="Times New Roman" w:hAnsi="Times New Roman"/>
                <w:sz w:val="16"/>
              </w:rPr>
              <w:t>Fees to Be Paid</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Debt</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3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Debt Securities</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Rule 456(b)</w:t>
              <w:br/>
              <w:t>and 457(r)</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8"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12"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887"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340"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60"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(5)</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07"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(5)</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75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16"/>
              </w:rPr>
            </w:pPr>
            <w:r>
              <w:rPr>
                <w:rFonts w:ascii="Times New Roman" w:hAnsi="Times New Roman"/>
                <w:sz w:val="16"/>
              </w:rPr>
              <w:t>Fees to Be Paid</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Other</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3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Warrants</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Rule 456(b)</w:t>
              <w:br/>
              <w:t>and 457(r)</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8"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12"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887"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340"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60"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(5)</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07"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(5)</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75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16"/>
              </w:rPr>
            </w:pPr>
            <w:r>
              <w:rPr>
                <w:rFonts w:ascii="Times New Roman" w:hAnsi="Times New Roman"/>
                <w:sz w:val="16"/>
              </w:rPr>
              <w:t>Fees to Be Paid</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Other</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3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Purchase Contracts</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Rule 456(b)</w:t>
              <w:br/>
              <w:t>and 457(r)</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8"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12"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887"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340"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60"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(5)</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07"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(5)</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75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16"/>
              </w:rPr>
            </w:pPr>
            <w:r>
              <w:rPr>
                <w:rFonts w:ascii="Times New Roman" w:hAnsi="Times New Roman"/>
                <w:sz w:val="16"/>
              </w:rPr>
              <w:t>Fees to Be Paid</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Other Unallocated (Universal) Shelf</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3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Units</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Rule 456(b)</w:t>
              <w:br/>
              <w:t>and 457(r)</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8"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12"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887"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340"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(4)</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60"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(5)</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07"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(5)</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75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16"/>
              </w:rPr>
            </w:pPr>
            <w:r>
              <w:rPr>
                <w:rFonts w:ascii="Times New Roman" w:hAnsi="Times New Roman"/>
                <w:sz w:val="16"/>
              </w:rPr>
              <w:t>Fees Previously Paid</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3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8"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12"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887"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3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07"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16050" w:type="dxa"/>
            <w:gridSpan w:val="42"/>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0"/>
              <w:jc w:val="center"/>
              <w:rPr>
                <w:rFonts w:ascii="Times New Roman" w:hAnsi="Times New Roman"/>
                <w:sz w:val="16"/>
              </w:rPr>
            </w:pPr>
            <w:r>
              <w:rPr>
                <w:rFonts w:ascii="Times New Roman" w:hAnsi="Times New Roman"/>
                <w:sz w:val="16"/>
              </w:rPr>
              <w:t>Carry Forward Securities</w:t>
            </w:r>
          </w:p>
        </w:tc>
        <w:tc>
          <w:tcPr>
            <w:tcW w:w="6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p>
        </w:tc>
      </w:tr>
      <w:tr>
        <w:trPr/>
        <w:tc>
          <w:tcPr>
            <w:tcW w:w="75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16"/>
              </w:rPr>
            </w:pPr>
            <w:r>
              <w:rPr>
                <w:rFonts w:ascii="Times New Roman" w:hAnsi="Times New Roman"/>
                <w:sz w:val="16"/>
              </w:rPr>
              <w:t>Carry Forward Securities</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3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91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88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10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75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65" w:type="dxa"/>
            <w:gridSpan w:val="8"/>
            <w:tcBorders>
              <w:top w:val="single" w:sz="2" w:space="0" w:color="000000"/>
              <w:bottom w:val="single" w:sz="2" w:space="0" w:color="000000"/>
            </w:tcBorders>
            <w:tcMar>
              <w:top w:w="28" w:type="dxa"/>
              <w:bottom w:w="28" w:type="dxa"/>
            </w:tcMar>
            <w:vAlign w:val="bottom"/>
          </w:tcPr>
          <w:p>
            <w:pPr>
              <w:pStyle w:val="TableContents"/>
              <w:bidi w:val="0"/>
              <w:spacing w:before="0" w:after="283"/>
              <w:jc w:val="right"/>
              <w:rPr/>
            </w:pPr>
            <w:r>
              <w:rPr/>
              <w:t>Total Offering Amounts</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88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w:t>
            </w:r>
          </w:p>
        </w:tc>
        <w:tc>
          <w:tcPr>
            <w:tcW w:w="13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right"/>
              <w:rPr/>
            </w:pPr>
            <w:r>
              <w:rPr/>
              <w:t>175,000,000</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w:t>
            </w:r>
          </w:p>
        </w:tc>
        <w:tc>
          <w:tcPr>
            <w:tcW w:w="110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right"/>
              <w:rPr/>
            </w:pPr>
            <w:r>
              <w:rPr/>
              <w:t>25,830</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75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65" w:type="dxa"/>
            <w:gridSpan w:val="8"/>
            <w:tcBorders>
              <w:top w:val="single" w:sz="2" w:space="0" w:color="000000"/>
              <w:bottom w:val="single" w:sz="2" w:space="0" w:color="000000"/>
            </w:tcBorders>
            <w:tcMar>
              <w:top w:w="28" w:type="dxa"/>
              <w:bottom w:w="28" w:type="dxa"/>
            </w:tcMar>
            <w:vAlign w:val="bottom"/>
          </w:tcPr>
          <w:p>
            <w:pPr>
              <w:pStyle w:val="TableContents"/>
              <w:bidi w:val="0"/>
              <w:spacing w:before="0" w:after="283"/>
              <w:jc w:val="right"/>
              <w:rPr/>
            </w:pPr>
            <w:r>
              <w:rPr/>
              <w:t>Total Fees Previously Paid</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88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w:t>
            </w:r>
          </w:p>
        </w:tc>
        <w:tc>
          <w:tcPr>
            <w:tcW w:w="110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right"/>
              <w:rPr/>
            </w:pPr>
            <w:r>
              <w:rPr/>
              <w:t>0</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75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65" w:type="dxa"/>
            <w:gridSpan w:val="8"/>
            <w:tcBorders>
              <w:top w:val="single" w:sz="2" w:space="0" w:color="000000"/>
              <w:bottom w:val="single" w:sz="2" w:space="0" w:color="000000"/>
            </w:tcBorders>
            <w:tcMar>
              <w:top w:w="28" w:type="dxa"/>
              <w:bottom w:w="28" w:type="dxa"/>
            </w:tcMar>
            <w:vAlign w:val="bottom"/>
          </w:tcPr>
          <w:p>
            <w:pPr>
              <w:pStyle w:val="TableContents"/>
              <w:bidi w:val="0"/>
              <w:spacing w:before="0" w:after="283"/>
              <w:jc w:val="right"/>
              <w:rPr/>
            </w:pPr>
            <w:r>
              <w:rPr/>
              <w:t>Total Fee Offsets (6)</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88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w:t>
            </w:r>
          </w:p>
        </w:tc>
        <w:tc>
          <w:tcPr>
            <w:tcW w:w="110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right"/>
              <w:rPr/>
            </w:pPr>
            <w:r>
              <w:rPr/>
              <w:t>3,652.38</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75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65" w:type="dxa"/>
            <w:gridSpan w:val="8"/>
            <w:tcBorders>
              <w:top w:val="single" w:sz="2" w:space="0" w:color="000000"/>
              <w:bottom w:val="single" w:sz="2" w:space="0" w:color="000000"/>
            </w:tcBorders>
            <w:tcMar>
              <w:top w:w="28" w:type="dxa"/>
              <w:bottom w:w="28" w:type="dxa"/>
            </w:tcMar>
            <w:vAlign w:val="bottom"/>
          </w:tcPr>
          <w:p>
            <w:pPr>
              <w:pStyle w:val="TableContents"/>
              <w:bidi w:val="0"/>
              <w:spacing w:before="0" w:after="283"/>
              <w:jc w:val="right"/>
              <w:rPr/>
            </w:pPr>
            <w:r>
              <w:rPr/>
              <w:t>Net Fee Due</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88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3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w:t>
            </w:r>
          </w:p>
        </w:tc>
        <w:tc>
          <w:tcPr>
            <w:tcW w:w="110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right"/>
              <w:rPr/>
            </w:pPr>
            <w:r>
              <w:rPr/>
              <w:t>22,177.62</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6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There are being registered hereunder such indeterminate number of ordinary shares, each with a nominal value of 0.12 (the Ordinary Shares) being registered as may be sold by Pharvaris N.V. (the Registrant), through Leerink Partners LLC pursuant to the sales agreement dated April [12], 2024 (the Sales Agreement), from time to time at indeterminate prices, with the maximum aggregate public offering price not to exceed $175,000,000.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proposed maximum aggregate price per Ordinary Share will be determined from time to time by the Registrant in connection with the sales of the Ordinary Shares pursuant to the Sales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Estimated solely for the purpose of calculating the registration fee pursuant to Rule 457(o) under the Securities Act with respect to the securities to be sold by the Registrant. In no event will the aggregate offering price of the Ordinary Shares sold by the Registrant from time to time pursuant to the Sales Agreement exceed $175,000,000.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Besides the Ordinary Shares that may be sold by the Registrant pursuant to the Sales Agreement, there are being registered hereunder such indeterminate number of the securities of each identified class being registered as may be sold by the Registrant from time to time at indeterminate prices.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accordance with Rule 456(b) and 457(r) under the Securities Act of 1933, as amended, the Registrant is deferring payment of the registration fee with respect to these securities. Registration fees will be paid subsequently on a pay as you go basis. The Registrant will calculate the registration fee applicable to an offer of the securities of each identified class pursuant to this Registration Statement based on the fee payment rate in effect on the date of such fee payment.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Pursuant to its Registration Statement on Form F-3 (File No. 333-263198, declared effective on March 10, 2022 (the Prior Registration Statement)), the Registrant previously registered such indeterminate number of securities of each of identified class as may be sold from time to time at indeterminate prices, with an initial aggregate public offering price not to exceed $350,000,000. The identified classes of securities registered pursuant to the Prior Registration Statement were (a) Ordinary Shares; (b) Debt Securities; (c) Warrants; (d) Purchase Contracts; and (e) Units. $39,400,000 of the securities registered pursuant to the Prior Registration Statement remain unsold at the termination of the offering contemplated by such registration statement, leaving $3,652.38 in previously paid fees available for future offset. Pursuant to Rule 457(b) of the Securities Act, the Registrant is using $3,652.38 of the previously paid and unused fees to offset the registration fees required in connection with this registration statement. Pursuant to Rule 415(a)(6) under the Securities Act, the filing fee of $3,652.38 relating to the unsold securities under the Prior Registration Statement, which was paid under the Prior Registration Statement, will continue to be applied to the unsold securities registered pursuant to this registration statement. </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Table 2: Fee Offset Claims and Resources </w:t>
      </w:r>
    </w:p>
    <w:p>
      <w:pPr>
        <w:pStyle w:val="TextBody"/>
        <w:bidi w:val="0"/>
        <w:spacing w:before="0" w:after="0"/>
        <w:jc w:val="left"/>
        <w:rPr/>
      </w:pPr>
      <w:r>
        <w:rPr/>
        <w:t> </w:t>
      </w:r>
    </w:p>
    <w:tbl>
      <w:tblPr>
        <w:tblW w:w="11895" w:type="dxa"/>
        <w:jc w:val="left"/>
        <w:tblInd w:w="0" w:type="dxa"/>
        <w:tblLayout w:type="fixed"/>
        <w:tblCellMar>
          <w:top w:w="0" w:type="dxa"/>
          <w:left w:w="0" w:type="dxa"/>
          <w:bottom w:w="0" w:type="dxa"/>
          <w:right w:w="0" w:type="dxa"/>
        </w:tblCellMar>
      </w:tblPr>
      <w:tblGrid>
        <w:gridCol w:w="485"/>
        <w:gridCol w:w="60"/>
        <w:gridCol w:w="905"/>
        <w:gridCol w:w="60"/>
        <w:gridCol w:w="440"/>
        <w:gridCol w:w="60"/>
        <w:gridCol w:w="1175"/>
        <w:gridCol w:w="60"/>
        <w:gridCol w:w="1100"/>
        <w:gridCol w:w="60"/>
        <w:gridCol w:w="1100"/>
        <w:gridCol w:w="60"/>
        <w:gridCol w:w="980"/>
        <w:gridCol w:w="60"/>
        <w:gridCol w:w="1160"/>
        <w:gridCol w:w="60"/>
        <w:gridCol w:w="1160"/>
        <w:gridCol w:w="60"/>
        <w:gridCol w:w="785"/>
        <w:gridCol w:w="60"/>
        <w:gridCol w:w="1430"/>
        <w:gridCol w:w="60"/>
        <w:gridCol w:w="515"/>
      </w:tblGrid>
      <w:tr>
        <w:trPr/>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48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0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Registrant</w:t>
              <w:br/>
              <w:t>or</w:t>
            </w:r>
          </w:p>
          <w:p>
            <w:pPr>
              <w:pStyle w:val="TableContents"/>
              <w:bidi w:val="0"/>
              <w:spacing w:before="0" w:after="20"/>
              <w:jc w:val="center"/>
              <w:rPr>
                <w:rFonts w:ascii="Times New Roman" w:hAnsi="Times New Roman"/>
                <w:b/>
                <w:sz w:val="16"/>
              </w:rPr>
            </w:pPr>
            <w:r>
              <w:rPr>
                <w:rFonts w:ascii="Times New Roman" w:hAnsi="Times New Roman"/>
                <w:b/>
                <w:sz w:val="16"/>
              </w:rPr>
              <w:t>Filer</w:t>
              <w:br/>
              <w:t>Name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Form</w:t>
              <w:br/>
              <w:t>or</w:t>
            </w:r>
          </w:p>
          <w:p>
            <w:pPr>
              <w:pStyle w:val="TableContents"/>
              <w:bidi w:val="0"/>
              <w:spacing w:before="0" w:after="0"/>
              <w:jc w:val="center"/>
              <w:rPr>
                <w:rFonts w:ascii="Times New Roman" w:hAnsi="Times New Roman"/>
                <w:b/>
                <w:sz w:val="16"/>
              </w:rPr>
            </w:pPr>
            <w:r>
              <w:rPr>
                <w:rFonts w:ascii="Times New Roman" w:hAnsi="Times New Roman"/>
                <w:b/>
                <w:sz w:val="16"/>
              </w:rPr>
              <w:t>Filing</w:t>
            </w:r>
          </w:p>
          <w:p>
            <w:pPr>
              <w:pStyle w:val="TableContents"/>
              <w:bidi w:val="0"/>
              <w:spacing w:before="0" w:after="20"/>
              <w:jc w:val="center"/>
              <w:rPr>
                <w:rFonts w:ascii="Times New Roman" w:hAnsi="Times New Roman"/>
                <w:b/>
                <w:sz w:val="16"/>
              </w:rPr>
            </w:pPr>
            <w:r>
              <w:rPr>
                <w:rFonts w:ascii="Times New Roman" w:hAnsi="Times New Roman"/>
                <w:b/>
                <w:sz w:val="16"/>
              </w:rPr>
              <w:t>Type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7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File</w:t>
              <w:br/>
              <w:t>Number</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Initial</w:t>
            </w:r>
          </w:p>
          <w:p>
            <w:pPr>
              <w:pStyle w:val="TableContents"/>
              <w:bidi w:val="0"/>
              <w:spacing w:before="0" w:after="0"/>
              <w:jc w:val="center"/>
              <w:rPr>
                <w:rFonts w:ascii="Times New Roman" w:hAnsi="Times New Roman"/>
                <w:b/>
                <w:sz w:val="16"/>
              </w:rPr>
            </w:pPr>
            <w:r>
              <w:rPr>
                <w:rFonts w:ascii="Times New Roman" w:hAnsi="Times New Roman"/>
                <w:b/>
                <w:sz w:val="16"/>
              </w:rPr>
              <w:t>Filing</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0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Filing</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Fee</w:t>
              <w:br/>
              <w:t>Offset</w:t>
            </w:r>
          </w:p>
          <w:p>
            <w:pPr>
              <w:pStyle w:val="TableContents"/>
              <w:bidi w:val="0"/>
              <w:spacing w:before="0" w:after="20"/>
              <w:jc w:val="center"/>
              <w:rPr>
                <w:rFonts w:ascii="Times New Roman" w:hAnsi="Times New Roman"/>
                <w:b/>
                <w:sz w:val="16"/>
              </w:rPr>
            </w:pPr>
            <w:r>
              <w:rPr>
                <w:rFonts w:ascii="Times New Roman" w:hAnsi="Times New Roman"/>
                <w:b/>
                <w:sz w:val="16"/>
              </w:rPr>
              <w:t>Claimed</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Security</w:t>
              <w:br/>
              <w:t>Type</w:t>
            </w:r>
          </w:p>
          <w:p>
            <w:pPr>
              <w:pStyle w:val="TableContents"/>
              <w:bidi w:val="0"/>
              <w:spacing w:before="0" w:after="0"/>
              <w:jc w:val="center"/>
              <w:rPr>
                <w:rFonts w:ascii="Times New Roman" w:hAnsi="Times New Roman"/>
                <w:b/>
                <w:sz w:val="16"/>
              </w:rPr>
            </w:pPr>
            <w:r>
              <w:rPr>
                <w:rFonts w:ascii="Times New Roman" w:hAnsi="Times New Roman"/>
                <w:b/>
                <w:sz w:val="16"/>
              </w:rPr>
              <w:t>Associated</w:t>
            </w:r>
          </w:p>
          <w:p>
            <w:pPr>
              <w:pStyle w:val="TableContents"/>
              <w:bidi w:val="0"/>
              <w:spacing w:before="0" w:after="0"/>
              <w:jc w:val="center"/>
              <w:rPr>
                <w:rFonts w:ascii="Times New Roman" w:hAnsi="Times New Roman"/>
                <w:b/>
                <w:sz w:val="16"/>
              </w:rPr>
            </w:pPr>
            <w:r>
              <w:rPr>
                <w:rFonts w:ascii="Times New Roman" w:hAnsi="Times New Roman"/>
                <w:b/>
                <w:sz w:val="16"/>
              </w:rPr>
              <w:t>with Fee</w:t>
              <w:br/>
              <w:t>Offset</w:t>
            </w:r>
          </w:p>
          <w:p>
            <w:pPr>
              <w:pStyle w:val="TableContents"/>
              <w:bidi w:val="0"/>
              <w:spacing w:before="0" w:after="20"/>
              <w:jc w:val="center"/>
              <w:rPr>
                <w:rFonts w:ascii="Times New Roman" w:hAnsi="Times New Roman"/>
                <w:b/>
                <w:sz w:val="16"/>
              </w:rPr>
            </w:pPr>
            <w:r>
              <w:rPr>
                <w:rFonts w:ascii="Times New Roman" w:hAnsi="Times New Roman"/>
                <w:b/>
                <w:sz w:val="16"/>
              </w:rPr>
              <w:t>Claimed</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Security</w:t>
            </w:r>
          </w:p>
          <w:p>
            <w:pPr>
              <w:pStyle w:val="TableContents"/>
              <w:bidi w:val="0"/>
              <w:spacing w:before="0" w:after="0"/>
              <w:jc w:val="center"/>
              <w:rPr>
                <w:rFonts w:ascii="Times New Roman" w:hAnsi="Times New Roman"/>
                <w:b/>
                <w:sz w:val="16"/>
              </w:rPr>
            </w:pPr>
            <w:r>
              <w:rPr>
                <w:rFonts w:ascii="Times New Roman" w:hAnsi="Times New Roman"/>
                <w:b/>
                <w:sz w:val="16"/>
              </w:rPr>
              <w:t>Title</w:t>
            </w:r>
          </w:p>
          <w:p>
            <w:pPr>
              <w:pStyle w:val="TableContents"/>
              <w:bidi w:val="0"/>
              <w:spacing w:before="0" w:after="0"/>
              <w:jc w:val="center"/>
              <w:rPr>
                <w:rFonts w:ascii="Times New Roman" w:hAnsi="Times New Roman"/>
                <w:b/>
                <w:sz w:val="16"/>
              </w:rPr>
            </w:pPr>
            <w:r>
              <w:rPr>
                <w:rFonts w:ascii="Times New Roman" w:hAnsi="Times New Roman"/>
                <w:b/>
                <w:sz w:val="16"/>
              </w:rPr>
              <w:t>Associated</w:t>
            </w:r>
          </w:p>
          <w:p>
            <w:pPr>
              <w:pStyle w:val="TableContents"/>
              <w:bidi w:val="0"/>
              <w:spacing w:before="0" w:after="0"/>
              <w:jc w:val="center"/>
              <w:rPr>
                <w:rFonts w:ascii="Times New Roman" w:hAnsi="Times New Roman"/>
                <w:b/>
                <w:sz w:val="16"/>
              </w:rPr>
            </w:pPr>
            <w:r>
              <w:rPr>
                <w:rFonts w:ascii="Times New Roman" w:hAnsi="Times New Roman"/>
                <w:b/>
                <w:sz w:val="16"/>
              </w:rPr>
              <w:t>with Fee</w:t>
            </w:r>
          </w:p>
          <w:p>
            <w:pPr>
              <w:pStyle w:val="TableContents"/>
              <w:bidi w:val="0"/>
              <w:spacing w:before="0" w:after="0"/>
              <w:jc w:val="center"/>
              <w:rPr>
                <w:rFonts w:ascii="Times New Roman" w:hAnsi="Times New Roman"/>
                <w:b/>
                <w:sz w:val="16"/>
              </w:rPr>
            </w:pPr>
            <w:r>
              <w:rPr>
                <w:rFonts w:ascii="Times New Roman" w:hAnsi="Times New Roman"/>
                <w:b/>
                <w:sz w:val="16"/>
              </w:rPr>
              <w:t>Offset</w:t>
            </w:r>
          </w:p>
          <w:p>
            <w:pPr>
              <w:pStyle w:val="TableContents"/>
              <w:bidi w:val="0"/>
              <w:spacing w:before="0" w:after="20"/>
              <w:jc w:val="center"/>
              <w:rPr>
                <w:rFonts w:ascii="Times New Roman" w:hAnsi="Times New Roman"/>
                <w:b/>
                <w:sz w:val="16"/>
              </w:rPr>
            </w:pPr>
            <w:r>
              <w:rPr>
                <w:rFonts w:ascii="Times New Roman" w:hAnsi="Times New Roman"/>
                <w:b/>
                <w:sz w:val="16"/>
              </w:rPr>
              <w:t>Claimed</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8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Unsold</w:t>
            </w:r>
          </w:p>
          <w:p>
            <w:pPr>
              <w:pStyle w:val="TableContents"/>
              <w:bidi w:val="0"/>
              <w:spacing w:before="0" w:after="0"/>
              <w:jc w:val="center"/>
              <w:rPr>
                <w:rFonts w:ascii="Times New Roman" w:hAnsi="Times New Roman"/>
                <w:b/>
                <w:sz w:val="16"/>
              </w:rPr>
            </w:pPr>
            <w:r>
              <w:rPr>
                <w:rFonts w:ascii="Times New Roman" w:hAnsi="Times New Roman"/>
                <w:b/>
                <w:sz w:val="16"/>
              </w:rPr>
              <w:t>Securities</w:t>
            </w:r>
          </w:p>
          <w:p>
            <w:pPr>
              <w:pStyle w:val="TableContents"/>
              <w:bidi w:val="0"/>
              <w:spacing w:before="0" w:after="0"/>
              <w:jc w:val="center"/>
              <w:rPr>
                <w:rFonts w:ascii="Times New Roman" w:hAnsi="Times New Roman"/>
                <w:b/>
                <w:sz w:val="16"/>
              </w:rPr>
            </w:pPr>
            <w:r>
              <w:rPr>
                <w:rFonts w:ascii="Times New Roman" w:hAnsi="Times New Roman"/>
                <w:b/>
                <w:sz w:val="16"/>
              </w:rPr>
              <w:t>Associated</w:t>
            </w:r>
          </w:p>
          <w:p>
            <w:pPr>
              <w:pStyle w:val="TableContents"/>
              <w:bidi w:val="0"/>
              <w:spacing w:before="0" w:after="0"/>
              <w:jc w:val="center"/>
              <w:rPr>
                <w:rFonts w:ascii="Times New Roman" w:hAnsi="Times New Roman"/>
                <w:b/>
                <w:sz w:val="16"/>
              </w:rPr>
            </w:pPr>
            <w:r>
              <w:rPr>
                <w:rFonts w:ascii="Times New Roman" w:hAnsi="Times New Roman"/>
                <w:b/>
                <w:sz w:val="16"/>
              </w:rPr>
              <w:t>with Fee</w:t>
            </w:r>
          </w:p>
          <w:p>
            <w:pPr>
              <w:pStyle w:val="TableContents"/>
              <w:bidi w:val="0"/>
              <w:spacing w:before="0" w:after="0"/>
              <w:jc w:val="center"/>
              <w:rPr>
                <w:rFonts w:ascii="Times New Roman" w:hAnsi="Times New Roman"/>
                <w:b/>
                <w:sz w:val="16"/>
              </w:rPr>
            </w:pPr>
            <w:r>
              <w:rPr>
                <w:rFonts w:ascii="Times New Roman" w:hAnsi="Times New Roman"/>
                <w:b/>
                <w:sz w:val="16"/>
              </w:rPr>
              <w:t>Offset</w:t>
            </w:r>
          </w:p>
          <w:p>
            <w:pPr>
              <w:pStyle w:val="TableContents"/>
              <w:bidi w:val="0"/>
              <w:spacing w:before="0" w:after="20"/>
              <w:jc w:val="center"/>
              <w:rPr>
                <w:rFonts w:ascii="Times New Roman" w:hAnsi="Times New Roman"/>
                <w:b/>
                <w:sz w:val="16"/>
              </w:rPr>
            </w:pPr>
            <w:r>
              <w:rPr>
                <w:rFonts w:ascii="Times New Roman" w:hAnsi="Times New Roman"/>
                <w:b/>
                <w:sz w:val="16"/>
              </w:rPr>
              <w:t>Claimed</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Unsold</w:t>
            </w:r>
          </w:p>
          <w:p>
            <w:pPr>
              <w:pStyle w:val="TableContents"/>
              <w:bidi w:val="0"/>
              <w:spacing w:before="0" w:after="0"/>
              <w:jc w:val="center"/>
              <w:rPr>
                <w:rFonts w:ascii="Times New Roman" w:hAnsi="Times New Roman"/>
                <w:b/>
                <w:sz w:val="16"/>
              </w:rPr>
            </w:pPr>
            <w:r>
              <w:rPr>
                <w:rFonts w:ascii="Times New Roman" w:hAnsi="Times New Roman"/>
                <w:b/>
                <w:sz w:val="16"/>
              </w:rPr>
              <w:t>Aggregate</w:t>
            </w:r>
          </w:p>
          <w:p>
            <w:pPr>
              <w:pStyle w:val="TableContents"/>
              <w:bidi w:val="0"/>
              <w:spacing w:before="0" w:after="0"/>
              <w:jc w:val="center"/>
              <w:rPr>
                <w:rFonts w:ascii="Times New Roman" w:hAnsi="Times New Roman"/>
                <w:b/>
                <w:sz w:val="16"/>
              </w:rPr>
            </w:pPr>
            <w:r>
              <w:rPr>
                <w:rFonts w:ascii="Times New Roman" w:hAnsi="Times New Roman"/>
                <w:b/>
                <w:sz w:val="16"/>
              </w:rPr>
              <w:t>Offering</w:t>
            </w:r>
          </w:p>
          <w:p>
            <w:pPr>
              <w:pStyle w:val="TableContents"/>
              <w:bidi w:val="0"/>
              <w:spacing w:before="0" w:after="0"/>
              <w:jc w:val="center"/>
              <w:rPr>
                <w:rFonts w:ascii="Times New Roman" w:hAnsi="Times New Roman"/>
                <w:b/>
                <w:sz w:val="16"/>
              </w:rPr>
            </w:pPr>
            <w:r>
              <w:rPr>
                <w:rFonts w:ascii="Times New Roman" w:hAnsi="Times New Roman"/>
                <w:b/>
                <w:sz w:val="16"/>
              </w:rPr>
              <w:t>Amount</w:t>
            </w:r>
          </w:p>
          <w:p>
            <w:pPr>
              <w:pStyle w:val="TableContents"/>
              <w:bidi w:val="0"/>
              <w:spacing w:before="0" w:after="0"/>
              <w:jc w:val="center"/>
              <w:rPr>
                <w:rFonts w:ascii="Times New Roman" w:hAnsi="Times New Roman"/>
                <w:b/>
                <w:sz w:val="16"/>
              </w:rPr>
            </w:pPr>
            <w:r>
              <w:rPr>
                <w:rFonts w:ascii="Times New Roman" w:hAnsi="Times New Roman"/>
                <w:b/>
                <w:sz w:val="16"/>
              </w:rPr>
              <w:t>Associated</w:t>
            </w:r>
          </w:p>
          <w:p>
            <w:pPr>
              <w:pStyle w:val="TableContents"/>
              <w:bidi w:val="0"/>
              <w:spacing w:before="0" w:after="0"/>
              <w:jc w:val="center"/>
              <w:rPr>
                <w:rFonts w:ascii="Times New Roman" w:hAnsi="Times New Roman"/>
                <w:b/>
                <w:sz w:val="16"/>
              </w:rPr>
            </w:pPr>
            <w:r>
              <w:rPr>
                <w:rFonts w:ascii="Times New Roman" w:hAnsi="Times New Roman"/>
                <w:b/>
                <w:sz w:val="16"/>
              </w:rPr>
              <w:t>with Fee</w:t>
            </w:r>
          </w:p>
          <w:p>
            <w:pPr>
              <w:pStyle w:val="TableContents"/>
              <w:bidi w:val="0"/>
              <w:spacing w:before="0" w:after="0"/>
              <w:jc w:val="center"/>
              <w:rPr>
                <w:rFonts w:ascii="Times New Roman" w:hAnsi="Times New Roman"/>
                <w:b/>
                <w:sz w:val="16"/>
              </w:rPr>
            </w:pPr>
            <w:r>
              <w:rPr>
                <w:rFonts w:ascii="Times New Roman" w:hAnsi="Times New Roman"/>
                <w:b/>
                <w:sz w:val="16"/>
              </w:rPr>
              <w:t>Offset</w:t>
            </w:r>
          </w:p>
          <w:p>
            <w:pPr>
              <w:pStyle w:val="TableContents"/>
              <w:bidi w:val="0"/>
              <w:spacing w:before="0" w:after="20"/>
              <w:jc w:val="center"/>
              <w:rPr>
                <w:rFonts w:ascii="Times New Roman" w:hAnsi="Times New Roman"/>
                <w:b/>
                <w:sz w:val="16"/>
              </w:rPr>
            </w:pPr>
            <w:r>
              <w:rPr>
                <w:rFonts w:ascii="Times New Roman" w:hAnsi="Times New Roman"/>
                <w:b/>
                <w:sz w:val="16"/>
              </w:rPr>
              <w:t>Claimed</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5"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Fee</w:t>
              <w:br/>
              <w:t>Paid</w:t>
            </w:r>
          </w:p>
          <w:p>
            <w:pPr>
              <w:pStyle w:val="TableContents"/>
              <w:bidi w:val="0"/>
              <w:spacing w:before="0" w:after="0"/>
              <w:jc w:val="center"/>
              <w:rPr>
                <w:rFonts w:ascii="Times New Roman" w:hAnsi="Times New Roman"/>
                <w:b/>
                <w:sz w:val="16"/>
              </w:rPr>
            </w:pPr>
            <w:r>
              <w:rPr>
                <w:rFonts w:ascii="Times New Roman" w:hAnsi="Times New Roman"/>
                <w:b/>
                <w:sz w:val="16"/>
              </w:rPr>
              <w:t>with</w:t>
              <w:br/>
              <w:t>Fee</w:t>
            </w:r>
          </w:p>
          <w:p>
            <w:pPr>
              <w:pStyle w:val="TableContents"/>
              <w:bidi w:val="0"/>
              <w:spacing w:before="0" w:after="0"/>
              <w:jc w:val="center"/>
              <w:rPr>
                <w:rFonts w:ascii="Times New Roman" w:hAnsi="Times New Roman"/>
                <w:b/>
                <w:sz w:val="16"/>
              </w:rPr>
            </w:pPr>
            <w:r>
              <w:rPr>
                <w:rFonts w:ascii="Times New Roman" w:hAnsi="Times New Roman"/>
                <w:b/>
                <w:sz w:val="16"/>
              </w:rPr>
              <w:t>Offset</w:t>
            </w:r>
          </w:p>
          <w:p>
            <w:pPr>
              <w:pStyle w:val="TableContents"/>
              <w:bidi w:val="0"/>
              <w:spacing w:before="0" w:after="20"/>
              <w:jc w:val="center"/>
              <w:rPr>
                <w:rFonts w:ascii="Times New Roman" w:hAnsi="Times New Roman"/>
                <w:b/>
                <w:sz w:val="16"/>
              </w:rPr>
            </w:pPr>
            <w:r>
              <w:rPr>
                <w:rFonts w:ascii="Times New Roman" w:hAnsi="Times New Roman"/>
                <w:b/>
                <w:sz w:val="16"/>
              </w:rPr>
              <w:t>Source</w:t>
            </w:r>
          </w:p>
        </w:tc>
      </w:tr>
      <w:tr>
        <w:trPr/>
        <w:tc>
          <w:tcPr>
            <w:tcW w:w="11895" w:type="dxa"/>
            <w:gridSpan w:val="23"/>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center"/>
              <w:rPr>
                <w:rFonts w:ascii="Times New Roman" w:hAnsi="Times New Roman"/>
                <w:sz w:val="16"/>
              </w:rPr>
            </w:pPr>
            <w:r>
              <w:rPr>
                <w:rFonts w:ascii="Times New Roman" w:hAnsi="Times New Roman"/>
                <w:sz w:val="16"/>
              </w:rPr>
              <w:t>Rule 457(p) and Rule 415(a)(6)</w:t>
            </w:r>
          </w:p>
        </w:tc>
      </w:tr>
      <w:tr>
        <w:trPr/>
        <w:tc>
          <w:tcPr>
            <w:tcW w:w="48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Fee Offset Claims</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0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Pharvaris N.V.</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4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F-3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7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333-263198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0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03/02/2022</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0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03/02/2022</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$3,652.38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Unallocated (Universal) Shelf</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Unallocated (Universal) Shelf</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8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N/A</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center"/>
              <w:rPr/>
            </w:pPr>
            <w:r>
              <w:rPr/>
              <w:t>39,400,000 (1)</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16"/>
        </w:rPr>
      </w:pPr>
      <w:r>
        <w:rPr>
          <w:rFonts w:ascii="Times New Roman" w:hAnsi="Times New Roman"/>
          <w:sz w:val="16"/>
        </w:rPr>
        <w:t xml:space="preserve">(1) See Note (6) under Table 1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30487/000095017024043358/phvs-20231231.htm" TargetMode="External"/><Relationship Id="rId4" Type="http://schemas.openxmlformats.org/officeDocument/2006/relationships/hyperlink" Target="http://www.sec.gov/Archives/edgar/data/1830487/000095017024002680/corporate_presentation_j.htm" TargetMode="External"/><Relationship Id="rId5" Type="http://schemas.openxmlformats.org/officeDocument/2006/relationships/hyperlink" Target="http://www.sec.gov/Archives/edgar/data/1830487/000095017024005923/corp_presentation_2024_u.htm" TargetMode="External"/><Relationship Id="rId6" Type="http://schemas.openxmlformats.org/officeDocument/2006/relationships/hyperlink" Target="http://www.sec.gov/Archives/edgar/data/1830487/000095017024012166/registration_rights_agre.htm" TargetMode="External"/><Relationship Id="rId7" Type="http://schemas.openxmlformats.org/officeDocument/2006/relationships/hyperlink" Target="http://www.sec.gov/Archives/edgar/data/1830487/000095017024016144/6-k_egm_pr_announcement.htm" TargetMode="External"/><Relationship Id="rId8" Type="http://schemas.openxmlformats.org/officeDocument/2006/relationships/hyperlink" Target="http://www.sec.gov/Archives/edgar/data/1830487/000095017024027155/egm_2024.htm" TargetMode="External"/><Relationship Id="rId9" Type="http://schemas.openxmlformats.org/officeDocument/2006/relationships/hyperlink" Target="http://www.sec.gov/Archives/edgar/data/1830487/000095017024043354/pr_fin_results_2023.htm" TargetMode="External"/><Relationship Id="rId10" Type="http://schemas.openxmlformats.org/officeDocument/2006/relationships/hyperlink" Target="http://www.sec.gov/Archives/edgar/data/1830487/000119312521028346/d91705d8a12b.htm" TargetMode="External"/><Relationship Id="rId11" Type="http://schemas.openxmlformats.org/officeDocument/2006/relationships/hyperlink" Target="http://www.sec.gov/Archives/edgar/data/1830487/000095017024043358/phvs-ex2_1.htm" TargetMode="External"/><Relationship Id="rId12" Type="http://schemas.openxmlformats.org/officeDocument/2006/relationships/image" Target="media/image1.jpeg"/><Relationship Id="rId13" Type="http://schemas.openxmlformats.org/officeDocument/2006/relationships/hyperlink" Target="http://www.sec.gov/Archives/edgar/data/../../../ix?doc=/Archives/edgar/data/0001830487/000095017024043358/phvs-20231231.htm" TargetMode="External"/><Relationship Id="rId14" Type="http://schemas.openxmlformats.org/officeDocument/2006/relationships/hyperlink" Target="http://www.sec.gov/Archives/edgar/data/1830487/000095017024002680/corporate_presentation_j.htm" TargetMode="External"/><Relationship Id="rId15" Type="http://schemas.openxmlformats.org/officeDocument/2006/relationships/hyperlink" Target="http://www.sec.gov/Archives/edgar/data/1830487/000095017024005923/corp_presentation_2024_u.htm" TargetMode="External"/><Relationship Id="rId16" Type="http://schemas.openxmlformats.org/officeDocument/2006/relationships/hyperlink" Target="http://www.sec.gov/Archives/edgar/data/1830487/000095017024012166/registration_rights_agre.htm" TargetMode="External"/><Relationship Id="rId17" Type="http://schemas.openxmlformats.org/officeDocument/2006/relationships/hyperlink" Target="http://www.sec.gov/Archives/edgar/data/1830487/000095017024016144/6-k_egm_pr_announcement.htm" TargetMode="External"/><Relationship Id="rId18" Type="http://schemas.openxmlformats.org/officeDocument/2006/relationships/hyperlink" Target="http://www.sec.gov/Archives/edgar/data/1830487/000095017024027155/egm_2024.htm" TargetMode="External"/><Relationship Id="rId19" Type="http://schemas.openxmlformats.org/officeDocument/2006/relationships/hyperlink" Target="http://www.sec.gov/Archives/edgar/data/1830487/000095017024043354/pr_fin_results_2023.htm" TargetMode="External"/><Relationship Id="rId20" Type="http://schemas.openxmlformats.org/officeDocument/2006/relationships/hyperlink" Target="http://www.sec.gov/Archives/edgar/data/1830487/000119312521028346/d91705d8a12b.htm" TargetMode="External"/><Relationship Id="rId21" Type="http://schemas.openxmlformats.org/officeDocument/2006/relationships/hyperlink" Target="http://www.sec.gov/Archives/edgar/data/1830487/000095017024043358/phvs-ex2_1.htm" TargetMode="External"/><Relationship Id="rId22" Type="http://schemas.openxmlformats.org/officeDocument/2006/relationships/image" Target="media/image1.jpeg"/><Relationship Id="rId23" Type="http://schemas.openxmlformats.org/officeDocument/2006/relationships/hyperlink" Target="http://www.sec.gov/Archives/edgar/data/1830487/000095017024027155/phvs-ex3_1.htm" TargetMode="External"/><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3.jpeg"/><Relationship Id="rId36" Type="http://schemas.openxmlformats.org/officeDocument/2006/relationships/image" Target="media/image4.jpeg"/><Relationship Id="rId37" Type="http://schemas.openxmlformats.org/officeDocument/2006/relationships/image" Target="media/image4.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252</Pages>
  <Words>128177</Words>
  <Characters>653662</Characters>
  <CharactersWithSpaces>781903</CharactersWithSpaces>
  <Paragraphs>6541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