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brhc20054637_sc13da.htm"/>
      <w:bookmarkStart w:id="1" w:name="ksbrhc20054637_sc13da"/>
      <w:bookmarkStart w:id="2" w:name="brhc20054637_sc13da.htm"/>
      <w:bookmarkStart w:id="3" w:name="ksbrhc20054637_sc13da"/>
      <w:bookmarkEnd w:id="2"/>
      <w:bookmarkEnd w:id="3"/>
    </w:p>
    <w:p>
      <w:pPr>
        <w:pStyle w:val="TextBody"/>
        <w:bidi w:val="0"/>
        <w:spacing w:before="0" w:after="0"/>
        <w:jc w:val="center"/>
        <w:rPr>
          <w:b/>
          <w:color w:val="000000"/>
          <w:sz w:val="28"/>
        </w:rPr>
      </w:pPr>
      <w:r>
        <w:rPr>
          <w:b/>
          <w:color w:val="000000"/>
          <w:sz w:val="28"/>
        </w:rPr>
        <w:t>SECURITIES AND EXCHANGE COMMISSION</w:t>
      </w:r>
    </w:p>
    <w:p>
      <w:pPr>
        <w:pStyle w:val="TextBody"/>
        <w:bidi w:val="0"/>
        <w:spacing w:before="0" w:after="0"/>
        <w:jc w:val="center"/>
        <w:rPr>
          <w:b/>
          <w:color w:val="000000"/>
          <w:sz w:val="24"/>
        </w:rPr>
      </w:pPr>
      <w:r>
        <w:rPr>
          <w:b/>
          <w:color w:val="000000"/>
          <w:sz w:val="24"/>
        </w:rPr>
        <w:t>Washington, D.C. 20549</w:t>
      </w:r>
    </w:p>
    <w:p>
      <w:pPr>
        <w:pStyle w:val="TextBody"/>
        <w:bidi w:val="0"/>
        <w:spacing w:before="0" w:after="0"/>
        <w:jc w:val="left"/>
        <w:rPr/>
      </w:pPr>
      <w:r>
        <w:rPr/>
      </w:r>
    </w:p>
    <w:p>
      <w:pPr>
        <w:pStyle w:val="TextBody"/>
        <w:bidi w:val="0"/>
        <w:spacing w:before="0" w:after="0"/>
        <w:jc w:val="center"/>
        <w:rPr>
          <w:b/>
          <w:color w:val="000000"/>
          <w:sz w:val="36"/>
        </w:rPr>
      </w:pPr>
      <w:r>
        <w:rPr>
          <w:b/>
          <w:color w:val="000000"/>
          <w:sz w:val="36"/>
        </w:rPr>
        <w:t>SCHEDULE 13D</w:t>
      </w:r>
    </w:p>
    <w:p>
      <w:pPr>
        <w:pStyle w:val="TextBody"/>
        <w:bidi w:val="0"/>
        <w:spacing w:before="0" w:after="0"/>
        <w:jc w:val="left"/>
        <w:rPr/>
      </w:pPr>
      <w:r>
        <w:rPr/>
      </w:r>
    </w:p>
    <w:p>
      <w:pPr>
        <w:pStyle w:val="TextBody"/>
        <w:bidi w:val="0"/>
        <w:spacing w:before="0" w:after="0"/>
        <w:jc w:val="center"/>
        <w:rPr>
          <w:b/>
          <w:color w:val="000000"/>
        </w:rPr>
      </w:pPr>
      <w:r>
        <w:rPr>
          <w:b/>
          <w:color w:val="000000"/>
        </w:rPr>
        <w:t>Under the Securities Exchange Act of 1934</w:t>
      </w:r>
    </w:p>
    <w:p>
      <w:pPr>
        <w:pStyle w:val="TextBody"/>
        <w:bidi w:val="0"/>
        <w:spacing w:before="0" w:after="0"/>
        <w:jc w:val="center"/>
        <w:rPr>
          <w:b/>
          <w:color w:val="000000"/>
        </w:rPr>
      </w:pPr>
      <w:r>
        <w:rPr>
          <w:b/>
          <w:color w:val="000000"/>
        </w:rPr>
        <w:t>(Amendment No. 2)*</w:t>
      </w:r>
    </w:p>
    <w:p>
      <w:pPr>
        <w:pStyle w:val="TextBody"/>
        <w:bidi w:val="0"/>
        <w:spacing w:before="0" w:after="0"/>
        <w:jc w:val="left"/>
        <w:rPr/>
      </w:pPr>
      <w:r>
        <w:rPr/>
      </w:r>
    </w:p>
    <w:p>
      <w:pPr>
        <w:pStyle w:val="TextBody"/>
        <w:bidi w:val="0"/>
        <w:spacing w:before="0" w:after="0"/>
        <w:jc w:val="center"/>
        <w:rPr>
          <w:b/>
          <w:color w:val="000000"/>
          <w:sz w:val="48"/>
          <w:u w:val="single"/>
        </w:rPr>
      </w:pPr>
      <w:r>
        <w:rPr>
          <w:b/>
          <w:color w:val="000000"/>
          <w:sz w:val="48"/>
          <w:u w:val="single"/>
        </w:rPr>
        <w:t>Pharvaris N.V.</w:t>
      </w:r>
    </w:p>
    <w:p>
      <w:pPr>
        <w:pStyle w:val="TextBody"/>
        <w:bidi w:val="0"/>
        <w:spacing w:before="0" w:after="0"/>
        <w:jc w:val="center"/>
        <w:rPr>
          <w:b/>
          <w:color w:val="000000"/>
        </w:rPr>
      </w:pPr>
      <w:r>
        <w:rPr>
          <w:b/>
          <w:color w:val="000000"/>
        </w:rPr>
        <w:t>(Name of Issuer)</w:t>
      </w:r>
    </w:p>
    <w:p>
      <w:pPr>
        <w:pStyle w:val="TextBody"/>
        <w:bidi w:val="0"/>
        <w:spacing w:before="0" w:after="0"/>
        <w:jc w:val="left"/>
        <w:rPr/>
      </w:pPr>
      <w:r>
        <w:rPr/>
      </w:r>
    </w:p>
    <w:p>
      <w:pPr>
        <w:pStyle w:val="TextBody"/>
        <w:bidi w:val="0"/>
        <w:spacing w:before="0" w:after="0"/>
        <w:jc w:val="center"/>
        <w:rPr>
          <w:b/>
          <w:color w:val="000000"/>
          <w:u w:val="single"/>
        </w:rPr>
      </w:pPr>
      <w:r>
        <w:rPr>
          <w:b/>
          <w:color w:val="000000"/>
          <w:u w:val="single"/>
        </w:rPr>
        <w:t>Ordinary shares, par value €0.12 per share</w:t>
      </w:r>
    </w:p>
    <w:p>
      <w:pPr>
        <w:pStyle w:val="TextBody"/>
        <w:bidi w:val="0"/>
        <w:spacing w:before="0" w:after="0"/>
        <w:jc w:val="center"/>
        <w:rPr>
          <w:b/>
          <w:color w:val="000000"/>
        </w:rPr>
      </w:pPr>
      <w:r>
        <w:rPr>
          <w:b/>
          <w:color w:val="000000"/>
        </w:rPr>
        <w:t>(Title of Class of Securities)</w:t>
      </w:r>
    </w:p>
    <w:p>
      <w:pPr>
        <w:pStyle w:val="TextBody"/>
        <w:bidi w:val="0"/>
        <w:spacing w:before="0" w:after="0"/>
        <w:jc w:val="left"/>
        <w:rPr/>
      </w:pPr>
      <w:r>
        <w:rPr/>
      </w:r>
    </w:p>
    <w:p>
      <w:pPr>
        <w:pStyle w:val="TextBody"/>
        <w:bidi w:val="0"/>
        <w:spacing w:before="0" w:after="0"/>
        <w:jc w:val="center"/>
        <w:rPr>
          <w:b/>
          <w:color w:val="000000"/>
          <w:u w:val="single"/>
        </w:rPr>
      </w:pPr>
      <w:r>
        <w:rPr>
          <w:b/>
          <w:color w:val="000000"/>
          <w:u w:val="single"/>
        </w:rPr>
        <w:t>N69605108</w:t>
      </w:r>
    </w:p>
    <w:p>
      <w:pPr>
        <w:pStyle w:val="TextBody"/>
        <w:bidi w:val="0"/>
        <w:spacing w:before="0" w:after="0"/>
        <w:jc w:val="center"/>
        <w:rPr>
          <w:b/>
          <w:color w:val="000000"/>
        </w:rPr>
      </w:pPr>
      <w:r>
        <w:rPr>
          <w:b/>
          <w:color w:val="000000"/>
        </w:rPr>
        <w:t>(CUSIP Number)</w:t>
      </w:r>
    </w:p>
    <w:p>
      <w:pPr>
        <w:pStyle w:val="TextBody"/>
        <w:bidi w:val="0"/>
        <w:spacing w:before="0" w:after="0"/>
        <w:jc w:val="left"/>
        <w:rPr/>
      </w:pPr>
      <w:r>
        <w:rPr/>
      </w:r>
    </w:p>
    <w:p>
      <w:pPr>
        <w:pStyle w:val="TextBody"/>
        <w:bidi w:val="0"/>
        <w:spacing w:before="0" w:after="0"/>
        <w:jc w:val="center"/>
        <w:rPr>
          <w:b/>
          <w:color w:val="000000"/>
        </w:rPr>
      </w:pPr>
      <w:r>
        <w:rPr>
          <w:b/>
          <w:color w:val="000000"/>
        </w:rPr>
        <w:t>David Pezeshki</w:t>
      </w:r>
    </w:p>
    <w:p>
      <w:pPr>
        <w:pStyle w:val="TextBody"/>
        <w:bidi w:val="0"/>
        <w:spacing w:before="0" w:after="0"/>
        <w:jc w:val="center"/>
        <w:rPr>
          <w:b/>
          <w:color w:val="000000"/>
        </w:rPr>
      </w:pPr>
      <w:r>
        <w:rPr>
          <w:b/>
          <w:color w:val="000000"/>
        </w:rPr>
        <w:t>venBio Partners, LLC</w:t>
      </w:r>
    </w:p>
    <w:p>
      <w:pPr>
        <w:pStyle w:val="TextBody"/>
        <w:bidi w:val="0"/>
        <w:spacing w:before="0" w:after="0"/>
        <w:jc w:val="center"/>
        <w:rPr>
          <w:b/>
          <w:color w:val="000000"/>
        </w:rPr>
      </w:pPr>
      <w:r>
        <w:rPr>
          <w:b/>
          <w:color w:val="000000"/>
        </w:rPr>
        <w:t>1700 Owens Street, Suite 595, San Francisco, CA 94158</w:t>
      </w:r>
    </w:p>
    <w:p>
      <w:pPr>
        <w:pStyle w:val="TextBody"/>
        <w:bidi w:val="0"/>
        <w:spacing w:before="0" w:after="0"/>
        <w:jc w:val="center"/>
        <w:rPr>
          <w:b/>
          <w:color w:val="000000"/>
          <w:u w:val="single"/>
        </w:rPr>
      </w:pPr>
      <w:r>
        <w:rPr>
          <w:b/>
          <w:color w:val="000000"/>
          <w:u w:val="single"/>
        </w:rPr>
        <w:t>(415) 800-0800</w:t>
      </w:r>
    </w:p>
    <w:p>
      <w:pPr>
        <w:pStyle w:val="TextBody"/>
        <w:bidi w:val="0"/>
        <w:spacing w:before="0" w:after="0"/>
        <w:jc w:val="center"/>
        <w:rPr>
          <w:b/>
          <w:color w:val="000000"/>
        </w:rPr>
      </w:pPr>
      <w:r>
        <w:rPr>
          <w:b/>
          <w:color w:val="000000"/>
        </w:rPr>
        <w:t>(Name, Address and Telephone Number of Person Authorized to Receive Notices and Communications)</w:t>
      </w:r>
    </w:p>
    <w:p>
      <w:pPr>
        <w:pStyle w:val="TextBody"/>
        <w:bidi w:val="0"/>
        <w:spacing w:before="0" w:after="0"/>
        <w:jc w:val="left"/>
        <w:rPr/>
      </w:pPr>
      <w:r>
        <w:rPr/>
      </w:r>
    </w:p>
    <w:p>
      <w:pPr>
        <w:pStyle w:val="TextBody"/>
        <w:bidi w:val="0"/>
        <w:spacing w:before="0" w:after="0"/>
        <w:jc w:val="center"/>
        <w:rPr>
          <w:b/>
          <w:color w:val="000000"/>
          <w:u w:val="single"/>
        </w:rPr>
      </w:pPr>
      <w:r>
        <w:rPr>
          <w:b/>
          <w:color w:val="000000"/>
          <w:u w:val="single"/>
        </w:rPr>
        <w:t>June 16, 2023</w:t>
      </w:r>
    </w:p>
    <w:p>
      <w:pPr>
        <w:pStyle w:val="TextBody"/>
        <w:bidi w:val="0"/>
        <w:spacing w:before="0" w:after="0"/>
        <w:jc w:val="center"/>
        <w:rPr>
          <w:b/>
          <w:color w:val="000000"/>
        </w:rPr>
      </w:pPr>
      <w:r>
        <w:rPr>
          <w:b/>
          <w:color w:val="000000"/>
        </w:rPr>
        <w:t>(Date of Event Which Requires Filing of this Statement)</w:t>
      </w:r>
    </w:p>
    <w:p>
      <w:pPr>
        <w:pStyle w:val="TextBody"/>
        <w:bidi w:val="0"/>
        <w:spacing w:before="0" w:after="0"/>
        <w:jc w:val="left"/>
        <w:rPr/>
      </w:pPr>
      <w:r>
        <w:rPr/>
      </w:r>
    </w:p>
    <w:p>
      <w:pPr>
        <w:pStyle w:val="TextBody"/>
        <w:bidi w:val="0"/>
        <w:spacing w:before="0" w:after="0"/>
        <w:jc w:val="left"/>
        <w:rPr>
          <w:color w:val="000000"/>
        </w:rPr>
      </w:pPr>
      <w:r>
        <w:rPr>
          <w:color w:val="000000"/>
        </w:rPr>
        <w:t>If the filing person has previously filed a statement on Schedule 13G to report the acquisition that is the subject of this Schedule 13D, and is filing this schedule because of §§ 240.13d-1(e), 240.13d-1(f) or 240.13d-1(g), check the following box. ☐</w:t>
      </w:r>
    </w:p>
    <w:p>
      <w:pPr>
        <w:pStyle w:val="TextBody"/>
        <w:bidi w:val="0"/>
        <w:spacing w:before="0" w:after="0"/>
        <w:jc w:val="left"/>
        <w:rPr/>
      </w:pPr>
      <w:r>
        <w:rPr/>
      </w:r>
    </w:p>
    <w:p>
      <w:pPr>
        <w:pStyle w:val="TextBody"/>
        <w:bidi w:val="0"/>
        <w:spacing w:before="0" w:after="0"/>
        <w:jc w:val="left"/>
        <w:rPr>
          <w:color w:val="000000"/>
        </w:rPr>
      </w:pPr>
      <w:r>
        <w:rPr>
          <w:b/>
          <w:color w:val="000000"/>
        </w:rPr>
        <w:t>Note</w:t>
      </w:r>
      <w:r>
        <w:rPr>
          <w:color w:val="000000"/>
        </w:rPr>
        <w:t>: Schedules filed in paper format shall include a signed original and five copies of the schedule, including all exhibits. See Section 240.13d-7 for other parties to whom copies are to be sent.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d4522519c986450b85a41c6cb0cf3520"/>
      <w:bookmarkStart w:id="5" w:name="zd4522519c986450b85a41c6cb0cf3520"/>
      <w:bookmarkEnd w:id="5"/>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left"/>
              <w:rPr>
                <w:color w:val="000000"/>
              </w:rPr>
            </w:pPr>
            <w:r>
              <w:rPr>
                <w:color w:val="00000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jc w:val="left"/>
        <w:rPr/>
      </w:pPr>
      <w:r>
        <w:rPr/>
      </w:r>
    </w:p>
    <w:p>
      <w:pPr>
        <w:pStyle w:val="TextBody"/>
        <w:bidi w:val="0"/>
        <w:spacing w:before="0" w:after="0"/>
        <w:jc w:val="left"/>
        <w:rPr>
          <w:color w:val="000000"/>
        </w:rPr>
      </w:pPr>
      <w:r>
        <w:rPr>
          <w:color w:val="000000"/>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pStyle w:val="TextBody"/>
        <w:bidi w:val="0"/>
        <w:spacing w:before="0" w:after="0"/>
        <w:jc w:val="left"/>
        <w:rPr>
          <w:color w:val="000000"/>
        </w:rPr>
      </w:pPr>
      <w:r>
        <w:rPr>
          <w:color w:val="000000"/>
        </w:rPr>
      </w:r>
    </w:p>
    <w:p>
      <w:pPr>
        <w:pStyle w:val="HorizontalLine"/>
        <w:pBdr>
          <w:bottom w:val="double" w:sz="2" w:space="0" w:color="808080"/>
        </w:pBdr>
        <w:bidi w:val="0"/>
        <w:spacing w:before="0" w:after="283"/>
        <w:jc w:val="left"/>
        <w:rPr/>
      </w:pPr>
      <w:r>
        <w:rPr/>
      </w:r>
    </w:p>
    <w:p>
      <w:pPr>
        <w:pStyle w:val="HorizontalLine"/>
        <w:pBdr>
          <w:bottom w:val="single" w:sz="12" w:space="0" w:color="808080"/>
        </w:pBdr>
        <w:bidi w:val="0"/>
        <w:jc w:val="left"/>
        <w:rPr/>
      </w:pPr>
      <w:r>
        <w:rPr/>
      </w:r>
    </w:p>
    <w:tbl>
      <w:tblPr>
        <w:tblW w:w="3010" w:type="dxa"/>
        <w:jc w:val="left"/>
        <w:tblInd w:w="0" w:type="dxa"/>
        <w:tblLayout w:type="fixed"/>
        <w:tblCellMar>
          <w:top w:w="0" w:type="dxa"/>
          <w:left w:w="0" w:type="dxa"/>
          <w:bottom w:w="0" w:type="dxa"/>
          <w:right w:w="0" w:type="dxa"/>
        </w:tblCellMar>
      </w:tblPr>
      <w:tblGrid>
        <w:gridCol w:w="1685"/>
        <w:gridCol w:w="60"/>
        <w:gridCol w:w="1265"/>
      </w:tblGrid>
      <w:tr>
        <w:trPr/>
        <w:tc>
          <w:tcPr>
            <w:tcW w:w="1685" w:type="dxa"/>
            <w:tcBorders/>
            <w:vAlign w:val="center"/>
          </w:tcPr>
          <w:p>
            <w:pPr>
              <w:pStyle w:val="TableContents"/>
              <w:bidi w:val="0"/>
              <w:spacing w:before="0" w:after="0"/>
              <w:jc w:val="left"/>
              <w:rPr>
                <w:color w:val="000000"/>
                <w:sz w:val="16"/>
              </w:rPr>
            </w:pPr>
            <w:r>
              <w:rPr>
                <w:color w:val="000000"/>
                <w:sz w:val="16"/>
              </w:rPr>
              <w:t>CUSIP No. N69605108</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right"/>
              <w:rPr>
                <w:color w:val="000000"/>
                <w:sz w:val="16"/>
              </w:rPr>
            </w:pPr>
            <w:r>
              <w:rPr>
                <w:color w:val="000000"/>
                <w:sz w:val="16"/>
              </w:rPr>
              <w:t xml:space="preserve">Page </w:t>
            </w:r>
            <w:r>
              <w:rPr>
                <w:b/>
                <w:color w:val="000000"/>
                <w:sz w:val="16"/>
              </w:rPr>
              <w:t>2</w:t>
            </w:r>
            <w:r>
              <w:rPr>
                <w:color w:val="000000"/>
                <w:sz w:val="16"/>
              </w:rPr>
              <w:t xml:space="preserve"> of </w:t>
            </w:r>
            <w:r>
              <w:rPr>
                <w:b/>
                <w:color w:val="000000"/>
                <w:sz w:val="16"/>
              </w:rPr>
              <w:t xml:space="preserve">8 </w:t>
            </w:r>
            <w:r>
              <w:rPr>
                <w:color w:val="000000"/>
                <w:sz w:val="16"/>
              </w:rPr>
              <w:t>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venBio Global Strategic Fund III, L.P.</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WC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Cayman Islands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10.4%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3010" w:type="dxa"/>
        <w:jc w:val="left"/>
        <w:tblInd w:w="0" w:type="dxa"/>
        <w:tblLayout w:type="fixed"/>
        <w:tblCellMar>
          <w:top w:w="0" w:type="dxa"/>
          <w:left w:w="0" w:type="dxa"/>
          <w:bottom w:w="0" w:type="dxa"/>
          <w:right w:w="0" w:type="dxa"/>
        </w:tblCellMar>
      </w:tblPr>
      <w:tblGrid>
        <w:gridCol w:w="1685"/>
        <w:gridCol w:w="60"/>
        <w:gridCol w:w="1265"/>
      </w:tblGrid>
      <w:tr>
        <w:trPr/>
        <w:tc>
          <w:tcPr>
            <w:tcW w:w="1685" w:type="dxa"/>
            <w:tcBorders/>
            <w:vAlign w:val="center"/>
          </w:tcPr>
          <w:p>
            <w:pPr>
              <w:pStyle w:val="TableContents"/>
              <w:bidi w:val="0"/>
              <w:spacing w:before="0" w:after="0"/>
              <w:jc w:val="left"/>
              <w:rPr>
                <w:color w:val="000000"/>
                <w:sz w:val="16"/>
              </w:rPr>
            </w:pPr>
            <w:r>
              <w:rPr>
                <w:color w:val="000000"/>
                <w:sz w:val="16"/>
              </w:rPr>
              <w:t>CUSIP No. N69605108</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right"/>
              <w:rPr>
                <w:color w:val="000000"/>
                <w:sz w:val="16"/>
              </w:rPr>
            </w:pPr>
            <w:r>
              <w:rPr>
                <w:color w:val="000000"/>
                <w:sz w:val="16"/>
              </w:rPr>
              <w:t xml:space="preserve">Page </w:t>
            </w:r>
            <w:r>
              <w:rPr>
                <w:b/>
                <w:color w:val="000000"/>
                <w:sz w:val="16"/>
              </w:rPr>
              <w:t>3</w:t>
            </w:r>
            <w:r>
              <w:rPr>
                <w:color w:val="000000"/>
                <w:sz w:val="16"/>
              </w:rPr>
              <w:t xml:space="preserve"> of </w:t>
            </w:r>
            <w:r>
              <w:rPr>
                <w:b/>
                <w:color w:val="000000"/>
                <w:sz w:val="16"/>
              </w:rPr>
              <w:t xml:space="preserve">8 </w:t>
            </w:r>
            <w:r>
              <w:rPr>
                <w:color w:val="000000"/>
                <w:sz w:val="16"/>
              </w:rPr>
              <w:t>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venBio Global Strategic GP III, L.P.</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AF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Cayman Islands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10.4%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3010" w:type="dxa"/>
        <w:jc w:val="left"/>
        <w:tblInd w:w="0" w:type="dxa"/>
        <w:tblLayout w:type="fixed"/>
        <w:tblCellMar>
          <w:top w:w="0" w:type="dxa"/>
          <w:left w:w="0" w:type="dxa"/>
          <w:bottom w:w="0" w:type="dxa"/>
          <w:right w:w="0" w:type="dxa"/>
        </w:tblCellMar>
      </w:tblPr>
      <w:tblGrid>
        <w:gridCol w:w="1685"/>
        <w:gridCol w:w="60"/>
        <w:gridCol w:w="1265"/>
      </w:tblGrid>
      <w:tr>
        <w:trPr/>
        <w:tc>
          <w:tcPr>
            <w:tcW w:w="1685" w:type="dxa"/>
            <w:tcBorders/>
            <w:vAlign w:val="center"/>
          </w:tcPr>
          <w:p>
            <w:pPr>
              <w:pStyle w:val="TableContents"/>
              <w:bidi w:val="0"/>
              <w:spacing w:before="0" w:after="0"/>
              <w:jc w:val="left"/>
              <w:rPr>
                <w:color w:val="000000"/>
                <w:sz w:val="16"/>
              </w:rPr>
            </w:pPr>
            <w:r>
              <w:rPr>
                <w:color w:val="000000"/>
                <w:sz w:val="16"/>
              </w:rPr>
              <w:t>CUSIP No. N69605108</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right"/>
              <w:rPr>
                <w:color w:val="000000"/>
                <w:sz w:val="16"/>
              </w:rPr>
            </w:pPr>
            <w:r>
              <w:rPr>
                <w:color w:val="000000"/>
                <w:sz w:val="16"/>
              </w:rPr>
              <w:t xml:space="preserve">Page </w:t>
            </w:r>
            <w:r>
              <w:rPr>
                <w:b/>
                <w:color w:val="000000"/>
                <w:sz w:val="16"/>
              </w:rPr>
              <w:t>4</w:t>
            </w:r>
            <w:r>
              <w:rPr>
                <w:color w:val="000000"/>
                <w:sz w:val="16"/>
              </w:rPr>
              <w:t xml:space="preserve"> of </w:t>
            </w:r>
            <w:r>
              <w:rPr>
                <w:b/>
                <w:color w:val="000000"/>
                <w:sz w:val="16"/>
              </w:rPr>
              <w:t xml:space="preserve">8 </w:t>
            </w:r>
            <w:r>
              <w:rPr>
                <w:color w:val="000000"/>
                <w:sz w:val="16"/>
              </w:rPr>
              <w:t>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venBio Global Strategic GP III, Ltd.</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AF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Cayman Islands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10.4%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CO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3010" w:type="dxa"/>
        <w:jc w:val="left"/>
        <w:tblInd w:w="0" w:type="dxa"/>
        <w:tblLayout w:type="fixed"/>
        <w:tblCellMar>
          <w:top w:w="0" w:type="dxa"/>
          <w:left w:w="0" w:type="dxa"/>
          <w:bottom w:w="0" w:type="dxa"/>
          <w:right w:w="0" w:type="dxa"/>
        </w:tblCellMar>
      </w:tblPr>
      <w:tblGrid>
        <w:gridCol w:w="1685"/>
        <w:gridCol w:w="60"/>
        <w:gridCol w:w="1265"/>
      </w:tblGrid>
      <w:tr>
        <w:trPr/>
        <w:tc>
          <w:tcPr>
            <w:tcW w:w="1685" w:type="dxa"/>
            <w:tcBorders/>
            <w:vAlign w:val="center"/>
          </w:tcPr>
          <w:p>
            <w:pPr>
              <w:pStyle w:val="TableContents"/>
              <w:bidi w:val="0"/>
              <w:spacing w:before="0" w:after="0"/>
              <w:jc w:val="left"/>
              <w:rPr>
                <w:color w:val="000000"/>
                <w:sz w:val="16"/>
              </w:rPr>
            </w:pPr>
            <w:r>
              <w:rPr>
                <w:color w:val="000000"/>
                <w:sz w:val="16"/>
              </w:rPr>
              <w:t>CUSIP No. N69605108</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right"/>
              <w:rPr>
                <w:color w:val="000000"/>
                <w:sz w:val="16"/>
              </w:rPr>
            </w:pPr>
            <w:r>
              <w:rPr>
                <w:color w:val="000000"/>
                <w:sz w:val="16"/>
              </w:rPr>
              <w:t xml:space="preserve">Page </w:t>
            </w:r>
            <w:r>
              <w:rPr>
                <w:b/>
                <w:color w:val="000000"/>
                <w:sz w:val="16"/>
              </w:rPr>
              <w:t>5</w:t>
            </w:r>
            <w:r>
              <w:rPr>
                <w:color w:val="000000"/>
                <w:sz w:val="16"/>
              </w:rPr>
              <w:t xml:space="preserve"> of </w:t>
            </w:r>
            <w:r>
              <w:rPr>
                <w:b/>
                <w:color w:val="000000"/>
                <w:sz w:val="16"/>
              </w:rPr>
              <w:t xml:space="preserve">8 </w:t>
            </w:r>
            <w:r>
              <w:rPr>
                <w:color w:val="000000"/>
                <w:sz w:val="16"/>
              </w:rPr>
              <w:t>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Corey Goodman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AF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United States of America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10.4%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IN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3010" w:type="dxa"/>
        <w:jc w:val="left"/>
        <w:tblInd w:w="0" w:type="dxa"/>
        <w:tblLayout w:type="fixed"/>
        <w:tblCellMar>
          <w:top w:w="0" w:type="dxa"/>
          <w:left w:w="0" w:type="dxa"/>
          <w:bottom w:w="0" w:type="dxa"/>
          <w:right w:w="0" w:type="dxa"/>
        </w:tblCellMar>
      </w:tblPr>
      <w:tblGrid>
        <w:gridCol w:w="1685"/>
        <w:gridCol w:w="60"/>
        <w:gridCol w:w="1265"/>
      </w:tblGrid>
      <w:tr>
        <w:trPr/>
        <w:tc>
          <w:tcPr>
            <w:tcW w:w="1685" w:type="dxa"/>
            <w:tcBorders/>
            <w:vAlign w:val="center"/>
          </w:tcPr>
          <w:p>
            <w:pPr>
              <w:pStyle w:val="TableContents"/>
              <w:bidi w:val="0"/>
              <w:spacing w:before="0" w:after="0"/>
              <w:jc w:val="left"/>
              <w:rPr>
                <w:color w:val="000000"/>
                <w:sz w:val="16"/>
              </w:rPr>
            </w:pPr>
            <w:r>
              <w:rPr>
                <w:color w:val="000000"/>
                <w:sz w:val="16"/>
              </w:rPr>
              <w:t>CUSIP No. N69605108</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right"/>
              <w:rPr>
                <w:color w:val="000000"/>
                <w:sz w:val="16"/>
              </w:rPr>
            </w:pPr>
            <w:r>
              <w:rPr>
                <w:color w:val="000000"/>
                <w:sz w:val="16"/>
              </w:rPr>
              <w:t xml:space="preserve">Page </w:t>
            </w:r>
            <w:r>
              <w:rPr>
                <w:b/>
                <w:color w:val="000000"/>
                <w:sz w:val="16"/>
              </w:rPr>
              <w:t>6</w:t>
            </w:r>
            <w:r>
              <w:rPr>
                <w:color w:val="000000"/>
                <w:sz w:val="16"/>
              </w:rPr>
              <w:t xml:space="preserve"> of </w:t>
            </w:r>
            <w:r>
              <w:rPr>
                <w:b/>
                <w:color w:val="000000"/>
                <w:sz w:val="16"/>
              </w:rPr>
              <w:t xml:space="preserve">8 </w:t>
            </w:r>
            <w:r>
              <w:rPr>
                <w:color w:val="000000"/>
                <w:sz w:val="16"/>
              </w:rPr>
              <w:t>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Robert Adelman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AF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United States of America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4,264,672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10.4%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IN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3010" w:type="dxa"/>
        <w:jc w:val="left"/>
        <w:tblInd w:w="0" w:type="dxa"/>
        <w:tblLayout w:type="fixed"/>
        <w:tblCellMar>
          <w:top w:w="0" w:type="dxa"/>
          <w:left w:w="0" w:type="dxa"/>
          <w:bottom w:w="0" w:type="dxa"/>
          <w:right w:w="0" w:type="dxa"/>
        </w:tblCellMar>
      </w:tblPr>
      <w:tblGrid>
        <w:gridCol w:w="1685"/>
        <w:gridCol w:w="60"/>
        <w:gridCol w:w="1265"/>
      </w:tblGrid>
      <w:tr>
        <w:trPr/>
        <w:tc>
          <w:tcPr>
            <w:tcW w:w="1685" w:type="dxa"/>
            <w:tcBorders/>
            <w:vAlign w:val="center"/>
          </w:tcPr>
          <w:p>
            <w:pPr>
              <w:pStyle w:val="TableContents"/>
              <w:bidi w:val="0"/>
              <w:spacing w:before="0" w:after="0"/>
              <w:jc w:val="left"/>
              <w:rPr>
                <w:color w:val="000000"/>
                <w:sz w:val="16"/>
              </w:rPr>
            </w:pPr>
            <w:r>
              <w:rPr>
                <w:color w:val="000000"/>
                <w:sz w:val="16"/>
              </w:rPr>
              <w:t>CUSIP No. N69605108</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right"/>
              <w:rPr>
                <w:color w:val="000000"/>
                <w:sz w:val="16"/>
              </w:rPr>
            </w:pPr>
            <w:r>
              <w:rPr>
                <w:color w:val="000000"/>
                <w:sz w:val="16"/>
              </w:rPr>
              <w:t xml:space="preserve">Page </w:t>
            </w:r>
            <w:r>
              <w:rPr>
                <w:b/>
                <w:color w:val="000000"/>
                <w:sz w:val="16"/>
              </w:rPr>
              <w:t>7</w:t>
            </w:r>
            <w:r>
              <w:rPr>
                <w:color w:val="000000"/>
                <w:sz w:val="16"/>
              </w:rPr>
              <w:t xml:space="preserve"> of </w:t>
            </w:r>
            <w:r>
              <w:rPr>
                <w:b/>
                <w:color w:val="000000"/>
                <w:sz w:val="16"/>
              </w:rPr>
              <w:t xml:space="preserve">8 </w:t>
            </w:r>
            <w:r>
              <w:rPr>
                <w:color w:val="000000"/>
                <w:sz w:val="16"/>
              </w:rPr>
              <w:t>Pages</w:t>
            </w:r>
          </w:p>
        </w:tc>
      </w:tr>
    </w:tbl>
    <w:p>
      <w:pPr>
        <w:pStyle w:val="Normal"/>
        <w:bidi w:val="0"/>
        <w:spacing w:before="0" w:after="0"/>
        <w:jc w:val="left"/>
        <w:rPr>
          <w:sz w:val="4"/>
          <w:szCs w:val="4"/>
        </w:rPr>
      </w:pPr>
      <w:r>
        <w:rPr>
          <w:sz w:val="4"/>
          <w:szCs w:val="4"/>
        </w:rPr>
      </w:r>
      <w:bookmarkStart w:id="6" w:name="z8337328d4d734603a7e84699317965bf"/>
      <w:bookmarkStart w:id="7" w:name="z8337328d4d734603a7e84699317965bf"/>
      <w:bookmarkEnd w:id="7"/>
    </w:p>
    <w:tbl>
      <w:tblPr>
        <w:tblW w:w="2740" w:type="dxa"/>
        <w:jc w:val="left"/>
        <w:tblInd w:w="0" w:type="dxa"/>
        <w:tblLayout w:type="fixed"/>
        <w:tblCellMar>
          <w:top w:w="0" w:type="dxa"/>
          <w:left w:w="0" w:type="dxa"/>
          <w:bottom w:w="0" w:type="dxa"/>
          <w:right w:w="0" w:type="dxa"/>
        </w:tblCellMar>
      </w:tblPr>
      <w:tblGrid>
        <w:gridCol w:w="740"/>
        <w:gridCol w:w="2000"/>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2000" w:type="dxa"/>
            <w:tcBorders/>
            <w:vAlign w:val="center"/>
          </w:tcPr>
          <w:p>
            <w:pPr>
              <w:pStyle w:val="TableContents"/>
              <w:bidi w:val="0"/>
              <w:spacing w:before="0" w:after="0"/>
              <w:jc w:val="left"/>
              <w:rPr>
                <w:b/>
                <w:color w:val="000000"/>
              </w:rPr>
            </w:pPr>
            <w:r>
              <w:rPr>
                <w:b/>
                <w:color w:val="000000"/>
              </w:rPr>
              <w:t>Security and Issuer</w:t>
            </w:r>
          </w:p>
        </w:tc>
      </w:tr>
    </w:tbl>
    <w:p>
      <w:pPr>
        <w:pStyle w:val="TextBody"/>
        <w:bidi w:val="0"/>
        <w:spacing w:before="0" w:after="0"/>
        <w:jc w:val="both"/>
        <w:rPr>
          <w:i/>
          <w:color w:val="000000"/>
        </w:rPr>
      </w:pPr>
      <w:r>
        <w:rPr>
          <w:i/>
          <w:color w:val="000000"/>
        </w:rPr>
      </w:r>
    </w:p>
    <w:p>
      <w:pPr>
        <w:pStyle w:val="TextBody"/>
        <w:bidi w:val="0"/>
        <w:spacing w:before="0" w:after="0"/>
        <w:jc w:val="both"/>
        <w:rPr>
          <w:i/>
          <w:color w:val="000000"/>
        </w:rPr>
      </w:pPr>
      <w:r>
        <w:rPr>
          <w:i/>
          <w:color w:val="000000"/>
        </w:rPr>
        <w:t>Item 1 of the Schedule 13D is hereby amended and supplemented as follows:</w:t>
      </w:r>
    </w:p>
    <w:p>
      <w:pPr>
        <w:pStyle w:val="TextBody"/>
        <w:bidi w:val="0"/>
        <w:spacing w:before="0" w:after="0"/>
        <w:jc w:val="left"/>
        <w:rPr/>
      </w:pPr>
      <w:r>
        <w:rPr/>
        <w:t> </w:t>
      </w:r>
    </w:p>
    <w:p>
      <w:pPr>
        <w:pStyle w:val="TextBody"/>
        <w:bidi w:val="0"/>
        <w:spacing w:before="0" w:after="0"/>
        <w:jc w:val="both"/>
        <w:rPr>
          <w:color w:val="000000"/>
        </w:rPr>
      </w:pPr>
      <w:r>
        <w:rPr>
          <w:color w:val="000000"/>
        </w:rPr>
        <w:t>This Amendment No. 2 to Schedule 13D (“</w:t>
      </w:r>
      <w:r>
        <w:rPr>
          <w:color w:val="000000"/>
          <w:u w:val="single"/>
        </w:rPr>
        <w:t>Amendment No. 2</w:t>
      </w:r>
      <w:r>
        <w:rPr>
          <w:color w:val="000000"/>
        </w:rPr>
        <w:t>”) relates to the Ordinary shares, par value €0.12 per share (the “</w:t>
      </w:r>
      <w:r>
        <w:rPr>
          <w:color w:val="000000"/>
          <w:u w:val="single"/>
        </w:rPr>
        <w:t>Common Shares</w:t>
      </w:r>
      <w:r>
        <w:rPr>
          <w:color w:val="000000"/>
        </w:rPr>
        <w:t>”), of Pharvaris N.V. (the “</w:t>
      </w:r>
      <w:r>
        <w:rPr>
          <w:color w:val="000000"/>
          <w:u w:val="single"/>
        </w:rPr>
        <w:t>Issuer</w:t>
      </w:r>
      <w:r>
        <w:rPr>
          <w:color w:val="000000"/>
        </w:rPr>
        <w:t>”), whose principal executive offices are located at Emmy Noetherweg 2, 2333 BK Leiden, The Netherlands. This Amendment No. 2 amends and supplements the original statement on Schedule 13D filed by the Reporting Persons and Aaron Royston with the Securities and Exchange Commission (the “</w:t>
      </w:r>
      <w:r>
        <w:rPr>
          <w:color w:val="000000"/>
          <w:u w:val="single"/>
        </w:rPr>
        <w:t>SEC</w:t>
      </w:r>
      <w:r>
        <w:rPr>
          <w:color w:val="000000"/>
        </w:rPr>
        <w:t>”) on February 19, 2021 and Amendment No. 1 filed by the Reporting Persons with the SEC on September 26, 2022 (together with this Amendment No. 2, the “</w:t>
      </w:r>
      <w:r>
        <w:rPr>
          <w:color w:val="000000"/>
          <w:u w:val="single"/>
        </w:rPr>
        <w:t>Schedule 13D</w:t>
      </w:r>
      <w:r>
        <w:rPr>
          <w:color w:val="000000"/>
        </w:rPr>
        <w:t>”). All capitalized terms not otherwise defined herein have the meanings ascribed to such terms in the original Schedule 13D.</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8" w:name="zbbd6deb68b3342b9aac4022a89a58adf"/>
      <w:bookmarkStart w:id="9" w:name="zbbd6deb68b3342b9aac4022a89a58adf"/>
      <w:bookmarkEnd w:id="9"/>
    </w:p>
    <w:tbl>
      <w:tblPr>
        <w:tblW w:w="4150" w:type="dxa"/>
        <w:jc w:val="left"/>
        <w:tblInd w:w="0" w:type="dxa"/>
        <w:tblLayout w:type="fixed"/>
        <w:tblCellMar>
          <w:top w:w="0" w:type="dxa"/>
          <w:left w:w="0" w:type="dxa"/>
          <w:bottom w:w="0" w:type="dxa"/>
          <w:right w:w="0" w:type="dxa"/>
        </w:tblCellMar>
      </w:tblPr>
      <w:tblGrid>
        <w:gridCol w:w="740"/>
        <w:gridCol w:w="341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3410" w:type="dxa"/>
            <w:tcBorders/>
            <w:vAlign w:val="center"/>
          </w:tcPr>
          <w:p>
            <w:pPr>
              <w:pStyle w:val="TableContents"/>
              <w:bidi w:val="0"/>
              <w:spacing w:before="0" w:after="0"/>
              <w:jc w:val="left"/>
              <w:rPr>
                <w:b/>
                <w:color w:val="000000"/>
              </w:rPr>
            </w:pPr>
            <w:r>
              <w:rPr>
                <w:b/>
                <w:color w:val="000000"/>
              </w:rPr>
              <w:t>Interest in Securities of the Issuer</w:t>
            </w:r>
          </w:p>
        </w:tc>
      </w:tr>
    </w:tbl>
    <w:p>
      <w:pPr>
        <w:pStyle w:val="TextBody"/>
        <w:bidi w:val="0"/>
        <w:spacing w:before="0" w:after="0"/>
        <w:jc w:val="both"/>
        <w:rPr>
          <w:i/>
          <w:color w:val="000000"/>
        </w:rPr>
      </w:pPr>
      <w:r>
        <w:rPr>
          <w:i/>
          <w:color w:val="000000"/>
        </w:rPr>
      </w:r>
    </w:p>
    <w:p>
      <w:pPr>
        <w:pStyle w:val="TextBody"/>
        <w:bidi w:val="0"/>
        <w:spacing w:before="0" w:after="0"/>
        <w:jc w:val="both"/>
        <w:rPr>
          <w:i/>
          <w:color w:val="000000"/>
        </w:rPr>
      </w:pPr>
      <w:r>
        <w:rPr>
          <w:i/>
          <w:color w:val="000000"/>
        </w:rPr>
        <w:t>Item 3 of the Schedule 13D is hereby amended and supplemented as follows:</w:t>
      </w:r>
    </w:p>
    <w:p>
      <w:pPr>
        <w:pStyle w:val="TextBody"/>
        <w:bidi w:val="0"/>
        <w:spacing w:before="0" w:after="0"/>
        <w:jc w:val="left"/>
        <w:rPr/>
      </w:pPr>
      <w:r>
        <w:rPr/>
        <w:t> </w:t>
      </w:r>
    </w:p>
    <w:p>
      <w:pPr>
        <w:pStyle w:val="TextBody"/>
        <w:bidi w:val="0"/>
        <w:spacing w:before="0" w:after="0"/>
        <w:jc w:val="left"/>
        <w:rPr>
          <w:color w:val="000000"/>
        </w:rPr>
      </w:pPr>
      <w:r>
        <w:rPr>
          <w:color w:val="000000"/>
        </w:rPr>
        <w:t>On June 16, 2023, the Issuer entered into a Subscription Agreement (the “</w:t>
      </w:r>
      <w:r>
        <w:rPr>
          <w:color w:val="000000"/>
          <w:u w:val="single"/>
        </w:rPr>
        <w:t>Subscription Agreement</w:t>
      </w:r>
      <w:r>
        <w:rPr>
          <w:color w:val="000000"/>
        </w:rPr>
        <w:t>”) with certain institutional investors (the “</w:t>
      </w:r>
      <w:r>
        <w:rPr>
          <w:color w:val="000000"/>
          <w:u w:val="single"/>
        </w:rPr>
        <w:t>Subscribers</w:t>
      </w:r>
      <w:r>
        <w:rPr>
          <w:color w:val="000000"/>
        </w:rPr>
        <w:t>”), including Fund III, pursuant to which the Subscribers subscribed for and agreed to acquire an aggregate 6,951,340 Common Shares in a private placement, at a purchase price of $10.07 per Common Share (the “</w:t>
      </w:r>
      <w:r>
        <w:rPr>
          <w:color w:val="000000"/>
          <w:u w:val="single"/>
        </w:rPr>
        <w:t>PIPE</w:t>
      </w:r>
      <w:r>
        <w:rPr>
          <w:color w:val="000000"/>
        </w:rPr>
        <w:t>”).  In the PIPE, Fund III bought 1,986,097 Common Shares for approximately $20 million, using its working capital. The Subscription Agreement also provides for customary representations, warranties and covenants of the Issuer and the Subscribers, including customary indemnification provisions.  The Issuer also granted the Subscribers customary registration rights with respect to the Common Shares acquired in the PIPE, agreeing to file a registration statement with the SEC within 45 days following June 16, 2023, to register the resale of Common Shares acquired by the Subscribers in the PIPE.</w:t>
      </w:r>
    </w:p>
    <w:p>
      <w:pPr>
        <w:pStyle w:val="TextBody"/>
        <w:bidi w:val="0"/>
        <w:spacing w:before="0" w:after="0"/>
        <w:jc w:val="left"/>
        <w:rPr/>
      </w:pPr>
      <w:r>
        <w:rPr/>
      </w:r>
    </w:p>
    <w:p>
      <w:pPr>
        <w:pStyle w:val="TextBody"/>
        <w:bidi w:val="0"/>
        <w:spacing w:before="0" w:after="0"/>
        <w:jc w:val="left"/>
        <w:rPr>
          <w:color w:val="000000"/>
        </w:rPr>
      </w:pPr>
      <w:r>
        <w:rPr>
          <w:color w:val="000000"/>
        </w:rPr>
        <w:t>The foregoing description of the Subscription Agreement does not purport to be complete and is subject to, and qualified in its entirety by, the full text of the Subscription Agreement, the form of which is attached as Exhibit 99.4 to this Amendment No. 2 and is incorporated herein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6c8dcbd19ef648c08aac34cc65667c63"/>
      <w:bookmarkStart w:id="11" w:name="z6c8dcbd19ef648c08aac34cc65667c63"/>
      <w:bookmarkEnd w:id="11"/>
    </w:p>
    <w:tbl>
      <w:tblPr>
        <w:tblW w:w="4150" w:type="dxa"/>
        <w:jc w:val="left"/>
        <w:tblInd w:w="0" w:type="dxa"/>
        <w:tblLayout w:type="fixed"/>
        <w:tblCellMar>
          <w:top w:w="0" w:type="dxa"/>
          <w:left w:w="0" w:type="dxa"/>
          <w:bottom w:w="0" w:type="dxa"/>
          <w:right w:w="0" w:type="dxa"/>
        </w:tblCellMar>
      </w:tblPr>
      <w:tblGrid>
        <w:gridCol w:w="740"/>
        <w:gridCol w:w="3410"/>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3410" w:type="dxa"/>
            <w:tcBorders/>
            <w:vAlign w:val="center"/>
          </w:tcPr>
          <w:p>
            <w:pPr>
              <w:pStyle w:val="TableContents"/>
              <w:bidi w:val="0"/>
              <w:spacing w:before="0" w:after="0"/>
              <w:jc w:val="left"/>
              <w:rPr>
                <w:b/>
                <w:color w:val="000000"/>
              </w:rPr>
            </w:pPr>
            <w:r>
              <w:rPr>
                <w:b/>
                <w:color w:val="000000"/>
              </w:rPr>
              <w:t>Interest in Securities of the Issuer</w:t>
            </w:r>
          </w:p>
        </w:tc>
      </w:tr>
    </w:tbl>
    <w:p>
      <w:pPr>
        <w:pStyle w:val="TextBody"/>
        <w:bidi w:val="0"/>
        <w:spacing w:before="0" w:after="0"/>
        <w:jc w:val="both"/>
        <w:rPr>
          <w:i/>
          <w:color w:val="000000"/>
        </w:rPr>
      </w:pPr>
      <w:r>
        <w:rPr>
          <w:i/>
          <w:color w:val="000000"/>
        </w:rPr>
      </w:r>
    </w:p>
    <w:p>
      <w:pPr>
        <w:pStyle w:val="TextBody"/>
        <w:bidi w:val="0"/>
        <w:spacing w:before="0" w:after="0"/>
        <w:jc w:val="both"/>
        <w:rPr>
          <w:i/>
          <w:color w:val="000000"/>
        </w:rPr>
      </w:pPr>
      <w:r>
        <w:rPr>
          <w:i/>
          <w:color w:val="000000"/>
        </w:rPr>
        <w:t>Item 5(a)-(c) of the Schedule 13D is hereby amended and supplemented as follows:</w:t>
      </w:r>
    </w:p>
    <w:p>
      <w:pPr>
        <w:pStyle w:val="TextBody"/>
        <w:bidi w:val="0"/>
        <w:spacing w:before="0" w:after="0"/>
        <w:jc w:val="left"/>
        <w:rPr/>
      </w:pPr>
      <w:r>
        <w:rPr/>
      </w:r>
    </w:p>
    <w:p>
      <w:pPr>
        <w:pStyle w:val="TextBody"/>
        <w:bidi w:val="0"/>
        <w:spacing w:before="0" w:after="0"/>
        <w:jc w:val="both"/>
        <w:rPr>
          <w:color w:val="000000"/>
        </w:rPr>
      </w:pPr>
      <w:r>
        <w:rPr>
          <w:color w:val="000000"/>
        </w:rPr>
        <w:t>(a)-(b) The information set forth in rows 7 through 13 of the cover pages to this Schedule 13D is incorporated by reference. The percentage set forth in row 13 is based on 33,871,576 Common Shares outstanding as of June 16, 2023, as provided in the Subscription Agreement, the form of which is attached as Exhibit 99.4 to this Amendment No. 2, plus the aggregate 6,951,340 Common Shares issued in the PIPE on June 16, 2023.</w:t>
      </w:r>
    </w:p>
    <w:p>
      <w:pPr>
        <w:pStyle w:val="TextBody"/>
        <w:bidi w:val="0"/>
        <w:spacing w:before="0" w:after="0"/>
        <w:jc w:val="left"/>
        <w:rPr/>
      </w:pPr>
      <w:r>
        <w:rPr/>
      </w:r>
    </w:p>
    <w:p>
      <w:pPr>
        <w:pStyle w:val="TextBody"/>
        <w:bidi w:val="0"/>
        <w:spacing w:before="0" w:after="0"/>
        <w:jc w:val="both"/>
        <w:rPr>
          <w:color w:val="000000"/>
        </w:rPr>
      </w:pPr>
      <w:r>
        <w:rPr>
          <w:color w:val="000000"/>
        </w:rPr>
        <w:t xml:space="preserve">Fund III directly holds all of the Common Shares reported herein </w:t>
      </w:r>
      <w:bookmarkStart w:id="12" w:name="z_Hlk114821004"/>
      <w:bookmarkEnd w:id="12"/>
      <w:r>
        <w:rPr>
          <w:color w:val="000000"/>
        </w:rPr>
        <w:t>and in the original Schedule 13D. As the sole general partner of Fund III, the General Partner III may be deemed to beneficially own the shares held by Fund III and as the sole general partner of the General Partner III, the GP Ltd. III may be deemed to beneficially own the shares held by Fund III. As directors of the GP Ltd. III, each of the Directors may be deemed to beneficially own the shares held by Fund III.</w:t>
      </w:r>
    </w:p>
    <w:p>
      <w:pPr>
        <w:pStyle w:val="TextBody"/>
        <w:bidi w:val="0"/>
        <w:spacing w:before="0" w:after="0"/>
        <w:jc w:val="left"/>
        <w:rPr/>
      </w:pPr>
      <w:r>
        <w:rPr/>
      </w:r>
    </w:p>
    <w:p>
      <w:pPr>
        <w:pStyle w:val="TextBody"/>
        <w:bidi w:val="0"/>
        <w:spacing w:before="0" w:after="0"/>
        <w:jc w:val="both"/>
        <w:rPr>
          <w:color w:val="000000"/>
        </w:rPr>
      </w:pPr>
      <w:r>
        <w:rPr>
          <w:color w:val="000000"/>
        </w:rPr>
        <w:t>(c) The response to Item 3 of this Amendment No. 2 is incorporated herein by reference. Except as otherwise described in this Amendment No. 2, the Reporting Persons had no transactions in Common Shares during the 60 days preceding the date of filing of this Amendment No. 2.</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ze452c3899cb24d159c6ced6b218dd68b"/>
      <w:bookmarkStart w:id="14" w:name="ze452c3899cb24d159c6ced6b218dd68b"/>
      <w:bookmarkEnd w:id="14"/>
    </w:p>
    <w:tbl>
      <w:tblPr>
        <w:tblW w:w="10205" w:type="dxa"/>
        <w:jc w:val="left"/>
        <w:tblInd w:w="0" w:type="dxa"/>
        <w:tblLayout w:type="fixed"/>
        <w:tblCellMar>
          <w:top w:w="0" w:type="dxa"/>
          <w:left w:w="0" w:type="dxa"/>
          <w:bottom w:w="0" w:type="dxa"/>
          <w:right w:w="0" w:type="dxa"/>
        </w:tblCellMar>
      </w:tblPr>
      <w:tblGrid>
        <w:gridCol w:w="38"/>
        <w:gridCol w:w="708"/>
        <w:gridCol w:w="9459"/>
      </w:tblGrid>
      <w:tr>
        <w:trPr/>
        <w:tc>
          <w:tcPr>
            <w:tcW w:w="38" w:type="dxa"/>
            <w:tcBorders/>
            <w:vAlign w:val="center"/>
          </w:tcPr>
          <w:p>
            <w:pPr>
              <w:pStyle w:val="TableContents"/>
              <w:bidi w:val="0"/>
              <w:spacing w:before="0" w:after="283"/>
              <w:jc w:val="left"/>
              <w:rPr/>
            </w:pPr>
            <w:r>
              <w:rPr/>
            </w:r>
          </w:p>
        </w:tc>
        <w:tc>
          <w:tcPr>
            <w:tcW w:w="708" w:type="dxa"/>
            <w:tcBorders/>
            <w:vAlign w:val="center"/>
          </w:tcPr>
          <w:p>
            <w:pPr>
              <w:pStyle w:val="TableContents"/>
              <w:bidi w:val="0"/>
              <w:spacing w:before="0" w:after="283"/>
              <w:jc w:val="left"/>
              <w:rPr>
                <w:b/>
                <w:color w:val="000000"/>
              </w:rPr>
            </w:pPr>
            <w:r>
              <w:rPr>
                <w:b/>
                <w:color w:val="000000"/>
              </w:rPr>
              <w:t>Item 6.</w:t>
            </w:r>
          </w:p>
        </w:tc>
        <w:tc>
          <w:tcPr>
            <w:tcW w:w="9459" w:type="dxa"/>
            <w:tcBorders/>
            <w:vAlign w:val="center"/>
          </w:tcPr>
          <w:p>
            <w:pPr>
              <w:pStyle w:val="TableContents"/>
              <w:bidi w:val="0"/>
              <w:spacing w:before="0" w:after="0"/>
              <w:jc w:val="left"/>
              <w:rPr>
                <w:b/>
                <w:color w:val="000000"/>
              </w:rPr>
            </w:pPr>
            <w:r>
              <w:rPr>
                <w:b/>
                <w:color w:val="000000"/>
              </w:rPr>
              <w:t>Contracts, Arrangements, Understandings or Relationships with Respect to Securities of the Issuer</w:t>
            </w:r>
          </w:p>
        </w:tc>
      </w:tr>
    </w:tbl>
    <w:p>
      <w:pPr>
        <w:pStyle w:val="TextBody"/>
        <w:bidi w:val="0"/>
        <w:spacing w:before="0" w:after="0"/>
        <w:jc w:val="both"/>
        <w:rPr>
          <w:i/>
          <w:color w:val="000000"/>
        </w:rPr>
      </w:pPr>
      <w:r>
        <w:rPr>
          <w:i/>
          <w:color w:val="000000"/>
        </w:rPr>
      </w:r>
    </w:p>
    <w:p>
      <w:pPr>
        <w:pStyle w:val="TextBody"/>
        <w:bidi w:val="0"/>
        <w:spacing w:before="0" w:after="0"/>
        <w:jc w:val="both"/>
        <w:rPr>
          <w:i/>
          <w:color w:val="000000"/>
        </w:rPr>
      </w:pPr>
      <w:r>
        <w:rPr>
          <w:i/>
          <w:color w:val="000000"/>
        </w:rPr>
        <w:t>Item 6 of the Schedule 13D is hereby amended and supplemented as follows:</w:t>
      </w:r>
    </w:p>
    <w:p>
      <w:pPr>
        <w:pStyle w:val="TextBody"/>
        <w:bidi w:val="0"/>
        <w:spacing w:before="0" w:after="0"/>
        <w:jc w:val="left"/>
        <w:rPr/>
      </w:pPr>
      <w:r>
        <w:rPr/>
        <w:t> </w:t>
      </w:r>
    </w:p>
    <w:p>
      <w:pPr>
        <w:pStyle w:val="TextBody"/>
        <w:bidi w:val="0"/>
        <w:spacing w:before="0" w:after="0"/>
        <w:jc w:val="both"/>
        <w:rPr>
          <w:color w:val="000000"/>
        </w:rPr>
      </w:pPr>
      <w:r>
        <w:rPr>
          <w:color w:val="000000"/>
        </w:rPr>
        <w:t>The response to Item 3 of this Amendment No. 2 is incorporated herein by reference.</w:t>
      </w:r>
    </w:p>
    <w:p>
      <w:pPr>
        <w:pStyle w:val="TextBody"/>
        <w:bidi w:val="0"/>
        <w:spacing w:before="0" w:after="0"/>
        <w:jc w:val="left"/>
        <w:rPr/>
      </w:pPr>
      <w:r>
        <w:rPr/>
      </w:r>
    </w:p>
    <w:p>
      <w:pPr>
        <w:pStyle w:val="TextBody"/>
        <w:bidi w:val="0"/>
        <w:spacing w:before="0" w:after="0"/>
        <w:jc w:val="both"/>
        <w:rPr>
          <w:color w:val="000000"/>
        </w:rPr>
      </w:pPr>
      <w:r>
        <w:rPr>
          <w:color w:val="000000"/>
        </w:rPr>
        <w:t>Except as otherwise described in the Schedule 13D, as amended by this Amendment No. 2, no contracts, arrangements, understandings or similar relationships exist with respect to the securities of the Issuer among or between the Reporting Persons or any other person or entity.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zd0d2dd5505484f30bdeca093e14a925a"/>
      <w:bookmarkStart w:id="16" w:name="zd0d2dd5505484f30bdeca093e14a925a"/>
      <w:bookmarkEnd w:id="16"/>
    </w:p>
    <w:tbl>
      <w:tblPr>
        <w:tblW w:w="3940" w:type="dxa"/>
        <w:jc w:val="left"/>
        <w:tblInd w:w="0" w:type="dxa"/>
        <w:tblLayout w:type="fixed"/>
        <w:tblCellMar>
          <w:top w:w="0" w:type="dxa"/>
          <w:left w:w="0" w:type="dxa"/>
          <w:bottom w:w="0" w:type="dxa"/>
          <w:right w:w="0" w:type="dxa"/>
        </w:tblCellMar>
      </w:tblPr>
      <w:tblGrid>
        <w:gridCol w:w="740"/>
        <w:gridCol w:w="3200"/>
      </w:tblGrid>
      <w:tr>
        <w:trPr/>
        <w:tc>
          <w:tcPr>
            <w:tcW w:w="740" w:type="dxa"/>
            <w:tcBorders/>
            <w:vAlign w:val="center"/>
          </w:tcPr>
          <w:p>
            <w:pPr>
              <w:pStyle w:val="TableContents"/>
              <w:bidi w:val="0"/>
              <w:spacing w:before="0" w:after="283"/>
              <w:jc w:val="left"/>
              <w:rPr>
                <w:b/>
                <w:color w:val="000000"/>
              </w:rPr>
            </w:pPr>
            <w:r>
              <w:rPr>
                <w:b/>
                <w:color w:val="000000"/>
              </w:rPr>
              <w:t>Item 7.</w:t>
            </w:r>
          </w:p>
        </w:tc>
        <w:tc>
          <w:tcPr>
            <w:tcW w:w="3200" w:type="dxa"/>
            <w:tcBorders/>
            <w:vAlign w:val="center"/>
          </w:tcPr>
          <w:p>
            <w:pPr>
              <w:pStyle w:val="TableContents"/>
              <w:bidi w:val="0"/>
              <w:spacing w:before="0" w:after="0"/>
              <w:jc w:val="left"/>
              <w:rPr>
                <w:b/>
                <w:color w:val="000000"/>
              </w:rPr>
            </w:pPr>
            <w:r>
              <w:rPr>
                <w:b/>
                <w:color w:val="000000"/>
              </w:rPr>
              <w:t>Material to be Filed as Exhibits</w:t>
            </w:r>
          </w:p>
        </w:tc>
      </w:tr>
    </w:tbl>
    <w:p>
      <w:pPr>
        <w:pStyle w:val="TextBody"/>
        <w:bidi w:val="0"/>
        <w:spacing w:before="0" w:after="0"/>
        <w:jc w:val="both"/>
        <w:rPr>
          <w:i/>
          <w:color w:val="000000"/>
        </w:rPr>
      </w:pPr>
      <w:r>
        <w:rPr>
          <w:i/>
          <w:color w:val="000000"/>
        </w:rPr>
      </w:r>
    </w:p>
    <w:p>
      <w:pPr>
        <w:pStyle w:val="TextBody"/>
        <w:bidi w:val="0"/>
        <w:spacing w:before="0" w:after="0"/>
        <w:jc w:val="both"/>
        <w:rPr>
          <w:i/>
          <w:color w:val="000000"/>
        </w:rPr>
      </w:pPr>
      <w:r>
        <w:rPr>
          <w:i/>
          <w:color w:val="000000"/>
        </w:rPr>
        <w:t>Item 7 of the Schedule 13D is hereby amended and supplemented as follows: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7" w:name="z59672cffcdb74dc08ccf2f57ecd5291e"/>
      <w:bookmarkStart w:id="18" w:name="z59672cffcdb74dc08ccf2f57ecd5291e"/>
      <w:bookmarkEnd w:id="18"/>
    </w:p>
    <w:tbl>
      <w:tblPr>
        <w:tblW w:w="10205" w:type="dxa"/>
        <w:jc w:val="left"/>
        <w:tblInd w:w="0" w:type="dxa"/>
        <w:tblLayout w:type="fixed"/>
        <w:tblCellMar>
          <w:top w:w="0" w:type="dxa"/>
          <w:left w:w="0" w:type="dxa"/>
          <w:bottom w:w="0" w:type="dxa"/>
          <w:right w:w="0" w:type="dxa"/>
        </w:tblCellMar>
      </w:tblPr>
      <w:tblGrid>
        <w:gridCol w:w="1190"/>
        <w:gridCol w:w="60"/>
        <w:gridCol w:w="8955"/>
      </w:tblGrid>
      <w:tr>
        <w:trPr/>
        <w:tc>
          <w:tcPr>
            <w:tcW w:w="1190" w:type="dxa"/>
            <w:tcBorders/>
            <w:vAlign w:val="center"/>
          </w:tcPr>
          <w:p>
            <w:pPr>
              <w:pStyle w:val="TableContents"/>
              <w:bidi w:val="0"/>
              <w:spacing w:before="0" w:after="0"/>
              <w:jc w:val="left"/>
              <w:rPr>
                <w:color w:val="000000"/>
              </w:rPr>
            </w:pPr>
            <w:r>
              <w:rPr>
                <w:color w:val="000000"/>
              </w:rPr>
              <w:t>Exhibit 99.4</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color w:val="000000"/>
              </w:rPr>
            </w:pPr>
            <w:r>
              <w:rPr>
                <w:color w:val="000000"/>
              </w:rPr>
              <w:t>Form of Subscription Agreement (incorporated by reference to Exhibit 99.1 to the Issuer’s current report on Form 6-K filed with the SEC on June 20, 2023).</w:t>
            </w:r>
          </w:p>
        </w:tc>
      </w:tr>
    </w:tbl>
    <w:p>
      <w:pPr>
        <w:pStyle w:val="TextBody"/>
        <w:bidi w:val="0"/>
        <w:spacing w:before="0" w:after="0"/>
        <w:jc w:val="left"/>
        <w:rPr/>
      </w:pPr>
      <w:r>
        <w:rPr/>
        <w:t> </w:t>
      </w:r>
    </w:p>
    <w:p>
      <w:pPr>
        <w:pStyle w:val="HorizontalLine"/>
        <w:pBdr>
          <w:bottom w:val="single" w:sz="12" w:space="0" w:color="808080"/>
        </w:pBdr>
        <w:bidi w:val="0"/>
        <w:jc w:val="left"/>
        <w:rPr/>
      </w:pPr>
      <w:r>
        <w:rPr/>
      </w:r>
    </w:p>
    <w:tbl>
      <w:tblPr>
        <w:tblW w:w="3010" w:type="dxa"/>
        <w:jc w:val="left"/>
        <w:tblInd w:w="0" w:type="dxa"/>
        <w:tblLayout w:type="fixed"/>
        <w:tblCellMar>
          <w:top w:w="0" w:type="dxa"/>
          <w:left w:w="0" w:type="dxa"/>
          <w:bottom w:w="0" w:type="dxa"/>
          <w:right w:w="0" w:type="dxa"/>
        </w:tblCellMar>
      </w:tblPr>
      <w:tblGrid>
        <w:gridCol w:w="1685"/>
        <w:gridCol w:w="60"/>
        <w:gridCol w:w="1265"/>
      </w:tblGrid>
      <w:tr>
        <w:trPr/>
        <w:tc>
          <w:tcPr>
            <w:tcW w:w="1685" w:type="dxa"/>
            <w:tcBorders/>
            <w:vAlign w:val="center"/>
          </w:tcPr>
          <w:p>
            <w:pPr>
              <w:pStyle w:val="TableContents"/>
              <w:bidi w:val="0"/>
              <w:spacing w:before="0" w:after="0"/>
              <w:jc w:val="left"/>
              <w:rPr>
                <w:color w:val="000000"/>
                <w:sz w:val="16"/>
              </w:rPr>
            </w:pPr>
            <w:r>
              <w:rPr>
                <w:color w:val="000000"/>
                <w:sz w:val="16"/>
              </w:rPr>
              <w:t>CUSIP No. N69605108</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right"/>
              <w:rPr>
                <w:color w:val="000000"/>
                <w:sz w:val="16"/>
              </w:rPr>
            </w:pPr>
            <w:r>
              <w:rPr>
                <w:color w:val="000000"/>
                <w:sz w:val="16"/>
              </w:rPr>
              <w:t xml:space="preserve">Page </w:t>
            </w:r>
            <w:r>
              <w:rPr>
                <w:b/>
                <w:color w:val="000000"/>
                <w:sz w:val="16"/>
              </w:rPr>
              <w:t>8</w:t>
            </w:r>
            <w:r>
              <w:rPr>
                <w:color w:val="000000"/>
                <w:sz w:val="16"/>
              </w:rPr>
              <w:t xml:space="preserve"> of </w:t>
            </w:r>
            <w:r>
              <w:rPr>
                <w:b/>
                <w:color w:val="000000"/>
                <w:sz w:val="16"/>
              </w:rPr>
              <w:t xml:space="preserve">8 </w:t>
            </w:r>
            <w:r>
              <w:rPr>
                <w:color w:val="000000"/>
                <w:sz w:val="16"/>
              </w:rPr>
              <w:t>Pages</w:t>
            </w:r>
          </w:p>
        </w:tc>
      </w:tr>
    </w:tbl>
    <w:p>
      <w:pPr>
        <w:pStyle w:val="TextBody"/>
        <w:bidi w:val="0"/>
        <w:spacing w:before="0" w:after="0"/>
        <w:jc w:val="center"/>
        <w:rPr>
          <w:b/>
          <w:color w:val="000000"/>
        </w:rPr>
      </w:pPr>
      <w:bookmarkStart w:id="19" w:name="z_Hlk114073150"/>
      <w:bookmarkEnd w:id="19"/>
      <w:r>
        <w:rPr>
          <w:b/>
          <w:color w:val="000000"/>
        </w:rPr>
        <w:t>SIGNATURES</w:t>
      </w:r>
    </w:p>
    <w:p>
      <w:pPr>
        <w:pStyle w:val="TextBody"/>
        <w:bidi w:val="0"/>
        <w:spacing w:before="0" w:after="0"/>
        <w:jc w:val="left"/>
        <w:rPr/>
      </w:pPr>
      <w:r>
        <w:rPr/>
      </w:r>
    </w:p>
    <w:p>
      <w:pPr>
        <w:pStyle w:val="TextBody"/>
        <w:bidi w:val="0"/>
        <w:spacing w:before="0" w:after="0"/>
        <w:jc w:val="left"/>
        <w:rPr>
          <w:color w:val="000000"/>
        </w:rPr>
      </w:pPr>
      <w:r>
        <w:rPr>
          <w:color w:val="000000"/>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TextBody"/>
        <w:bidi w:val="0"/>
        <w:spacing w:before="0" w:after="0"/>
        <w:jc w:val="left"/>
        <w:rPr>
          <w:color w:val="000000"/>
        </w:rPr>
      </w:pPr>
      <w:r>
        <w:rPr>
          <w:color w:val="000000"/>
        </w:rPr>
        <w:t>Dated: June 21, 2023</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20" w:name="zc4b86f3d73e34262a44312f8b2941cbe"/>
      <w:bookmarkStart w:id="21" w:name="zc4b86f3d73e34262a44312f8b2941cbe"/>
      <w:bookmarkEnd w:id="21"/>
    </w:p>
    <w:tbl>
      <w:tblPr>
        <w:tblW w:w="5380" w:type="dxa"/>
        <w:jc w:val="left"/>
        <w:tblInd w:w="0" w:type="dxa"/>
        <w:tblLayout w:type="fixed"/>
        <w:tblCellMar>
          <w:top w:w="0" w:type="dxa"/>
          <w:left w:w="0" w:type="dxa"/>
          <w:bottom w:w="0" w:type="dxa"/>
          <w:right w:w="0" w:type="dxa"/>
        </w:tblCellMar>
      </w:tblPr>
      <w:tblGrid>
        <w:gridCol w:w="60"/>
        <w:gridCol w:w="515"/>
        <w:gridCol w:w="4745"/>
        <w:gridCol w:w="60"/>
      </w:tblGrid>
      <w:tr>
        <w:trPr/>
        <w:tc>
          <w:tcPr>
            <w:tcW w:w="60"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0"/>
              <w:jc w:val="left"/>
              <w:rPr>
                <w:color w:val="000000"/>
              </w:rPr>
            </w:pPr>
            <w:r>
              <w:rPr>
                <w:color w:val="000000"/>
              </w:rPr>
              <w:t>VENBIO GLOBAL STRATEGIC FUND III,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vAlign w:val="center"/>
          </w:tcPr>
          <w:p>
            <w:pPr>
              <w:pStyle w:val="TableContents"/>
              <w:bidi w:val="0"/>
              <w:spacing w:before="0" w:after="0"/>
              <w:jc w:val="left"/>
              <w:rPr>
                <w:color w:val="000000"/>
              </w:rPr>
            </w:pPr>
            <w:r>
              <w:rPr>
                <w:color w:val="000000"/>
              </w:rPr>
              <w:t>VENBIO GLOBAL STRATEGIC GP III, L.P.</w:t>
            </w:r>
          </w:p>
          <w:p>
            <w:pPr>
              <w:pStyle w:val="TableContents"/>
              <w:bidi w:val="0"/>
              <w:spacing w:before="0" w:after="0"/>
              <w:jc w:val="left"/>
              <w:rPr>
                <w:color w:val="000000"/>
              </w:rPr>
            </w:pPr>
            <w:r>
              <w:rPr>
                <w:color w:val="000000"/>
              </w:rPr>
              <w:t>General Partner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vAlign w:val="center"/>
          </w:tcPr>
          <w:p>
            <w:pPr>
              <w:pStyle w:val="TableContents"/>
              <w:bidi w:val="0"/>
              <w:spacing w:before="0" w:after="0"/>
              <w:jc w:val="left"/>
              <w:rPr>
                <w:color w:val="000000"/>
              </w:rPr>
            </w:pPr>
            <w:r>
              <w:rPr>
                <w:color w:val="000000"/>
              </w:rPr>
              <w:t>VENBIO GLOBAL STRATEGIC GP III, LTD.</w:t>
            </w:r>
          </w:p>
          <w:p>
            <w:pPr>
              <w:pStyle w:val="TableContents"/>
              <w:bidi w:val="0"/>
              <w:spacing w:before="0" w:after="0"/>
              <w:jc w:val="left"/>
              <w:rPr>
                <w:color w:val="000000"/>
              </w:rPr>
            </w:pPr>
            <w:r>
              <w:rPr>
                <w:color w:val="000000"/>
              </w:rPr>
              <w:t>General Partner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Title:</w:t>
            </w:r>
          </w:p>
        </w:tc>
        <w:tc>
          <w:tcPr>
            <w:tcW w:w="4745" w:type="dxa"/>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Title:</w:t>
            </w:r>
          </w:p>
        </w:tc>
        <w:tc>
          <w:tcPr>
            <w:tcW w:w="4745" w:type="dxa"/>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Title:</w:t>
            </w:r>
          </w:p>
        </w:tc>
        <w:tc>
          <w:tcPr>
            <w:tcW w:w="4745" w:type="dxa"/>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0"/>
              <w:jc w:val="left"/>
              <w:rPr>
                <w:color w:val="000000"/>
              </w:rPr>
            </w:pPr>
            <w:r>
              <w:rPr>
                <w:color w:val="000000"/>
              </w:rPr>
              <w:t>VENBIO GLOBAL STRATEGIC GP III,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vAlign w:val="center"/>
          </w:tcPr>
          <w:p>
            <w:pPr>
              <w:pStyle w:val="TableContents"/>
              <w:bidi w:val="0"/>
              <w:spacing w:before="0" w:after="0"/>
              <w:jc w:val="left"/>
              <w:rPr>
                <w:color w:val="000000"/>
              </w:rPr>
            </w:pPr>
            <w:r>
              <w:rPr>
                <w:color w:val="000000"/>
              </w:rPr>
              <w:t>VENBIO GLOBAL STRATEGIC GP III, LTD.</w:t>
            </w:r>
          </w:p>
          <w:p>
            <w:pPr>
              <w:pStyle w:val="TableContents"/>
              <w:bidi w:val="0"/>
              <w:spacing w:before="0" w:after="0"/>
              <w:jc w:val="left"/>
              <w:rPr>
                <w:color w:val="000000"/>
              </w:rPr>
            </w:pPr>
            <w:r>
              <w:rPr>
                <w:color w:val="000000"/>
              </w:rPr>
              <w:t>General Partner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Title:</w:t>
            </w:r>
          </w:p>
        </w:tc>
        <w:tc>
          <w:tcPr>
            <w:tcW w:w="4745" w:type="dxa"/>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Title:</w:t>
            </w:r>
          </w:p>
        </w:tc>
        <w:tc>
          <w:tcPr>
            <w:tcW w:w="4745" w:type="dxa"/>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Title:</w:t>
            </w:r>
          </w:p>
        </w:tc>
        <w:tc>
          <w:tcPr>
            <w:tcW w:w="4745" w:type="dxa"/>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0"/>
              <w:jc w:val="left"/>
              <w:rPr>
                <w:color w:val="000000"/>
              </w:rPr>
            </w:pPr>
            <w:r>
              <w:rPr>
                <w:color w:val="000000"/>
              </w:rPr>
              <w:t>VENBIO GLOBAL STRATEGIC GP III, LTD.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Title:</w:t>
            </w:r>
          </w:p>
        </w:tc>
        <w:tc>
          <w:tcPr>
            <w:tcW w:w="4745" w:type="dxa"/>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Title:</w:t>
            </w:r>
          </w:p>
        </w:tc>
        <w:tc>
          <w:tcPr>
            <w:tcW w:w="4745" w:type="dxa"/>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By:</w:t>
            </w:r>
          </w:p>
        </w:tc>
        <w:tc>
          <w:tcPr>
            <w:tcW w:w="47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left"/>
              <w:rPr>
                <w:color w:val="000000"/>
              </w:rPr>
            </w:pPr>
            <w:r>
              <w:rPr>
                <w:color w:val="000000"/>
              </w:rPr>
              <w:t>Title:</w:t>
            </w:r>
          </w:p>
        </w:tc>
        <w:tc>
          <w:tcPr>
            <w:tcW w:w="4745" w:type="dxa"/>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2dd1397686194782b56f58712ca1b9b1"/>
      <w:bookmarkStart w:id="23" w:name="z2dd1397686194782b56f58712ca1b9b1"/>
      <w:bookmarkEnd w:id="23"/>
    </w:p>
    <w:tbl>
      <w:tblPr>
        <w:tblW w:w="2275" w:type="dxa"/>
        <w:jc w:val="left"/>
        <w:tblInd w:w="0" w:type="dxa"/>
        <w:tblLayout w:type="fixed"/>
        <w:tblCellMar>
          <w:top w:w="0" w:type="dxa"/>
          <w:left w:w="0" w:type="dxa"/>
          <w:bottom w:w="0" w:type="dxa"/>
          <w:right w:w="0" w:type="dxa"/>
        </w:tblCellMar>
      </w:tblPr>
      <w:tblGrid>
        <w:gridCol w:w="60"/>
        <w:gridCol w:w="365"/>
        <w:gridCol w:w="1790"/>
        <w:gridCol w:w="60"/>
      </w:tblGrid>
      <w:tr>
        <w:trPr/>
        <w:tc>
          <w:tcPr>
            <w:tcW w:w="60" w:type="dxa"/>
            <w:tcBorders/>
            <w:vAlign w:val="center"/>
          </w:tcPr>
          <w:p>
            <w:pPr>
              <w:pStyle w:val="TableContents"/>
              <w:bidi w:val="0"/>
              <w:spacing w:before="0" w:after="283"/>
              <w:jc w:val="left"/>
              <w:rPr/>
            </w:pPr>
            <w:r>
              <w:rPr/>
              <w:t> </w:t>
            </w:r>
          </w:p>
        </w:tc>
        <w:tc>
          <w:tcPr>
            <w:tcW w:w="2155"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55" w:type="dxa"/>
            <w:gridSpan w:val="2"/>
            <w:tcBorders/>
            <w:vAlign w:val="center"/>
          </w:tcPr>
          <w:p>
            <w:pPr>
              <w:pStyle w:val="TableContents"/>
              <w:bidi w:val="0"/>
              <w:spacing w:before="0" w:after="0"/>
              <w:jc w:val="left"/>
              <w:rPr>
                <w:color w:val="000000"/>
              </w:rPr>
            </w:pPr>
            <w:r>
              <w:rPr>
                <w:color w:val="000000"/>
              </w:rPr>
              <w:t>Corey Goodman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55"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55" w:type="dxa"/>
            <w:gridSpan w:val="2"/>
            <w:tcBorders/>
            <w:vAlign w:val="center"/>
          </w:tcPr>
          <w:p>
            <w:pPr>
              <w:pStyle w:val="TableContents"/>
              <w:bidi w:val="0"/>
              <w:spacing w:before="0" w:after="0"/>
              <w:jc w:val="left"/>
              <w:rPr>
                <w:color w:val="000000"/>
              </w:rPr>
            </w:pPr>
            <w:r>
              <w:rPr>
                <w:color w:val="000000"/>
              </w:rPr>
              <w:t>Robert Adelman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179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David Pezeshki</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color w:val="000000"/>
              </w:rPr>
            </w:pPr>
            <w:r>
              <w:rPr>
                <w:color w:val="000000"/>
              </w:rPr>
              <w:t>David Pezeshki</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color w:val="000000"/>
              </w:rPr>
            </w:pPr>
            <w:r>
              <w:rPr>
                <w:color w:val="000000"/>
              </w:rPr>
              <w:t>As attorney-in-fact</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left"/>
        <w:rPr>
          <w:color w:val="000000"/>
        </w:rPr>
      </w:pPr>
      <w:r>
        <w:rPr>
          <w:color w:val="000000"/>
        </w:rPr>
        <w:t>This Schedule 13D was executed by David Pezeshki on behalf of the individuals listed above pursuant to a Power of Attorney, a copy of which is attached as Exhibit 99.2.</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1872</Words>
  <Characters>9214</Characters>
  <CharactersWithSpaces>11247</CharactersWithSpaces>
  <Paragraphs>852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