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December 2023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6, 2023, Pharvaris N.V. (the “Company”) entered into an underwriting agreement (the “Underwriting Agreement”) with Morgan Stanley &amp; Co. LLC and Leerink Partners LLC, as underwriters (the “Underwriters”), pursuant to which the Company agreed to issue and sell (i) 11,125,000 ordinary shares, par value €0.12 per share (the “Shares”) and (ii) pre-funded warrants (the “Pre-Funded Warrants”) to purchase up to 1,375,000 ordinary shares in an underwritten offering (the “Offering”). The Offering closed on December 8,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were sold in the Offering at the public offering price of $24.00 per share. The Pre-Funded Warrants were sold at a public offering price of</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1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(Registration No. 333-263198), which was previously filed with the Securities and Exchange Commission under the Securities Act of 1933, as amended (the “Securities Act”), and declared effective on March 10, 2022.</w:t>
      </w:r>
    </w:p>
    <w:p>
      <w:pPr>
        <w:spacing w:after="0" w:line="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net proceeds from the Offering, after deducting the underwriting discounts and commissions, are expected to be approximately $282 million. The Company currently intends to use the net proceeds from the offering primarily to fund research and development and product discovery expenses for its clinical and preclinical research and development activities and for working capital and general corporate purposes.</w:t>
      </w:r>
    </w:p>
    <w:p>
      <w:pPr>
        <w:spacing w:after="0" w:line="1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the Company’s executive officers and directors entered into agreements in substantially the form included as an exhibit to the Underwriting Agreement, providing for a 90-day “lock-up” period with respect to sales of the Company’s ordinary shares, subject to certain exceptions.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the Underwriting Agreement and is qualified in its entirety by the text of the Underwriting Agreement filed as Exhibit 1.1 to this Current Report on Form 6-K and incorporated herein by reference.</w:t>
      </w:r>
    </w:p>
    <w:p>
      <w:pPr>
        <w:spacing w:after="0" w:line="1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Company intends to grant the investor purchasing Pre-Funded Warrants customary registration rights, including demand registration rights, with respect to the ordinary shares issuable upon exercise of the Pre-Funded Warrants.</w:t>
      </w:r>
    </w:p>
    <w:p>
      <w:pPr>
        <w:ind w:right="180"/>
        <w:spacing w:after="0" w:line="260" w:lineRule="auto"/>
        <w:rPr>
          <w:sz w:val="20"/>
          <w:szCs w:val="20"/>
          <w:color w:val="auto"/>
        </w:rPr>
      </w:pPr>
      <w:r>
        <w:rPr>
          <w:rFonts w:ascii="Times New Roman" w:cs="Times New Roman" w:eastAsia="Times New Roman" w:hAnsi="Times New Roman"/>
          <w:sz w:val="18"/>
          <w:szCs w:val="18"/>
          <w:color w:val="auto"/>
        </w:rPr>
        <w:t>The form of Pre-Funded Warrant is filed as Exhibit 4.1 to this report and the foregoing description of the terms of the Pre-Funded Warrants is qualified in its entirety by reference to such exhibit.</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opinion of NautaDutilh N.V. relating to the validity of the Shares issued in the Offering is filed herewith as Exhibit 5.1. A copy of the opinion of Kirkland &amp; Ellis LLP relating to the validity of the Pre-Funded Warrants issued in the Offering is filed herewith as Exhibit 5.2.</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hereby incorporates by reference the information contained in the body of this Report on Form 6-K into the Company’s Registration Statement on Form F-3 (File No. 333-263198), the Company’s Registration Statement on Form F-3 (File No. 333-273757) and the Company’s Registration Statement on Form S-8 (File No. 333-252897). This report on Form 6-K (including the exhibits filed herewith) is incorporated by reference into the Company’s Registration Statement on Form F-3 (File No. 333-263198).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00" w:type="dxa"/>
            <w:vAlign w:val="bottom"/>
          </w:tcPr>
          <w:p>
            <w:pPr>
              <w:spacing w:after="0"/>
              <w:rPr>
                <w:sz w:val="21"/>
                <w:szCs w:val="21"/>
                <w:color w:val="auto"/>
              </w:rPr>
            </w:pPr>
          </w:p>
        </w:tc>
        <w:tc>
          <w:tcPr>
            <w:tcW w:w="7420" w:type="dxa"/>
            <w:vAlign w:val="bottom"/>
            <w:gridSpan w:val="2"/>
          </w:tcPr>
          <w:p>
            <w:pPr>
              <w:ind w:left="184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800" w:type="dxa"/>
            <w:vAlign w:val="bottom"/>
          </w:tcPr>
          <w:p>
            <w:pPr>
              <w:spacing w:after="0"/>
              <w:rPr>
                <w:sz w:val="20"/>
                <w:szCs w:val="20"/>
                <w:color w:val="auto"/>
              </w:rPr>
            </w:pPr>
            <w:r>
              <w:rPr>
                <w:rFonts w:ascii="Arial" w:cs="Arial" w:eastAsia="Arial" w:hAnsi="Arial"/>
                <w:sz w:val="18"/>
                <w:szCs w:val="18"/>
                <w:color w:val="auto"/>
              </w:rPr>
              <w:t>Date: December 8, 2023</w:t>
            </w:r>
          </w:p>
        </w:tc>
        <w:tc>
          <w:tcPr>
            <w:tcW w:w="2740" w:type="dxa"/>
            <w:vAlign w:val="bottom"/>
          </w:tcPr>
          <w:p>
            <w:pPr>
              <w:ind w:left="18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800" w:type="dxa"/>
            <w:vAlign w:val="bottom"/>
          </w:tcPr>
          <w:p>
            <w:pPr>
              <w:spacing w:after="0"/>
              <w:rPr>
                <w:sz w:val="20"/>
                <w:szCs w:val="20"/>
                <w:color w:val="auto"/>
              </w:rPr>
            </w:pPr>
          </w:p>
        </w:tc>
        <w:tc>
          <w:tcPr>
            <w:tcW w:w="2740" w:type="dxa"/>
            <w:vAlign w:val="bottom"/>
          </w:tcPr>
          <w:p>
            <w:pPr>
              <w:ind w:left="184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800" w:type="dxa"/>
            <w:vAlign w:val="bottom"/>
          </w:tcPr>
          <w:p>
            <w:pPr>
              <w:spacing w:after="0"/>
              <w:rPr>
                <w:sz w:val="20"/>
                <w:szCs w:val="20"/>
                <w:color w:val="auto"/>
              </w:rPr>
            </w:pPr>
          </w:p>
        </w:tc>
        <w:tc>
          <w:tcPr>
            <w:tcW w:w="2740" w:type="dxa"/>
            <w:vAlign w:val="bottom"/>
          </w:tcPr>
          <w:p>
            <w:pPr>
              <w:ind w:left="184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2"/>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20" w:type="dxa"/>
            <w:vAlign w:val="bottom"/>
          </w:tcPr>
          <w:p>
            <w:pPr>
              <w:ind w:lef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tcBorders>
              <w:bottom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w w:val="99"/>
              </w:rPr>
              <w:t>Underwriting Agreement, dated December 6, 2023, among Pharvaris N.V. and Morgan Stanley &amp; Co. LLC and Leerink Partners LLC, as</w:t>
            </w:r>
          </w:p>
        </w:tc>
        <w:tc>
          <w:tcPr>
            <w:tcW w:w="160" w:type="dxa"/>
            <w:vAlign w:val="bottom"/>
          </w:tcPr>
          <w:p>
            <w:pPr>
              <w:spacing w:after="0"/>
              <w:rPr>
                <w:sz w:val="16"/>
                <w:szCs w:val="16"/>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underwriters.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of Pre-Funded Warrant.</w:t>
            </w: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Opinion of NautaDutilh N.V.</w:t>
            </w:r>
          </w:p>
        </w:tc>
        <w:tc>
          <w:tcPr>
            <w:tcW w:w="7960" w:type="dxa"/>
            <w:vAlign w:val="bottom"/>
            <w:gridSpan w:val="5"/>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Opinion of Kirkland &amp; Ellis LLP.</w:t>
            </w:r>
          </w:p>
        </w:tc>
        <w:tc>
          <w:tcPr>
            <w:tcW w:w="7660" w:type="dxa"/>
            <w:vAlign w:val="bottom"/>
            <w:gridSpan w:val="4"/>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NautaDutilh N.V. (contained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Kirkland &amp; Ellis LLP (contained in Exhibit 5.2).</w:t>
            </w:r>
          </w:p>
        </w:tc>
      </w:tr>
      <w:tr>
        <w:trPr>
          <w:trHeight w:val="365"/>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jc w:val="right"/>
        <w:ind w:right="699"/>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38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11,125,000 Shares</w:t>
      </w:r>
    </w:p>
    <w:p>
      <w:pPr>
        <w:spacing w:after="0" w:line="8"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2"/>
          <w:szCs w:val="22"/>
          <w:b w:val="1"/>
          <w:bCs w:val="1"/>
          <w:color w:val="auto"/>
        </w:rPr>
        <w:t>Pre-Funded Warrants to Purchase 1,375,000 Shares PHARVARIS</w:t>
      </w:r>
    </w:p>
    <w:p>
      <w:pPr>
        <w:jc w:val="center"/>
        <w:ind w:left="1280"/>
        <w:spacing w:after="0" w:line="230" w:lineRule="auto"/>
        <w:rPr>
          <w:sz w:val="20"/>
          <w:szCs w:val="20"/>
          <w:color w:val="auto"/>
        </w:rPr>
      </w:pPr>
      <w:r>
        <w:rPr>
          <w:rFonts w:ascii="Times New Roman" w:cs="Times New Roman" w:eastAsia="Times New Roman" w:hAnsi="Times New Roman"/>
          <w:sz w:val="22"/>
          <w:szCs w:val="22"/>
          <w:b w:val="1"/>
          <w:bCs w:val="1"/>
          <w:color w:val="auto"/>
        </w:rPr>
        <w:t>N.V.</w:t>
      </w:r>
    </w:p>
    <w:p>
      <w:pPr>
        <w:spacing w:after="0" w:line="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ORDINARY SHARES (NOMINAL VALUE €0.12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December 6,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8" w:right="1440" w:bottom="1440" w:gutter="0" w:footer="0" w:header="0"/>
        </w:sectPr>
      </w:pPr>
    </w:p>
    <w:bookmarkStart w:id="4" w:name="page5"/>
    <w:bookmarkEnd w:id="4"/>
    <w:p>
      <w:pPr>
        <w:ind w:left="9300"/>
        <w:spacing w:after="0"/>
        <w:rPr>
          <w:sz w:val="20"/>
          <w:szCs w:val="20"/>
          <w:color w:val="auto"/>
        </w:rPr>
      </w:pPr>
      <w:r>
        <w:rPr>
          <w:rFonts w:ascii="Times New Roman" w:cs="Times New Roman" w:eastAsia="Times New Roman" w:hAnsi="Times New Roman"/>
          <w:sz w:val="21"/>
          <w:szCs w:val="21"/>
          <w:color w:val="auto"/>
        </w:rPr>
        <w:t>December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Morgan Stanley &amp; Co. LLC Leerink</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Partners LLC</w:t>
      </w:r>
    </w:p>
    <w:p>
      <w:pPr>
        <w:spacing w:after="0" w:line="200" w:lineRule="exact"/>
        <w:rPr>
          <w:sz w:val="20"/>
          <w:szCs w:val="20"/>
          <w:color w:val="auto"/>
        </w:rPr>
      </w:pP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c/o Morgan Stanley &amp; Co. LLC 1585</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Broadway</w:t>
      </w:r>
    </w:p>
    <w:p>
      <w:pPr>
        <w:ind w:left="198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2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c/o Leerink Partners LLC</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1301 Avenue of the Americas, 12th Floor New York,</w:t>
      </w:r>
    </w:p>
    <w:p>
      <w:pPr>
        <w:ind w:left="1980"/>
        <w:spacing w:after="0"/>
        <w:rPr>
          <w:sz w:val="20"/>
          <w:szCs w:val="20"/>
          <w:color w:val="auto"/>
        </w:rPr>
      </w:pPr>
      <w:r>
        <w:rPr>
          <w:rFonts w:ascii="Times New Roman" w:cs="Times New Roman" w:eastAsia="Times New Roman" w:hAnsi="Times New Roman"/>
          <w:sz w:val="22"/>
          <w:szCs w:val="22"/>
          <w:color w:val="auto"/>
        </w:rPr>
        <w:t>New York 10019</w:t>
      </w:r>
    </w:p>
    <w:p>
      <w:pPr>
        <w:spacing w:after="0" w:line="2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9" w:lineRule="exact"/>
        <w:rPr>
          <w:sz w:val="20"/>
          <w:szCs w:val="20"/>
          <w:color w:val="auto"/>
        </w:rPr>
      </w:pPr>
    </w:p>
    <w:p>
      <w:pPr>
        <w:jc w:val="both"/>
        <w:ind w:left="1600" w:firstLine="749"/>
        <w:spacing w:after="0" w:line="247" w:lineRule="auto"/>
        <w:rPr>
          <w:sz w:val="20"/>
          <w:szCs w:val="20"/>
          <w:color w:val="auto"/>
        </w:rPr>
      </w:pPr>
      <w:r>
        <w:rPr>
          <w:rFonts w:ascii="Times New Roman" w:cs="Times New Roman" w:eastAsia="Times New Roman" w:hAnsi="Times New Roman"/>
          <w:sz w:val="21"/>
          <w:szCs w:val="21"/>
          <w:color w:val="auto"/>
        </w:rPr>
        <w:t xml:space="preserve">Pharvaris N.V., a public company with limited liability </w:t>
      </w:r>
      <w:r>
        <w:rPr>
          <w:rFonts w:ascii="Times New Roman" w:cs="Times New Roman" w:eastAsia="Times New Roman" w:hAnsi="Times New Roman"/>
          <w:sz w:val="21"/>
          <w:szCs w:val="21"/>
          <w:i w:val="1"/>
          <w:iCs w:val="1"/>
          <w:color w:val="auto"/>
        </w:rPr>
        <w:t>(naamloze vennootschap)</w:t>
      </w:r>
      <w:r>
        <w:rPr>
          <w:rFonts w:ascii="Times New Roman" w:cs="Times New Roman" w:eastAsia="Times New Roman" w:hAnsi="Times New Roman"/>
          <w:sz w:val="21"/>
          <w:szCs w:val="21"/>
          <w:color w:val="auto"/>
        </w:rPr>
        <w:t xml:space="preserve"> incorporated and existing under the laws of the Netherlands, with its registered seat in Leiden, the Netherlands, registered under number 64239411, with ordinary shares of €0.12 par value per share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proposes to issue and sell to the several underwriters named in Schedule I hereto (the “</w:t>
      </w:r>
      <w:r>
        <w:rPr>
          <w:rFonts w:ascii="Times New Roman" w:cs="Times New Roman" w:eastAsia="Times New Roman" w:hAnsi="Times New Roman"/>
          <w:sz w:val="21"/>
          <w:szCs w:val="21"/>
          <w:b w:val="1"/>
          <w:bCs w:val="1"/>
          <w:color w:val="auto"/>
        </w:rPr>
        <w:t>Underwriters</w:t>
      </w:r>
      <w:r>
        <w:rPr>
          <w:rFonts w:ascii="Times New Roman" w:cs="Times New Roman" w:eastAsia="Times New Roman" w:hAnsi="Times New Roman"/>
          <w:sz w:val="21"/>
          <w:szCs w:val="21"/>
          <w:color w:val="auto"/>
        </w:rPr>
        <w:t>”) (i) 11,125,000 ordinary shares with a nominal value of €0.12 per share in the capital of the Company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and</w:t>
      </w:r>
    </w:p>
    <w:p>
      <w:pPr>
        <w:jc w:val="both"/>
        <w:ind w:left="1600" w:right="20" w:firstLine="10"/>
        <w:spacing w:after="0" w:line="232" w:lineRule="auto"/>
        <w:tabs>
          <w:tab w:leader="none" w:pos="19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 funded warrants to purchase up to 1,375,000 ordinary shares in a form to be mutually agreed upon by the Company and the Underwriters (the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The ordinary shares with a nominal value of €0.12 per share in the capital of the Company to be outstanding after giving effect to the issuance and sales contemplated hereby are hereinafter referred to as the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The Shares and the Warrants are herein referred to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Shares issuable upon exercise of the Warrants are herein referred to as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left="1600" w:firstLine="749"/>
        <w:spacing w:after="0" w:line="233" w:lineRule="auto"/>
        <w:rPr>
          <w:sz w:val="20"/>
          <w:szCs w:val="20"/>
          <w:color w:val="auto"/>
        </w:rPr>
      </w:pPr>
      <w:r>
        <w:rPr>
          <w:rFonts w:ascii="Times New Roman" w:cs="Times New Roman" w:eastAsia="Times New Roman" w:hAnsi="Times New Roman"/>
          <w:sz w:val="22"/>
          <w:szCs w:val="22"/>
          <w:color w:val="auto"/>
        </w:rPr>
        <w:t>The Company has filed with the Securities and Exchange Commission (the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a registration statement on Form F-3 (File No. 333-263198), including a prospectus, relating to the securities (the “</w:t>
      </w:r>
      <w:r>
        <w:rPr>
          <w:rFonts w:ascii="Times New Roman" w:cs="Times New Roman" w:eastAsia="Times New Roman" w:hAnsi="Times New Roman"/>
          <w:sz w:val="22"/>
          <w:szCs w:val="22"/>
          <w:b w:val="1"/>
          <w:bCs w:val="1"/>
          <w:color w:val="auto"/>
        </w:rPr>
        <w:t>Shelf Securities</w:t>
      </w:r>
      <w:r>
        <w:rPr>
          <w:rFonts w:ascii="Times New Roman" w:cs="Times New Roman" w:eastAsia="Times New Roman" w:hAnsi="Times New Roman"/>
          <w:sz w:val="22"/>
          <w:szCs w:val="22"/>
          <w:color w:val="auto"/>
        </w:rPr>
        <w:t>”), including the Securities, to be issued from time to time by the Company. Such registration statement, as amended to the date of this Agreement, including the information (if any) deemed to be part of the registration statement at the time of effectiveness pursuant to Rule 430B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is hereinafter referred to as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The base prospectus filed as part of the Registration Statement and covering the Shelf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dated March 15, 2022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22"/>
          <w:szCs w:val="22"/>
          <w:b w:val="1"/>
          <w:bCs w:val="1"/>
          <w:color w:val="auto"/>
        </w:rPr>
        <w:t>Pricing Prospectus</w:t>
      </w:r>
      <w:r>
        <w:rPr>
          <w:rFonts w:ascii="Times New Roman" w:cs="Times New Roman" w:eastAsia="Times New Roman" w:hAnsi="Times New Roman"/>
          <w:sz w:val="22"/>
          <w:szCs w:val="22"/>
          <w:color w:val="auto"/>
        </w:rPr>
        <w:t>.” The form of the final prospectus relating to the Securities filed with the Commission pursuant to Rule 424(b) under the Securities Act is hereinafter called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96" w:right="659" w:bottom="1440" w:gutter="0" w:footer="0" w:header="0"/>
        </w:sectPr>
      </w:pPr>
    </w:p>
    <w:bookmarkStart w:id="5" w:name="page6"/>
    <w:bookmarkEnd w:id="5"/>
    <w:p>
      <w:pPr>
        <w:jc w:val="both"/>
        <w:ind w:left="1540" w:firstLine="749"/>
        <w:spacing w:after="0" w:line="232" w:lineRule="auto"/>
        <w:rPr>
          <w:sz w:val="20"/>
          <w:szCs w:val="20"/>
          <w:color w:val="auto"/>
        </w:rPr>
      </w:pPr>
      <w:r>
        <w:rPr>
          <w:rFonts w:ascii="Times New Roman" w:cs="Times New Roman" w:eastAsia="Times New Roman" w:hAnsi="Times New Roman"/>
          <w:sz w:val="22"/>
          <w:szCs w:val="22"/>
          <w:color w:val="auto"/>
        </w:rPr>
        <w:t>For purposes of this underwriting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free writing prospectus</w:t>
      </w:r>
      <w:r>
        <w:rPr>
          <w:rFonts w:ascii="Times New Roman" w:cs="Times New Roman" w:eastAsia="Times New Roman" w:hAnsi="Times New Roman"/>
          <w:sz w:val="22"/>
          <w:szCs w:val="22"/>
          <w:color w:val="auto"/>
        </w:rPr>
        <w:t>” has the meaning set forth in Rule 405 under the Securities Act; “</w:t>
      </w:r>
      <w:r>
        <w:rPr>
          <w:rFonts w:ascii="Times New Roman" w:cs="Times New Roman" w:eastAsia="Times New Roman" w:hAnsi="Times New Roman"/>
          <w:sz w:val="22"/>
          <w:szCs w:val="22"/>
          <w:b w:val="1"/>
          <w:bCs w:val="1"/>
          <w:color w:val="auto"/>
        </w:rPr>
        <w:t>Time of Sale Prospectus</w:t>
      </w:r>
      <w:r>
        <w:rPr>
          <w:rFonts w:ascii="Times New Roman" w:cs="Times New Roman" w:eastAsia="Times New Roman" w:hAnsi="Times New Roman"/>
          <w:sz w:val="22"/>
          <w:szCs w:val="22"/>
          <w:color w:val="auto"/>
        </w:rPr>
        <w:t>” means the Pricing Prospectus together with the free writing prospectuses, if any, each identified in Schedule II hereto and the pricing information set forth in Schedule II hereto; and “</w:t>
      </w:r>
      <w:r>
        <w:rPr>
          <w:rFonts w:ascii="Times New Roman" w:cs="Times New Roman" w:eastAsia="Times New Roman" w:hAnsi="Times New Roman"/>
          <w:sz w:val="22"/>
          <w:szCs w:val="22"/>
          <w:b w:val="1"/>
          <w:bCs w:val="1"/>
          <w:color w:val="auto"/>
        </w:rPr>
        <w:t>broadly available road show</w:t>
      </w:r>
      <w:r>
        <w:rPr>
          <w:rFonts w:ascii="Times New Roman" w:cs="Times New Roman" w:eastAsia="Times New Roman" w:hAnsi="Times New Roman"/>
          <w:sz w:val="22"/>
          <w:szCs w:val="22"/>
          <w:color w:val="auto"/>
        </w:rPr>
        <w:t>” means a “bona fide electronic road show” as defined in Rule 433(h)(5) under the Securities Act that has been made available without restriction to any person. As used herein, the terms Registration Statement, Pricing Prospectus, Time of Sale Prospectus and Prospectus shall include the documents, if any, incorporated by reference therein as of the date hereof. The terms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amend</w:t>
      </w:r>
      <w:r>
        <w:rPr>
          <w:rFonts w:ascii="Times New Roman" w:cs="Times New Roman" w:eastAsia="Times New Roman" w:hAnsi="Times New Roman"/>
          <w:sz w:val="22"/>
          <w:szCs w:val="22"/>
          <w:color w:val="auto"/>
        </w:rPr>
        <w:t>” as used herein with respect to (a) the Pricing Prospectus, the Time of Sale Prospectus, or the Prospectus shall include any post-effective amendment to the Registration Statement, any prospectus supplement relating to the Securities filed with the Commission pursuant to Rule 424(b) under the Securities Act and all documents subsequently filed by the Company with the Commission pursuant to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that are deemed to be incorporated by reference therein, in each case after the date of the Pricing Prospectus or the Prospectus, as the case may be and (b) the Registration Statement shall be deemed to refer to and include any annual report of the Company filed pursuant to Section 13(a) or 15(d) of the Exchange Act after the effective date of the Registration Statement that is incorporated by reference in the Registration Statement.</w:t>
      </w:r>
    </w:p>
    <w:p>
      <w:pPr>
        <w:spacing w:after="0" w:line="230" w:lineRule="exact"/>
        <w:rPr>
          <w:sz w:val="20"/>
          <w:szCs w:val="20"/>
          <w:color w:val="auto"/>
        </w:rPr>
      </w:pPr>
    </w:p>
    <w:p>
      <w:pPr>
        <w:ind w:left="1540" w:right="80" w:firstLine="779"/>
        <w:spacing w:after="0" w:line="262"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Company represents and warrants to and agrees with each of the Underwriters that:</w:t>
      </w:r>
    </w:p>
    <w:p>
      <w:pPr>
        <w:spacing w:after="0" w:line="194" w:lineRule="exact"/>
        <w:rPr>
          <w:sz w:val="20"/>
          <w:szCs w:val="20"/>
          <w:color w:val="auto"/>
        </w:rPr>
      </w:pPr>
    </w:p>
    <w:p>
      <w:pPr>
        <w:jc w:val="both"/>
        <w:ind w:left="2300" w:right="20" w:firstLine="833"/>
        <w:spacing w:after="0" w:line="239" w:lineRule="auto"/>
        <w:tabs>
          <w:tab w:leader="none" w:pos="348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has become effective; no stop order suspending the effectiveness of the Registration Statement is in effect, and no proceedings for such purpose or pursuant to Section 8A under the Securities Act are pending before or, the Company’s knowledge, threatened by the Commission.</w:t>
      </w:r>
    </w:p>
    <w:p>
      <w:pPr>
        <w:spacing w:after="0" w:line="207" w:lineRule="exact"/>
        <w:rPr>
          <w:rFonts w:ascii="Times New Roman" w:cs="Times New Roman" w:eastAsia="Times New Roman" w:hAnsi="Times New Roman"/>
          <w:sz w:val="22"/>
          <w:szCs w:val="22"/>
          <w:color w:val="auto"/>
        </w:rPr>
      </w:pPr>
    </w:p>
    <w:p>
      <w:pPr>
        <w:jc w:val="both"/>
        <w:ind w:left="2300" w:firstLine="817"/>
        <w:spacing w:after="0" w:line="232" w:lineRule="auto"/>
        <w:tabs>
          <w:tab w:leader="none" w:pos="34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and the Prospectus comply and, as amended or supplemented, if applicable, will comply, as of the date of such amendment or supplement,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2" w:right="659" w:bottom="1440" w:gutter="0" w:footer="0" w:header="0"/>
        </w:sectPr>
      </w:pPr>
    </w:p>
    <w:bookmarkStart w:id="6" w:name="page7"/>
    <w:bookmarkEnd w:id="6"/>
    <w:p>
      <w:pPr>
        <w:jc w:val="both"/>
        <w:ind w:left="2300"/>
        <w:spacing w:after="0" w:line="245" w:lineRule="auto"/>
        <w:rPr>
          <w:sz w:val="20"/>
          <w:szCs w:val="20"/>
          <w:color w:val="auto"/>
        </w:rPr>
      </w:pPr>
      <w:r>
        <w:rPr>
          <w:rFonts w:ascii="Times New Roman" w:cs="Times New Roman" w:eastAsia="Times New Roman" w:hAnsi="Times New Roman"/>
          <w:sz w:val="21"/>
          <w:szCs w:val="21"/>
          <w:color w:val="auto"/>
        </w:rPr>
        <w:t>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will not contain, as of the date of such amendment or supplement,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expressly for use therein.</w:t>
      </w:r>
    </w:p>
    <w:p>
      <w:pPr>
        <w:spacing w:after="0" w:line="218" w:lineRule="exact"/>
        <w:rPr>
          <w:sz w:val="20"/>
          <w:szCs w:val="20"/>
          <w:color w:val="auto"/>
        </w:rPr>
      </w:pPr>
    </w:p>
    <w:p>
      <w:pPr>
        <w:jc w:val="both"/>
        <w:ind w:left="2300" w:firstLine="833"/>
        <w:spacing w:after="0" w:line="233" w:lineRule="auto"/>
        <w:tabs>
          <w:tab w:leader="none" w:pos="348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At the earliest time after the filing of the Registration Statement that the Company or another offering participant made a bona fide offer (within the meaning of Rule 164(h)(2) under the Securities Act) of the Securities and (ii) as of the date hereof,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Underwriters’ prior consent, prepare, use or refer to, any free writing prospectus.</w:t>
      </w:r>
    </w:p>
    <w:p>
      <w:pPr>
        <w:spacing w:after="0" w:line="217" w:lineRule="exact"/>
        <w:rPr>
          <w:rFonts w:ascii="Times New Roman" w:cs="Times New Roman" w:eastAsia="Times New Roman" w:hAnsi="Times New Roman"/>
          <w:sz w:val="22"/>
          <w:szCs w:val="22"/>
          <w:color w:val="auto"/>
        </w:rPr>
      </w:pPr>
    </w:p>
    <w:p>
      <w:pPr>
        <w:jc w:val="both"/>
        <w:ind w:left="2300" w:firstLine="817"/>
        <w:spacing w:after="0" w:line="234" w:lineRule="auto"/>
        <w:tabs>
          <w:tab w:leader="none" w:pos="348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duly incorporated as a private company with limited liability (</w:t>
      </w:r>
      <w:r>
        <w:rPr>
          <w:rFonts w:ascii="Times New Roman" w:cs="Times New Roman" w:eastAsia="Times New Roman" w:hAnsi="Times New Roman"/>
          <w:sz w:val="22"/>
          <w:szCs w:val="22"/>
          <w:i w:val="1"/>
          <w:iCs w:val="1"/>
          <w:color w:val="auto"/>
        </w:rPr>
        <w:t>besloten vennootschap met beperkte aansprakelijkheid</w:t>
      </w:r>
      <w:r>
        <w:rPr>
          <w:rFonts w:ascii="Times New Roman" w:cs="Times New Roman" w:eastAsia="Times New Roman" w:hAnsi="Times New Roman"/>
          <w:sz w:val="22"/>
          <w:szCs w:val="22"/>
          <w:color w:val="auto"/>
        </w:rPr>
        <w:t>) and is currently validly existing as a public company with limited liability (</w:t>
      </w:r>
      <w:r>
        <w:rPr>
          <w:rFonts w:ascii="Times New Roman" w:cs="Times New Roman" w:eastAsia="Times New Roman" w:hAnsi="Times New Roman"/>
          <w:sz w:val="22"/>
          <w:szCs w:val="22"/>
          <w:i w:val="1"/>
          <w:iCs w:val="1"/>
          <w:color w:val="auto"/>
        </w:rPr>
        <w:t>naamloze vennootschap</w:t>
      </w:r>
      <w:r>
        <w:rPr>
          <w:rFonts w:ascii="Times New Roman" w:cs="Times New Roman" w:eastAsia="Times New Roman" w:hAnsi="Times New Roman"/>
          <w:sz w:val="22"/>
          <w:szCs w:val="22"/>
          <w:color w:val="auto"/>
        </w:rPr>
        <w:t>) under the laws of the Netherlands, has the corporate power and authority to own or lease its property and to conduct its business as described in each of the Registration Statement, the Time of Sale Prospectus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w:t>
      </w:r>
    </w:p>
    <w:p>
      <w:pPr>
        <w:spacing w:after="0" w:line="34" w:lineRule="exact"/>
        <w:rPr>
          <w:rFonts w:ascii="Times New Roman" w:cs="Times New Roman" w:eastAsia="Times New Roman" w:hAnsi="Times New Roman"/>
          <w:sz w:val="22"/>
          <w:szCs w:val="22"/>
          <w:color w:val="auto"/>
        </w:rPr>
      </w:pPr>
    </w:p>
    <w:p>
      <w:pPr>
        <w:ind w:left="2300" w:firstLine="833"/>
        <w:spacing w:after="0" w:line="258" w:lineRule="auto"/>
        <w:tabs>
          <w:tab w:leader="none" w:pos="348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of the Company has been duly incorporated, organized or formed, is validly existing as a corporation or other business entity in good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396" w:right="679" w:bottom="1440" w:gutter="0" w:footer="0" w:header="0"/>
        </w:sectPr>
      </w:pPr>
    </w:p>
    <w:bookmarkStart w:id="7" w:name="page8"/>
    <w:bookmarkEnd w:id="7"/>
    <w:p>
      <w:pPr>
        <w:jc w:val="both"/>
        <w:ind w:left="2300"/>
        <w:spacing w:after="0" w:line="233" w:lineRule="auto"/>
        <w:rPr>
          <w:sz w:val="20"/>
          <w:szCs w:val="20"/>
          <w:color w:val="auto"/>
        </w:rPr>
      </w:pPr>
      <w:r>
        <w:rPr>
          <w:rFonts w:ascii="Times New Roman" w:cs="Times New Roman" w:eastAsia="Times New Roman" w:hAnsi="Times New Roman"/>
          <w:sz w:val="22"/>
          <w:szCs w:val="22"/>
          <w:color w:val="auto"/>
        </w:rPr>
        <w:t>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396" w:right="679" w:bottom="1440" w:gutter="0" w:footer="0" w:header="0"/>
        </w:sectPr>
      </w:pPr>
    </w:p>
    <w:bookmarkStart w:id="8" w:name="page9"/>
    <w:bookmarkEnd w:id="8"/>
    <w:p>
      <w:pPr>
        <w:ind w:left="3480" w:hanging="318"/>
        <w:spacing w:after="0"/>
        <w:tabs>
          <w:tab w:leader="none" w:pos="34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has been duly authorized, executed and delivered by the Company.</w:t>
      </w:r>
    </w:p>
    <w:p>
      <w:pPr>
        <w:spacing w:after="0" w:line="258" w:lineRule="exact"/>
        <w:rPr>
          <w:rFonts w:ascii="Times New Roman" w:cs="Times New Roman" w:eastAsia="Times New Roman" w:hAnsi="Times New Roman"/>
          <w:sz w:val="21"/>
          <w:szCs w:val="21"/>
          <w:color w:val="auto"/>
        </w:rPr>
      </w:pPr>
    </w:p>
    <w:p>
      <w:pPr>
        <w:jc w:val="both"/>
        <w:ind w:left="2300" w:firstLine="817"/>
        <w:spacing w:after="0" w:line="244" w:lineRule="auto"/>
        <w:tabs>
          <w:tab w:leader="none" w:pos="348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issued and outstanding share capital of the Company conforms in all material respects as to legal matters to the description thereof contained in each of the Registration Statement, the Time of Sale Prospectus and the Prospectus.</w:t>
      </w:r>
    </w:p>
    <w:p>
      <w:pPr>
        <w:spacing w:after="0" w:line="200" w:lineRule="exact"/>
        <w:rPr>
          <w:rFonts w:ascii="Times New Roman" w:cs="Times New Roman" w:eastAsia="Times New Roman" w:hAnsi="Times New Roman"/>
          <w:sz w:val="22"/>
          <w:szCs w:val="22"/>
          <w:color w:val="auto"/>
        </w:rPr>
      </w:pPr>
    </w:p>
    <w:p>
      <w:pPr>
        <w:jc w:val="both"/>
        <w:ind w:left="2300" w:right="20" w:firstLine="817"/>
        <w:spacing w:after="0" w:line="238" w:lineRule="auto"/>
        <w:tabs>
          <w:tab w:leader="none" w:pos="348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ordinary shares in the capital of the Company outstanding immediately prior to the issuance of the Securities have been duly authorized and are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217" w:lineRule="exact"/>
        <w:rPr>
          <w:rFonts w:ascii="Times New Roman" w:cs="Times New Roman" w:eastAsia="Times New Roman" w:hAnsi="Times New Roman"/>
          <w:sz w:val="22"/>
          <w:szCs w:val="22"/>
          <w:color w:val="auto"/>
        </w:rPr>
      </w:pPr>
    </w:p>
    <w:p>
      <w:pPr>
        <w:jc w:val="both"/>
        <w:ind w:left="2300" w:right="20" w:firstLine="877"/>
        <w:spacing w:after="0" w:line="236" w:lineRule="auto"/>
        <w:tabs>
          <w:tab w:leader="none" w:pos="34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authorized and, when issued, delivered and paid for in accordance with the terms of this Agreement, will be validly issued, fully paid and non-assessable (meaning that the holders of the ordinary shares will not, by reason of merely being such a holder, be subject to assessment or calls by the Company or its creditors for further payment on such ordinary shares), and any preemptive or similar rights with respect to the issuance of the Securities are validly excluded.</w:t>
      </w:r>
    </w:p>
    <w:p>
      <w:pPr>
        <w:spacing w:after="0" w:line="221" w:lineRule="exact"/>
        <w:rPr>
          <w:rFonts w:ascii="Times New Roman" w:cs="Times New Roman" w:eastAsia="Times New Roman" w:hAnsi="Times New Roman"/>
          <w:sz w:val="22"/>
          <w:szCs w:val="22"/>
          <w:color w:val="auto"/>
        </w:rPr>
      </w:pPr>
    </w:p>
    <w:p>
      <w:pPr>
        <w:jc w:val="both"/>
        <w:ind w:left="2300" w:right="20" w:firstLine="877"/>
        <w:spacing w:after="0" w:line="239" w:lineRule="auto"/>
        <w:tabs>
          <w:tab w:leader="none" w:pos="34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the Company of, and the performance by the Company of its obligations under, this Agreement and the Warrants will not contravene any provision of (i) applicable law or any judgment, order or decree of any governmental body, agency or court having jurisdiction over the Company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544" w:right="659" w:bottom="1440" w:gutter="0" w:footer="0" w:header="0"/>
        </w:sectPr>
      </w:pPr>
    </w:p>
    <w:bookmarkStart w:id="9" w:name="page10"/>
    <w:bookmarkEnd w:id="9"/>
    <w:p>
      <w:pPr>
        <w:jc w:val="both"/>
        <w:ind w:left="2300"/>
        <w:spacing w:after="0" w:line="246" w:lineRule="auto"/>
        <w:rPr>
          <w:sz w:val="20"/>
          <w:szCs w:val="20"/>
          <w:color w:val="auto"/>
        </w:rPr>
      </w:pPr>
      <w:r>
        <w:rPr>
          <w:rFonts w:ascii="Times New Roman" w:cs="Times New Roman" w:eastAsia="Times New Roman" w:hAnsi="Times New Roman"/>
          <w:sz w:val="21"/>
          <w:szCs w:val="21"/>
          <w:color w:val="auto"/>
        </w:rPr>
        <w:t>any subsidiary, (ii) the articles of association or by-laws or analogous governing instruments, as applicable) of the 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Times New Roman" w:cs="Times New Roman" w:eastAsia="Times New Roman" w:hAnsi="Times New Roman"/>
          <w:sz w:val="21"/>
          <w:szCs w:val="21"/>
          <w:b w:val="1"/>
          <w:bCs w:val="1"/>
          <w:color w:val="auto"/>
        </w:rPr>
        <w:t>FINRA</w:t>
      </w:r>
      <w:r>
        <w:rPr>
          <w:rFonts w:ascii="Times New Roman" w:cs="Times New Roman" w:eastAsia="Times New Roman" w:hAnsi="Times New Roman"/>
          <w:sz w:val="21"/>
          <w:szCs w:val="21"/>
          <w:color w:val="auto"/>
        </w:rPr>
        <w:t>”) in connection with the offer and sale of the Securities.</w:t>
      </w:r>
    </w:p>
    <w:p>
      <w:pPr>
        <w:spacing w:after="0" w:line="211" w:lineRule="exact"/>
        <w:rPr>
          <w:sz w:val="20"/>
          <w:szCs w:val="20"/>
          <w:color w:val="auto"/>
        </w:rPr>
      </w:pPr>
    </w:p>
    <w:p>
      <w:pPr>
        <w:jc w:val="both"/>
        <w:ind w:left="2300" w:right="20" w:firstLine="817"/>
        <w:spacing w:after="0" w:line="239" w:lineRule="auto"/>
        <w:tabs>
          <w:tab w:leader="none" w:pos="34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220" w:lineRule="exact"/>
        <w:rPr>
          <w:rFonts w:ascii="Times New Roman" w:cs="Times New Roman" w:eastAsia="Times New Roman" w:hAnsi="Times New Roman"/>
          <w:sz w:val="22"/>
          <w:szCs w:val="22"/>
          <w:color w:val="auto"/>
        </w:rPr>
      </w:pPr>
    </w:p>
    <w:p>
      <w:pPr>
        <w:jc w:val="both"/>
        <w:ind w:left="2300" w:firstLine="877"/>
        <w:spacing w:after="0" w:line="233" w:lineRule="auto"/>
        <w:tabs>
          <w:tab w:leader="none" w:pos="348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204" w:lineRule="exact"/>
        <w:rPr>
          <w:sz w:val="20"/>
          <w:szCs w:val="20"/>
          <w:color w:val="auto"/>
        </w:rPr>
      </w:pPr>
    </w:p>
    <w:p>
      <w:pPr>
        <w:ind w:left="3800" w:hanging="743"/>
        <w:spacing w:after="0"/>
        <w:tabs>
          <w:tab w:leader="none" w:pos="38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46" w:lineRule="exact"/>
        <w:rPr>
          <w:rFonts w:ascii="Times New Roman" w:cs="Times New Roman" w:eastAsia="Times New Roman" w:hAnsi="Times New Roman"/>
          <w:sz w:val="22"/>
          <w:szCs w:val="22"/>
          <w:color w:val="auto"/>
        </w:rPr>
      </w:pPr>
    </w:p>
    <w:p>
      <w:pPr>
        <w:jc w:val="both"/>
        <w:ind w:left="2300" w:firstLine="817"/>
        <w:spacing w:after="0" w:line="255" w:lineRule="auto"/>
        <w:tabs>
          <w:tab w:leader="none" w:pos="348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3" w:lineRule="exact"/>
        <w:rPr>
          <w:rFonts w:ascii="Times New Roman" w:cs="Times New Roman" w:eastAsia="Times New Roman" w:hAnsi="Times New Roman"/>
          <w:sz w:val="21"/>
          <w:szCs w:val="21"/>
          <w:color w:val="auto"/>
        </w:rPr>
      </w:pPr>
    </w:p>
    <w:p>
      <w:pPr>
        <w:ind w:left="2300" w:right="20" w:firstLine="817"/>
        <w:spacing w:after="0" w:line="258" w:lineRule="auto"/>
        <w:tabs>
          <w:tab w:leader="none" w:pos="34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singly or in the aggregate have a material adverse effect on the Company and its subsidiaries, taken as a whole, (i) the Company 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0" w:name="page11"/>
    <w:bookmarkEnd w:id="10"/>
    <w:p>
      <w:pPr>
        <w:jc w:val="both"/>
        <w:ind w:left="2300"/>
        <w:spacing w:after="0" w:line="238" w:lineRule="auto"/>
        <w:rPr>
          <w:sz w:val="20"/>
          <w:szCs w:val="20"/>
          <w:color w:val="auto"/>
        </w:rPr>
      </w:pPr>
      <w:r>
        <w:rPr>
          <w:rFonts w:ascii="Times New Roman" w:cs="Times New Roman" w:eastAsia="Times New Roman" w:hAnsi="Times New Roman"/>
          <w:sz w:val="22"/>
          <w:szCs w:val="22"/>
          <w:color w:val="auto"/>
        </w:rPr>
        <w:t>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or human health and safety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1" w:name="page12"/>
    <w:bookmarkEnd w:id="11"/>
    <w:p>
      <w:pPr>
        <w:jc w:val="both"/>
        <w:ind w:left="2300" w:right="20" w:hanging="1"/>
        <w:spacing w:after="0" w:line="248" w:lineRule="auto"/>
        <w:tabs>
          <w:tab w:leader="none" w:pos="265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received all permits, licenses or other approvals required of them under applicable Environmental Laws to conduct their respective businesses, (y) are in compliance with all terms and conditions of any such permit, license or approval, and (z) have not received notice of any actual or potential violation, liability or obligation, and there are no pending or to the Company’s knowledge, threatened complaint, action, suit, proceeding investigation or claim, under or relating to Environmental Laws, and(ii) there are no costs, obligations or liabilities associated with or arising under Environmental Laws of or relating to the Company or its subsidiaries.</w:t>
      </w:r>
    </w:p>
    <w:p>
      <w:pPr>
        <w:spacing w:after="0" w:line="210" w:lineRule="exact"/>
        <w:rPr>
          <w:rFonts w:ascii="Times New Roman" w:cs="Times New Roman" w:eastAsia="Times New Roman" w:hAnsi="Times New Roman"/>
          <w:sz w:val="21"/>
          <w:szCs w:val="21"/>
          <w:color w:val="auto"/>
        </w:rPr>
      </w:pPr>
    </w:p>
    <w:p>
      <w:pPr>
        <w:jc w:val="both"/>
        <w:ind w:left="2300" w:right="20" w:firstLine="817"/>
        <w:spacing w:after="0" w:line="236" w:lineRule="auto"/>
        <w:tabs>
          <w:tab w:leader="none" w:pos="348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208" w:lineRule="exact"/>
        <w:rPr>
          <w:rFonts w:ascii="Times New Roman" w:cs="Times New Roman" w:eastAsia="Times New Roman" w:hAnsi="Times New Roman"/>
          <w:sz w:val="22"/>
          <w:szCs w:val="22"/>
          <w:color w:val="auto"/>
        </w:rPr>
      </w:pPr>
    </w:p>
    <w:p>
      <w:pPr>
        <w:jc w:val="both"/>
        <w:ind w:left="2300" w:firstLine="817"/>
        <w:spacing w:after="0" w:line="236" w:lineRule="auto"/>
        <w:tabs>
          <w:tab w:leader="none" w:pos="348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each of the Registration Statement, the Prospectus or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221" w:lineRule="exact"/>
        <w:rPr>
          <w:rFonts w:ascii="Times New Roman" w:cs="Times New Roman" w:eastAsia="Times New Roman" w:hAnsi="Times New Roman"/>
          <w:sz w:val="22"/>
          <w:szCs w:val="22"/>
          <w:color w:val="auto"/>
        </w:rPr>
      </w:pPr>
    </w:p>
    <w:p>
      <w:pPr>
        <w:jc w:val="both"/>
        <w:ind w:left="2300" w:right="20" w:firstLine="862"/>
        <w:spacing w:after="0" w:line="233" w:lineRule="auto"/>
        <w:tabs>
          <w:tab w:leader="none" w:pos="348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or any of its subsidiaries or controlled affiliates, or any director, officer, or employee thereof,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in order to influence official action, or to any person in violation of any applicable anti-corruption laws; (ii) the Company and each of its subsidiaries and controlled affiliates have conducted their businesses in compliance with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28" w:right="659" w:bottom="1440" w:gutter="0" w:footer="0" w:header="0"/>
        </w:sectPr>
      </w:pPr>
    </w:p>
    <w:bookmarkStart w:id="12" w:name="page13"/>
    <w:bookmarkEnd w:id="12"/>
    <w:p>
      <w:pPr>
        <w:jc w:val="both"/>
        <w:ind w:left="2300"/>
        <w:spacing w:after="0" w:line="236" w:lineRule="auto"/>
        <w:rPr>
          <w:sz w:val="20"/>
          <w:szCs w:val="20"/>
          <w:color w:val="auto"/>
        </w:rPr>
      </w:pPr>
      <w:r>
        <w:rPr>
          <w:rFonts w:ascii="Times New Roman" w:cs="Times New Roman" w:eastAsia="Times New Roman" w:hAnsi="Times New Roman"/>
          <w:sz w:val="22"/>
          <w:szCs w:val="22"/>
          <w:color w:val="auto"/>
        </w:rPr>
        <w:t>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22" w:lineRule="exact"/>
        <w:rPr>
          <w:sz w:val="20"/>
          <w:szCs w:val="20"/>
          <w:color w:val="auto"/>
        </w:rPr>
      </w:pPr>
    </w:p>
    <w:p>
      <w:pPr>
        <w:jc w:val="both"/>
        <w:ind w:left="2300" w:firstLine="848"/>
        <w:spacing w:after="0" w:line="233" w:lineRule="auto"/>
        <w:tabs>
          <w:tab w:leader="none" w:pos="348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color w:val="auto"/>
        </w:rPr>
        <w:t>Anti-Money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Laundering Laws</w:t>
      </w:r>
      <w:r>
        <w:rPr>
          <w:rFonts w:ascii="Times New Roman" w:cs="Times New Roman" w:eastAsia="Times New Roman" w:hAnsi="Times New Roman"/>
          <w:sz w:val="22"/>
          <w:szCs w:val="22"/>
          <w:color w:val="auto"/>
        </w:rPr>
        <w:t>”), and no action, suit or proceeding by or before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agency, authority or body or any arbitrator involving the Company or any of its subsidiaries with respect to the Anti-Money Laundering Laws is pending or, to the knowledge of the Company, threatened.</w:t>
      </w:r>
    </w:p>
    <w:p>
      <w:pPr>
        <w:spacing w:after="0" w:line="225" w:lineRule="exact"/>
        <w:rPr>
          <w:rFonts w:ascii="Times New Roman" w:cs="Times New Roman" w:eastAsia="Times New Roman" w:hAnsi="Times New Roman"/>
          <w:sz w:val="22"/>
          <w:szCs w:val="22"/>
          <w:color w:val="auto"/>
        </w:rPr>
      </w:pPr>
    </w:p>
    <w:p>
      <w:pPr>
        <w:jc w:val="both"/>
        <w:ind w:left="2300" w:firstLine="877"/>
        <w:spacing w:after="0" w:line="239" w:lineRule="auto"/>
        <w:tabs>
          <w:tab w:leader="none" w:pos="34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that is, or is owned or controlled by one or more Persons that are:</w:t>
      </w:r>
    </w:p>
    <w:p>
      <w:pPr>
        <w:spacing w:after="0" w:line="207" w:lineRule="exact"/>
        <w:rPr>
          <w:sz w:val="20"/>
          <w:szCs w:val="20"/>
          <w:color w:val="auto"/>
        </w:rPr>
      </w:pPr>
    </w:p>
    <w:p>
      <w:pPr>
        <w:jc w:val="both"/>
        <w:ind w:left="3940" w:right="20" w:firstLine="1003"/>
        <w:spacing w:after="0" w:line="239" w:lineRule="auto"/>
        <w:rPr>
          <w:sz w:val="20"/>
          <w:szCs w:val="20"/>
          <w:color w:val="auto"/>
        </w:rPr>
      </w:pPr>
      <w:r>
        <w:rPr>
          <w:rFonts w:ascii="Times New Roman" w:cs="Times New Roman" w:eastAsia="Times New Roman" w:hAnsi="Times New Roman"/>
          <w:sz w:val="22"/>
          <w:szCs w:val="22"/>
          <w:color w:val="auto"/>
        </w:rPr>
        <w:t>(A)the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or</w:t>
      </w:r>
    </w:p>
    <w:p>
      <w:pPr>
        <w:spacing w:after="0" w:line="221" w:lineRule="exact"/>
        <w:rPr>
          <w:sz w:val="20"/>
          <w:szCs w:val="20"/>
          <w:color w:val="auto"/>
        </w:rPr>
      </w:pPr>
    </w:p>
    <w:p>
      <w:pPr>
        <w:jc w:val="both"/>
        <w:ind w:left="3940" w:right="20" w:firstLine="1019"/>
        <w:spacing w:after="0" w:line="239" w:lineRule="auto"/>
        <w:tabs>
          <w:tab w:leader="none" w:pos="550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(including, without limitation, the so-called Donetsk People's Republic, the so-called Luhansk People's Republic, Crimea, Cuba, Iran, North Korea and Syria).</w:t>
      </w:r>
    </w:p>
    <w:p>
      <w:pPr>
        <w:spacing w:after="0" w:line="220" w:lineRule="exact"/>
        <w:rPr>
          <w:rFonts w:ascii="Times New Roman" w:cs="Times New Roman" w:eastAsia="Times New Roman" w:hAnsi="Times New Roman"/>
          <w:sz w:val="22"/>
          <w:szCs w:val="22"/>
          <w:color w:val="auto"/>
        </w:rPr>
      </w:pPr>
    </w:p>
    <w:p>
      <w:pPr>
        <w:jc w:val="both"/>
        <w:ind w:left="3120" w:right="20" w:firstLine="896"/>
        <w:spacing w:after="0" w:line="244" w:lineRule="auto"/>
        <w:tabs>
          <w:tab w:leader="none" w:pos="449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directly or indirectly, use the proceeds of the offering, or lend, contribute or otherwise make available such proceeds to any subsidiary, joint venture partner or other Person:</w:t>
      </w:r>
    </w:p>
    <w:p>
      <w:pPr>
        <w:spacing w:after="0" w:line="200" w:lineRule="exact"/>
        <w:rPr>
          <w:sz w:val="20"/>
          <w:szCs w:val="20"/>
          <w:color w:val="auto"/>
        </w:rPr>
      </w:pPr>
    </w:p>
    <w:p>
      <w:pPr>
        <w:jc w:val="both"/>
        <w:ind w:left="3940" w:right="20" w:firstLine="1003"/>
        <w:spacing w:after="0" w:line="244" w:lineRule="auto"/>
        <w:rPr>
          <w:sz w:val="20"/>
          <w:szCs w:val="20"/>
          <w:color w:val="auto"/>
        </w:rPr>
      </w:pPr>
      <w:r>
        <w:rPr>
          <w:rFonts w:ascii="Times New Roman" w:cs="Times New Roman" w:eastAsia="Times New Roman" w:hAnsi="Times New Roman"/>
          <w:sz w:val="22"/>
          <w:szCs w:val="22"/>
          <w:color w:val="auto"/>
        </w:rPr>
        <w:t>(A)to fund or facilitate any activities or business of or with any Person or in any country or territory that, at the time of such funding or facilitation, is the subject of Sanctions; 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3" w:name="page14"/>
    <w:bookmarkEnd w:id="13"/>
    <w:p>
      <w:pPr>
        <w:jc w:val="both"/>
        <w:ind w:left="3940" w:firstLine="1019"/>
        <w:spacing w:after="0" w:line="244" w:lineRule="auto"/>
        <w:tabs>
          <w:tab w:leader="none" w:pos="550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396" w:right="679" w:bottom="1440" w:gutter="0" w:footer="0" w:header="0"/>
        </w:sectPr>
      </w:pPr>
    </w:p>
    <w:bookmarkStart w:id="14" w:name="page15"/>
    <w:bookmarkEnd w:id="14"/>
    <w:p>
      <w:pPr>
        <w:jc w:val="both"/>
        <w:ind w:left="3120" w:right="20" w:firstLine="821"/>
        <w:spacing w:after="0" w:line="239" w:lineRule="auto"/>
        <w:tabs>
          <w:tab w:leader="none" w:pos="449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207" w:lineRule="exact"/>
        <w:rPr>
          <w:rFonts w:ascii="Times New Roman" w:cs="Times New Roman" w:eastAsia="Times New Roman" w:hAnsi="Times New Roman"/>
          <w:sz w:val="22"/>
          <w:szCs w:val="22"/>
          <w:color w:val="auto"/>
        </w:rPr>
      </w:pPr>
    </w:p>
    <w:p>
      <w:pPr>
        <w:jc w:val="both"/>
        <w:ind w:left="3120" w:right="20" w:firstLine="836"/>
        <w:spacing w:after="0" w:line="249" w:lineRule="auto"/>
        <w:tabs>
          <w:tab w:leader="none" w:pos="4491"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provision of this Section 1(t) shall not apply if and to the extent it is unenforceable as a result of any applicable provision of Council Regulation (EC) No 2271/1996 of 22 November 1996, as amended, recast and/or restated from time to time, (or any law or regulation implementing such Regulation in an EEA member state) or any similar blocking or anti-boycott law, regulation or statute in force from time to time, and, in such case, the enforceability of this Section 1(t) shall not otherwise be affected.</w:t>
      </w:r>
    </w:p>
    <w:p>
      <w:pPr>
        <w:spacing w:after="0" w:line="211" w:lineRule="exact"/>
        <w:rPr>
          <w:rFonts w:ascii="Times New Roman" w:cs="Times New Roman" w:eastAsia="Times New Roman" w:hAnsi="Times New Roman"/>
          <w:sz w:val="21"/>
          <w:szCs w:val="21"/>
          <w:color w:val="auto"/>
        </w:rPr>
      </w:pPr>
    </w:p>
    <w:p>
      <w:pPr>
        <w:jc w:val="both"/>
        <w:ind w:left="2300" w:firstLine="817"/>
        <w:spacing w:after="0" w:line="234" w:lineRule="auto"/>
        <w:tabs>
          <w:tab w:leader="none" w:pos="34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the exercise or forfeiture of equity awards outstanding on such respective dates as of which information is given in each of the Registration Statement, the Time of Sale Prospectus and the Prospectus.</w:t>
      </w:r>
    </w:p>
    <w:p>
      <w:pPr>
        <w:spacing w:after="0" w:line="219" w:lineRule="exact"/>
        <w:rPr>
          <w:rFonts w:ascii="Times New Roman" w:cs="Times New Roman" w:eastAsia="Times New Roman" w:hAnsi="Times New Roman"/>
          <w:sz w:val="22"/>
          <w:szCs w:val="22"/>
          <w:color w:val="auto"/>
        </w:rPr>
      </w:pPr>
    </w:p>
    <w:p>
      <w:pPr>
        <w:jc w:val="both"/>
        <w:ind w:left="2300" w:right="20" w:firstLine="817"/>
        <w:spacing w:after="0" w:line="234" w:lineRule="auto"/>
        <w:tabs>
          <w:tab w:leader="none" w:pos="34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w:t>
      </w:r>
    </w:p>
    <w:p>
      <w:pPr>
        <w:spacing w:after="0" w:line="210" w:lineRule="exact"/>
        <w:rPr>
          <w:rFonts w:ascii="Times New Roman" w:cs="Times New Roman" w:eastAsia="Times New Roman" w:hAnsi="Times New Roman"/>
          <w:sz w:val="22"/>
          <w:szCs w:val="22"/>
          <w:color w:val="auto"/>
        </w:rPr>
      </w:pPr>
    </w:p>
    <w:p>
      <w:pPr>
        <w:jc w:val="both"/>
        <w:ind w:left="2300" w:firstLine="773"/>
        <w:spacing w:after="0" w:line="244" w:lineRule="auto"/>
        <w:tabs>
          <w:tab w:leader="none" w:pos="34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would not have a material adverse effect on the Company and its subsidiaries taken as a whole, the Company and its subsidiaries solely and exclusively own or have a valid, enforceable and exclusive license to all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585" w:right="659" w:bottom="1440" w:gutter="0" w:footer="0" w:header="0"/>
        </w:sectPr>
      </w:pPr>
    </w:p>
    <w:bookmarkStart w:id="15" w:name="page16"/>
    <w:bookmarkEnd w:id="15"/>
    <w:p>
      <w:pPr>
        <w:jc w:val="both"/>
        <w:ind w:left="2300"/>
        <w:spacing w:after="0" w:line="242" w:lineRule="auto"/>
        <w:rPr>
          <w:sz w:val="20"/>
          <w:szCs w:val="20"/>
          <w:color w:val="auto"/>
        </w:rPr>
      </w:pPr>
      <w:r>
        <w:rPr>
          <w:rFonts w:ascii="Times New Roman" w:cs="Times New Roman" w:eastAsia="Times New Roman" w:hAnsi="Times New Roman"/>
          <w:sz w:val="21"/>
          <w:szCs w:val="21"/>
          <w:color w:val="auto"/>
        </w:rPr>
        <w:t>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 subsidiaries, taken as a whole;</w:t>
      </w:r>
    </w:p>
    <w:p>
      <w:pPr>
        <w:spacing w:after="0" w:line="16" w:lineRule="exact"/>
        <w:rPr>
          <w:sz w:val="20"/>
          <w:szCs w:val="20"/>
          <w:color w:val="auto"/>
        </w:rPr>
      </w:pPr>
    </w:p>
    <w:p>
      <w:pPr>
        <w:jc w:val="both"/>
        <w:ind w:left="2300" w:hanging="1"/>
        <w:spacing w:after="0" w:line="231" w:lineRule="auto"/>
        <w:tabs>
          <w:tab w:leader="none" w:pos="267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have a material adverse effect on the Company and its subsidiaries taken as a whole, to the Company’s knowledge, no third party is infringing, misappropriating or otherwise 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85" w:lineRule="exact"/>
        <w:rPr>
          <w:rFonts w:ascii="Times New Roman" w:cs="Times New Roman" w:eastAsia="Times New Roman" w:hAnsi="Times New Roman"/>
          <w:sz w:val="22"/>
          <w:szCs w:val="22"/>
          <w:color w:val="auto"/>
        </w:rPr>
      </w:pPr>
    </w:p>
    <w:p>
      <w:pPr>
        <w:jc w:val="both"/>
        <w:ind w:left="2300" w:right="20" w:firstLine="817"/>
        <w:spacing w:after="0" w:line="238" w:lineRule="auto"/>
        <w:tabs>
          <w:tab w:leader="none" w:pos="348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217" w:lineRule="exact"/>
        <w:rPr>
          <w:rFonts w:ascii="Times New Roman" w:cs="Times New Roman" w:eastAsia="Times New Roman" w:hAnsi="Times New Roman"/>
          <w:sz w:val="22"/>
          <w:szCs w:val="22"/>
          <w:color w:val="auto"/>
        </w:rPr>
      </w:pPr>
    </w:p>
    <w:p>
      <w:pPr>
        <w:jc w:val="both"/>
        <w:ind w:left="2300" w:right="20" w:firstLine="817"/>
        <w:spacing w:after="0" w:line="239" w:lineRule="auto"/>
        <w:tabs>
          <w:tab w:leader="none" w:pos="348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6" w:name="page17"/>
    <w:bookmarkEnd w:id="16"/>
    <w:p>
      <w:pPr>
        <w:jc w:val="both"/>
        <w:ind w:left="2300"/>
        <w:spacing w:after="0" w:line="233" w:lineRule="auto"/>
        <w:rPr>
          <w:sz w:val="20"/>
          <w:szCs w:val="20"/>
          <w:color w:val="auto"/>
        </w:rPr>
      </w:pPr>
      <w:r>
        <w:rPr>
          <w:rFonts w:ascii="Times New Roman" w:cs="Times New Roman" w:eastAsia="Times New Roman" w:hAnsi="Times New Roman"/>
          <w:sz w:val="22"/>
          <w:szCs w:val="22"/>
          <w:color w:val="auto"/>
        </w:rPr>
        <w:t>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22"/>
          <w:szCs w:val="22"/>
          <w:b w:val="1"/>
          <w:bCs w:val="1"/>
          <w:color w:val="auto"/>
        </w:rPr>
        <w:t>Data Security Obligations</w:t>
      </w:r>
      <w:r>
        <w:rPr>
          <w:rFonts w:ascii="Times New Roman" w:cs="Times New Roman" w:eastAsia="Times New Roman" w:hAnsi="Times New Roman"/>
          <w:sz w:val="22"/>
          <w:szCs w:val="22"/>
          <w:color w:val="auto"/>
        </w:rPr>
        <w:t>”, and such data,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(ii) neither the Company nor any of its subsidiaries has received any notification of or 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w:t>
      </w:r>
    </w:p>
    <w:p>
      <w:pPr>
        <w:spacing w:after="0" w:line="228" w:lineRule="exact"/>
        <w:rPr>
          <w:sz w:val="20"/>
          <w:szCs w:val="20"/>
          <w:color w:val="auto"/>
        </w:rPr>
      </w:pPr>
    </w:p>
    <w:p>
      <w:pPr>
        <w:jc w:val="both"/>
        <w:ind w:left="2300" w:firstLine="833"/>
        <w:spacing w:after="0" w:line="243" w:lineRule="auto"/>
        <w:tabs>
          <w:tab w:leader="none" w:pos="348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all commercially reasonable technical and organizational measures reasonably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 use, access, disablement, misappropriation or modification, or other compromise or misuse of or relating to any IT Systems or Data used in connection with the operation of the Company’s and its subsidiaries’ businesses and any other data security incident or data breach as defined by Data Security Obligations (“</w:t>
      </w:r>
      <w:r>
        <w:rPr>
          <w:rFonts w:ascii="Times New Roman" w:cs="Times New Roman" w:eastAsia="Times New Roman" w:hAnsi="Times New Roman"/>
          <w:sz w:val="21"/>
          <w:szCs w:val="21"/>
          <w:b w:val="1"/>
          <w:bCs w:val="1"/>
          <w:color w:val="auto"/>
        </w:rPr>
        <w:t>Breach</w:t>
      </w:r>
      <w:r>
        <w:rPr>
          <w:rFonts w:ascii="Times New Roman" w:cs="Times New Roman" w:eastAsia="Times New Roman" w:hAnsi="Times New Roman"/>
          <w:sz w:val="21"/>
          <w:szCs w:val="21"/>
          <w:color w:val="auto"/>
        </w:rPr>
        <w:t>”). To the Company’s knowledge, there has been no such Breach, and the Company and its subsidiaries have not been notified in writing of and have no knowledge of any event or condition that would reasonably be expected to result in, any such Breach.</w:t>
      </w:r>
    </w:p>
    <w:p>
      <w:pPr>
        <w:spacing w:after="0" w:line="224" w:lineRule="exact"/>
        <w:rPr>
          <w:rFonts w:ascii="Times New Roman" w:cs="Times New Roman" w:eastAsia="Times New Roman" w:hAnsi="Times New Roman"/>
          <w:sz w:val="21"/>
          <w:szCs w:val="21"/>
          <w:color w:val="auto"/>
        </w:rPr>
      </w:pPr>
    </w:p>
    <w:p>
      <w:pPr>
        <w:jc w:val="both"/>
        <w:ind w:left="2300" w:firstLine="735"/>
        <w:spacing w:after="0" w:line="238" w:lineRule="auto"/>
        <w:tabs>
          <w:tab w:leader="none" w:pos="359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7" w:name="page18"/>
    <w:bookmarkEnd w:id="17"/>
    <w:p>
      <w:pPr>
        <w:jc w:val="both"/>
        <w:ind w:left="2300" w:firstLine="705"/>
        <w:spacing w:after="0" w:line="246" w:lineRule="auto"/>
        <w:tabs>
          <w:tab w:leader="none" w:pos="35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211" w:lineRule="exact"/>
        <w:rPr>
          <w:rFonts w:ascii="Times New Roman" w:cs="Times New Roman" w:eastAsia="Times New Roman" w:hAnsi="Times New Roman"/>
          <w:sz w:val="21"/>
          <w:szCs w:val="21"/>
          <w:color w:val="auto"/>
        </w:rPr>
      </w:pPr>
    </w:p>
    <w:p>
      <w:pPr>
        <w:jc w:val="both"/>
        <w:ind w:left="2300" w:firstLine="736"/>
        <w:spacing w:after="0" w:line="235" w:lineRule="auto"/>
        <w:tabs>
          <w:tab w:leader="none" w:pos="359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218" w:lineRule="exact"/>
        <w:rPr>
          <w:rFonts w:ascii="Times New Roman" w:cs="Times New Roman" w:eastAsia="Times New Roman" w:hAnsi="Times New Roman"/>
          <w:sz w:val="22"/>
          <w:szCs w:val="22"/>
          <w:color w:val="auto"/>
        </w:rPr>
      </w:pPr>
    </w:p>
    <w:p>
      <w:pPr>
        <w:jc w:val="both"/>
        <w:ind w:left="2300" w:firstLine="706"/>
        <w:spacing w:after="0" w:line="233" w:lineRule="auto"/>
        <w:tabs>
          <w:tab w:leader="none" w:pos="344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Warrants have been duly authorized and, when executed and delivered by the Company in accordance with this Agreement, will be valid and legally binding agreements of the Company, enforceable against the Company in accordance with their terms except as the enforcement thereof maybe limited by applicable bankruptcy, insolvency, reorganization, moratorium or other similar laws relating to or affecting the rights and remedies of creditors or by general equitable principles. The Warrant Shares to be issued by the Company upon exercise of the Warrants in accordance therewith have been duly authorized and will be reserved for issuance upon exercise of the Warrants in a number sufficient to meet the current exercise requirements. The Warrant Shares, when issued and delivered upon exercise of the Warrants in accordance therewith, will be validly issued, fully paid and non-assessable (meaning that the holders of the ordinary shares will not, by reason of merely being such a holder, be subject to assessment or calls by the Company or its creditors for further payment on such ordinary shares), and the issuance of the Warrant Shares is not subject to any preemptive or similar rights not otherwise validly waived or satisfied.</w:t>
      </w:r>
    </w:p>
    <w:p>
      <w:pPr>
        <w:spacing w:after="0" w:line="206" w:lineRule="exact"/>
        <w:rPr>
          <w:rFonts w:ascii="Times New Roman" w:cs="Times New Roman" w:eastAsia="Times New Roman" w:hAnsi="Times New Roman"/>
          <w:sz w:val="22"/>
          <w:szCs w:val="22"/>
          <w:color w:val="auto"/>
        </w:rPr>
      </w:pPr>
    </w:p>
    <w:p>
      <w:pPr>
        <w:jc w:val="both"/>
        <w:ind w:left="2300" w:right="20" w:firstLine="736"/>
        <w:spacing w:after="0" w:line="236" w:lineRule="auto"/>
        <w:tabs>
          <w:tab w:leader="none" w:pos="35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and comparable foreign regulatory authorities, including the European Medicines Agency and the UK Medicines &amp; Healthcare products Regulatory Agency (collectively, the “</w:t>
      </w:r>
      <w:r>
        <w:rPr>
          <w:rFonts w:ascii="Times New Roman" w:cs="Times New Roman" w:eastAsia="Times New Roman" w:hAnsi="Times New Roman"/>
          <w:sz w:val="22"/>
          <w:szCs w:val="22"/>
          <w:b w:val="1"/>
          <w:bCs w:val="1"/>
          <w:color w:val="auto"/>
        </w:rPr>
        <w:t>Regulatory Authorities</w:t>
      </w:r>
      <w:r>
        <w:rPr>
          <w:rFonts w:ascii="Times New Roman" w:cs="Times New Roman" w:eastAsia="Times New Roman" w:hAnsi="Times New Roman"/>
          <w:sz w:val="22"/>
          <w:szCs w:val="22"/>
          <w:color w:val="auto"/>
        </w:rPr>
        <w:t>”) and all other local, state, federal,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8" w:name="page19"/>
    <w:bookmarkEnd w:id="18"/>
    <w:p>
      <w:pPr>
        <w:jc w:val="both"/>
        <w:ind w:left="2300"/>
        <w:spacing w:after="0" w:line="238" w:lineRule="auto"/>
        <w:rPr>
          <w:sz w:val="20"/>
          <w:szCs w:val="20"/>
          <w:color w:val="auto"/>
        </w:rPr>
      </w:pPr>
      <w:r>
        <w:rPr>
          <w:rFonts w:ascii="Times New Roman" w:cs="Times New Roman" w:eastAsia="Times New Roman" w:hAnsi="Times New Roman"/>
          <w:sz w:val="22"/>
          <w:szCs w:val="22"/>
          <w:color w:val="auto"/>
        </w:rPr>
        <w:t>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22"/>
          <w:szCs w:val="22"/>
          <w:b w:val="1"/>
          <w:bCs w:val="1"/>
          <w:color w:val="auto"/>
        </w:rPr>
        <w:t>Health Care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jc w:val="both"/>
        <w:ind w:left="2300" w:firstLine="789"/>
        <w:spacing w:after="0" w:line="231" w:lineRule="auto"/>
        <w:tabs>
          <w:tab w:leader="none" w:pos="35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the Time of Sale Prospectus and the Prospectus, or the results of which are referred to in the Registration Statement, the Time of Sale Prospectus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 clinical studies or clinical trials that are described in the Registration Statement, the Time of Sale Prospectus and the Prospectus or the results of which are referred to in the Registration Statement, the Time of Sale Prospectus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243" w:lineRule="exact"/>
        <w:rPr>
          <w:rFonts w:ascii="Times New Roman" w:cs="Times New Roman" w:eastAsia="Times New Roman" w:hAnsi="Times New Roman"/>
          <w:sz w:val="22"/>
          <w:szCs w:val="22"/>
          <w:color w:val="auto"/>
        </w:rPr>
      </w:pPr>
    </w:p>
    <w:p>
      <w:pPr>
        <w:jc w:val="both"/>
        <w:ind w:left="2300" w:firstLine="705"/>
        <w:spacing w:after="0" w:line="234" w:lineRule="auto"/>
        <w:tabs>
          <w:tab w:leader="none" w:pos="34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19" w:name="page20"/>
    <w:bookmarkEnd w:id="19"/>
    <w:p>
      <w:pPr>
        <w:jc w:val="both"/>
        <w:ind w:left="2300" w:right="20"/>
        <w:spacing w:after="0" w:line="247" w:lineRule="auto"/>
        <w:rPr>
          <w:sz w:val="20"/>
          <w:szCs w:val="20"/>
          <w:color w:val="auto"/>
        </w:rPr>
      </w:pPr>
      <w:r>
        <w:rPr>
          <w:rFonts w:ascii="Times New Roman" w:cs="Times New Roman" w:eastAsia="Times New Roman" w:hAnsi="Times New Roman"/>
          <w:sz w:val="21"/>
          <w:szCs w:val="21"/>
          <w:color w:val="auto"/>
        </w:rPr>
        <w:t>Company nor any of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212" w:lineRule="exact"/>
        <w:rPr>
          <w:sz w:val="20"/>
          <w:szCs w:val="20"/>
          <w:color w:val="auto"/>
        </w:rPr>
      </w:pPr>
    </w:p>
    <w:p>
      <w:pPr>
        <w:jc w:val="both"/>
        <w:ind w:left="2300" w:firstLine="705"/>
        <w:spacing w:after="0" w:line="233" w:lineRule="auto"/>
        <w:tabs>
          <w:tab w:leader="none" w:pos="343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225" w:lineRule="exact"/>
        <w:rPr>
          <w:rFonts w:ascii="Times New Roman" w:cs="Times New Roman" w:eastAsia="Times New Roman" w:hAnsi="Times New Roman"/>
          <w:sz w:val="22"/>
          <w:szCs w:val="22"/>
          <w:color w:val="auto"/>
        </w:rPr>
      </w:pPr>
    </w:p>
    <w:p>
      <w:pPr>
        <w:jc w:val="both"/>
        <w:ind w:left="2300" w:firstLine="818"/>
        <w:spacing w:after="0" w:line="235" w:lineRule="auto"/>
        <w:tabs>
          <w:tab w:leader="none" w:pos="349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PricewaterhouseCoopers Accountants N.V.,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205" w:lineRule="exact"/>
        <w:rPr>
          <w:rFonts w:ascii="Times New Roman" w:cs="Times New Roman" w:eastAsia="Times New Roman" w:hAnsi="Times New Roman"/>
          <w:sz w:val="22"/>
          <w:szCs w:val="22"/>
          <w:color w:val="auto"/>
        </w:rPr>
      </w:pPr>
    </w:p>
    <w:p>
      <w:pPr>
        <w:jc w:val="both"/>
        <w:ind w:left="2300" w:right="20" w:firstLine="818"/>
        <w:spacing w:after="0" w:line="246" w:lineRule="auto"/>
        <w:tabs>
          <w:tab w:leader="none" w:pos="3564"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as issued by the International Accounting Standard Board (“</w:t>
      </w:r>
      <w:r>
        <w:rPr>
          <w:rFonts w:ascii="Times New Roman" w:cs="Times New Roman" w:eastAsia="Times New Roman" w:hAnsi="Times New Roman"/>
          <w:sz w:val="21"/>
          <w:szCs w:val="21"/>
          <w:b w:val="1"/>
          <w:bCs w:val="1"/>
          <w:color w:val="auto"/>
        </w:rPr>
        <w:t>IASB</w:t>
      </w:r>
      <w:r>
        <w:rPr>
          <w:rFonts w:ascii="Times New Roman" w:cs="Times New Roman" w:eastAsia="Times New Roman" w:hAnsi="Times New Roman"/>
          <w:sz w:val="21"/>
          <w:szCs w:val="21"/>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0" w:name="page21"/>
    <w:bookmarkEnd w:id="20"/>
    <w:p>
      <w:pPr>
        <w:jc w:val="both"/>
        <w:ind w:left="2300" w:right="20"/>
        <w:spacing w:after="0" w:line="238" w:lineRule="auto"/>
        <w:rPr>
          <w:sz w:val="20"/>
          <w:szCs w:val="20"/>
          <w:color w:val="auto"/>
        </w:rPr>
      </w:pPr>
      <w:r>
        <w:rPr>
          <w:rFonts w:ascii="Times New Roman" w:cs="Times New Roman" w:eastAsia="Times New Roman" w:hAnsi="Times New Roman"/>
          <w:sz w:val="22"/>
          <w:szCs w:val="22"/>
          <w:color w:val="auto"/>
        </w:rPr>
        <w:t>Statement, the Time of Sale Prospectus and Prospectus,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217" w:lineRule="exact"/>
        <w:rPr>
          <w:sz w:val="20"/>
          <w:szCs w:val="20"/>
          <w:color w:val="auto"/>
        </w:rPr>
      </w:pPr>
    </w:p>
    <w:p>
      <w:pPr>
        <w:jc w:val="both"/>
        <w:ind w:left="2300" w:right="20" w:firstLine="705"/>
        <w:spacing w:after="0" w:line="236" w:lineRule="auto"/>
        <w:tabs>
          <w:tab w:leader="none" w:pos="342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each of the Registration Statement, the Pricing Prospectus, the Time of Sale Prospectus and the Prospectus, the Company has not sold, issued or distributed any Ordinary Shares during the six-month period preceding the date hereof, including any sales pursuant to Rule 144A under, or Regulation D or S of, the Securities Act, shares issued pursuant to employee benefit plans, qualified stock option plans or other employee compensation plans or pursuant to outstanding options, rights, or warrants.</w:t>
      </w:r>
    </w:p>
    <w:p>
      <w:pPr>
        <w:spacing w:after="0" w:line="221" w:lineRule="exact"/>
        <w:rPr>
          <w:rFonts w:ascii="Times New Roman" w:cs="Times New Roman" w:eastAsia="Times New Roman" w:hAnsi="Times New Roman"/>
          <w:sz w:val="22"/>
          <w:szCs w:val="22"/>
          <w:color w:val="auto"/>
        </w:rPr>
      </w:pPr>
    </w:p>
    <w:p>
      <w:pPr>
        <w:jc w:val="both"/>
        <w:ind w:left="2300" w:firstLine="818"/>
        <w:spacing w:after="0" w:line="244" w:lineRule="auto"/>
        <w:tabs>
          <w:tab w:leader="none" w:pos="3556"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 or in the aggregate, have a material adverse effect on the Company and its subsidiaries, taken as a whole, or, except as currently being contested in good faith and for which reserves required by IFRS (as issued by IASB) have been 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210" w:lineRule="exact"/>
        <w:rPr>
          <w:rFonts w:ascii="Times New Roman" w:cs="Times New Roman" w:eastAsia="Times New Roman" w:hAnsi="Times New Roman"/>
          <w:sz w:val="21"/>
          <w:szCs w:val="21"/>
          <w:color w:val="auto"/>
        </w:rPr>
      </w:pPr>
    </w:p>
    <w:p>
      <w:pPr>
        <w:jc w:val="both"/>
        <w:ind w:left="2300" w:right="20" w:firstLine="568"/>
        <w:spacing w:after="0" w:line="244" w:lineRule="auto"/>
        <w:tabs>
          <w:tab w:leader="none" w:pos="348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time of the initial filing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22"/>
          <w:szCs w:val="22"/>
          <w:b w:val="1"/>
          <w:bCs w:val="1"/>
          <w:color w:val="auto"/>
        </w:rPr>
        <w:t>Emerging Growth Company</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2300" w:right="20" w:firstLine="705"/>
        <w:spacing w:after="0" w:line="234" w:lineRule="auto"/>
        <w:tabs>
          <w:tab w:leader="none" w:pos="344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 has not alone engaged in any Testing-the-Waters Communication with any person other than Testing-the-Waters Communications with the consent of the Underwriters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Underwriters to engage in Testing-the-Waters Communications. The Company reconfirms that the Underwriters have been authorized to act on its behalf in undertaking Testing-the-Waters Communications. The Company has not distributed any Testing-the-Waters Communication that is 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1" w:name="page22"/>
    <w:bookmarkEnd w:id="21"/>
    <w:p>
      <w:pPr>
        <w:jc w:val="both"/>
        <w:ind w:left="2300" w:right="20"/>
        <w:spacing w:after="0" w:line="261" w:lineRule="auto"/>
        <w:rPr>
          <w:sz w:val="20"/>
          <w:szCs w:val="20"/>
          <w:color w:val="auto"/>
        </w:rPr>
      </w:pPr>
      <w:r>
        <w:rPr>
          <w:rFonts w:ascii="Times New Roman" w:cs="Times New Roman" w:eastAsia="Times New Roman" w:hAnsi="Times New Roman"/>
          <w:sz w:val="21"/>
          <w:szCs w:val="21"/>
          <w:color w:val="auto"/>
        </w:rPr>
        <w:t>written communication within the meaning of Rule 405 under the Securities Act other than those listed on Schedule III hereto. “</w:t>
      </w:r>
      <w:r>
        <w:rPr>
          <w:rFonts w:ascii="Times New Roman" w:cs="Times New Roman" w:eastAsia="Times New Roman" w:hAnsi="Times New Roman"/>
          <w:sz w:val="21"/>
          <w:szCs w:val="21"/>
          <w:b w:val="1"/>
          <w:bCs w:val="1"/>
          <w:color w:val="auto"/>
        </w:rPr>
        <w:t>Testing-the-Waters Communication</w:t>
      </w:r>
      <w:r>
        <w:rPr>
          <w:rFonts w:ascii="Times New Roman" w:cs="Times New Roman" w:eastAsia="Times New Roman" w:hAnsi="Times New Roman"/>
          <w:sz w:val="21"/>
          <w:szCs w:val="21"/>
          <w:color w:val="auto"/>
        </w:rPr>
        <w:t>” means any communication with potential investors undertaken in reliance on Section 5(d) or Rule 163B of the Securities Act.</w:t>
      </w:r>
    </w:p>
    <w:p>
      <w:pPr>
        <w:spacing w:after="0" w:line="198" w:lineRule="exact"/>
        <w:rPr>
          <w:sz w:val="20"/>
          <w:szCs w:val="20"/>
          <w:color w:val="auto"/>
        </w:rPr>
      </w:pPr>
    </w:p>
    <w:p>
      <w:pPr>
        <w:jc w:val="both"/>
        <w:ind w:left="2300" w:right="20" w:firstLine="706"/>
        <w:spacing w:after="0" w:line="244" w:lineRule="auto"/>
        <w:tabs>
          <w:tab w:leader="none" w:pos="346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any securities rated by any “nationally recognized statistical rating organization,” as such term is defined in Section 3(a)(62)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2300" w:right="20" w:firstLine="705"/>
        <w:spacing w:after="0" w:line="253" w:lineRule="auto"/>
        <w:tabs>
          <w:tab w:leader="none" w:pos="3477"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time of each sale of the Securities in connection with the offering when the Prospectus is not yet available to prospective purchasers, none of (A) the Time of Sale Prospectus,</w:t>
      </w:r>
    </w:p>
    <w:p>
      <w:pPr>
        <w:ind w:left="2660" w:hanging="361"/>
        <w:spacing w:after="0" w:line="230" w:lineRule="auto"/>
        <w:tabs>
          <w:tab w:leader="none" w:pos="2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free writing prospectus, when considered together with the Time of Sale Prospectus, and</w:t>
      </w:r>
    </w:p>
    <w:p>
      <w:pPr>
        <w:jc w:val="both"/>
        <w:ind w:left="2300" w:right="20" w:hanging="1"/>
        <w:spacing w:after="0" w:line="232" w:lineRule="auto"/>
        <w:tabs>
          <w:tab w:leader="none" w:pos="266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expressly for use therein.</w:t>
      </w:r>
    </w:p>
    <w:p>
      <w:pPr>
        <w:spacing w:after="0" w:line="206" w:lineRule="exact"/>
        <w:rPr>
          <w:rFonts w:ascii="Times New Roman" w:cs="Times New Roman" w:eastAsia="Times New Roman" w:hAnsi="Times New Roman"/>
          <w:sz w:val="22"/>
          <w:szCs w:val="22"/>
          <w:color w:val="auto"/>
        </w:rPr>
      </w:pPr>
    </w:p>
    <w:p>
      <w:pPr>
        <w:jc w:val="both"/>
        <w:ind w:left="2300" w:right="20" w:firstLine="705"/>
        <w:spacing w:after="0" w:line="235" w:lineRule="auto"/>
        <w:tabs>
          <w:tab w:leader="none" w:pos="346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stamp, issuance, registration, transfer, or other similar documentary taxes or duties are payable by or on behalf of the Underwriters, the Company or any of its subsidiaries in the Netherlands or to any taxing authority thereof or therein having power to tax in connection with (i) the execution, delivery or consummation of this Agreement, (ii) the creation, allotment and issuance of the Securities, (iii) the issuance, sale and delivery of the Securities to the Underwriters or purchasers procured by the Underwriters, or (iv) the resale and delivery of the Securities by the Underwriters, each in the manner contemplated herein.</w:t>
      </w:r>
    </w:p>
    <w:p>
      <w:pPr>
        <w:spacing w:after="0" w:line="223" w:lineRule="exact"/>
        <w:rPr>
          <w:rFonts w:ascii="Times New Roman" w:cs="Times New Roman" w:eastAsia="Times New Roman" w:hAnsi="Times New Roman"/>
          <w:sz w:val="22"/>
          <w:szCs w:val="22"/>
          <w:color w:val="auto"/>
        </w:rPr>
      </w:pPr>
    </w:p>
    <w:p>
      <w:pPr>
        <w:jc w:val="both"/>
        <w:ind w:left="2300" w:right="20" w:firstLine="789"/>
        <w:spacing w:after="0" w:line="238" w:lineRule="auto"/>
        <w:tabs>
          <w:tab w:leader="none" w:pos="3486"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of commissions, costs and expenses to be made by the Company to the Underwriters under this Agreement may be made free and clear of, and without withholding or deduction for, or on account of any taxes, duties, assessments or governmental charges by or on behalf of the Netherlands or any political subdivision or authority thereof or therein having power to tax.</w:t>
      </w:r>
    </w:p>
    <w:p>
      <w:pPr>
        <w:spacing w:after="0" w:line="217" w:lineRule="exact"/>
        <w:rPr>
          <w:rFonts w:ascii="Times New Roman" w:cs="Times New Roman" w:eastAsia="Times New Roman" w:hAnsi="Times New Roman"/>
          <w:sz w:val="22"/>
          <w:szCs w:val="22"/>
          <w:color w:val="auto"/>
        </w:rPr>
      </w:pPr>
    </w:p>
    <w:p>
      <w:pPr>
        <w:jc w:val="both"/>
        <w:ind w:left="2300" w:firstLine="762"/>
        <w:spacing w:after="0" w:line="255" w:lineRule="auto"/>
        <w:tabs>
          <w:tab w:leader="none" w:pos="3446"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does not believe that it was a “passive foreign investment company” (“</w:t>
      </w:r>
      <w:r>
        <w:rPr>
          <w:rFonts w:ascii="Times New Roman" w:cs="Times New Roman" w:eastAsia="Times New Roman" w:hAnsi="Times New Roman"/>
          <w:sz w:val="21"/>
          <w:szCs w:val="21"/>
          <w:b w:val="1"/>
          <w:bCs w:val="1"/>
          <w:color w:val="auto"/>
        </w:rPr>
        <w:t>PFIC</w:t>
      </w:r>
      <w:r>
        <w:rPr>
          <w:rFonts w:ascii="Times New Roman" w:cs="Times New Roman" w:eastAsia="Times New Roman" w:hAnsi="Times New Roman"/>
          <w:sz w:val="21"/>
          <w:szCs w:val="21"/>
          <w:color w:val="auto"/>
        </w:rPr>
        <w:t>”) for U.S. federal income tax purposes in 2022 and, subject to the assumptions and qualifications set forth in the Registration Statement, the Time of Sale Prospectus and the Prospectus, it does not expect to be a PFIC for its current taxable year or in the foreseeable future.</w:t>
      </w:r>
    </w:p>
    <w:p>
      <w:pPr>
        <w:spacing w:after="0" w:line="188" w:lineRule="exact"/>
        <w:rPr>
          <w:rFonts w:ascii="Times New Roman" w:cs="Times New Roman" w:eastAsia="Times New Roman" w:hAnsi="Times New Roman"/>
          <w:sz w:val="21"/>
          <w:szCs w:val="21"/>
          <w:color w:val="auto"/>
        </w:rPr>
      </w:pPr>
    </w:p>
    <w:p>
      <w:pPr>
        <w:ind w:left="2300" w:right="20" w:firstLine="818"/>
        <w:spacing w:after="0" w:line="258" w:lineRule="auto"/>
        <w:tabs>
          <w:tab w:leader="none" w:pos="3516"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under the laws of the Netherlands (i) to enable the Underwriters to enforce their rights under this Agreement provided that they 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2" w:name="page23"/>
    <w:bookmarkEnd w:id="22"/>
    <w:p>
      <w:pPr>
        <w:jc w:val="both"/>
        <w:ind w:left="2300"/>
        <w:spacing w:after="0" w:line="236" w:lineRule="auto"/>
        <w:rPr>
          <w:sz w:val="20"/>
          <w:szCs w:val="20"/>
          <w:color w:val="auto"/>
        </w:rPr>
      </w:pPr>
      <w:r>
        <w:rPr>
          <w:rFonts w:ascii="Times New Roman" w:cs="Times New Roman" w:eastAsia="Times New Roman" w:hAnsi="Times New Roman"/>
          <w:sz w:val="22"/>
          <w:szCs w:val="22"/>
          <w:color w:val="auto"/>
        </w:rPr>
        <w:t>not otherwise engaged in regulated business in the Netherlands, or (ii) solely by reason of the execution, delivery or consummation of this Agreement, for any of the Underwriters to be qualified or entitled to carry out business in the Netherlands except that any Underwriter offering Securities or investment services or performing investment activities in or from the Netherlands, should be licensed, excepted or exempted under or pursuant to the Dutch Financial Supervision Act (</w:t>
      </w:r>
      <w:r>
        <w:rPr>
          <w:rFonts w:ascii="Times New Roman" w:cs="Times New Roman" w:eastAsia="Times New Roman" w:hAnsi="Times New Roman"/>
          <w:sz w:val="22"/>
          <w:szCs w:val="22"/>
          <w:i w:val="1"/>
          <w:iCs w:val="1"/>
          <w:color w:val="auto"/>
        </w:rPr>
        <w:t>Wet op het financieel toezicht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DFSA</w:t>
      </w:r>
      <w:r>
        <w:rPr>
          <w:rFonts w:ascii="Times New Roman" w:cs="Times New Roman" w:eastAsia="Times New Roman" w:hAnsi="Times New Roman"/>
          <w:sz w:val="22"/>
          <w:szCs w:val="22"/>
          <w:color w:val="auto"/>
        </w:rPr>
        <w:t>”).</w:t>
      </w:r>
    </w:p>
    <w:p>
      <w:pPr>
        <w:spacing w:after="0" w:line="222" w:lineRule="exact"/>
        <w:rPr>
          <w:sz w:val="20"/>
          <w:szCs w:val="20"/>
          <w:color w:val="auto"/>
        </w:rPr>
      </w:pPr>
    </w:p>
    <w:p>
      <w:pPr>
        <w:jc w:val="both"/>
        <w:ind w:left="2300" w:firstLine="705"/>
        <w:spacing w:after="0" w:line="244" w:lineRule="auto"/>
        <w:tabs>
          <w:tab w:leader="none" w:pos="358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 proper form under the laws of the Netherlands for the enforcement thereof against the Company, and to ensure the legality, validity, enforceability or admissibility into evidence in Netherlands of this Agreement.</w:t>
      </w:r>
    </w:p>
    <w:p>
      <w:pPr>
        <w:spacing w:after="0" w:line="213" w:lineRule="exact"/>
        <w:rPr>
          <w:rFonts w:ascii="Times New Roman" w:cs="Times New Roman" w:eastAsia="Times New Roman" w:hAnsi="Times New Roman"/>
          <w:sz w:val="22"/>
          <w:szCs w:val="22"/>
          <w:color w:val="auto"/>
        </w:rPr>
      </w:pPr>
    </w:p>
    <w:p>
      <w:pPr>
        <w:ind w:left="3500" w:hanging="494"/>
        <w:spacing w:after="0"/>
        <w:tabs>
          <w:tab w:leader="none" w:pos="35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“foreign private issuer” as defined in Rule 405 of the Securities</w:t>
      </w:r>
    </w:p>
    <w:p>
      <w:pPr>
        <w:spacing w:after="0" w:line="14" w:lineRule="exact"/>
        <w:rPr>
          <w:rFonts w:ascii="Times New Roman" w:cs="Times New Roman" w:eastAsia="Times New Roman" w:hAnsi="Times New Roman"/>
          <w:sz w:val="22"/>
          <w:szCs w:val="22"/>
          <w:color w:val="auto"/>
        </w:rPr>
      </w:pPr>
    </w:p>
    <w:p>
      <w:pPr>
        <w:ind w:left="2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w:t>
      </w:r>
    </w:p>
    <w:p>
      <w:pPr>
        <w:spacing w:after="0" w:line="209" w:lineRule="exact"/>
        <w:rPr>
          <w:rFonts w:ascii="Times New Roman" w:cs="Times New Roman" w:eastAsia="Times New Roman" w:hAnsi="Times New Roman"/>
          <w:sz w:val="22"/>
          <w:szCs w:val="22"/>
          <w:color w:val="auto"/>
        </w:rPr>
      </w:pPr>
    </w:p>
    <w:p>
      <w:pPr>
        <w:jc w:val="both"/>
        <w:ind w:left="2300" w:firstLine="595"/>
        <w:spacing w:after="0" w:line="233" w:lineRule="auto"/>
        <w:tabs>
          <w:tab w:leader="none" w:pos="347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has been taken or is contemplated to dissolve or liquidate the Company or any of its subsidiaries, and, to the knowledge of the Company no insolvency proceedings have been proposed, commenced or threatened against the Company or any of its subsidiaries and no judgment has 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w:t>
      </w:r>
    </w:p>
    <w:p>
      <w:pPr>
        <w:spacing w:after="0" w:line="227" w:lineRule="exact"/>
        <w:rPr>
          <w:rFonts w:ascii="Times New Roman" w:cs="Times New Roman" w:eastAsia="Times New Roman" w:hAnsi="Times New Roman"/>
          <w:sz w:val="22"/>
          <w:szCs w:val="22"/>
          <w:color w:val="auto"/>
        </w:rPr>
      </w:pPr>
    </w:p>
    <w:p>
      <w:pPr>
        <w:jc w:val="both"/>
        <w:ind w:left="2300" w:firstLine="706"/>
        <w:spacing w:after="0" w:line="234" w:lineRule="auto"/>
        <w:tabs>
          <w:tab w:leader="none" w:pos="349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17(a) not to plead or claim any such immunity in any legal action, suit or proceeding based on this Agreement is valid and binding under the laws of the Netherlands,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waiver may not be effective in relation to assets located in the Netherlands that are destined for the public service (</w:t>
      </w:r>
      <w:r>
        <w:rPr>
          <w:rFonts w:ascii="Times New Roman" w:cs="Times New Roman" w:eastAsia="Times New Roman" w:hAnsi="Times New Roman"/>
          <w:sz w:val="22"/>
          <w:szCs w:val="22"/>
          <w:i w:val="1"/>
          <w:iCs w:val="1"/>
          <w:color w:val="auto"/>
        </w:rPr>
        <w:t>goederen bestemd voor de openbare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dienst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300" w:right="20" w:firstLine="705"/>
        <w:spacing w:after="0" w:line="251" w:lineRule="auto"/>
        <w:tabs>
          <w:tab w:leader="none" w:pos="3488"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choice of law of the State of New York as the governing law of this Agreement is a valid choice of law under the laws of the Netherlands and will be recognized by the courts of the Netherlands. The Company has the power to submit, and pursuant to Section 17(a) has, to the extent permitted by law, legally, validly, effectively and irrevocably submitted, to the jurisdiction of the Specified Courts (as defined in Section 17(a)), and has the power to designate, appoint and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3" w:name="page24"/>
    <w:bookmarkEnd w:id="23"/>
    <w:p>
      <w:pPr>
        <w:jc w:val="both"/>
        <w:ind w:left="2300"/>
        <w:spacing w:after="0" w:line="244" w:lineRule="auto"/>
        <w:rPr>
          <w:sz w:val="20"/>
          <w:szCs w:val="20"/>
          <w:color w:val="auto"/>
        </w:rPr>
      </w:pPr>
      <w:r>
        <w:rPr>
          <w:rFonts w:ascii="Times New Roman" w:cs="Times New Roman" w:eastAsia="Times New Roman" w:hAnsi="Times New Roman"/>
          <w:sz w:val="22"/>
          <w:szCs w:val="22"/>
          <w:color w:val="auto"/>
        </w:rPr>
        <w:t>empower, and pursuant to Section 17(b), has legally, validly and effectively designated, appointed and empowered an agent for service of process in any suit or proceeding based on or arising under this Agreement in any of the Specified Courts.</w:t>
      </w:r>
    </w:p>
    <w:p>
      <w:pPr>
        <w:spacing w:after="0" w:line="214" w:lineRule="exact"/>
        <w:rPr>
          <w:sz w:val="20"/>
          <w:szCs w:val="20"/>
          <w:color w:val="auto"/>
        </w:rPr>
      </w:pPr>
    </w:p>
    <w:p>
      <w:pPr>
        <w:jc w:val="both"/>
        <w:ind w:left="2300" w:right="20" w:firstLine="736"/>
        <w:spacing w:after="0" w:line="238" w:lineRule="auto"/>
        <w:tabs>
          <w:tab w:leader="none" w:pos="34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interactive data in eXtensible Business Reporting Language, if any,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to the extent required.</w:t>
      </w:r>
    </w:p>
    <w:p>
      <w:pPr>
        <w:spacing w:after="0" w:line="213" w:lineRule="exact"/>
        <w:rPr>
          <w:sz w:val="20"/>
          <w:szCs w:val="20"/>
          <w:color w:val="auto"/>
        </w:rPr>
      </w:pPr>
    </w:p>
    <w:p>
      <w:pPr>
        <w:jc w:val="both"/>
        <w:ind w:left="1540" w:right="20" w:firstLine="779"/>
        <w:spacing w:after="0" w:line="237"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i w:val="1"/>
          <w:iCs w:val="1"/>
          <w:color w:val="auto"/>
        </w:rPr>
        <w:t>Agreements to Sell and Purchase.</w:t>
      </w:r>
      <w:r>
        <w:rPr>
          <w:rFonts w:ascii="Times New Roman" w:cs="Times New Roman" w:eastAsia="Times New Roman" w:hAnsi="Times New Roman"/>
          <w:sz w:val="22"/>
          <w:szCs w:val="22"/>
          <w:color w:val="auto"/>
        </w:rPr>
        <w:t xml:space="preserve"> The Company hereby agrees to issue and sell to the several Underwriters, and each Underwriter, upon the basis of the representations and warranties herein contained, but subject to the terms and conditions hereinafter stated, agrees, severally and not jointly, to purchase from the Company the respective (i) numbers of Shares set forth in Schedule I hereto opposite its name at $22.56 per Share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and (ii) the respective number of Warrants set forth in Schedule I hereto opposite its name at $22.5506 per Warrant (the “</w:t>
      </w:r>
      <w:r>
        <w:rPr>
          <w:rFonts w:ascii="Times New Roman" w:cs="Times New Roman" w:eastAsia="Times New Roman" w:hAnsi="Times New Roman"/>
          <w:sz w:val="22"/>
          <w:szCs w:val="22"/>
          <w:b w:val="1"/>
          <w:bCs w:val="1"/>
          <w:color w:val="auto"/>
        </w:rPr>
        <w:t>Warrant Purchase Price</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1540" w:right="20" w:firstLine="779"/>
        <w:spacing w:after="0" w:line="237"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i w:val="1"/>
          <w:iCs w:val="1"/>
          <w:color w:val="auto"/>
        </w:rPr>
        <w:t>Terms of Public Offering</w:t>
      </w:r>
      <w:r>
        <w:rPr>
          <w:rFonts w:ascii="Times New Roman" w:cs="Times New Roman" w:eastAsia="Times New Roman" w:hAnsi="Times New Roman"/>
          <w:sz w:val="22"/>
          <w:szCs w:val="22"/>
          <w:color w:val="auto"/>
        </w:rPr>
        <w:t>. The Company is advised by the Underwriters that they propose to make a public offering of their respective portions of the Shares as soon after the Registration Statement and this Agreement have become effective as in the Underwriters’ judgment is advisable. The Company is further advised by the Underwriters that the Shares are to be offered to the public initially at $24.00 a share (the “</w:t>
      </w:r>
      <w:r>
        <w:rPr>
          <w:rFonts w:ascii="Times New Roman" w:cs="Times New Roman" w:eastAsia="Times New Roman" w:hAnsi="Times New Roman"/>
          <w:sz w:val="22"/>
          <w:szCs w:val="22"/>
          <w:b w:val="1"/>
          <w:bCs w:val="1"/>
          <w:color w:val="auto"/>
        </w:rPr>
        <w:t>Public Offering Price</w:t>
      </w:r>
      <w:r>
        <w:rPr>
          <w:rFonts w:ascii="Times New Roman" w:cs="Times New Roman" w:eastAsia="Times New Roman" w:hAnsi="Times New Roman"/>
          <w:sz w:val="22"/>
          <w:szCs w:val="22"/>
          <w:color w:val="auto"/>
        </w:rPr>
        <w:t>”) and to certain dealers selected by the Underwriters at a price that represents a concession not in excess of $0.864 a share under the Public Offering Price.</w:t>
      </w:r>
    </w:p>
    <w:p>
      <w:pPr>
        <w:spacing w:after="0" w:line="216" w:lineRule="exact"/>
        <w:rPr>
          <w:sz w:val="20"/>
          <w:szCs w:val="20"/>
          <w:color w:val="auto"/>
        </w:rPr>
      </w:pPr>
    </w:p>
    <w:p>
      <w:pPr>
        <w:jc w:val="both"/>
        <w:ind w:left="1540" w:right="20" w:firstLine="779"/>
        <w:spacing w:after="0" w:line="237"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i w:val="1"/>
          <w:iCs w:val="1"/>
          <w:color w:val="auto"/>
        </w:rPr>
        <w:t>Payment and Delivery.</w:t>
      </w:r>
      <w:r>
        <w:rPr>
          <w:rFonts w:ascii="Times New Roman" w:cs="Times New Roman" w:eastAsia="Times New Roman" w:hAnsi="Times New Roman"/>
          <w:sz w:val="22"/>
          <w:szCs w:val="22"/>
          <w:color w:val="auto"/>
        </w:rPr>
        <w:t xml:space="preserve"> Payment for the Securities shall be made to the Company in Federal or other funds immediately available in New York City against delivery of such Securities for the respective accounts of the several Underwriters at 10:00 a.m., New York City time, on December 8, 2023, or at such other time on the same or such other date, not later than December 15, 2023 as shall be designated in writing by the Underwriters. The time and date of such payment are hereinafter referred to as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540" w:firstLine="749"/>
        <w:spacing w:after="0" w:line="236" w:lineRule="auto"/>
        <w:rPr>
          <w:sz w:val="20"/>
          <w:szCs w:val="20"/>
          <w:color w:val="auto"/>
        </w:rPr>
      </w:pPr>
      <w:r>
        <w:rPr>
          <w:rFonts w:ascii="Times New Roman" w:cs="Times New Roman" w:eastAsia="Times New Roman" w:hAnsi="Times New Roman"/>
          <w:sz w:val="22"/>
          <w:szCs w:val="22"/>
          <w:color w:val="auto"/>
        </w:rPr>
        <w:t>The Shares and the Warrants shall be registered in such names and in such denominations as the Underwriters shall request in writing not later than one full business day prior to the Closing Date. The Securities shall be delivered to the Underwriters on the Closing Date for the respective accounts of the several Underwriters, with any transfer taxes payable in connection with the transfer of the Shares to the Underwriters duly paid, against payment of the Purchase Price or Warrant Purchase Price, as applicable, therefor.</w:t>
      </w:r>
    </w:p>
    <w:p>
      <w:pPr>
        <w:spacing w:after="0" w:line="208" w:lineRule="exact"/>
        <w:rPr>
          <w:sz w:val="20"/>
          <w:szCs w:val="20"/>
          <w:color w:val="auto"/>
        </w:rPr>
      </w:pPr>
    </w:p>
    <w:p>
      <w:pPr>
        <w:jc w:val="both"/>
        <w:ind w:left="1540" w:right="20" w:firstLine="749"/>
        <w:spacing w:after="0" w:line="251" w:lineRule="auto"/>
        <w:rPr>
          <w:sz w:val="20"/>
          <w:szCs w:val="20"/>
          <w:color w:val="auto"/>
        </w:rPr>
      </w:pPr>
      <w:r>
        <w:rPr>
          <w:rFonts w:ascii="Times New Roman" w:cs="Times New Roman" w:eastAsia="Times New Roman" w:hAnsi="Times New Roman"/>
          <w:sz w:val="21"/>
          <w:szCs w:val="21"/>
          <w:color w:val="auto"/>
        </w:rPr>
        <w:t>Notwithstanding the foregoing, the Company and the Underwriters shall instruct the purchaser of the Warrants in the offering to make payment for the Warrants on the Closing Date to the Company by wire transfer in immediately available funds to the account specified by the Company of the Warrant Purchase Price, in lieu of payment by the Underwriters for such amount, and the Company shall deliver such Warrants to such purchaser on the Closing Date in definitive form against such payment, in lieu of the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4" w:name="page25"/>
    <w:bookmarkEnd w:id="24"/>
    <w:p>
      <w:pPr>
        <w:jc w:val="both"/>
        <w:ind w:left="1540" w:right="20"/>
        <w:spacing w:after="0" w:line="238" w:lineRule="auto"/>
        <w:rPr>
          <w:sz w:val="20"/>
          <w:szCs w:val="20"/>
          <w:color w:val="auto"/>
        </w:rPr>
      </w:pPr>
      <w:r>
        <w:rPr>
          <w:rFonts w:ascii="Times New Roman" w:cs="Times New Roman" w:eastAsia="Times New Roman" w:hAnsi="Times New Roman"/>
          <w:sz w:val="22"/>
          <w:szCs w:val="22"/>
          <w:color w:val="auto"/>
        </w:rPr>
        <w:t>Company’s obligation to deliver such Warrants to the Underwriters; provided that, the underwriting discounts and commissions in respect of the Warrants, as calculated by subtracting the Warrant Purchase Price from the Offering Price of Warrants set forth on Schedule II hereto, shall be deducted and withheld from the amount otherwise payable by the Underwriters to the Company for the Shares as set forth in Section 2.</w:t>
      </w:r>
    </w:p>
    <w:p>
      <w:pPr>
        <w:spacing w:after="0" w:line="217" w:lineRule="exact"/>
        <w:rPr>
          <w:sz w:val="20"/>
          <w:szCs w:val="20"/>
          <w:color w:val="auto"/>
        </w:rPr>
      </w:pPr>
    </w:p>
    <w:p>
      <w:pPr>
        <w:jc w:val="both"/>
        <w:ind w:left="1540" w:right="20" w:firstLine="749"/>
        <w:spacing w:after="0" w:line="239" w:lineRule="auto"/>
        <w:rPr>
          <w:sz w:val="20"/>
          <w:szCs w:val="20"/>
          <w:color w:val="auto"/>
        </w:rPr>
      </w:pPr>
      <w:r>
        <w:rPr>
          <w:rFonts w:ascii="Times New Roman" w:cs="Times New Roman" w:eastAsia="Times New Roman" w:hAnsi="Times New Roman"/>
          <w:sz w:val="22"/>
          <w:szCs w:val="22"/>
          <w:color w:val="auto"/>
        </w:rPr>
        <w:t>In the event that the purchasers of the Warrants in the public offering fail to make payment to the Company for all or part of the Warrants on the Closing Date, the Underwriters may elect, by written notice to the Company, to receive Ordinary Shares in lieu of all or a portion of such Warrants to be delivered to the Underwriters under this Agreement.</w:t>
      </w:r>
    </w:p>
    <w:p>
      <w:pPr>
        <w:spacing w:after="0" w:line="217" w:lineRule="exact"/>
        <w:rPr>
          <w:sz w:val="20"/>
          <w:szCs w:val="20"/>
          <w:color w:val="auto"/>
        </w:rPr>
      </w:pPr>
    </w:p>
    <w:p>
      <w:pPr>
        <w:jc w:val="both"/>
        <w:ind w:left="1540" w:right="20" w:firstLine="779"/>
        <w:spacing w:after="0" w:line="246"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i w:val="1"/>
          <w:iCs w:val="1"/>
          <w:color w:val="auto"/>
        </w:rPr>
        <w:t>Conditions to the Underwriters’ Obligations</w:t>
      </w:r>
      <w:r>
        <w:rPr>
          <w:rFonts w:ascii="Times New Roman" w:cs="Times New Roman" w:eastAsia="Times New Roman" w:hAnsi="Times New Roman"/>
          <w:sz w:val="22"/>
          <w:szCs w:val="22"/>
          <w:color w:val="auto"/>
        </w:rPr>
        <w:t>. The obligations of the Company to sell the Securities to the Underwriters and the several obligations of the Underwriters to purchase and pay for the Securities on the Closing Date are subject to the following conditions:</w:t>
      </w:r>
    </w:p>
    <w:p>
      <w:pPr>
        <w:spacing w:after="0" w:line="19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(a) Subsequent to the execution and delivery of this Agreement and prior to the Closing</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w:t>
      </w:r>
    </w:p>
    <w:p>
      <w:pPr>
        <w:spacing w:after="0" w:line="223" w:lineRule="exact"/>
        <w:rPr>
          <w:sz w:val="20"/>
          <w:szCs w:val="20"/>
          <w:color w:val="auto"/>
        </w:rPr>
      </w:pPr>
    </w:p>
    <w:p>
      <w:pPr>
        <w:jc w:val="both"/>
        <w:ind w:left="3120" w:right="20" w:firstLine="956"/>
        <w:spacing w:after="0" w:line="244" w:lineRule="auto"/>
        <w:tabs>
          <w:tab w:leader="none" w:pos="449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213" w:lineRule="exact"/>
        <w:rPr>
          <w:rFonts w:ascii="Times New Roman" w:cs="Times New Roman" w:eastAsia="Times New Roman" w:hAnsi="Times New Roman"/>
          <w:sz w:val="22"/>
          <w:szCs w:val="22"/>
          <w:color w:val="auto"/>
        </w:rPr>
      </w:pPr>
    </w:p>
    <w:p>
      <w:pPr>
        <w:jc w:val="both"/>
        <w:ind w:left="3120" w:firstLine="896"/>
        <w:spacing w:after="0" w:line="235" w:lineRule="auto"/>
        <w:tabs>
          <w:tab w:leader="none" w:pos="449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Underwriters’ judgment, is material and adverse and that makes it, in the Underwriters’ judgment, impracticable to market the Securities on the terms and in the manner contemplated in the Time of Sale Prospectus.</w:t>
      </w:r>
    </w:p>
    <w:p>
      <w:pPr>
        <w:spacing w:after="0" w:line="210" w:lineRule="exact"/>
        <w:rPr>
          <w:rFonts w:ascii="Times New Roman" w:cs="Times New Roman" w:eastAsia="Times New Roman" w:hAnsi="Times New Roman"/>
          <w:sz w:val="22"/>
          <w:szCs w:val="22"/>
          <w:color w:val="auto"/>
        </w:rPr>
      </w:pPr>
    </w:p>
    <w:p>
      <w:pPr>
        <w:jc w:val="both"/>
        <w:ind w:left="2300" w:firstLine="817"/>
        <w:spacing w:after="0" w:line="236" w:lineRule="auto"/>
        <w:tabs>
          <w:tab w:leader="none" w:pos="34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222" w:lineRule="exact"/>
        <w:rPr>
          <w:sz w:val="20"/>
          <w:szCs w:val="20"/>
          <w:color w:val="auto"/>
        </w:rPr>
      </w:pPr>
    </w:p>
    <w:p>
      <w:pPr>
        <w:ind w:left="1540" w:right="20" w:firstLine="749"/>
        <w:spacing w:after="0" w:line="258" w:lineRule="auto"/>
        <w:rPr>
          <w:sz w:val="20"/>
          <w:szCs w:val="20"/>
          <w:color w:val="auto"/>
        </w:rPr>
      </w:pPr>
      <w:r>
        <w:rPr>
          <w:rFonts w:ascii="Times New Roman" w:cs="Times New Roman" w:eastAsia="Times New Roman" w:hAnsi="Times New Roman"/>
          <w:sz w:val="22"/>
          <w:szCs w:val="22"/>
          <w:color w:val="auto"/>
        </w:rPr>
        <w:t>The officer signing and delivering such certificate may rely upon the best of his or her knowledge as to proceedings threatened.</w:t>
      </w:r>
    </w:p>
    <w:p>
      <w:pPr>
        <w:spacing w:after="0" w:line="199" w:lineRule="exact"/>
        <w:rPr>
          <w:sz w:val="20"/>
          <w:szCs w:val="20"/>
          <w:color w:val="auto"/>
        </w:rPr>
      </w:pPr>
    </w:p>
    <w:p>
      <w:pPr>
        <w:ind w:left="2300" w:right="20" w:firstLine="833"/>
        <w:spacing w:after="0" w:line="258" w:lineRule="auto"/>
        <w:tabs>
          <w:tab w:leader="none" w:pos="348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(i) an opinion and (ii) a negative assurance letter of Kirkland &amp; Ellis LLP,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5" w:name="page26"/>
    <w:bookmarkEnd w:id="25"/>
    <w:p>
      <w:pPr>
        <w:ind w:left="2300"/>
        <w:spacing w:after="0" w:line="258" w:lineRule="auto"/>
        <w:rPr>
          <w:sz w:val="20"/>
          <w:szCs w:val="20"/>
          <w:color w:val="auto"/>
        </w:rPr>
      </w:pPr>
      <w:r>
        <w:rPr>
          <w:rFonts w:ascii="Times New Roman" w:cs="Times New Roman" w:eastAsia="Times New Roman" w:hAnsi="Times New Roman"/>
          <w:sz w:val="22"/>
          <w:szCs w:val="22"/>
          <w:color w:val="auto"/>
        </w:rPr>
        <w:t>counsel to the Company, dated the Closing Date, in form and substance reasonably satisfactory to the Underwriters.</w:t>
      </w:r>
    </w:p>
    <w:p>
      <w:pPr>
        <w:spacing w:after="0" w:line="199" w:lineRule="exact"/>
        <w:rPr>
          <w:sz w:val="20"/>
          <w:szCs w:val="20"/>
          <w:color w:val="auto"/>
        </w:rPr>
      </w:pPr>
    </w:p>
    <w:p>
      <w:pPr>
        <w:jc w:val="both"/>
        <w:ind w:left="2300" w:right="220" w:firstLine="817"/>
        <w:spacing w:after="0" w:line="244" w:lineRule="auto"/>
        <w:tabs>
          <w:tab w:leader="none" w:pos="34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an opinion of NautaDutilh N.V., Dutch counsel to the Company, dated the Closing Date, in form and substance reasonably satisfactory to the Underwriters.</w:t>
      </w:r>
    </w:p>
    <w:p>
      <w:pPr>
        <w:spacing w:after="0" w:line="213" w:lineRule="exact"/>
        <w:rPr>
          <w:rFonts w:ascii="Times New Roman" w:cs="Times New Roman" w:eastAsia="Times New Roman" w:hAnsi="Times New Roman"/>
          <w:sz w:val="22"/>
          <w:szCs w:val="22"/>
          <w:color w:val="auto"/>
        </w:rPr>
      </w:pPr>
    </w:p>
    <w:p>
      <w:pPr>
        <w:jc w:val="both"/>
        <w:ind w:left="2300" w:right="220" w:firstLine="833"/>
        <w:spacing w:after="0" w:line="244" w:lineRule="auto"/>
        <w:tabs>
          <w:tab w:leader="none" w:pos="348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an opinion of Paustian &amp; Partner, intellectual property counsel for the Company, dated the Closing Date, in form and substance reasonably satisfactory to the Underwriters.</w:t>
      </w:r>
    </w:p>
    <w:p>
      <w:pPr>
        <w:spacing w:after="0" w:line="200" w:lineRule="exact"/>
        <w:rPr>
          <w:rFonts w:ascii="Times New Roman" w:cs="Times New Roman" w:eastAsia="Times New Roman" w:hAnsi="Times New Roman"/>
          <w:sz w:val="22"/>
          <w:szCs w:val="22"/>
          <w:color w:val="auto"/>
        </w:rPr>
      </w:pPr>
    </w:p>
    <w:p>
      <w:pPr>
        <w:jc w:val="both"/>
        <w:ind w:left="2300" w:right="220" w:firstLine="862"/>
        <w:spacing w:after="0" w:line="244" w:lineRule="auto"/>
        <w:tabs>
          <w:tab w:leader="none" w:pos="34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an opinion and negative assurance letter of Sidley Austin LLP, counsel for the Underwriters, dated the Closing Date, in form and substance reasonably satisfactory to the Underwriters.</w:t>
      </w:r>
    </w:p>
    <w:p>
      <w:pPr>
        <w:spacing w:after="0" w:line="213" w:lineRule="exact"/>
        <w:rPr>
          <w:rFonts w:ascii="Times New Roman" w:cs="Times New Roman" w:eastAsia="Times New Roman" w:hAnsi="Times New Roman"/>
          <w:sz w:val="22"/>
          <w:szCs w:val="22"/>
          <w:color w:val="auto"/>
        </w:rPr>
      </w:pPr>
    </w:p>
    <w:p>
      <w:pPr>
        <w:jc w:val="both"/>
        <w:ind w:left="2300" w:right="220" w:firstLine="817"/>
        <w:spacing w:after="0" w:line="244" w:lineRule="auto"/>
        <w:tabs>
          <w:tab w:leader="none" w:pos="34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the Closing Date an opinion of Loyens &amp; Loeff N.V., Dutch counsel for the Underwriters, dated the Closing Date, in form and substance reasonably satisfactory to the Underwriters.</w:t>
      </w:r>
    </w:p>
    <w:p>
      <w:pPr>
        <w:spacing w:after="0" w:line="214" w:lineRule="exact"/>
        <w:rPr>
          <w:sz w:val="20"/>
          <w:szCs w:val="20"/>
          <w:color w:val="auto"/>
        </w:rPr>
      </w:pPr>
    </w:p>
    <w:p>
      <w:pPr>
        <w:jc w:val="both"/>
        <w:ind w:left="1540" w:right="220" w:firstLine="749"/>
        <w:spacing w:after="0" w:line="238" w:lineRule="auto"/>
        <w:rPr>
          <w:sz w:val="20"/>
          <w:szCs w:val="20"/>
          <w:color w:val="auto"/>
        </w:rPr>
      </w:pPr>
      <w:r>
        <w:rPr>
          <w:rFonts w:ascii="Times New Roman" w:cs="Times New Roman" w:eastAsia="Times New Roman" w:hAnsi="Times New Roman"/>
          <w:sz w:val="22"/>
          <w:szCs w:val="22"/>
          <w:color w:val="auto"/>
        </w:rPr>
        <w:t>With respect to Sections 5(c) and 5(f) above, Kirkland &amp; Ellis LLP and Sidley Austin LLP may state that their opinions and beliefs are based upon their participation in the preparation of the Registration Statement, the Pricing Prospectus, the Time of Sale Prospectus and the Prospectus and any amendments or supplements thereto and review and discussion of the contents thereof, but are without independent check or verification, except as specified therein.</w:t>
      </w:r>
    </w:p>
    <w:p>
      <w:pPr>
        <w:spacing w:after="0" w:line="204" w:lineRule="exact"/>
        <w:rPr>
          <w:sz w:val="20"/>
          <w:szCs w:val="20"/>
          <w:color w:val="auto"/>
        </w:rPr>
      </w:pPr>
    </w:p>
    <w:p>
      <w:pPr>
        <w:jc w:val="both"/>
        <w:ind w:left="2300" w:right="220" w:firstLine="817"/>
        <w:spacing w:after="0" w:line="238" w:lineRule="auto"/>
        <w:tabs>
          <w:tab w:leader="none" w:pos="34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on each of the date hereof and the Closing Date, a certificate dated the date hereof or the Closing Date, as the case may be, in form and substance reasonably satisfactory to the Underwriters, from the Chief Executive Officer of the Company as to the accuracy of certain financial and other information included in the Registration Statement, the Time of Sale Prospectus and the Prospectus.</w:t>
      </w:r>
    </w:p>
    <w:p>
      <w:pPr>
        <w:spacing w:after="0" w:line="217" w:lineRule="exact"/>
        <w:rPr>
          <w:rFonts w:ascii="Times New Roman" w:cs="Times New Roman" w:eastAsia="Times New Roman" w:hAnsi="Times New Roman"/>
          <w:sz w:val="22"/>
          <w:szCs w:val="22"/>
          <w:color w:val="auto"/>
        </w:rPr>
      </w:pPr>
    </w:p>
    <w:p>
      <w:pPr>
        <w:jc w:val="both"/>
        <w:ind w:left="2300" w:right="220" w:firstLine="877"/>
        <w:spacing w:after="0" w:line="235" w:lineRule="auto"/>
        <w:tabs>
          <w:tab w:leader="none" w:pos="348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Underwriters shall have received, on each of the date hereof and the Closing Date, a letter dated the date hereof or the Closing Date, as the case may be, in form and substance satisfactory to the Underwriters, from PricewaterhouseCoopers Accountants N.V.,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letter delivered on the Closing Date shall use a “cut-off date” not earlier than the date hereof.</w:t>
      </w:r>
    </w:p>
    <w:p>
      <w:pPr>
        <w:spacing w:after="0" w:line="178" w:lineRule="exact"/>
        <w:rPr>
          <w:rFonts w:ascii="Times New Roman" w:cs="Times New Roman" w:eastAsia="Times New Roman" w:hAnsi="Times New Roman"/>
          <w:sz w:val="22"/>
          <w:szCs w:val="22"/>
          <w:color w:val="auto"/>
        </w:rPr>
      </w:pPr>
    </w:p>
    <w:p>
      <w:pPr>
        <w:ind w:left="2300" w:right="840" w:firstLine="877"/>
        <w:spacing w:after="0" w:line="258" w:lineRule="auto"/>
        <w:tabs>
          <w:tab w:leader="none" w:pos="348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“lock-up” agreements, each substantially in the form of Exhibit A hereto, between the Underwriters and certain shareholders, officers and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396" w:right="459" w:bottom="1440" w:gutter="0" w:footer="0" w:header="0"/>
        </w:sectPr>
      </w:pPr>
    </w:p>
    <w:bookmarkStart w:id="26" w:name="page27"/>
    <w:bookmarkEnd w:id="26"/>
    <w:p>
      <w:pPr>
        <w:jc w:val="both"/>
        <w:ind w:left="2300" w:right="20"/>
        <w:spacing w:after="0" w:line="244" w:lineRule="auto"/>
        <w:rPr>
          <w:sz w:val="20"/>
          <w:szCs w:val="20"/>
          <w:color w:val="auto"/>
        </w:rPr>
      </w:pPr>
      <w:r>
        <w:rPr>
          <w:rFonts w:ascii="Times New Roman" w:cs="Times New Roman" w:eastAsia="Times New Roman" w:hAnsi="Times New Roman"/>
          <w:sz w:val="22"/>
          <w:szCs w:val="22"/>
          <w:color w:val="auto"/>
        </w:rPr>
        <w:t>of the Company relating to sales and certain other dispositions of Ordinary Shares or certain other securities, delivered to the Underwriters on or before the date hereof, shall be in full force and effect on the Closing Date.</w:t>
      </w:r>
    </w:p>
    <w:p>
      <w:pPr>
        <w:spacing w:after="0" w:line="214" w:lineRule="exact"/>
        <w:rPr>
          <w:sz w:val="20"/>
          <w:szCs w:val="20"/>
          <w:color w:val="auto"/>
        </w:rPr>
      </w:pPr>
    </w:p>
    <w:p>
      <w:pPr>
        <w:ind w:left="2300" w:right="560" w:firstLine="817"/>
        <w:spacing w:after="0" w:line="258" w:lineRule="auto"/>
        <w:tabs>
          <w:tab w:leader="none" w:pos="348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shall have received a form of Warrant in form and substance reasonably acceptable to the Underwriters.</w:t>
      </w:r>
    </w:p>
    <w:p>
      <w:pPr>
        <w:spacing w:after="0" w:line="19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i w:val="1"/>
          <w:iCs w:val="1"/>
          <w:color w:val="auto"/>
        </w:rPr>
        <w:t>Covenants of the Company</w:t>
      </w:r>
      <w:r>
        <w:rPr>
          <w:rFonts w:ascii="Times New Roman" w:cs="Times New Roman" w:eastAsia="Times New Roman" w:hAnsi="Times New Roman"/>
          <w:sz w:val="22"/>
          <w:szCs w:val="22"/>
          <w:color w:val="auto"/>
        </w:rPr>
        <w:t>. The Company covenants with each Underwriter as follows:</w:t>
      </w:r>
    </w:p>
    <w:p>
      <w:pPr>
        <w:spacing w:after="0" w:line="210" w:lineRule="exact"/>
        <w:rPr>
          <w:sz w:val="20"/>
          <w:szCs w:val="20"/>
          <w:color w:val="auto"/>
        </w:rPr>
      </w:pPr>
    </w:p>
    <w:p>
      <w:pPr>
        <w:jc w:val="both"/>
        <w:ind w:left="2300" w:right="20" w:firstLine="833"/>
        <w:spacing w:after="0" w:line="246" w:lineRule="auto"/>
        <w:tabs>
          <w:tab w:leader="none" w:pos="348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furnish to the Underwriters, without charge, conformed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Underwriters in New York City, without charge, prior to 10:00 a.m. New York City time on the business day next succeeding the date of this Agreement and during the period mentioned in Section 6(e) or 6(f) below, as many copies of the Pricing Prospectus, the Time of Sale Prospectus, the Prospectus, any documents incorporated by reference therein, and any supplements and amendments thereto or to the Registration Statement as the Underwriters may reasonably request.</w:t>
      </w:r>
    </w:p>
    <w:p>
      <w:pPr>
        <w:spacing w:after="0" w:line="202" w:lineRule="exact"/>
        <w:rPr>
          <w:rFonts w:ascii="Times New Roman" w:cs="Times New Roman" w:eastAsia="Times New Roman" w:hAnsi="Times New Roman"/>
          <w:sz w:val="21"/>
          <w:szCs w:val="21"/>
          <w:color w:val="auto"/>
        </w:rPr>
      </w:pPr>
    </w:p>
    <w:p>
      <w:pPr>
        <w:jc w:val="both"/>
        <w:ind w:left="2300" w:firstLine="817"/>
        <w:spacing w:after="0" w:line="236" w:lineRule="auto"/>
        <w:tabs>
          <w:tab w:leader="none" w:pos="348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amending or supplementing the Registration Statement, the Pricing Prospectus, the Time of Sale Prospectus or the Prospectus, to furnish to the Underwriters a copy of each such proposed amendment or supplement and not to file any such proposed amendment or supplement to which the Underwriters reasonably object, and to file with the Commission within the applicable period specified in Rule 424(b) under the Securities Act any prospectus required to be filed pursuant to such Rule.</w:t>
      </w:r>
    </w:p>
    <w:p>
      <w:pPr>
        <w:spacing w:after="0" w:line="221" w:lineRule="exact"/>
        <w:rPr>
          <w:rFonts w:ascii="Times New Roman" w:cs="Times New Roman" w:eastAsia="Times New Roman" w:hAnsi="Times New Roman"/>
          <w:sz w:val="22"/>
          <w:szCs w:val="22"/>
          <w:color w:val="auto"/>
        </w:rPr>
      </w:pPr>
    </w:p>
    <w:p>
      <w:pPr>
        <w:jc w:val="both"/>
        <w:ind w:left="2300" w:right="20" w:firstLine="833"/>
        <w:spacing w:after="0" w:line="244" w:lineRule="auto"/>
        <w:tabs>
          <w:tab w:leader="none" w:pos="34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furnish to the Underwriters a copy of each proposed free writing prospectus to be prepared by or on behalf of, used by, or referred to by the Company and not to use or refer to any proposed free writing prospectus to which the Underwriters reasonably object.</w:t>
      </w:r>
    </w:p>
    <w:p>
      <w:pPr>
        <w:spacing w:after="0" w:line="213" w:lineRule="exact"/>
        <w:rPr>
          <w:rFonts w:ascii="Times New Roman" w:cs="Times New Roman" w:eastAsia="Times New Roman" w:hAnsi="Times New Roman"/>
          <w:sz w:val="22"/>
          <w:szCs w:val="22"/>
          <w:color w:val="auto"/>
        </w:rPr>
      </w:pPr>
    </w:p>
    <w:p>
      <w:pPr>
        <w:jc w:val="both"/>
        <w:ind w:left="2300" w:right="20" w:firstLine="817"/>
        <w:spacing w:after="0" w:line="239" w:lineRule="auto"/>
        <w:tabs>
          <w:tab w:leader="none" w:pos="348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207" w:lineRule="exact"/>
        <w:rPr>
          <w:rFonts w:ascii="Times New Roman" w:cs="Times New Roman" w:eastAsia="Times New Roman" w:hAnsi="Times New Roman"/>
          <w:sz w:val="22"/>
          <w:szCs w:val="22"/>
          <w:color w:val="auto"/>
        </w:rPr>
      </w:pPr>
    </w:p>
    <w:p>
      <w:pPr>
        <w:jc w:val="both"/>
        <w:ind w:left="2300" w:right="20" w:firstLine="833"/>
        <w:spacing w:after="0" w:line="251" w:lineRule="auto"/>
        <w:tabs>
          <w:tab w:leader="none" w:pos="348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7" w:name="page28"/>
    <w:bookmarkEnd w:id="27"/>
    <w:p>
      <w:pPr>
        <w:jc w:val="both"/>
        <w:ind w:left="2300"/>
        <w:spacing w:after="0" w:line="234" w:lineRule="auto"/>
        <w:rPr>
          <w:sz w:val="20"/>
          <w:szCs w:val="20"/>
          <w:color w:val="auto"/>
        </w:rPr>
      </w:pPr>
      <w:r>
        <w:rPr>
          <w:rFonts w:ascii="Times New Roman" w:cs="Times New Roman" w:eastAsia="Times New Roman" w:hAnsi="Times New Roman"/>
          <w:sz w:val="22"/>
          <w:szCs w:val="22"/>
          <w:color w:val="auto"/>
        </w:rPr>
        <w:t>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220" w:lineRule="exact"/>
        <w:rPr>
          <w:sz w:val="20"/>
          <w:szCs w:val="20"/>
          <w:color w:val="auto"/>
        </w:rPr>
      </w:pPr>
    </w:p>
    <w:p>
      <w:pPr>
        <w:jc w:val="both"/>
        <w:ind w:left="2300" w:firstLine="862"/>
        <w:spacing w:after="0" w:line="244" w:lineRule="auto"/>
        <w:tabs>
          <w:tab w:leader="none" w:pos="348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such period after the first date of the public offering of the Securities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Underwriters will furnish to the Company) to which Securities may have been sold by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200" w:lineRule="exact"/>
        <w:rPr>
          <w:rFonts w:ascii="Times New Roman" w:cs="Times New Roman" w:eastAsia="Times New Roman" w:hAnsi="Times New Roman"/>
          <w:sz w:val="21"/>
          <w:szCs w:val="21"/>
          <w:color w:val="auto"/>
        </w:rPr>
      </w:pPr>
    </w:p>
    <w:p>
      <w:pPr>
        <w:spacing w:after="0" w:line="261" w:lineRule="exact"/>
        <w:rPr>
          <w:rFonts w:ascii="Times New Roman" w:cs="Times New Roman" w:eastAsia="Times New Roman" w:hAnsi="Times New Roman"/>
          <w:sz w:val="21"/>
          <w:szCs w:val="21"/>
          <w:color w:val="auto"/>
        </w:rPr>
      </w:pPr>
    </w:p>
    <w:p>
      <w:pPr>
        <w:jc w:val="both"/>
        <w:ind w:left="2300" w:right="20" w:firstLine="817"/>
        <w:spacing w:after="0" w:line="236" w:lineRule="auto"/>
        <w:tabs>
          <w:tab w:leader="none" w:pos="34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endeavor to qualify the Securities for offer and sale under the securities or Blue Sky laws of such jurisdictions as the Underwriters shall reasonably request;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in no event shall the Company be obligated to qualify to do business in any jurisdiction where it is not now so qualified or to take any action that would subject it to service of process in suits, other than those arising out of the offering or sale of the Securities, or taxation in any jurisdiction where it is not now so subject.</w:t>
      </w:r>
    </w:p>
    <w:p>
      <w:pPr>
        <w:spacing w:after="0" w:line="208" w:lineRule="exact"/>
        <w:rPr>
          <w:rFonts w:ascii="Times New Roman" w:cs="Times New Roman" w:eastAsia="Times New Roman" w:hAnsi="Times New Roman"/>
          <w:sz w:val="22"/>
          <w:szCs w:val="22"/>
          <w:color w:val="auto"/>
        </w:rPr>
      </w:pPr>
    </w:p>
    <w:p>
      <w:pPr>
        <w:jc w:val="both"/>
        <w:ind w:left="2300" w:firstLine="817"/>
        <w:spacing w:after="0" w:line="238" w:lineRule="auto"/>
        <w:tabs>
          <w:tab w:leader="none" w:pos="34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generally available to the Company’s security holders and to the Underwriters as soon as practicable an earnings statement (which may satisfied by the Company filing its Annual Report on Form 20-F with the Commission) covering a period of at least twelve months beginning with the first fiscal quarter of the Company occurring after the date of this Agreement which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28" w:name="page29"/>
    <w:bookmarkEnd w:id="28"/>
    <w:p>
      <w:pPr>
        <w:ind w:left="2300"/>
        <w:spacing w:after="0" w:line="258" w:lineRule="auto"/>
        <w:rPr>
          <w:sz w:val="20"/>
          <w:szCs w:val="20"/>
          <w:color w:val="auto"/>
        </w:rPr>
      </w:pPr>
      <w:r>
        <w:rPr>
          <w:rFonts w:ascii="Times New Roman" w:cs="Times New Roman" w:eastAsia="Times New Roman" w:hAnsi="Times New Roman"/>
          <w:sz w:val="22"/>
          <w:szCs w:val="22"/>
          <w:color w:val="auto"/>
        </w:rPr>
        <w:t>shall satisfy the provisions of Section 11(a) of the Securities Act and the rules and regulations of the Commission thereunder.</w:t>
      </w:r>
    </w:p>
    <w:p>
      <w:pPr>
        <w:spacing w:after="0" w:line="199" w:lineRule="exact"/>
        <w:rPr>
          <w:sz w:val="20"/>
          <w:szCs w:val="20"/>
          <w:color w:val="auto"/>
        </w:rPr>
      </w:pPr>
    </w:p>
    <w:p>
      <w:pPr>
        <w:jc w:val="both"/>
        <w:ind w:left="2300" w:right="100" w:firstLine="877"/>
        <w:spacing w:after="0" w:line="242" w:lineRule="auto"/>
        <w:tabs>
          <w:tab w:leader="none" w:pos="348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the Pricing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as contemplated by this Agreement, including any transfer or other similar documentary taxes payable thereon, (iii) the reasonable and documented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Securities by FINRA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that </w:t>
      </w:r>
      <w:r>
        <w:rPr>
          <w:rFonts w:ascii="Times New Roman" w:cs="Times New Roman" w:eastAsia="Times New Roman" w:hAnsi="Times New Roman"/>
          <w:sz w:val="21"/>
          <w:szCs w:val="21"/>
          <w:color w:val="auto"/>
        </w:rPr>
        <w:t>the amount payable by the Company with respect to the fees and disbursements of counsel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Underwriters incurred pursuant to subsections (iii) and (iv) of this Section 6(i) shall not exceed $15,000 in the aggregate, (v) all costs and expenses incident to listing the Shares on the NASDAQ Global Market, (vi) the costs and charges of any transfer agent, registrar or depositary,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Underwriters and officers of the Company and any such consultants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50% of the cost of any aircraft chartered in connection with the road show shall be paid by the Underwriters and 50% of the cost of any aircraft chartered in connection with the road show shall be paid by the Company), (viii) the document production charges and expenses associated with printing this Agreement, (ix) the costs of reproducing and distributing each of the Warrants and</w:t>
      </w:r>
    </w:p>
    <w:p>
      <w:pPr>
        <w:spacing w:after="0" w:line="250" w:lineRule="exact"/>
        <w:rPr>
          <w:rFonts w:ascii="Times New Roman" w:cs="Times New Roman" w:eastAsia="Times New Roman" w:hAnsi="Times New Roman"/>
          <w:sz w:val="21"/>
          <w:szCs w:val="21"/>
          <w:color w:val="auto"/>
        </w:rPr>
      </w:pPr>
    </w:p>
    <w:p>
      <w:pPr>
        <w:jc w:val="both"/>
        <w:ind w:left="2300" w:right="120" w:hanging="1"/>
        <w:spacing w:after="0" w:line="235" w:lineRule="auto"/>
        <w:tabs>
          <w:tab w:leader="none" w:pos="263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costs and expenses incident to the performance of the obligations of the Company hereunder for which provision is not otherwise made in this Section. It is understood, however, that except as provided in this Section, Section 8 entitled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396" w:right="559" w:bottom="1440" w:gutter="0" w:footer="0" w:header="0"/>
        </w:sectPr>
      </w:pPr>
    </w:p>
    <w:bookmarkStart w:id="29" w:name="page30"/>
    <w:bookmarkEnd w:id="29"/>
    <w:p>
      <w:pPr>
        <w:jc w:val="both"/>
        <w:ind w:left="2300" w:right="20"/>
        <w:spacing w:after="0" w:line="239" w:lineRule="auto"/>
        <w:rPr>
          <w:sz w:val="20"/>
          <w:szCs w:val="20"/>
          <w:color w:val="auto"/>
        </w:rPr>
      </w:pPr>
      <w:r>
        <w:rPr>
          <w:rFonts w:ascii="Times New Roman" w:cs="Times New Roman" w:eastAsia="Times New Roman" w:hAnsi="Times New Roman"/>
          <w:sz w:val="22"/>
          <w:szCs w:val="22"/>
          <w:color w:val="auto"/>
        </w:rPr>
        <w:t>“Indemnity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221" w:lineRule="exact"/>
        <w:rPr>
          <w:sz w:val="20"/>
          <w:szCs w:val="20"/>
          <w:color w:val="auto"/>
        </w:rPr>
      </w:pPr>
    </w:p>
    <w:p>
      <w:pPr>
        <w:jc w:val="both"/>
        <w:ind w:left="2300" w:right="20" w:firstLine="877"/>
        <w:spacing w:after="0" w:line="239" w:lineRule="auto"/>
        <w:tabs>
          <w:tab w:leader="none" w:pos="348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promptly notify the Underwriters if the Company ceases to be an Emerging Growth Company at any time prior to the later of (i) completion of the distribution of the Securities within the meaning of the Securities Act and (ii) completion of the Restricted Period (as defined in this Section 6).</w:t>
      </w:r>
    </w:p>
    <w:p>
      <w:pPr>
        <w:spacing w:after="0" w:line="220" w:lineRule="exact"/>
        <w:rPr>
          <w:rFonts w:ascii="Times New Roman" w:cs="Times New Roman" w:eastAsia="Times New Roman" w:hAnsi="Times New Roman"/>
          <w:sz w:val="22"/>
          <w:szCs w:val="22"/>
          <w:color w:val="auto"/>
        </w:rPr>
      </w:pPr>
    </w:p>
    <w:p>
      <w:pPr>
        <w:jc w:val="both"/>
        <w:ind w:left="2300" w:firstLine="817"/>
        <w:spacing w:after="0" w:line="247" w:lineRule="auto"/>
        <w:tabs>
          <w:tab w:leader="none" w:pos="348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Testing-the-Waters Communication to eliminate or correct such untrue statement or omission.</w:t>
      </w:r>
    </w:p>
    <w:p>
      <w:pPr>
        <w:spacing w:after="0" w:line="198" w:lineRule="exact"/>
        <w:rPr>
          <w:rFonts w:ascii="Times New Roman" w:cs="Times New Roman" w:eastAsia="Times New Roman" w:hAnsi="Times New Roman"/>
          <w:sz w:val="21"/>
          <w:szCs w:val="21"/>
          <w:color w:val="auto"/>
        </w:rPr>
      </w:pPr>
    </w:p>
    <w:p>
      <w:pPr>
        <w:ind w:left="3800" w:hanging="622"/>
        <w:spacing w:after="0"/>
        <w:tabs>
          <w:tab w:leader="none" w:pos="38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7" w:lineRule="exact"/>
        <w:rPr>
          <w:sz w:val="20"/>
          <w:szCs w:val="20"/>
          <w:color w:val="auto"/>
        </w:rPr>
      </w:pPr>
    </w:p>
    <w:p>
      <w:pPr>
        <w:jc w:val="both"/>
        <w:ind w:left="2300" w:right="20" w:firstLine="757"/>
        <w:spacing w:after="0" w:line="234" w:lineRule="auto"/>
        <w:tabs>
          <w:tab w:leader="none" w:pos="348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and shall indemnify and hold the Underwriters harmless against, any stamp, issue, registration, transfer, or other similar documentary taxes or duties (other than taxes or duties imposed on the net income of the Underwriters) imposed under the laws of the Netherlands or any political sub-division or taxing authority thereof or therein having the power to tax that is payable in connection with (i) the execution, delivery, consummation or enforcement of this Agreement, (ii) the creation, allotment and issuance of the Securities, (iii) the sale and delivery of the Securities to the Underwriters or purchasers procured by the Underwriters, or (iv) the resale and delivery of the Securities by the Underwriters, in each case in the manner contemplated herein.</w:t>
      </w:r>
    </w:p>
    <w:p>
      <w:pPr>
        <w:spacing w:after="0" w:line="223" w:lineRule="exact"/>
        <w:rPr>
          <w:rFonts w:ascii="Times New Roman" w:cs="Times New Roman" w:eastAsia="Times New Roman" w:hAnsi="Times New Roman"/>
          <w:sz w:val="22"/>
          <w:szCs w:val="22"/>
          <w:color w:val="auto"/>
        </w:rPr>
      </w:pPr>
    </w:p>
    <w:p>
      <w:pPr>
        <w:jc w:val="both"/>
        <w:ind w:left="2300" w:firstLine="817"/>
        <w:spacing w:after="0" w:line="236" w:lineRule="auto"/>
        <w:tabs>
          <w:tab w:leader="none" w:pos="348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of commissions, costs and expenses payable by the Company to the Underwriters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208" w:lineRule="exact"/>
        <w:rPr>
          <w:rFonts w:ascii="Times New Roman" w:cs="Times New Roman" w:eastAsia="Times New Roman" w:hAnsi="Times New Roman"/>
          <w:sz w:val="22"/>
          <w:szCs w:val="22"/>
          <w:color w:val="auto"/>
        </w:rPr>
      </w:pPr>
    </w:p>
    <w:p>
      <w:pPr>
        <w:jc w:val="both"/>
        <w:ind w:left="2300" w:right="20" w:firstLine="817"/>
        <w:spacing w:after="0" w:line="239" w:lineRule="auto"/>
        <w:tabs>
          <w:tab w:leader="none" w:pos="348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payable to an Underwriter shall be considered exclusive of any value added or similar taxes unless otherwise provided in this Agreement. Where the Company is obliged to pay value added or similar tax on any amount payable hereunder to an Underwriter, the Company shall in addition to the sum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0" w:name="page31"/>
    <w:bookmarkEnd w:id="30"/>
    <w:p>
      <w:pPr>
        <w:jc w:val="both"/>
        <w:ind w:left="2300"/>
        <w:spacing w:after="0" w:line="244" w:lineRule="auto"/>
        <w:rPr>
          <w:sz w:val="20"/>
          <w:szCs w:val="20"/>
          <w:color w:val="auto"/>
        </w:rPr>
      </w:pPr>
      <w:r>
        <w:rPr>
          <w:rFonts w:ascii="Times New Roman" w:cs="Times New Roman" w:eastAsia="Times New Roman" w:hAnsi="Times New Roman"/>
          <w:sz w:val="22"/>
          <w:szCs w:val="22"/>
          <w:color w:val="auto"/>
        </w:rPr>
        <w:t>payable hereunder pay upon receipt of a proper value added tax invoice issued by the relevant Underwriter an amount equal to any applicable value added or similar tax to the extent the Company has not otherwise made such payment of value added or similar taxes directly.</w:t>
      </w:r>
    </w:p>
    <w:p>
      <w:pPr>
        <w:spacing w:after="0" w:line="214" w:lineRule="exact"/>
        <w:rPr>
          <w:sz w:val="20"/>
          <w:szCs w:val="20"/>
          <w:color w:val="auto"/>
        </w:rPr>
      </w:pPr>
    </w:p>
    <w:p>
      <w:pPr>
        <w:jc w:val="both"/>
        <w:ind w:left="2300" w:right="20" w:firstLine="817"/>
        <w:spacing w:after="0" w:line="238" w:lineRule="auto"/>
        <w:tabs>
          <w:tab w:leader="none" w:pos="348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while any Warrants are outstanding, to reserve and keep available out of the aggregate of its authorized but unissued and otherwise unreserved Ordinary Shares, solely for the purpose of enabling it to issue Warrant Shares upon exercise of such Warrants, the number of Warrant Shares that are initially issuable and deliverable upon the exercise of the then-outstanding Warrants.</w:t>
      </w:r>
    </w:p>
    <w:p>
      <w:pPr>
        <w:spacing w:after="0" w:line="217" w:lineRule="exact"/>
        <w:rPr>
          <w:sz w:val="20"/>
          <w:szCs w:val="20"/>
          <w:color w:val="auto"/>
        </w:rPr>
      </w:pPr>
    </w:p>
    <w:p>
      <w:pPr>
        <w:jc w:val="both"/>
        <w:ind w:left="1540" w:firstLine="749"/>
        <w:spacing w:after="0" w:line="238" w:lineRule="auto"/>
        <w:rPr>
          <w:sz w:val="20"/>
          <w:szCs w:val="20"/>
          <w:color w:val="auto"/>
        </w:rPr>
      </w:pPr>
      <w:r>
        <w:rPr>
          <w:rFonts w:ascii="Times New Roman" w:cs="Times New Roman" w:eastAsia="Times New Roman" w:hAnsi="Times New Roman"/>
          <w:sz w:val="22"/>
          <w:szCs w:val="22"/>
          <w:color w:val="auto"/>
        </w:rPr>
        <w:t>The Company also covenants with each Underwriter that, without the prior written consent of the Underwriters, it will not, and will not publicly disclose an intention to, during the period ending 90 days after the date of the Prospectus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w:t>
      </w:r>
    </w:p>
    <w:p>
      <w:pPr>
        <w:jc w:val="both"/>
        <w:ind w:left="1540" w:firstLine="10"/>
        <w:spacing w:after="0" w:line="243" w:lineRule="auto"/>
        <w:tabs>
          <w:tab w:leader="none" w:pos="18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or (3) file any registration statement with the Commission relating to the offering of any Ordinary Shares or any securities convertible into or exercisable or exchangeable for Ordinary Shares.</w:t>
      </w:r>
    </w:p>
    <w:p>
      <w:pPr>
        <w:spacing w:after="0" w:line="207" w:lineRule="exact"/>
        <w:rPr>
          <w:sz w:val="20"/>
          <w:szCs w:val="20"/>
          <w:color w:val="auto"/>
        </w:rPr>
      </w:pPr>
    </w:p>
    <w:p>
      <w:pPr>
        <w:jc w:val="both"/>
        <w:ind w:left="1540" w:firstLine="749"/>
        <w:spacing w:after="0" w:line="232" w:lineRule="auto"/>
        <w:rPr>
          <w:sz w:val="20"/>
          <w:szCs w:val="20"/>
          <w:color w:val="auto"/>
        </w:rPr>
      </w:pPr>
      <w:r>
        <w:rPr>
          <w:rFonts w:ascii="Times New Roman" w:cs="Times New Roman" w:eastAsia="Times New Roman" w:hAnsi="Times New Roman"/>
          <w:sz w:val="22"/>
          <w:szCs w:val="22"/>
          <w:color w:val="auto"/>
        </w:rPr>
        <w:t xml:space="preserve">The restrictions contained in the preceding paragraph shall not apply to (A) the Shares to be sold hereunder, including, for the avoidance of doubt, the issuance by the Company of Warrant Shares upon the exercise of the Warrants, pursuant to this Agreement and as otherwise disclosed in the Time of Sale Prospectus and the Prospectus, (B) the issuance by the Company of Ordinary Shares upon the exercise of an option, award, restricted stock unit or warrant or the conversion of a security outstanding on the date hereof as described in each of the Time of Sale Prospectus and Prospectus, (C) facilitating the establishment of a trading plan on behalf of a shareholder, officer or director of the Company pursuant to Rule 10b5-1 under the Exchange Act for the transfer of Ordinary Shares,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 (D) the filing by the Company of any registration statement on Form S- 8 (or any successor form) with the Commission, (E) sales of Ordinary Shares on behalf of the Company’s officers named in the Registration Statement to satisfy the withholding taxes payable upon the vesting, exercise or settlement of such officer’s equity awards pursuant to employee benefit plans described in the Time of Sale Prospectus, or (F) the sale or issuance of or entry into an agreement to sell or issue Ordinary Shares or securities convertible into or exercisable for Ordinary Shares in connection with any (i) mergers,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1" w:name="page32"/>
    <w:bookmarkEnd w:id="31"/>
    <w:p>
      <w:pPr>
        <w:jc w:val="both"/>
        <w:ind w:left="1540"/>
        <w:spacing w:after="0" w:line="233" w:lineRule="auto"/>
        <w:rPr>
          <w:sz w:val="20"/>
          <w:szCs w:val="20"/>
          <w:color w:val="auto"/>
        </w:rPr>
      </w:pPr>
      <w:r>
        <w:rPr>
          <w:rFonts w:ascii="Times New Roman" w:cs="Times New Roman" w:eastAsia="Times New Roman" w:hAnsi="Times New Roman"/>
          <w:sz w:val="22"/>
          <w:szCs w:val="22"/>
          <w:color w:val="auto"/>
        </w:rPr>
        <w:t xml:space="preserve">acquisition of securities, businesses, property, technologies or other assets, (iii) joint ventures, (iv) strategic alliances, commercial relationships or other collaborations, or (v) the assumption of employee benefit plans in connection with mergers or acquisitions;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aggregate number of Ordinary Shares or securities convertible into or exercisable for Ordinary Shares (on an as-converted or as-exercised basis, as the case may be) that the Company may sell or issue or agree to sell or issue pursuant to this clause (F) shall not exceed 10% of the total number of Ordinary Shares immediately following the completion of the transactions contemplated by this Agreement (after giving effect to the Warrant Shares issuable upon exercise of the Warrants and determined on a fully diluted basis and as adjusted for stock splits, stock dividends and other similar events after the date hereof);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each recipient of Ordinary Shares or securities convertible into or exercisable for Ordinary Shares pursuant to this clause (F) shall, on or prior to such issuance, execute a lock-up agreement substantially in the form of Exhibit A hereto with respect to the remaining portion of the Restricted Period.</w:t>
      </w:r>
    </w:p>
    <w:p>
      <w:pPr>
        <w:spacing w:after="0" w:line="221" w:lineRule="exact"/>
        <w:rPr>
          <w:sz w:val="20"/>
          <w:szCs w:val="20"/>
          <w:color w:val="auto"/>
        </w:rPr>
      </w:pPr>
    </w:p>
    <w:p>
      <w:pPr>
        <w:jc w:val="both"/>
        <w:ind w:left="1540" w:right="20" w:firstLine="779"/>
        <w:spacing w:after="0" w:line="238"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i w:val="1"/>
          <w:iCs w:val="1"/>
          <w:color w:val="auto"/>
        </w:rPr>
        <w:t>Covenants of the Underwriters</w:t>
      </w:r>
      <w:r>
        <w:rPr>
          <w:rFonts w:ascii="Times New Roman" w:cs="Times New Roman" w:eastAsia="Times New Roman" w:hAnsi="Times New Roman"/>
          <w:sz w:val="22"/>
          <w:szCs w:val="22"/>
          <w:color w:val="auto"/>
        </w:rPr>
        <w:t>.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17" w:lineRule="exact"/>
        <w:rPr>
          <w:sz w:val="20"/>
          <w:szCs w:val="20"/>
          <w:color w:val="auto"/>
        </w:rPr>
      </w:pPr>
    </w:p>
    <w:p>
      <w:pPr>
        <w:jc w:val="both"/>
        <w:ind w:left="1540" w:firstLine="779"/>
        <w:spacing w:after="0" w:line="232"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i w:val="1"/>
          <w:iCs w:val="1"/>
          <w:color w:val="auto"/>
        </w:rPr>
        <w:t>Indemnity and Contribution</w:t>
      </w:r>
      <w:r>
        <w:rPr>
          <w:rFonts w:ascii="Times New Roman" w:cs="Times New Roman" w:eastAsia="Times New Roman" w:hAnsi="Times New Roman"/>
          <w:sz w:val="22"/>
          <w:szCs w:val="22"/>
          <w:color w:val="auto"/>
        </w:rPr>
        <w:t>.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the Pricing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22"/>
          <w:szCs w:val="22"/>
          <w:b w:val="1"/>
          <w:bCs w:val="1"/>
          <w:color w:val="auto"/>
        </w:rPr>
        <w:t>road show</w:t>
      </w:r>
      <w:r>
        <w:rPr>
          <w:rFonts w:ascii="Times New Roman" w:cs="Times New Roman" w:eastAsia="Times New Roman" w:hAnsi="Times New Roman"/>
          <w:sz w:val="22"/>
          <w:szCs w:val="22"/>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expressly for use therein, it being understood and agreed that the only such information furnished by the Underwriters consists of the information described as such in paragraph (b) below.</w:t>
      </w:r>
    </w:p>
    <w:p>
      <w:pPr>
        <w:spacing w:after="0" w:line="218" w:lineRule="exact"/>
        <w:rPr>
          <w:sz w:val="20"/>
          <w:szCs w:val="20"/>
          <w:color w:val="auto"/>
        </w:rPr>
      </w:pPr>
    </w:p>
    <w:p>
      <w:pPr>
        <w:jc w:val="both"/>
        <w:ind w:left="2300" w:firstLine="817"/>
        <w:spacing w:after="0" w:line="244" w:lineRule="auto"/>
        <w:tabs>
          <w:tab w:leader="none" w:pos="348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Underwriter agrees, severally and not jointly, to indemnify and hold harmless the Company, its directors, its officers who sign the Registration Statement and each person, if any, who controls the Company within the meaning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2" w:name="page33"/>
    <w:bookmarkEnd w:id="32"/>
    <w:p>
      <w:pPr>
        <w:jc w:val="both"/>
        <w:ind w:left="2300"/>
        <w:spacing w:after="0" w:line="234" w:lineRule="auto"/>
        <w:rPr>
          <w:sz w:val="20"/>
          <w:szCs w:val="20"/>
          <w:color w:val="auto"/>
        </w:rPr>
      </w:pPr>
      <w:r>
        <w:rPr>
          <w:rFonts w:ascii="Times New Roman" w:cs="Times New Roman" w:eastAsia="Times New Roman" w:hAnsi="Times New Roman"/>
          <w:sz w:val="22"/>
          <w:szCs w:val="22"/>
          <w:color w:val="auto"/>
        </w:rPr>
        <w:t>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expressly for use in the Registration Statement, the Time of Sale Prospectus, any issuer free writing prospectus, road show or the Prospectus or any amendment or supplement thereto, it being understood and agreed that the only such information furnished by any Underwriter consists of the following: the concession figures appearing in the fourth paragraph under the caption “Underwriting,” the information relating to stabilizing transactions contained in the twelfth paragraph under the caption “Underwriting” and the information regarding internet distribution appearing in the fourteenth paragraph under the caption “Underwriting.”</w:t>
      </w:r>
    </w:p>
    <w:p>
      <w:pPr>
        <w:spacing w:after="0" w:line="220" w:lineRule="exact"/>
        <w:rPr>
          <w:sz w:val="20"/>
          <w:szCs w:val="20"/>
          <w:color w:val="auto"/>
        </w:rPr>
      </w:pPr>
    </w:p>
    <w:p>
      <w:pPr>
        <w:jc w:val="both"/>
        <w:ind w:left="2300" w:firstLine="833"/>
        <w:spacing w:after="0" w:line="231" w:lineRule="auto"/>
        <w:tabs>
          <w:tab w:leader="none" w:pos="348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promptly notify the person against whom such indemnity may be sought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Underwriters,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3" w:name="page34"/>
    <w:bookmarkEnd w:id="33"/>
    <w:p>
      <w:pPr>
        <w:jc w:val="both"/>
        <w:ind w:left="2300"/>
        <w:spacing w:after="0" w:line="235" w:lineRule="auto"/>
        <w:rPr>
          <w:sz w:val="20"/>
          <w:szCs w:val="20"/>
          <w:color w:val="auto"/>
        </w:rPr>
      </w:pPr>
      <w:r>
        <w:rPr>
          <w:rFonts w:ascii="Times New Roman" w:cs="Times New Roman" w:eastAsia="Times New Roman" w:hAnsi="Times New Roman"/>
          <w:sz w:val="22"/>
          <w:szCs w:val="22"/>
          <w:color w:val="auto"/>
        </w:rPr>
        <w:t>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78" w:lineRule="exact"/>
        <w:rPr>
          <w:sz w:val="20"/>
          <w:szCs w:val="20"/>
          <w:color w:val="auto"/>
        </w:rPr>
      </w:pPr>
    </w:p>
    <w:p>
      <w:pPr>
        <w:jc w:val="both"/>
        <w:ind w:left="2300" w:firstLine="817"/>
        <w:spacing w:after="0" w:line="243" w:lineRule="auto"/>
        <w:tabs>
          <w:tab w:leader="none" w:pos="348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with respect to the Shares and Warrants, in each case as set forth in the table on the cover of the Prospectus, bear to the aggregate Public Offering Price of the Shares and Warrants.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200" w:lineRule="exact"/>
        <w:rPr>
          <w:rFonts w:ascii="Times New Roman" w:cs="Times New Roman" w:eastAsia="Times New Roman" w:hAnsi="Times New Roman"/>
          <w:sz w:val="21"/>
          <w:szCs w:val="21"/>
          <w:color w:val="auto"/>
        </w:rPr>
      </w:pPr>
    </w:p>
    <w:p>
      <w:pPr>
        <w:spacing w:after="0" w:line="263" w:lineRule="exact"/>
        <w:rPr>
          <w:rFonts w:ascii="Times New Roman" w:cs="Times New Roman" w:eastAsia="Times New Roman" w:hAnsi="Times New Roman"/>
          <w:sz w:val="21"/>
          <w:szCs w:val="21"/>
          <w:color w:val="auto"/>
        </w:rPr>
      </w:pPr>
    </w:p>
    <w:p>
      <w:pPr>
        <w:jc w:val="both"/>
        <w:ind w:left="2300" w:right="20" w:firstLine="833"/>
        <w:spacing w:after="0" w:line="236" w:lineRule="auto"/>
        <w:tabs>
          <w:tab w:leader="none" w:pos="348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4" w:name="page35"/>
    <w:bookmarkEnd w:id="34"/>
    <w:p>
      <w:pPr>
        <w:jc w:val="both"/>
        <w:ind w:left="2300"/>
        <w:spacing w:after="0" w:line="233" w:lineRule="auto"/>
        <w:rPr>
          <w:sz w:val="20"/>
          <w:szCs w:val="20"/>
          <w:color w:val="auto"/>
        </w:rPr>
      </w:pPr>
      <w:r>
        <w:rPr>
          <w:rFonts w:ascii="Times New Roman" w:cs="Times New Roman" w:eastAsia="Times New Roman" w:hAnsi="Times New Roman"/>
          <w:sz w:val="22"/>
          <w:szCs w:val="22"/>
          <w:color w:val="auto"/>
        </w:rPr>
        <w:t>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25" w:lineRule="exact"/>
        <w:rPr>
          <w:sz w:val="20"/>
          <w:szCs w:val="20"/>
          <w:color w:val="auto"/>
        </w:rPr>
      </w:pPr>
    </w:p>
    <w:p>
      <w:pPr>
        <w:jc w:val="both"/>
        <w:ind w:left="2300" w:right="20" w:firstLine="862"/>
        <w:spacing w:after="0" w:line="235" w:lineRule="auto"/>
        <w:tabs>
          <w:tab w:leader="none" w:pos="348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220" w:lineRule="exact"/>
        <w:rPr>
          <w:sz w:val="20"/>
          <w:szCs w:val="20"/>
          <w:color w:val="auto"/>
        </w:rPr>
      </w:pPr>
    </w:p>
    <w:p>
      <w:pPr>
        <w:jc w:val="both"/>
        <w:ind w:left="1540" w:right="20" w:firstLine="779"/>
        <w:spacing w:after="0" w:line="233"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The Underwriters may terminate this Agreement by notice given by the Underwriters to the Company, if after the execution and delivery of this Agreement and prior to or on the Closing Date, (i) trading generally shall have been suspended or materially limited on, or by, as the case may be, any of the New York Stock Exchange, the NYSE American and the NASDAQ Global Market, (ii) trading of any securities of the Company shall have been suspended on any exchange or in any over-the-counter market, (iii) a material disruption in securities settlement, payment or clearance services in the United States or the Netherlands shall have occurred, (iv) any moratorium on commercial banking activities shall have been declared by Federal, New York State, in the Netherlands or relevant foreign country authorities or (v) there shall have occurred any outbreak or escalation of hostilities, or any change in financial markets or any calamity or crisis that, in the Underwriters’ judgment, is material and adverse and which, singly or together with any other event specified in this clause (v), makes it, in the Underwriters’ judgment, impracticable or inadvisable to proceed with the offer, sale or delivery of the Securities on the terms and in the manner contemplated in the Time of Sale Prospectus or the Prospectus.</w:t>
      </w:r>
    </w:p>
    <w:p>
      <w:pPr>
        <w:spacing w:after="0" w:line="209" w:lineRule="exact"/>
        <w:rPr>
          <w:sz w:val="20"/>
          <w:szCs w:val="20"/>
          <w:color w:val="auto"/>
        </w:rPr>
      </w:pPr>
    </w:p>
    <w:p>
      <w:pPr>
        <w:jc w:val="both"/>
        <w:ind w:left="1540" w:right="20" w:firstLine="659"/>
        <w:spacing w:after="0" w:line="262"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i w:val="1"/>
          <w:iCs w:val="1"/>
          <w:color w:val="auto"/>
        </w:rPr>
        <w:t>Effectiveness; Defaulting Underwriters</w:t>
      </w:r>
      <w:r>
        <w:rPr>
          <w:rFonts w:ascii="Times New Roman" w:cs="Times New Roman" w:eastAsia="Times New Roman" w:hAnsi="Times New Roman"/>
          <w:sz w:val="22"/>
          <w:szCs w:val="22"/>
          <w:color w:val="auto"/>
        </w:rPr>
        <w:t>. This Agreement shall become effective upon the execution and delivery hereof by the parties hereto.</w:t>
      </w:r>
    </w:p>
    <w:p>
      <w:pPr>
        <w:spacing w:after="0" w:line="194" w:lineRule="exact"/>
        <w:rPr>
          <w:sz w:val="20"/>
          <w:szCs w:val="20"/>
          <w:color w:val="auto"/>
        </w:rPr>
      </w:pPr>
    </w:p>
    <w:p>
      <w:pPr>
        <w:jc w:val="both"/>
        <w:ind w:left="1540" w:right="20" w:firstLine="749"/>
        <w:spacing w:after="0" w:line="244" w:lineRule="auto"/>
        <w:rPr>
          <w:sz w:val="20"/>
          <w:szCs w:val="20"/>
          <w:color w:val="auto"/>
        </w:rPr>
      </w:pPr>
      <w:r>
        <w:rPr>
          <w:rFonts w:ascii="Times New Roman" w:cs="Times New Roman" w:eastAsia="Times New Roman" w:hAnsi="Times New Roman"/>
          <w:sz w:val="22"/>
          <w:szCs w:val="22"/>
          <w:color w:val="auto"/>
        </w:rPr>
        <w:t>If, on the Closing Date, any one or more of the Underwriters shall fail or refuse to purchase Securities that it has or they have agreed to purchase hereunder on such date, and the aggregate number of Securities which such defaulting Underwriter or Underwriters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5" w:name="page36"/>
    <w:bookmarkEnd w:id="35"/>
    <w:p>
      <w:pPr>
        <w:jc w:val="both"/>
        <w:ind w:left="1540"/>
        <w:spacing w:after="0" w:line="232" w:lineRule="auto"/>
        <w:rPr>
          <w:sz w:val="20"/>
          <w:szCs w:val="20"/>
          <w:color w:val="auto"/>
        </w:rPr>
      </w:pPr>
      <w:r>
        <w:rPr>
          <w:rFonts w:ascii="Times New Roman" w:cs="Times New Roman" w:eastAsia="Times New Roman" w:hAnsi="Times New Roman"/>
          <w:sz w:val="22"/>
          <w:szCs w:val="22"/>
          <w:color w:val="auto"/>
        </w:rPr>
        <w:t>agreed but failed or refused to purchase is not more than one tenth of the aggregate number of the Securities to be purchased on such date, the other Underwriters shall be obligated severally in the proportions that the number of Securities set forth opposite their respective names in Schedule I bears to the aggregate number of Securities set forth opposite the names of all such non defaulting Underwriters, or in such other proportions as the Underwriters may specify, to purchase the Securities which such defaulting Underwriter or Underwriters agreed but failed or refused to purchase on such date; provided that in no event shall the number of Securities that any Underwriter has agreed to purchase pursuant to this Agreement be increased pursuant to this Section 10 by an amount in excess of one ninth of such number of Securities without the written consent of such Underwriter. If, on the Closing Date, any Underwriter or Underwriters shall fail or refuse to purchase Securities and the aggregate number of Securities with respect to which such default occurs is more than one tenth of the aggregate number of Securities to be purchased on such date, and arrangements satisfactory to the Underwriters and the Company for the purchase of such Securities are not made within 36 hours after such default, this Agreement shall terminate without liability on the part of any non defaulting Underwriter or the Company. In any such case either the Underwriters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27" w:lineRule="exact"/>
        <w:rPr>
          <w:sz w:val="20"/>
          <w:szCs w:val="20"/>
          <w:color w:val="auto"/>
        </w:rPr>
      </w:pPr>
    </w:p>
    <w:p>
      <w:pPr>
        <w:jc w:val="both"/>
        <w:ind w:left="1540" w:firstLine="749"/>
        <w:spacing w:after="0" w:line="234" w:lineRule="auto"/>
        <w:rPr>
          <w:sz w:val="20"/>
          <w:szCs w:val="20"/>
          <w:color w:val="auto"/>
        </w:rPr>
      </w:pPr>
      <w:r>
        <w:rPr>
          <w:rFonts w:ascii="Times New Roman" w:cs="Times New Roman" w:eastAsia="Times New Roman" w:hAnsi="Times New Roman"/>
          <w:sz w:val="22"/>
          <w:szCs w:val="22"/>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reasonable and documented out-of-pocket expenses (including the fees and disbursements of their counsel) reasonably incurred by such Underwriters in connection with this Agreement or the offering contemplated hereunder.</w:t>
      </w:r>
    </w:p>
    <w:p>
      <w:pPr>
        <w:spacing w:after="0" w:line="220" w:lineRule="exact"/>
        <w:rPr>
          <w:sz w:val="20"/>
          <w:szCs w:val="20"/>
          <w:color w:val="auto"/>
        </w:rPr>
      </w:pPr>
    </w:p>
    <w:p>
      <w:pPr>
        <w:jc w:val="both"/>
        <w:ind w:left="1540" w:right="20" w:firstLine="659"/>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(a)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the Pricing Prospectus, the Time of Sale Prospectus, the Prospectus, the conduct of the offering, and the purchase and sale of the Securities.</w:t>
      </w:r>
    </w:p>
    <w:p>
      <w:pPr>
        <w:spacing w:after="0" w:line="208" w:lineRule="exact"/>
        <w:rPr>
          <w:sz w:val="20"/>
          <w:szCs w:val="20"/>
          <w:color w:val="auto"/>
        </w:rPr>
      </w:pPr>
    </w:p>
    <w:p>
      <w:pPr>
        <w:ind w:left="3520" w:hanging="390"/>
        <w:spacing w:after="0"/>
        <w:tabs>
          <w:tab w:leader="none" w:pos="35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in connection with the offering of the Securities:</w:t>
      </w:r>
    </w:p>
    <w:p>
      <w:pPr>
        <w:spacing w:after="0" w:line="14" w:lineRule="exact"/>
        <w:rPr>
          <w:rFonts w:ascii="Times New Roman" w:cs="Times New Roman" w:eastAsia="Times New Roman" w:hAnsi="Times New Roman"/>
          <w:sz w:val="22"/>
          <w:szCs w:val="22"/>
          <w:color w:val="auto"/>
        </w:rPr>
      </w:pPr>
    </w:p>
    <w:p>
      <w:pPr>
        <w:jc w:val="both"/>
        <w:ind w:left="2300" w:hanging="1"/>
        <w:spacing w:after="0" w:line="233" w:lineRule="auto"/>
        <w:tabs>
          <w:tab w:leader="none" w:pos="256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6" w:name="page37"/>
    <w:bookmarkEnd w:id="36"/>
    <w:p>
      <w:pPr>
        <w:jc w:val="both"/>
        <w:ind w:left="2300"/>
        <w:spacing w:after="0" w:line="236" w:lineRule="auto"/>
        <w:rPr>
          <w:sz w:val="20"/>
          <w:szCs w:val="20"/>
          <w:color w:val="auto"/>
        </w:rPr>
      </w:pPr>
      <w:r>
        <w:rPr>
          <w:rFonts w:ascii="Times New Roman" w:cs="Times New Roman" w:eastAsia="Times New Roman" w:hAnsi="Times New Roman"/>
          <w:sz w:val="22"/>
          <w:szCs w:val="22"/>
          <w:color w:val="auto"/>
        </w:rPr>
        <w:t>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218" w:lineRule="exact"/>
        <w:rPr>
          <w:sz w:val="20"/>
          <w:szCs w:val="20"/>
          <w:color w:val="auto"/>
        </w:rPr>
      </w:pPr>
    </w:p>
    <w:p>
      <w:pPr>
        <w:jc w:val="both"/>
        <w:ind w:left="1540" w:firstLine="659"/>
        <w:spacing w:after="0" w:line="237"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i w:val="1"/>
          <w:iCs w:val="1"/>
          <w:color w:val="auto"/>
        </w:rPr>
        <w:t>Recognition of the U.S. Special Resolution Regimes</w:t>
      </w:r>
      <w:r>
        <w:rPr>
          <w:rFonts w:ascii="Times New Roman" w:cs="Times New Roman" w:eastAsia="Times New Roman" w:hAnsi="Times New Roman"/>
          <w:sz w:val="22"/>
          <w:szCs w:val="22"/>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20" w:lineRule="exact"/>
        <w:rPr>
          <w:sz w:val="20"/>
          <w:szCs w:val="20"/>
          <w:color w:val="auto"/>
        </w:rPr>
      </w:pPr>
    </w:p>
    <w:p>
      <w:pPr>
        <w:jc w:val="both"/>
        <w:ind w:left="2300" w:firstLine="830"/>
        <w:spacing w:after="0" w:line="236" w:lineRule="auto"/>
        <w:tabs>
          <w:tab w:leader="none" w:pos="350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04" w:lineRule="exact"/>
        <w:rPr>
          <w:sz w:val="20"/>
          <w:szCs w:val="20"/>
          <w:color w:val="auto"/>
        </w:rPr>
      </w:pPr>
    </w:p>
    <w:p>
      <w:pPr>
        <w:ind w:left="1540" w:right="120" w:firstLine="749"/>
        <w:spacing w:after="0" w:line="234" w:lineRule="auto"/>
        <w:rPr>
          <w:sz w:val="20"/>
          <w:szCs w:val="20"/>
          <w:color w:val="auto"/>
        </w:rPr>
      </w:pPr>
      <w:r>
        <w:rPr>
          <w:rFonts w:ascii="Times New Roman" w:cs="Times New Roman" w:eastAsia="Times New Roman" w:hAnsi="Times New Roman"/>
          <w:sz w:val="22"/>
          <w:szCs w:val="22"/>
          <w:color w:val="auto"/>
        </w:rPr>
        <w:t>For purposes of this Section a “</w:t>
      </w:r>
      <w:r>
        <w:rPr>
          <w:rFonts w:ascii="Times New Roman" w:cs="Times New Roman" w:eastAsia="Times New Roman" w:hAnsi="Times New Roman"/>
          <w:sz w:val="22"/>
          <w:szCs w:val="22"/>
          <w:b w:val="1"/>
          <w:bCs w:val="1"/>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w:t>
      </w:r>
      <w:r>
        <w:rPr>
          <w:rFonts w:ascii="Times New Roman" w:cs="Times New Roman" w:eastAsia="Times New Roman" w:hAnsi="Times New Roman"/>
          <w:sz w:val="22"/>
          <w:szCs w:val="22"/>
          <w:b w:val="1"/>
          <w:bCs w:val="1"/>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w:t>
      </w:r>
    </w:p>
    <w:p>
      <w:pPr>
        <w:spacing w:after="0" w:line="6" w:lineRule="exact"/>
        <w:rPr>
          <w:sz w:val="20"/>
          <w:szCs w:val="20"/>
          <w:color w:val="auto"/>
        </w:rPr>
      </w:pPr>
    </w:p>
    <w:p>
      <w:pPr>
        <w:ind w:left="1540" w:right="260"/>
        <w:spacing w:after="0" w:line="233" w:lineRule="auto"/>
        <w:rPr>
          <w:sz w:val="20"/>
          <w:szCs w:val="20"/>
          <w:color w:val="auto"/>
        </w:rPr>
      </w:pPr>
      <w:r>
        <w:rPr>
          <w:rFonts w:ascii="Times New Roman" w:cs="Times New Roman" w:eastAsia="Times New Roman" w:hAnsi="Times New Roman"/>
          <w:sz w:val="22"/>
          <w:szCs w:val="22"/>
          <w:color w:val="auto"/>
        </w:rPr>
        <w:t>C.F.R. § 382.2(b). “</w:t>
      </w:r>
      <w:r>
        <w:rPr>
          <w:rFonts w:ascii="Times New Roman" w:cs="Times New Roman" w:eastAsia="Times New Roman" w:hAnsi="Times New Roman"/>
          <w:sz w:val="22"/>
          <w:szCs w:val="22"/>
          <w:b w:val="1"/>
          <w:b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w:t>
      </w:r>
      <w:r>
        <w:rPr>
          <w:rFonts w:ascii="Times New Roman" w:cs="Times New Roman" w:eastAsia="Times New Roman" w:hAnsi="Times New Roman"/>
          <w:sz w:val="22"/>
          <w:szCs w:val="22"/>
          <w:b w:val="1"/>
          <w:bCs w:val="1"/>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16" w:lineRule="exact"/>
        <w:rPr>
          <w:sz w:val="20"/>
          <w:szCs w:val="20"/>
          <w:color w:val="auto"/>
        </w:rPr>
      </w:pPr>
    </w:p>
    <w:p>
      <w:pPr>
        <w:jc w:val="both"/>
        <w:ind w:left="1540" w:firstLine="65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signed in two or more counterparts, which may be delivered via facsimile, electronic mail (including any electronic signature covered by the U.S. federal ESIGN Act of 2000, Uniform Electronic Transactions Act, the Electronic Signatures and Records Act or other applicable law, e.g., www.docusign.com), each of which shall be an original, with the same effect as if the signatures thereto and hereto were upon the same instrument.</w:t>
      </w:r>
    </w:p>
    <w:p>
      <w:pPr>
        <w:spacing w:after="0" w:line="217" w:lineRule="exact"/>
        <w:rPr>
          <w:sz w:val="20"/>
          <w:szCs w:val="20"/>
          <w:color w:val="auto"/>
        </w:rPr>
      </w:pPr>
    </w:p>
    <w:p>
      <w:pPr>
        <w:jc w:val="both"/>
        <w:ind w:left="1540" w:firstLine="659"/>
        <w:spacing w:after="0" w:line="262"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i w:val="1"/>
          <w:iCs w:val="1"/>
          <w:color w:val="auto"/>
        </w:rPr>
        <w:t>Applicable Law</w:t>
      </w:r>
      <w:r>
        <w:rPr>
          <w:rFonts w:ascii="Times New Roman" w:cs="Times New Roman" w:eastAsia="Times New Roman" w:hAnsi="Times New Roman"/>
          <w:sz w:val="22"/>
          <w:szCs w:val="22"/>
          <w:color w:val="auto"/>
        </w:rPr>
        <w:t>. This Agreement shall be governed by and construed in accordance with the internal laws of the State of New York.</w:t>
      </w:r>
    </w:p>
    <w:p>
      <w:pPr>
        <w:spacing w:after="0" w:line="1" w:lineRule="exact"/>
        <w:rPr>
          <w:sz w:val="20"/>
          <w:szCs w:val="20"/>
          <w:color w:val="auto"/>
        </w:rPr>
      </w:pPr>
    </w:p>
    <w:p>
      <w:pPr>
        <w:jc w:val="both"/>
        <w:ind w:left="1540" w:firstLine="659"/>
        <w:spacing w:after="0" w:line="26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The headings of the sections of this Agreement have been inserted for convenience of reference only and shall not be deemed a part of this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396" w:right="679" w:bottom="1440" w:gutter="0" w:footer="0" w:header="0"/>
        </w:sectPr>
      </w:pPr>
    </w:p>
    <w:bookmarkStart w:id="37" w:name="page38"/>
    <w:bookmarkEnd w:id="37"/>
    <w:p>
      <w:pPr>
        <w:jc w:val="both"/>
        <w:ind w:left="1540" w:right="20" w:firstLine="659"/>
        <w:spacing w:after="0" w:line="263"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All communications hereunder shall be in writing and effective only upon receipt and if to the Underwriters shall be delivered, mailed or sent to (i) Morgan Stanley &amp; Co. LLC, 1585 Broadway, 29</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Floor, New York, New York 10036, Attention: Equity Syndicate Desk, with a copy to the Legal Department; and (ii) Leerink Partners LLC, 1301 Avenue of the Americas, 12th Floor, New York, New York 10019, Attention: </w:t>
      </w:r>
      <w:r>
        <w:rPr>
          <w:rFonts w:ascii="Times New Roman" w:cs="Times New Roman" w:eastAsia="Times New Roman" w:hAnsi="Times New Roman"/>
          <w:sz w:val="18"/>
          <w:szCs w:val="18"/>
          <w:color w:val="auto"/>
        </w:rPr>
        <w:t>Stuart R. Nayman, Esq.</w:t>
      </w:r>
      <w:r>
        <w:rPr>
          <w:rFonts w:ascii="Times New Roman" w:cs="Times New Roman" w:eastAsia="Times New Roman" w:hAnsi="Times New Roman"/>
          <w:sz w:val="20"/>
          <w:szCs w:val="20"/>
          <w:color w:val="auto"/>
        </w:rPr>
        <w:t>, Facsimile: (646) 499-7051; and if to the Company shall be delivered, mailed or sent to J.H. Oortweg 21, 2333 CH Leiden, the Netherlands, with a copy to Kirkland &amp; Ellis LLP, 601 Lexington Avenue, New York, New York 10022, Attention: Sophia Hudson, P.C.</w:t>
      </w:r>
    </w:p>
    <w:p>
      <w:pPr>
        <w:spacing w:after="0" w:line="180" w:lineRule="exact"/>
        <w:rPr>
          <w:sz w:val="20"/>
          <w:szCs w:val="20"/>
          <w:color w:val="auto"/>
        </w:rPr>
      </w:pPr>
    </w:p>
    <w:p>
      <w:pPr>
        <w:jc w:val="both"/>
        <w:ind w:left="1540" w:firstLine="659"/>
        <w:spacing w:after="0" w:line="245" w:lineRule="auto"/>
        <w:rPr>
          <w:sz w:val="20"/>
          <w:szCs w:val="20"/>
          <w:color w:val="auto"/>
        </w:rPr>
      </w:pPr>
      <w:r>
        <w:rPr>
          <w:rFonts w:ascii="Times New Roman" w:cs="Times New Roman" w:eastAsia="Times New Roman" w:hAnsi="Times New Roman"/>
          <w:sz w:val="21"/>
          <w:szCs w:val="21"/>
          <w:color w:val="auto"/>
        </w:rPr>
        <w:t>17.</w:t>
      </w:r>
      <w:r>
        <w:rPr>
          <w:rFonts w:ascii="Times New Roman" w:cs="Times New Roman" w:eastAsia="Times New Roman" w:hAnsi="Times New Roman"/>
          <w:sz w:val="21"/>
          <w:szCs w:val="21"/>
          <w:i w:val="1"/>
          <w:iCs w:val="1"/>
          <w:color w:val="auto"/>
        </w:rPr>
        <w:t>Submission to Jurisdiction; Appointment of Agents for Service</w:t>
      </w:r>
      <w:r>
        <w:rPr>
          <w:rFonts w:ascii="Times New Roman" w:cs="Times New Roman" w:eastAsia="Times New Roman" w:hAnsi="Times New Roman"/>
          <w:sz w:val="21"/>
          <w:szCs w:val="21"/>
          <w:color w:val="auto"/>
        </w:rPr>
        <w:t>. (a) The Company irrevocably submits to the non-exclusive jurisdiction of any New York State or United States Federal court sitting in The City of New York (the “</w:t>
      </w:r>
      <w:r>
        <w:rPr>
          <w:rFonts w:ascii="Times New Roman" w:cs="Times New Roman" w:eastAsia="Times New Roman" w:hAnsi="Times New Roman"/>
          <w:sz w:val="21"/>
          <w:szCs w:val="21"/>
          <w:b w:val="1"/>
          <w:bCs w:val="1"/>
          <w:color w:val="auto"/>
        </w:rPr>
        <w:t>Specified Courts</w:t>
      </w:r>
      <w:r>
        <w:rPr>
          <w:rFonts w:ascii="Times New Roman" w:cs="Times New Roman" w:eastAsia="Times New Roman" w:hAnsi="Times New Roman"/>
          <w:sz w:val="21"/>
          <w:szCs w:val="21"/>
          <w:color w:val="auto"/>
        </w:rPr>
        <w:t>”) over any suit, action or proceeding arising out of or relating to this Agreement, the Time of Sale Prospectus, the Prospectus, the Registration Statement or the offering of the Securities (each, a “</w:t>
      </w:r>
      <w:r>
        <w:rPr>
          <w:rFonts w:ascii="Times New Roman" w:cs="Times New Roman" w:eastAsia="Times New Roman" w:hAnsi="Times New Roman"/>
          <w:sz w:val="21"/>
          <w:szCs w:val="21"/>
          <w:b w:val="1"/>
          <w:bCs w:val="1"/>
          <w:color w:val="auto"/>
        </w:rPr>
        <w:t>Related Proceeding</w:t>
      </w:r>
      <w:r>
        <w:rPr>
          <w:rFonts w:ascii="Times New Roman" w:cs="Times New Roman" w:eastAsia="Times New Roman" w:hAnsi="Times New Roman"/>
          <w:sz w:val="21"/>
          <w:szCs w:val="21"/>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222" w:lineRule="exact"/>
        <w:rPr>
          <w:sz w:val="20"/>
          <w:szCs w:val="20"/>
          <w:color w:val="auto"/>
        </w:rPr>
      </w:pPr>
    </w:p>
    <w:p>
      <w:pPr>
        <w:jc w:val="both"/>
        <w:ind w:left="2300" w:firstLine="830"/>
        <w:spacing w:after="0" w:line="247" w:lineRule="auto"/>
        <w:tabs>
          <w:tab w:leader="none" w:pos="346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irrevocably appoints Morgan Conn, with offices at PO Box 121, Buckingham, PA 18912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208" w:lineRule="exact"/>
        <w:rPr>
          <w:sz w:val="20"/>
          <w:szCs w:val="20"/>
          <w:color w:val="auto"/>
        </w:rPr>
      </w:pPr>
    </w:p>
    <w:p>
      <w:pPr>
        <w:jc w:val="both"/>
        <w:ind w:left="1540" w:right="20" w:firstLine="659"/>
        <w:spacing w:after="0" w:line="23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i w:val="1"/>
          <w:iCs w:val="1"/>
          <w:color w:val="auto"/>
        </w:rPr>
        <w:t>Judgment Currency</w:t>
      </w:r>
      <w:r>
        <w:rPr>
          <w:rFonts w:ascii="Times New Roman" w:cs="Times New Roman" w:eastAsia="Times New Roman" w:hAnsi="Times New Roman"/>
          <w:sz w:val="22"/>
          <w:szCs w:val="22"/>
          <w:color w:val="auto"/>
        </w:rPr>
        <w:t>.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581" w:right="659" w:bottom="1440" w:gutter="0" w:footer="0" w:header="0"/>
        </w:sectPr>
      </w:pPr>
    </w:p>
    <w:bookmarkStart w:id="38" w:name="page39"/>
    <w:bookmarkEnd w:id="38"/>
    <w:p>
      <w:pPr>
        <w:jc w:val="both"/>
        <w:ind w:left="1540"/>
        <w:spacing w:after="0" w:line="234" w:lineRule="auto"/>
        <w:rPr>
          <w:sz w:val="20"/>
          <w:szCs w:val="20"/>
          <w:color w:val="auto"/>
        </w:rPr>
      </w:pPr>
      <w:r>
        <w:rPr>
          <w:rFonts w:ascii="Times New Roman" w:cs="Times New Roman" w:eastAsia="Times New Roman" w:hAnsi="Times New Roman"/>
          <w:sz w:val="22"/>
          <w:szCs w:val="22"/>
          <w:color w:val="auto"/>
        </w:rPr>
        <w:t>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396" w:right="659" w:bottom="1440" w:gutter="0" w:footer="0" w:header="0"/>
        </w:sectPr>
      </w:pPr>
    </w:p>
    <w:bookmarkStart w:id="39" w:name="page40"/>
    <w:bookmarkEnd w:id="39"/>
    <w:p>
      <w:pPr>
        <w:spacing w:after="0" w:line="2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Berndt Modig</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Name: Berndt Modig</w:t>
      </w:r>
    </w:p>
    <w:p>
      <w:pPr>
        <w:spacing w:after="0" w:line="29"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Accepted as of the date hereof</w:t>
      </w: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MORGAN STANLEY &amp; CO. LLC LEERINK</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PARTNERS LLC</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Acting severally on behalf of themselves and the</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several Underwriters named in Schedule I</w:t>
      </w:r>
    </w:p>
    <w:p>
      <w:pPr>
        <w:ind w:left="940"/>
        <w:spacing w:after="0"/>
        <w:rPr>
          <w:sz w:val="20"/>
          <w:szCs w:val="20"/>
          <w:color w:val="auto"/>
        </w:rPr>
      </w:pPr>
      <w:r>
        <w:rPr>
          <w:rFonts w:ascii="Times New Roman" w:cs="Times New Roman" w:eastAsia="Times New Roman" w:hAnsi="Times New Roman"/>
          <w:sz w:val="22"/>
          <w:szCs w:val="22"/>
          <w:color w:val="auto"/>
        </w:rPr>
        <w:t>hereto.</w:t>
      </w:r>
    </w:p>
    <w:p>
      <w:pPr>
        <w:spacing w:after="0" w:line="196"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Morgan Stanley &amp; Co.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579"/>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Frank Tang</w:t>
      </w:r>
      <w:r>
        <w:rPr>
          <w:rFonts w:ascii="Times New Roman" w:cs="Times New Roman" w:eastAsia="Times New Roman" w:hAnsi="Times New Roman"/>
          <w:sz w:val="22"/>
          <w:szCs w:val="22"/>
          <w:color w:val="auto"/>
        </w:rPr>
        <w:t xml:space="preserve"> Name: Frank Tang</w:t>
      </w:r>
    </w:p>
    <w:p>
      <w:pPr>
        <w:spacing w:after="0" w:line="14" w:lineRule="exact"/>
        <w:rPr>
          <w:sz w:val="20"/>
          <w:szCs w:val="20"/>
          <w:color w:val="auto"/>
        </w:rPr>
      </w:pPr>
    </w:p>
    <w:p>
      <w:pPr>
        <w:jc w:val="center"/>
        <w:ind w:right="4519"/>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333"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Leerink Partners LLC</w:t>
      </w:r>
    </w:p>
    <w:p>
      <w:pPr>
        <w:spacing w:after="0" w:line="200" w:lineRule="exact"/>
        <w:rPr>
          <w:sz w:val="20"/>
          <w:szCs w:val="20"/>
          <w:color w:val="auto"/>
        </w:rPr>
      </w:pPr>
    </w:p>
    <w:p>
      <w:pPr>
        <w:spacing w:after="0" w:line="290" w:lineRule="exact"/>
        <w:rPr>
          <w:sz w:val="20"/>
          <w:szCs w:val="20"/>
          <w:color w:val="auto"/>
        </w:rPr>
      </w:pPr>
    </w:p>
    <w:p>
      <w:pPr>
        <w:ind w:left="540"/>
        <w:spacing w:after="0"/>
        <w:tabs>
          <w:tab w:leader="none" w:pos="1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Gabriel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-13970</wp:posOffset>
            </wp:positionV>
            <wp:extent cx="11087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Name: Gabriel P. Cavazos</w:t>
      </w:r>
    </w:p>
    <w:p>
      <w:pPr>
        <w:spacing w:after="0" w:line="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Title: Managing Director,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1447800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100" w:lineRule="exact"/>
        <w:rPr>
          <w:sz w:val="20"/>
          <w:szCs w:val="20"/>
          <w:color w:val="auto"/>
        </w:rPr>
      </w:pPr>
    </w:p>
    <w:p>
      <w:pPr>
        <w:jc w:val="center"/>
        <w:ind w:right="-120"/>
        <w:spacing w:after="0"/>
        <w:rPr>
          <w:sz w:val="20"/>
          <w:szCs w:val="20"/>
          <w:color w:val="auto"/>
        </w:rPr>
      </w:pPr>
      <w:r>
        <w:rPr>
          <w:rFonts w:ascii="Calibri" w:cs="Calibri" w:eastAsia="Calibri" w:hAnsi="Calibri"/>
          <w:sz w:val="21"/>
          <w:szCs w:val="21"/>
          <w:i w:val="1"/>
          <w:iCs w:val="1"/>
          <w:color w:val="2D2D2D"/>
        </w:rPr>
        <w:t>[</w:t>
      </w:r>
      <w:r>
        <w:rPr>
          <w:rFonts w:ascii="Times New Roman" w:cs="Times New Roman" w:eastAsia="Times New Roman" w:hAnsi="Times New Roman"/>
          <w:sz w:val="21"/>
          <w:szCs w:val="21"/>
          <w:i w:val="1"/>
          <w:iCs w:val="1"/>
          <w:color w:val="2D2D2D"/>
        </w:rPr>
        <w:t>Signature Page to the Underwriting Agreement</w:t>
      </w:r>
      <w:r>
        <w:rPr>
          <w:rFonts w:ascii="Calibri" w:cs="Calibri" w:eastAsia="Calibri" w:hAnsi="Calibri"/>
          <w:sz w:val="21"/>
          <w:szCs w:val="21"/>
          <w:i w:val="1"/>
          <w:iCs w:val="1"/>
          <w:color w:val="2D2D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230505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tbl>
      <w:tblPr>
        <w:tblLayout w:type="fixed"/>
        <w:tblInd w:w="520" w:type="dxa"/>
        <w:tblCellMar>
          <w:top w:w="0" w:type="dxa"/>
          <w:left w:w="0" w:type="dxa"/>
          <w:bottom w:w="0" w:type="dxa"/>
          <w:right w:w="0" w:type="dxa"/>
        </w:tblCellMar>
      </w:tblPr>
      <w:tr>
        <w:trPr>
          <w:trHeight w:val="286"/>
        </w:trPr>
        <w:tc>
          <w:tcPr>
            <w:tcW w:w="6920" w:type="dxa"/>
            <w:vAlign w:val="bottom"/>
          </w:tcPr>
          <w:p>
            <w:pPr>
              <w:spacing w:after="0"/>
              <w:rPr>
                <w:sz w:val="24"/>
                <w:szCs w:val="24"/>
                <w:color w:val="auto"/>
              </w:rPr>
            </w:pPr>
          </w:p>
        </w:tc>
        <w:tc>
          <w:tcPr>
            <w:tcW w:w="2360" w:type="dxa"/>
            <w:vAlign w:val="bottom"/>
            <w:gridSpan w:val="3"/>
          </w:tcPr>
          <w:p>
            <w:pPr>
              <w:ind w:left="1020"/>
              <w:spacing w:after="0"/>
              <w:rPr>
                <w:sz w:val="20"/>
                <w:szCs w:val="20"/>
                <w:color w:val="auto"/>
              </w:rPr>
            </w:pPr>
            <w:r>
              <w:rPr>
                <w:rFonts w:ascii="Times New Roman" w:cs="Times New Roman" w:eastAsia="Times New Roman" w:hAnsi="Times New Roman"/>
                <w:sz w:val="22"/>
                <w:szCs w:val="22"/>
                <w:b w:val="1"/>
                <w:bCs w:val="1"/>
                <w:color w:val="auto"/>
                <w:w w:val="97"/>
              </w:rPr>
              <w:t>SCHEDULE I</w:t>
            </w:r>
          </w:p>
        </w:tc>
      </w:tr>
      <w:tr>
        <w:trPr>
          <w:trHeight w:val="740"/>
        </w:trPr>
        <w:tc>
          <w:tcPr>
            <w:tcW w:w="6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6920" w:type="dxa"/>
            <w:vAlign w:val="bottom"/>
          </w:tcPr>
          <w:p>
            <w:pPr>
              <w:spacing w:after="0"/>
              <w:rPr>
                <w:sz w:val="21"/>
                <w:szCs w:val="21"/>
                <w:color w:val="auto"/>
              </w:rPr>
            </w:pP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Warrants</w:t>
            </w:r>
          </w:p>
        </w:tc>
      </w:tr>
      <w:tr>
        <w:trPr>
          <w:trHeight w:val="243"/>
        </w:trPr>
        <w:tc>
          <w:tcPr>
            <w:tcW w:w="6920" w:type="dxa"/>
            <w:vAlign w:val="bottom"/>
          </w:tcPr>
          <w:p>
            <w:pPr>
              <w:spacing w:after="0"/>
              <w:rPr>
                <w:sz w:val="21"/>
                <w:szCs w:val="21"/>
                <w:color w:val="auto"/>
              </w:rPr>
            </w:pP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Shares To</w:t>
            </w:r>
          </w:p>
        </w:tc>
        <w:tc>
          <w:tcPr>
            <w:tcW w:w="118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 Be</w:t>
            </w:r>
          </w:p>
        </w:tc>
      </w:tr>
      <w:tr>
        <w:trPr>
          <w:trHeight w:val="243"/>
        </w:trPr>
        <w:tc>
          <w:tcPr>
            <w:tcW w:w="6920" w:type="dxa"/>
            <w:vAlign w:val="bottom"/>
          </w:tcPr>
          <w:p>
            <w:pPr>
              <w:spacing w:after="0"/>
              <w:rPr>
                <w:sz w:val="21"/>
                <w:szCs w:val="21"/>
                <w:color w:val="auto"/>
              </w:rPr>
            </w:pP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Be</w:t>
            </w:r>
          </w:p>
        </w:tc>
        <w:tc>
          <w:tcPr>
            <w:tcW w:w="118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rPr>
              <w:t>Sold</w:t>
            </w:r>
          </w:p>
        </w:tc>
      </w:tr>
      <w:tr>
        <w:trPr>
          <w:trHeight w:val="301"/>
        </w:trPr>
        <w:tc>
          <w:tcPr>
            <w:tcW w:w="692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22"/>
                <w:szCs w:val="22"/>
                <w:b w:val="1"/>
                <w:bCs w:val="1"/>
                <w:color w:val="auto"/>
              </w:rPr>
              <w:t>Underwriter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Purchased</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6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Morgan Stanley &amp; Co. LLC .............................................................</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6,118,750</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756,250</w:t>
            </w:r>
          </w:p>
        </w:tc>
        <w:tc>
          <w:tcPr>
            <w:tcW w:w="80" w:type="dxa"/>
            <w:vAlign w:val="bottom"/>
          </w:tcPr>
          <w:p>
            <w:pPr>
              <w:spacing w:after="0"/>
              <w:rPr>
                <w:sz w:val="24"/>
                <w:szCs w:val="24"/>
                <w:color w:val="auto"/>
              </w:rPr>
            </w:pPr>
          </w:p>
        </w:tc>
      </w:tr>
      <w:tr>
        <w:trPr>
          <w:trHeight w:val="346"/>
        </w:trPr>
        <w:tc>
          <w:tcPr>
            <w:tcW w:w="6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Leerink Partners LLC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5,006,250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618,750</w:t>
            </w:r>
          </w:p>
        </w:tc>
        <w:tc>
          <w:tcPr>
            <w:tcW w:w="80" w:type="dxa"/>
            <w:vAlign w:val="bottom"/>
          </w:tcPr>
          <w:p>
            <w:pPr>
              <w:spacing w:after="0"/>
              <w:rPr>
                <w:sz w:val="24"/>
                <w:szCs w:val="24"/>
                <w:color w:val="auto"/>
              </w:rPr>
            </w:pPr>
          </w:p>
        </w:tc>
      </w:tr>
      <w:tr>
        <w:trPr>
          <w:trHeight w:val="372"/>
        </w:trPr>
        <w:tc>
          <w:tcPr>
            <w:tcW w:w="69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11,125,000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1,375,000</w:t>
            </w:r>
          </w:p>
        </w:tc>
        <w:tc>
          <w:tcPr>
            <w:tcW w:w="80" w:type="dxa"/>
            <w:vAlign w:val="bottom"/>
          </w:tcPr>
          <w:p>
            <w:pPr>
              <w:spacing w:after="0"/>
              <w:rPr>
                <w:sz w:val="24"/>
                <w:szCs w:val="24"/>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5601970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440" w:top="392" w:right="659" w:bottom="1440" w:gutter="0" w:footer="0" w:header="0"/>
        </w:sectPr>
      </w:pPr>
    </w:p>
    <w:bookmarkStart w:id="42" w:name="page43"/>
    <w:bookmarkEnd w:id="42"/>
    <w:p>
      <w:pPr>
        <w:spacing w:after="0" w:line="3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jc w:val="right"/>
        <w:ind w:right="5759"/>
        <w:spacing w:after="0"/>
        <w:tabs>
          <w:tab w:leader="none" w:pos="19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Pricing Prospectus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27" w:right="1440" w:bottom="1440" w:gutter="0" w:footer="0" w:header="0"/>
        </w:sectPr>
      </w:pPr>
    </w:p>
    <w:bookmarkStart w:id="44" w:name="page45"/>
    <w:bookmarkEnd w:id="44"/>
    <w:p>
      <w:pPr>
        <w:ind w:left="100"/>
        <w:spacing w:after="0"/>
        <w:rPr>
          <w:sz w:val="20"/>
          <w:szCs w:val="20"/>
          <w:color w:val="auto"/>
        </w:rPr>
      </w:pPr>
      <w:r>
        <w:rPr>
          <w:rFonts w:ascii="Times New Roman" w:cs="Times New Roman" w:eastAsia="Times New Roman" w:hAnsi="Times New Roman"/>
          <w:sz w:val="21"/>
          <w:szCs w:val="21"/>
          <w:b w:val="1"/>
          <w:bCs w:val="1"/>
          <w:color w:val="auto"/>
        </w:rPr>
        <w:t>Time of Sale Prospectus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08" w:right="1440" w:bottom="1440" w:gutter="0" w:footer="0" w:header="0"/>
        </w:sectPr>
      </w:pPr>
    </w:p>
    <w:bookmarkStart w:id="45" w:name="page46"/>
    <w:bookmarkEnd w:id="45"/>
    <w:p>
      <w:pPr>
        <w:jc w:val="right"/>
        <w:ind w:right="7179"/>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92" w:right="1440" w:bottom="1440" w:gutter="0" w:footer="0" w:header="0"/>
        </w:sectPr>
      </w:pPr>
    </w:p>
    <w:bookmarkStart w:id="46" w:name="page47"/>
    <w:bookmarkEnd w:id="46"/>
    <w:p>
      <w:pPr>
        <w:ind w:left="2360" w:hanging="381"/>
        <w:spacing w:after="0"/>
        <w:tabs>
          <w:tab w:leader="none" w:pos="23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free writing prospectus, dated as of December 6, 2023</w:t>
      </w:r>
    </w:p>
    <w:p>
      <w:pPr>
        <w:spacing w:after="0" w:line="244" w:lineRule="exact"/>
        <w:rPr>
          <w:rFonts w:ascii="Times New Roman" w:cs="Times New Roman" w:eastAsia="Times New Roman" w:hAnsi="Times New Roman"/>
          <w:sz w:val="21"/>
          <w:szCs w:val="21"/>
          <w:color w:val="auto"/>
        </w:rPr>
      </w:pPr>
    </w:p>
    <w:p>
      <w:pPr>
        <w:ind w:left="2360" w:hanging="381"/>
        <w:spacing w:after="0"/>
        <w:tabs>
          <w:tab w:leader="none" w:pos="23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Information:</w:t>
      </w:r>
    </w:p>
    <w:p>
      <w:pPr>
        <w:sectPr>
          <w:pgSz w:w="11900" w:h="16838" w:orient="portrait"/>
          <w:cols w:equalWidth="0" w:num="1">
            <w:col w:w="10119"/>
          </w:cols>
          <w:pgMar w:left="340" w:top="558" w:right="1440" w:bottom="1440" w:gutter="0" w:footer="0" w:header="0"/>
        </w:sectPr>
      </w:pPr>
    </w:p>
    <w:p>
      <w:pPr>
        <w:spacing w:after="0" w:line="233" w:lineRule="exact"/>
        <w:rPr>
          <w:sz w:val="20"/>
          <w:szCs w:val="20"/>
          <w:color w:val="auto"/>
        </w:rPr>
      </w:pPr>
    </w:p>
    <w:p>
      <w:pPr>
        <w:ind w:left="2880"/>
        <w:spacing w:after="0"/>
        <w:tabs>
          <w:tab w:leader="none" w:pos="610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11,125,000</w:t>
      </w:r>
    </w:p>
    <w:p>
      <w:pPr>
        <w:spacing w:after="0" w:line="193" w:lineRule="exact"/>
        <w:rPr>
          <w:sz w:val="20"/>
          <w:szCs w:val="20"/>
          <w:color w:val="auto"/>
        </w:rPr>
      </w:pPr>
    </w:p>
    <w:p>
      <w:pPr>
        <w:ind w:left="2880"/>
        <w:spacing w:after="0"/>
        <w:tabs>
          <w:tab w:leader="none" w:pos="6100" w:val="left"/>
        </w:tabs>
        <w:rPr>
          <w:sz w:val="20"/>
          <w:szCs w:val="20"/>
          <w:color w:val="auto"/>
        </w:rPr>
      </w:pPr>
      <w:r>
        <w:rPr>
          <w:rFonts w:ascii="Times New Roman" w:cs="Times New Roman" w:eastAsia="Times New Roman" w:hAnsi="Times New Roman"/>
          <w:sz w:val="22"/>
          <w:szCs w:val="22"/>
          <w:color w:val="auto"/>
        </w:rPr>
        <w:t>Public Offering Price:</w:t>
      </w:r>
      <w:r>
        <w:rPr>
          <w:sz w:val="20"/>
          <w:szCs w:val="20"/>
          <w:color w:val="auto"/>
        </w:rPr>
        <w:tab/>
      </w:r>
      <w:r>
        <w:rPr>
          <w:rFonts w:ascii="Times New Roman" w:cs="Times New Roman" w:eastAsia="Times New Roman" w:hAnsi="Times New Roman"/>
          <w:sz w:val="21"/>
          <w:szCs w:val="21"/>
          <w:color w:val="auto"/>
        </w:rPr>
        <w:t>$24.00</w:t>
      </w:r>
    </w:p>
    <w:p>
      <w:pPr>
        <w:spacing w:after="0" w:line="220" w:lineRule="exact"/>
        <w:rPr>
          <w:sz w:val="20"/>
          <w:szCs w:val="20"/>
          <w:color w:val="auto"/>
        </w:rPr>
      </w:pPr>
    </w:p>
    <w:p>
      <w:pPr>
        <w:ind w:left="2880"/>
        <w:spacing w:after="0"/>
        <w:tabs>
          <w:tab w:leader="none" w:pos="6100" w:val="left"/>
        </w:tabs>
        <w:rPr>
          <w:sz w:val="20"/>
          <w:szCs w:val="20"/>
          <w:color w:val="auto"/>
        </w:rPr>
      </w:pPr>
      <w:r>
        <w:rPr>
          <w:rFonts w:ascii="Times New Roman" w:cs="Times New Roman" w:eastAsia="Times New Roman" w:hAnsi="Times New Roman"/>
          <w:sz w:val="22"/>
          <w:szCs w:val="22"/>
          <w:color w:val="auto"/>
        </w:rPr>
        <w:t>Warrants to be sold:</w:t>
      </w:r>
      <w:r>
        <w:rPr>
          <w:sz w:val="20"/>
          <w:szCs w:val="20"/>
          <w:color w:val="auto"/>
        </w:rPr>
        <w:tab/>
      </w:r>
      <w:r>
        <w:rPr>
          <w:rFonts w:ascii="Times New Roman" w:cs="Times New Roman" w:eastAsia="Times New Roman" w:hAnsi="Times New Roman"/>
          <w:sz w:val="21"/>
          <w:szCs w:val="21"/>
          <w:color w:val="auto"/>
        </w:rPr>
        <w:t>1,375,000 warrants</w:t>
      </w:r>
    </w:p>
    <w:p>
      <w:pPr>
        <w:spacing w:after="0" w:line="220" w:lineRule="exact"/>
        <w:rPr>
          <w:sz w:val="20"/>
          <w:szCs w:val="20"/>
          <w:color w:val="auto"/>
        </w:rPr>
      </w:pPr>
    </w:p>
    <w:p>
      <w:pPr>
        <w:ind w:left="2880"/>
        <w:spacing w:after="0"/>
        <w:tabs>
          <w:tab w:leader="none" w:pos="6100" w:val="left"/>
        </w:tabs>
        <w:rPr>
          <w:sz w:val="20"/>
          <w:szCs w:val="20"/>
          <w:color w:val="auto"/>
        </w:rPr>
      </w:pPr>
      <w:r>
        <w:rPr>
          <w:rFonts w:ascii="Times New Roman" w:cs="Times New Roman" w:eastAsia="Times New Roman" w:hAnsi="Times New Roman"/>
          <w:sz w:val="22"/>
          <w:szCs w:val="22"/>
          <w:color w:val="auto"/>
        </w:rPr>
        <w:t>Offering Price of Warrants:</w:t>
      </w:r>
      <w:r>
        <w:rPr>
          <w:sz w:val="20"/>
          <w:szCs w:val="20"/>
          <w:color w:val="auto"/>
        </w:rPr>
        <w:tab/>
      </w:r>
      <w:r>
        <w:rPr>
          <w:rFonts w:ascii="Times New Roman" w:cs="Times New Roman" w:eastAsia="Times New Roman" w:hAnsi="Times New Roman"/>
          <w:sz w:val="21"/>
          <w:szCs w:val="21"/>
          <w:color w:val="auto"/>
        </w:rPr>
        <w:t>$23.99 per Warrant</w:t>
      </w:r>
    </w:p>
    <w:p>
      <w:pPr>
        <w:sectPr>
          <w:pgSz w:w="11900" w:h="16838" w:orient="portrait"/>
          <w:cols w:equalWidth="0" w:num="1">
            <w:col w:w="10119"/>
          </w:cols>
          <w:pgMar w:left="340" w:top="5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1"/>
          <w:szCs w:val="21"/>
          <w:color w:val="auto"/>
        </w:rPr>
        <w:t>II-1</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58"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Written Testing-the-Waters Communications</w:t>
      </w:r>
    </w:p>
    <w:p>
      <w:pPr>
        <w:spacing w:after="0" w:line="24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92" w:right="65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2"/>
          <w:szCs w:val="22"/>
          <w:color w:val="auto"/>
        </w:rPr>
        <w:t>III-1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49" w:name="page50"/>
    <w:bookmarkEnd w:id="49"/>
    <w:p>
      <w:pPr>
        <w:ind w:left="976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FORM OF LOCK-UP LETTER</w:t>
      </w:r>
    </w:p>
    <w:p>
      <w:pPr>
        <w:spacing w:after="0" w:line="200" w:lineRule="exact"/>
        <w:rPr>
          <w:sz w:val="20"/>
          <w:szCs w:val="20"/>
          <w:color w:val="auto"/>
        </w:rPr>
      </w:pPr>
    </w:p>
    <w:p>
      <w:pPr>
        <w:spacing w:after="0" w:line="2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Morgan Stanley &amp; Co. LLC Leerink</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Partners LLC</w:t>
      </w:r>
    </w:p>
    <w:p>
      <w:pPr>
        <w:spacing w:after="0" w:line="1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c/o Morgan Stanley &amp; Co. LLC 1585</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Broadway</w:t>
      </w:r>
    </w:p>
    <w:p>
      <w:pPr>
        <w:ind w:left="198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c/o Leerink Partners LLC</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1301 Avenue of the Americas, 12th Floor New York,</w:t>
      </w:r>
    </w:p>
    <w:p>
      <w:pPr>
        <w:ind w:left="1980"/>
        <w:spacing w:after="0"/>
        <w:rPr>
          <w:sz w:val="20"/>
          <w:szCs w:val="20"/>
          <w:color w:val="auto"/>
        </w:rPr>
      </w:pPr>
      <w:r>
        <w:rPr>
          <w:rFonts w:ascii="Times New Roman" w:cs="Times New Roman" w:eastAsia="Times New Roman" w:hAnsi="Times New Roman"/>
          <w:sz w:val="22"/>
          <w:szCs w:val="22"/>
          <w:color w:val="auto"/>
        </w:rPr>
        <w:t>New York 10019</w:t>
      </w:r>
    </w:p>
    <w:p>
      <w:pPr>
        <w:spacing w:after="0" w:line="2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left="1600" w:right="20" w:firstLine="749"/>
        <w:spacing w:after="0" w:line="235" w:lineRule="auto"/>
        <w:rPr>
          <w:sz w:val="20"/>
          <w:szCs w:val="20"/>
          <w:color w:val="auto"/>
        </w:rPr>
      </w:pPr>
      <w:r>
        <w:rPr>
          <w:rFonts w:ascii="Times New Roman" w:cs="Times New Roman" w:eastAsia="Times New Roman" w:hAnsi="Times New Roman"/>
          <w:sz w:val="22"/>
          <w:szCs w:val="22"/>
          <w:color w:val="auto"/>
        </w:rPr>
        <w:t>The undersigned understands that Morgan Stanley &amp; Co. LLC and Leerink Partners LLC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propose to enter into an Underwriting Agreement (the “</w:t>
      </w:r>
      <w:r>
        <w:rPr>
          <w:rFonts w:ascii="Times New Roman" w:cs="Times New Roman" w:eastAsia="Times New Roman" w:hAnsi="Times New Roman"/>
          <w:sz w:val="22"/>
          <w:szCs w:val="22"/>
          <w:b w:val="1"/>
          <w:bCs w:val="1"/>
          <w:color w:val="auto"/>
        </w:rPr>
        <w:t>Underwriting Agreement</w:t>
      </w:r>
      <w:r>
        <w:rPr>
          <w:rFonts w:ascii="Times New Roman" w:cs="Times New Roman" w:eastAsia="Times New Roman" w:hAnsi="Times New Roman"/>
          <w:sz w:val="22"/>
          <w:szCs w:val="22"/>
          <w:color w:val="auto"/>
        </w:rPr>
        <w:t xml:space="preserve">”) with Pharvaris N.V., a public limited liability company </w:t>
      </w:r>
      <w:r>
        <w:rPr>
          <w:rFonts w:ascii="Times New Roman" w:cs="Times New Roman" w:eastAsia="Times New Roman" w:hAnsi="Times New Roman"/>
          <w:sz w:val="22"/>
          <w:szCs w:val="22"/>
          <w:i w:val="1"/>
          <w:iCs w:val="1"/>
          <w:color w:val="auto"/>
        </w:rPr>
        <w:t>(naamloze vennootschap)</w:t>
      </w:r>
      <w:r>
        <w:rPr>
          <w:rFonts w:ascii="Times New Roman" w:cs="Times New Roman" w:eastAsia="Times New Roman" w:hAnsi="Times New Roman"/>
          <w:sz w:val="22"/>
          <w:szCs w:val="22"/>
          <w:color w:val="auto"/>
        </w:rPr>
        <w:t xml:space="preserve"> incorporated and existing under the laws of the Netherlands, with its registered seat in Leiden, the Netherlands, registered under number 64239411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providing for the public offering (the “</w:t>
      </w:r>
      <w:r>
        <w:rPr>
          <w:rFonts w:ascii="Times New Roman" w:cs="Times New Roman" w:eastAsia="Times New Roman" w:hAnsi="Times New Roman"/>
          <w:sz w:val="22"/>
          <w:szCs w:val="22"/>
          <w:b w:val="1"/>
          <w:bCs w:val="1"/>
          <w:color w:val="auto"/>
        </w:rPr>
        <w:t>Public Offering</w:t>
      </w:r>
      <w:r>
        <w:rPr>
          <w:rFonts w:ascii="Times New Roman" w:cs="Times New Roman" w:eastAsia="Times New Roman" w:hAnsi="Times New Roman"/>
          <w:sz w:val="22"/>
          <w:szCs w:val="22"/>
          <w:color w:val="auto"/>
        </w:rPr>
        <w:t>”) by the Underwriters, of shares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of the ordinary shares, nominal value €0.12 per share, of the Company (the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600" w:firstLine="749"/>
        <w:spacing w:after="0" w:line="244" w:lineRule="auto"/>
        <w:rPr>
          <w:sz w:val="20"/>
          <w:szCs w:val="20"/>
          <w:color w:val="auto"/>
        </w:rPr>
      </w:pPr>
      <w:r>
        <w:rPr>
          <w:rFonts w:ascii="Times New Roman" w:cs="Times New Roman" w:eastAsia="Times New Roman" w:hAnsi="Times New Roman"/>
          <w:sz w:val="21"/>
          <w:szCs w:val="21"/>
          <w:color w:val="auto"/>
        </w:rPr>
        <w:t>To induce the Underwriters that may participate in the Public Offering to continue their efforts in connection with the Public Offering, the undersigned hereby agrees that, without the prior written consent of the Underwriters, it will not, and will not publicly disclose an intention to, during the period commencing on the date hereof and ending 90 days after the date of the final prospectus (the “</w:t>
      </w:r>
      <w:r>
        <w:rPr>
          <w:rFonts w:ascii="Times New Roman" w:cs="Times New Roman" w:eastAsia="Times New Roman" w:hAnsi="Times New Roman"/>
          <w:sz w:val="21"/>
          <w:szCs w:val="21"/>
          <w:b w:val="1"/>
          <w:bCs w:val="1"/>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relating to the Public Offering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(1) offer, pledge, sell, contract to sell, sell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or contract to purchase, purchase any option or contract to sell, grant any option, right or warrant to purchase, lend, or otherwise transfer or dispose of, directly or indirectly, any shares of Ordinary Shares beneficially owned (as such term is used in Rule 13d-3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by the undersigned or any other securities so owned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The foregoing sentence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473" w:right="659" w:bottom="1440" w:gutter="0" w:footer="0" w:header="0"/>
        </w:sectPr>
      </w:pPr>
    </w:p>
    <w:bookmarkStart w:id="50" w:name="page51"/>
    <w:bookmarkEnd w:id="50"/>
    <w:p>
      <w:pPr>
        <w:jc w:val="both"/>
        <w:ind w:left="1600"/>
        <w:spacing w:after="0" w:line="242" w:lineRule="auto"/>
        <w:rPr>
          <w:sz w:val="20"/>
          <w:szCs w:val="20"/>
          <w:color w:val="auto"/>
        </w:rPr>
      </w:pPr>
      <w:r>
        <w:rPr>
          <w:rFonts w:ascii="Times New Roman" w:cs="Times New Roman" w:eastAsia="Times New Roman" w:hAnsi="Times New Roman"/>
          <w:sz w:val="21"/>
          <w:szCs w:val="21"/>
          <w:color w:val="auto"/>
        </w:rPr>
        <w:t xml:space="preserve">shall not apply to (A) the registration of the offer and sale of shares of Ordinary Shares pursuant to the Underwriting Agreement, (B) transactions relating to the Ordinary Shares or other securities acquired in the Public Offering or open market transactions after the completion of the Public Offering, (C) transfers of shares of Ordinary Shares or any security convertible into Ordinary Shares as a bona fide gift or gifts or by will, testamentary document or intestate succession, (D) distributions of Ordinary Shares or any security convertible into Ordinary Shares to limited partners, members, trust beneficiaries or stockholders of the undersigned, (E) if the undersigned is a corporation, partnership, limited liability company, trust or other business entity, to any direct or indirect affiliate (as defined in Rule 405 promulgated under the Securities Act of 1933, as amended) of the undersigned or any investment fund or other entity controlled or managed by, or under common control or management with, the undersigned or any investment fund or other entity that controls the undersigned, (F) solely by operation of law, pursuant to a qualified domestic order or in connection with a divorce settlement, (G) to any trust for the direct or indirect benefit of the undersigned or the immediate family of the undersigned (for purposes of this agreement “immediate family” shall mean any relationship by blood, marriage or adoption, not more remote than first cousin), provided that any such transfer shall not involve a disposition for value, (H) facilitating the establishment of a trading plan on behalf of a shareholder, officer or director of the Company pursuant to Rule 10b5-1 under the Exchange Act for the transfer of shares of Ordinary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plan does not provide for the transfer of Ordinary Shares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Ordinary Shares may be made under such plan during the Restricted Period, (I) transfers to the Company of shares of Ordinary Shares or any security convertible into shares of Ordinary Shares in connection with the “net” or “cashless” exercise of options or warrants or the vesting, exercise or settlement of any other equity- based award during the Restricted Period, in each case, granted pursuant to the Company’s equity incentive plans described in the Prospectus or the documents incorporated by reference therein, including any shares of Ordinary Shares withheld by the Company or any of its subsidiaries to pay the applicable exercise price or withholding taxes associated with such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 the restrictions contained in this agreement shall apply to shares of Ordinary Shares issued upon such exercise, conversion, vesting or settlement and</w:t>
      </w:r>
    </w:p>
    <w:p>
      <w:pPr>
        <w:spacing w:after="0" w:line="253" w:lineRule="exact"/>
        <w:rPr>
          <w:sz w:val="20"/>
          <w:szCs w:val="20"/>
          <w:color w:val="auto"/>
        </w:rPr>
      </w:pPr>
    </w:p>
    <w:p>
      <w:pPr>
        <w:jc w:val="both"/>
        <w:ind w:left="1600" w:firstLine="10"/>
        <w:spacing w:after="0" w:line="231" w:lineRule="auto"/>
        <w:tabs>
          <w:tab w:leader="none" w:pos="193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options or other awards that expire, vest or become settled during the Restricted Period while the Company is unable to transfer shares for purposes of satisfying any tax or other governmental withholding obligations, the restrictions contained in this agreement shall not apply to shares sold or otherwise withheld for that purpose, (J) pursuant to a bona fide third-party tender offer, merger, consolidation or other similar transaction made to all holders of the Company’s securities involving a Change of Control of the Company and approved by the Company’s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such tender offer, merger, consolidation or other such transaction is not completed, such securities held by the undersigned shall remain subject to the provisions of this agreement (for purposes of this agreement “Change of Control” shall mean the transfer, whether by tender offer, merger, consolidation, spin-off or other such transaction, in one transaction or a series of related transactions, to a person or group of affiliated persons (other than an Underwriter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96" w:right="659" w:bottom="1440" w:gutter="0" w:footer="0" w:header="0"/>
        </w:sectPr>
      </w:pPr>
    </w:p>
    <w:bookmarkStart w:id="51" w:name="page52"/>
    <w:bookmarkEnd w:id="51"/>
    <w:p>
      <w:pPr>
        <w:jc w:val="both"/>
        <w:ind w:left="1600"/>
        <w:spacing w:after="0" w:line="244" w:lineRule="auto"/>
        <w:rPr>
          <w:sz w:val="20"/>
          <w:szCs w:val="20"/>
          <w:color w:val="auto"/>
        </w:rPr>
      </w:pPr>
      <w:r>
        <w:rPr>
          <w:rFonts w:ascii="Times New Roman" w:cs="Times New Roman" w:eastAsia="Times New Roman" w:hAnsi="Times New Roman"/>
          <w:sz w:val="21"/>
          <w:szCs w:val="21"/>
          <w:color w:val="auto"/>
        </w:rPr>
        <w:t xml:space="preserve">pursuant to the Public Offering), of the Company’s voting securities if, after such transfer, such person or group of affiliated persons would hold more than 50% of the outstanding voting securities of the Company (or the surviving entity), (K) to the Company pursuant to arrangements under which the Company has the option to repurchase the undersigned’s Ordinary Shares, which arrangements are described in the Prospectus or the documents incorporated by reference therein; (L) transfers made with the prior written consent of the Underwriters; and (M) transfers or sales of Ordinary Shares pursuant to any Rule 10b5-1 Plan that has been entered into by the undersigned prior to the date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transfer or distribution pursuant to clause (C), (D), (E), (F) or (G), (i) each donee or distributee shall sign and deliver a lock-up agreement substantially in the form of this agreement, and (ii) in the case of any transfer or distribution pursuant to clause (B), (C), (D), (E), (F), (G), (I), (J) or (K), no public announcement or filing under the Exchange Act, reporting a reduction in beneficial ownership of shares of Ordinary Shares, shall be required or voluntarily made during the Restricted Period (other than a filing under Section 13 of the Exchange Act that is required to be filed during the Restricted Period).</w:t>
      </w:r>
    </w:p>
    <w:p>
      <w:pPr>
        <w:spacing w:after="0" w:line="224" w:lineRule="exact"/>
        <w:rPr>
          <w:sz w:val="20"/>
          <w:szCs w:val="20"/>
          <w:color w:val="auto"/>
        </w:rPr>
      </w:pPr>
    </w:p>
    <w:p>
      <w:pPr>
        <w:jc w:val="both"/>
        <w:ind w:left="1600" w:right="20" w:firstLine="749"/>
        <w:spacing w:after="0" w:line="236" w:lineRule="auto"/>
        <w:rPr>
          <w:sz w:val="20"/>
          <w:szCs w:val="20"/>
          <w:color w:val="auto"/>
        </w:rPr>
      </w:pPr>
      <w:r>
        <w:rPr>
          <w:rFonts w:ascii="Times New Roman" w:cs="Times New Roman" w:eastAsia="Times New Roman" w:hAnsi="Times New Roman"/>
          <w:sz w:val="22"/>
          <w:szCs w:val="22"/>
          <w:color w:val="auto"/>
        </w:rPr>
        <w:t>In addition, the undersigned agrees that, without the prior written consent of the Underwriters, it will not, during the Restricted Period, make any demand for or exercise any right with respect to, the registration of any Ordinary Shares or any security convertible into or exercisable or exchangeable for Ordinary Shares. The undersigned also agrees and consents to the entry of stop transfer instructions with the Company’s transfer agent and registrar against the transfer of the undersigned’s Ordinary Shares except in compliance with the foregoing restrictions.</w:t>
      </w:r>
    </w:p>
    <w:p>
      <w:pPr>
        <w:spacing w:after="0" w:line="222" w:lineRule="exact"/>
        <w:rPr>
          <w:sz w:val="20"/>
          <w:szCs w:val="20"/>
          <w:color w:val="auto"/>
        </w:rPr>
      </w:pPr>
    </w:p>
    <w:p>
      <w:pPr>
        <w:jc w:val="both"/>
        <w:ind w:left="1600" w:firstLine="749"/>
        <w:spacing w:after="0" w:line="235" w:lineRule="auto"/>
        <w:rPr>
          <w:sz w:val="20"/>
          <w:szCs w:val="20"/>
          <w:color w:val="auto"/>
        </w:rPr>
      </w:pPr>
      <w:r>
        <w:rPr>
          <w:rFonts w:ascii="Times New Roman" w:cs="Times New Roman" w:eastAsia="Times New Roman" w:hAnsi="Times New Roman"/>
          <w:sz w:val="22"/>
          <w:szCs w:val="22"/>
          <w:color w:val="auto"/>
        </w:rPr>
        <w:t>This agreement shall be terminated and the undersigned shall be released from its obligations hereunder upon the earlier of: (i) the date the registration statement filed or submitted with the SEC with respect to the Public Offering is withdrawn, (ii) the date on which for any reason the Underwriting Agreement is terminated (other than the provisions thereof that survive termination) prior to payment for and delivery of the Shares to be sold thereunder or (iii) the Company or the Underwriters notifies the other in writing prior to the execution of the Underwriting Agreement that it does not intend to proceed with the Public Offering.</w:t>
      </w:r>
    </w:p>
    <w:p>
      <w:pPr>
        <w:spacing w:after="0" w:line="210" w:lineRule="exact"/>
        <w:rPr>
          <w:sz w:val="20"/>
          <w:szCs w:val="20"/>
          <w:color w:val="auto"/>
        </w:rPr>
      </w:pPr>
    </w:p>
    <w:p>
      <w:pPr>
        <w:jc w:val="both"/>
        <w:ind w:left="1600" w:right="20" w:firstLine="749"/>
        <w:spacing w:after="0" w:line="239" w:lineRule="auto"/>
        <w:rPr>
          <w:sz w:val="20"/>
          <w:szCs w:val="20"/>
          <w:color w:val="auto"/>
        </w:rPr>
      </w:pPr>
      <w:r>
        <w:rPr>
          <w:rFonts w:ascii="Times New Roman" w:cs="Times New Roman" w:eastAsia="Times New Roman" w:hAnsi="Times New Roman"/>
          <w:sz w:val="22"/>
          <w:szCs w:val="22"/>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221" w:lineRule="exact"/>
        <w:rPr>
          <w:sz w:val="20"/>
          <w:szCs w:val="20"/>
          <w:color w:val="auto"/>
        </w:rPr>
      </w:pPr>
    </w:p>
    <w:p>
      <w:pPr>
        <w:jc w:val="both"/>
        <w:ind w:left="1600" w:firstLine="749"/>
        <w:spacing w:after="0" w:line="248" w:lineRule="auto"/>
        <w:rPr>
          <w:sz w:val="20"/>
          <w:szCs w:val="20"/>
          <w:color w:val="auto"/>
        </w:rPr>
      </w:pPr>
      <w:r>
        <w:rPr>
          <w:rFonts w:ascii="Times New Roman" w:cs="Times New Roman" w:eastAsia="Times New Roman" w:hAnsi="Times New Roman"/>
          <w:sz w:val="21"/>
          <w:szCs w:val="21"/>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96" w:right="659" w:bottom="1440" w:gutter="0" w:footer="0" w:header="0"/>
        </w:sectPr>
      </w:pPr>
    </w:p>
    <w:bookmarkStart w:id="52" w:name="page53"/>
    <w:bookmarkEnd w:id="52"/>
    <w:p>
      <w:pPr>
        <w:jc w:val="both"/>
        <w:ind w:left="1600"/>
        <w:spacing w:after="0" w:line="244" w:lineRule="auto"/>
        <w:rPr>
          <w:sz w:val="20"/>
          <w:szCs w:val="20"/>
          <w:color w:val="auto"/>
        </w:rPr>
      </w:pPr>
      <w:r>
        <w:rPr>
          <w:rFonts w:ascii="Times New Roman" w:cs="Times New Roman" w:eastAsia="Times New Roman" w:hAnsi="Times New Roman"/>
          <w:sz w:val="22"/>
          <w:szCs w:val="22"/>
          <w:color w:val="auto"/>
        </w:rPr>
        <w:t>Offering or sell any Shares at the price determined in the Public Offering, and nothing set forth in such disclosures or documentation is intended to suggest that any Underwriter is making such a recommendation.</w:t>
      </w:r>
    </w:p>
    <w:p>
      <w:pPr>
        <w:spacing w:after="0" w:line="214" w:lineRule="exact"/>
        <w:rPr>
          <w:sz w:val="20"/>
          <w:szCs w:val="20"/>
          <w:color w:val="auto"/>
        </w:rPr>
      </w:pPr>
    </w:p>
    <w:p>
      <w:pPr>
        <w:jc w:val="both"/>
        <w:ind w:left="1600" w:right="360" w:firstLine="749"/>
        <w:spacing w:after="0" w:line="261" w:lineRule="auto"/>
        <w:rPr>
          <w:sz w:val="20"/>
          <w:szCs w:val="20"/>
          <w:color w:val="auto"/>
        </w:rPr>
      </w:pPr>
      <w:r>
        <w:rPr>
          <w:rFonts w:ascii="Times New Roman" w:cs="Times New Roman" w:eastAsia="Times New Roman" w:hAnsi="Times New Roman"/>
          <w:sz w:val="21"/>
          <w:szCs w:val="21"/>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98" w:lineRule="exact"/>
        <w:rPr>
          <w:sz w:val="20"/>
          <w:szCs w:val="20"/>
          <w:color w:val="auto"/>
        </w:rPr>
      </w:pPr>
    </w:p>
    <w:p>
      <w:pPr>
        <w:jc w:val="both"/>
        <w:ind w:left="1600" w:right="38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96" w:right="659" w:bottom="1440" w:gutter="0" w:footer="0" w:header="0"/>
        </w:sectPr>
      </w:pPr>
    </w:p>
    <w:bookmarkStart w:id="53" w:name="page54"/>
    <w:bookmarkEnd w:id="53"/>
    <w:p>
      <w:pPr>
        <w:jc w:val="right"/>
        <w:ind w:right="2539"/>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-160020</wp:posOffset>
            </wp:positionV>
            <wp:extent cx="2922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-160020</wp:posOffset>
            </wp:positionV>
            <wp:extent cx="2922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283082134v.5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63"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ORDINARY SHARES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 (such date,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 ]</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PRE-FUNDED ORDINARY SHARES PURCHASE WARRANT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the registered holder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 any time on or after the Issue Date until this Warrant is exercised in full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to subscribe for and purchase from Pharvaris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having its official seat in Leiden, the Netherlands, and registered with the trade register of the Dutch Chamber of Commerce under number 64239411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 [ ] ordinary shares, nominal value €0.12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the Company (as subject to adjustment hereunder,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The purchase price of one Ordinary Share under this Warrant shall be equal to $0.01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The aggregate exercise price per Warrant Share under this Warrant shall be equal to $24.00 (the “</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minus the Exercise Price, was pre-funded to the Company on or before the Issue Date.</w:t>
      </w:r>
    </w:p>
    <w:p>
      <w:pPr>
        <w:spacing w:after="0" w:line="18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Warrant, the following terms shall have the following meanings:</w:t>
      </w:r>
    </w:p>
    <w:p>
      <w:pPr>
        <w:spacing w:after="0" w:line="221" w:lineRule="exact"/>
        <w:rPr>
          <w:sz w:val="20"/>
          <w:szCs w:val="20"/>
          <w:color w:val="auto"/>
        </w:rPr>
      </w:pPr>
    </w:p>
    <w:p>
      <w:pPr>
        <w:ind w:left="1500" w:right="120" w:hanging="743"/>
        <w:spacing w:after="0" w:line="268"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225" w:lineRule="exact"/>
        <w:rPr>
          <w:rFonts w:ascii="Times New Roman" w:cs="Times New Roman" w:eastAsia="Times New Roman" w:hAnsi="Times New Roman"/>
          <w:sz w:val="18"/>
          <w:szCs w:val="18"/>
          <w:color w:val="auto"/>
        </w:rPr>
      </w:pPr>
    </w:p>
    <w:p>
      <w:pPr>
        <w:ind w:left="1500" w:right="300" w:hanging="743"/>
        <w:spacing w:after="0" w:line="286"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the Trading Market is authorized or required by law or other governmental action to close.</w:t>
      </w:r>
    </w:p>
    <w:p>
      <w:pPr>
        <w:spacing w:after="0" w:line="154" w:lineRule="exact"/>
        <w:rPr>
          <w:rFonts w:ascii="Times New Roman" w:cs="Times New Roman" w:eastAsia="Times New Roman" w:hAnsi="Times New Roman"/>
          <w:sz w:val="18"/>
          <w:szCs w:val="18"/>
          <w:color w:val="auto"/>
        </w:rPr>
      </w:pPr>
    </w:p>
    <w:p>
      <w:pPr>
        <w:ind w:left="1500" w:right="120" w:hanging="743"/>
        <w:spacing w:after="0" w:line="286"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Company’s Registration Statement on Form F-3 (File No. 333-263198) that became effective on March 10, 2022.</w:t>
      </w:r>
    </w:p>
    <w:p>
      <w:pPr>
        <w:spacing w:after="0" w:line="154" w:lineRule="exact"/>
        <w:rPr>
          <w:rFonts w:ascii="Times New Roman" w:cs="Times New Roman" w:eastAsia="Times New Roman" w:hAnsi="Times New Roman"/>
          <w:sz w:val="18"/>
          <w:szCs w:val="18"/>
          <w:color w:val="auto"/>
        </w:rPr>
      </w:pPr>
    </w:p>
    <w:p>
      <w:pPr>
        <w:ind w:left="1500" w:right="420" w:hanging="743"/>
        <w:spacing w:after="0" w:line="286"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Ordinary Shares are traded on the Trading Market.</w:t>
      </w:r>
    </w:p>
    <w:p>
      <w:pPr>
        <w:spacing w:after="0" w:line="225" w:lineRule="exact"/>
        <w:rPr>
          <w:rFonts w:ascii="Times New Roman" w:cs="Times New Roman" w:eastAsia="Times New Roman" w:hAnsi="Times New Roman"/>
          <w:sz w:val="18"/>
          <w:szCs w:val="18"/>
          <w:color w:val="auto"/>
        </w:rPr>
      </w:pPr>
    </w:p>
    <w:p>
      <w:pPr>
        <w:ind w:left="1500" w:right="240" w:hanging="743"/>
        <w:spacing w:after="0" w:line="286"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Ordinary Shares are then traded in the United States.</w:t>
      </w:r>
    </w:p>
    <w:p>
      <w:pPr>
        <w:spacing w:after="0" w:line="154" w:lineRule="exact"/>
        <w:rPr>
          <w:rFonts w:ascii="Times New Roman" w:cs="Times New Roman" w:eastAsia="Times New Roman" w:hAnsi="Times New Roman"/>
          <w:sz w:val="18"/>
          <w:szCs w:val="18"/>
          <w:color w:val="auto"/>
        </w:rPr>
      </w:pPr>
    </w:p>
    <w:p>
      <w:pPr>
        <w:ind w:left="1500" w:right="80" w:hanging="743"/>
        <w:spacing w:after="0" w:line="278" w:lineRule="auto"/>
        <w:tabs>
          <w:tab w:leader="none" w:pos="1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Weighted Average Price</w:t>
      </w:r>
      <w:r>
        <w:rPr>
          <w:rFonts w:ascii="Times New Roman" w:cs="Times New Roman" w:eastAsia="Times New Roman" w:hAnsi="Times New Roman"/>
          <w:sz w:val="17"/>
          <w:szCs w:val="17"/>
          <w:color w:val="auto"/>
        </w:rPr>
        <w:t>”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1500"/>
        <w:spacing w:after="0" w:line="254" w:lineRule="auto"/>
        <w:rPr>
          <w:sz w:val="20"/>
          <w:szCs w:val="20"/>
          <w:color w:val="auto"/>
        </w:rPr>
      </w:pPr>
      <w:r>
        <w:rPr>
          <w:rFonts w:ascii="Times New Roman" w:cs="Times New Roman" w:eastAsia="Times New Roman" w:hAnsi="Times New Roman"/>
          <w:sz w:val="18"/>
          <w:szCs w:val="18"/>
          <w:color w:val="auto"/>
        </w:rPr>
        <w:t xml:space="preserve">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8"/>
          <w:szCs w:val="18"/>
          <w:u w:val="single" w:color="auto"/>
          <w:color w:val="auto"/>
        </w:rPr>
        <w:t>Section 6(n)</w:t>
      </w:r>
      <w:r>
        <w:rPr>
          <w:rFonts w:ascii="Times New Roman" w:cs="Times New Roman" w:eastAsia="Times New Roman" w:hAnsi="Times New Roman"/>
          <w:sz w:val="18"/>
          <w:szCs w:val="18"/>
          <w:color w:val="auto"/>
        </w:rPr>
        <w:t xml:space="preserve"> with the term “Weighted Average Price” being substituted for the term “Exercise Price.” All such determinations shall be appropriately adjusted for any share dividend, share split, share combination or other similar transaction during such period.</w:t>
      </w:r>
    </w:p>
    <w:p>
      <w:pPr>
        <w:spacing w:after="0" w:line="192" w:lineRule="exact"/>
        <w:rPr>
          <w:sz w:val="20"/>
          <w:szCs w:val="20"/>
          <w:color w:val="auto"/>
        </w:rPr>
      </w:pPr>
    </w:p>
    <w:p>
      <w:pPr>
        <w:ind w:left="1500" w:right="40" w:hanging="1496"/>
        <w:spacing w:after="0" w:line="253" w:lineRule="auto"/>
        <w:tabs>
          <w:tab w:leader="none" w:pos="14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This Warrant, as initially issued by the Company, is offered and sold pursuant to the Registration Statement.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of the Issue Date, the Warrant Shares are offered under the Registration Statement. Accordingly, this Warrant, assuming an exchange meeting the requirements of </w:t>
      </w:r>
      <w:r>
        <w:rPr>
          <w:rFonts w:ascii="Times New Roman" w:cs="Times New Roman" w:eastAsia="Times New Roman" w:hAnsi="Times New Roman"/>
          <w:sz w:val="18"/>
          <w:szCs w:val="18"/>
          <w:u w:val="single" w:color="auto"/>
          <w:color w:val="auto"/>
        </w:rPr>
        <w:t>Section 3(a)(9)</w:t>
      </w:r>
      <w:r>
        <w:rPr>
          <w:rFonts w:ascii="Times New Roman" w:cs="Times New Roman" w:eastAsia="Times New Roman" w:hAnsi="Times New Roman"/>
          <w:sz w:val="18"/>
          <w:szCs w:val="18"/>
          <w:color w:val="auto"/>
        </w:rPr>
        <w:t xml:space="preserve"> of the Exchange Act as in effect on the Issue Date, and the Warrant Shares are not “restricted securities” under Rule 144 promulgated under the Securities Act. The Company shall, or will cause its transfer agent to, register ownership of this Warrant, upon records to be 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or in such name or names as may be directed by the Holder (which shall include the initial Holder or, as the case may be, any assignee to which this Warrant is assigned pursuant to the terms hereunder) from time to time. The Company may deem and treat the registered Holder of this Warrant as the absolute owner hereof for the purpose of any exercise hereof or any distribution to the Holder, and for all other purposes, absent actual notice to the contrary. All acts and things have been done and performed which are necessary to make the Warrants, when executed on behalf of the Company and countersigned by or on behalf of Holder, as provided herein, the valid, binding and legal obligations of the Company, and to authorize the execution and delivery of this Warrant.</w:t>
      </w:r>
    </w:p>
    <w:p>
      <w:pPr>
        <w:spacing w:after="0" w:line="19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00" w:right="80" w:hanging="743"/>
        <w:spacing w:after="0" w:line="25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Subject to the terms and conditions hereof, the purchase rights represented by this Warrant may be exercised, in whole or in part, at any time or times on or after the Issue Date, by delivery (whether via facsimile or otherwise) to the Company (or such other office or agency of the Company as it may designate by notice in writing to the registered Holder at the address of the Holder appearing on the Warrant Register) of a duly executed copy of the Notice of Exercise in the form annexed hereto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Exercise</w:t>
      </w:r>
      <w:r>
        <w:rPr>
          <w:rFonts w:ascii="Times New Roman" w:cs="Times New Roman" w:eastAsia="Times New Roman" w:hAnsi="Times New Roman"/>
          <w:sz w:val="18"/>
          <w:szCs w:val="18"/>
          <w:color w:val="auto"/>
        </w:rPr>
        <w:t>”) and by payment to the Company of an amount equal to the Aggregate Exercise Price of the Warrant Shares specified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applicable Notice of Exercise by wire transfer. The Aggregate Exercise Price of this Warrant, minus the Exercise Price, was pre-funded to the Company on or before the Issue Date. The pre-funded Aggregate Exercise Price of this Warrant, except for the Exercise Price, shall be considered to have been pre-paid on the Warrant Shares issuable hereunder and, consequently, upon the issuance of any Warrant Shares pursuant to the exercise of this Warrant, such Warrant Shares shall have been paid up in full and the Company irrevocably consents to such payment being made in a currency other than the Euro. Consequently, no additional consideration (other than the Exercise Price per Warrant Share) shall be required to be paid by the Holder to effect any exercise of this Warrant. No ink-original Notice of Exercise shall be required, nor shall any medallion guarantee (or other type of guarantee or notarization) of any Notice of Exercise form be required.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-1263015</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743" w:right="140"/>
        <w:spacing w:after="0" w:line="286" w:lineRule="auto"/>
        <w:rPr>
          <w:sz w:val="20"/>
          <w:szCs w:val="20"/>
          <w:color w:val="auto"/>
        </w:rPr>
      </w:pPr>
      <w:r>
        <w:rPr>
          <w:rFonts w:ascii="Times New Roman" w:cs="Times New Roman" w:eastAsia="Times New Roman" w:hAnsi="Times New Roman"/>
          <w:sz w:val="18"/>
          <w:szCs w:val="18"/>
          <w:b w:val="1"/>
          <w:bCs w:val="1"/>
          <w:color w:val="auto"/>
        </w:rPr>
        <w:t>Holder shall not be entitled to the return or refund of all, or any portion, of any pre-paid Aggregate Exercise Price under any circumstance or for any reason whatsoever.</w:t>
      </w:r>
    </w:p>
    <w:p>
      <w:pPr>
        <w:spacing w:after="0" w:line="159" w:lineRule="exact"/>
        <w:rPr>
          <w:sz w:val="20"/>
          <w:szCs w:val="20"/>
          <w:color w:val="auto"/>
        </w:rPr>
      </w:pPr>
    </w:p>
    <w:p>
      <w:pPr>
        <w:ind w:left="743" w:hanging="743"/>
        <w:spacing w:after="0"/>
        <w:tabs>
          <w:tab w:leader="none" w:pos="7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03" w:right="20" w:hanging="755"/>
        <w:spacing w:after="0" w:line="253"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Warrant Shares purchased hereunder shall be transmitted to the Holder or its designee by crediting the account of the Holder’s or its designee’s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system if the Company is then a participant in such system, or if the Company’s transfer agent is not participating in the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otherwise by physical delivery to the address specified by the Holder in the Notice of Exercise by the date that is two Trading Days after the receipt by the Company of the Notice of Exercise (provided that payment of the Exercise Price has then been received by the Company) (such date, the “</w:t>
      </w:r>
      <w:r>
        <w:rPr>
          <w:rFonts w:ascii="Times New Roman" w:cs="Times New Roman" w:eastAsia="Times New Roman" w:hAnsi="Times New Roman"/>
          <w:sz w:val="18"/>
          <w:szCs w:val="18"/>
          <w:b w:val="1"/>
          <w:bCs w:val="1"/>
          <w:i w:val="1"/>
          <w:iCs w:val="1"/>
          <w:color w:val="auto"/>
        </w:rPr>
        <w:t>Warrant Share Delivery Date</w:t>
      </w:r>
      <w:r>
        <w:rPr>
          <w:rFonts w:ascii="Times New Roman" w:cs="Times New Roman" w:eastAsia="Times New Roman" w:hAnsi="Times New Roman"/>
          <w:sz w:val="18"/>
          <w:szCs w:val="18"/>
          <w:color w:val="auto"/>
        </w:rPr>
        <w:t>”). This Warrant shall be deemed to have been exercised upon proper delivery of the Notice of Exercise and payment of the Exercise Price in accordance with the terms hereof. The Company shall use its reasonable best efforts to maintain a transfer agent that is a participant in the FAST program so long as this Warrant remains outstanding and exercisable.</w:t>
      </w:r>
    </w:p>
    <w:p>
      <w:pPr>
        <w:spacing w:after="0" w:line="194" w:lineRule="exact"/>
        <w:rPr>
          <w:rFonts w:ascii="Times New Roman" w:cs="Times New Roman" w:eastAsia="Times New Roman" w:hAnsi="Times New Roman"/>
          <w:sz w:val="18"/>
          <w:szCs w:val="18"/>
          <w:color w:val="auto"/>
        </w:rPr>
      </w:pPr>
    </w:p>
    <w:p>
      <w:pPr>
        <w:ind w:left="1503" w:right="20" w:hanging="755"/>
        <w:spacing w:after="0" w:line="261"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503" w:hanging="755"/>
        <w:spacing w:after="0" w:line="252"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xml:space="preserve">. In addition to any other rights available to the Holder, if the Company fails to cause its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above pursuant to an exercise on or before the Warrant Share Delivery Date (other than a failure caused by incorrect or incomplete information provided by the Holder to the Company) (provided that payment of the Exercise Price has then been received by the Company),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then the Company shall either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8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33" w:right="359" w:bottom="1440" w:gutter="0" w:footer="0" w:header="0"/>
        </w:sectPr>
      </w:pPr>
    </w:p>
    <w:bookmarkStart w:id="57" w:name="page58"/>
    <w:bookmarkEnd w:id="57"/>
    <w:p>
      <w:pPr>
        <w:ind w:left="2260" w:hanging="755"/>
        <w:spacing w:after="0" w:line="261" w:lineRule="auto"/>
        <w:tabs>
          <w:tab w:leader="none" w:pos="22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shall be issued upon the exercise of this Warrant. As to any fraction of a share which the Holder would otherwise be entitled to purchase upon such exercise, the Company shall, at its election, either pay a cash adjustment in respect of such final fractions in an amount equal to such fraction multiplied by the Exercise Price or round up to the nearest whole share.</w:t>
      </w:r>
    </w:p>
    <w:p>
      <w:pPr>
        <w:spacing w:after="0" w:line="179" w:lineRule="exact"/>
        <w:rPr>
          <w:rFonts w:ascii="Times New Roman" w:cs="Times New Roman" w:eastAsia="Times New Roman" w:hAnsi="Times New Roman"/>
          <w:sz w:val="18"/>
          <w:szCs w:val="18"/>
          <w:color w:val="auto"/>
        </w:rPr>
      </w:pPr>
    </w:p>
    <w:p>
      <w:pPr>
        <w:ind w:left="2260" w:right="60" w:hanging="755"/>
        <w:spacing w:after="0" w:line="254" w:lineRule="auto"/>
        <w:tabs>
          <w:tab w:leader="none" w:pos="22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transfer or similar documentary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or documentary tax or other additional costs incidental thereto. The Company shall pay all transfer agent fees required for any Notice of Exercise and all fees to the DTC (or another established clearing corporation performing similar functions) required for electronic delivery of the Warrant Shares.</w:t>
      </w:r>
    </w:p>
    <w:p>
      <w:pPr>
        <w:spacing w:after="0" w:line="188" w:lineRule="exact"/>
        <w:rPr>
          <w:rFonts w:ascii="Times New Roman" w:cs="Times New Roman" w:eastAsia="Times New Roman" w:hAnsi="Times New Roman"/>
          <w:sz w:val="18"/>
          <w:szCs w:val="18"/>
          <w:color w:val="auto"/>
        </w:rPr>
      </w:pPr>
    </w:p>
    <w:p>
      <w:pPr>
        <w:ind w:left="1500" w:hanging="743"/>
        <w:spacing w:after="0" w:line="253"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This Warrant may be exercised by the Holder, at any time or times on or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exercise would result in the Holder acquiring beneficial ownership of Warrant Shares (together with all other equity of the Company owned by the Holder at such time) with a value of or in excess of the Hart-Scott-Rodino Antitrust Improvements Act of 1976, as amended (the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notification threshold applicable to the Holder (the “</w:t>
      </w:r>
      <w:r>
        <w:rPr>
          <w:rFonts w:ascii="Times New Roman" w:cs="Times New Roman" w:eastAsia="Times New Roman" w:hAnsi="Times New Roman"/>
          <w:sz w:val="18"/>
          <w:szCs w:val="18"/>
          <w:b w:val="1"/>
          <w:bCs w:val="1"/>
          <w:i w:val="1"/>
          <w:iCs w:val="1"/>
          <w:color w:val="auto"/>
        </w:rPr>
        <w:t>HSR Threshold</w:t>
      </w:r>
      <w:r>
        <w:rPr>
          <w:rFonts w:ascii="Times New Roman" w:cs="Times New Roman" w:eastAsia="Times New Roman" w:hAnsi="Times New Roman"/>
          <w:sz w:val="18"/>
          <w:szCs w:val="18"/>
          <w:color w:val="auto"/>
        </w:rPr>
        <w:t>”), and no exemption to filing a notice and report form under the HSR Act is applicable, then only such portion of this Warrant, which when exercised does not exceed the HSR Threshold, shall be exercisable and the applicable Notice of Exercise shall be deemed to relate only to such portion of this Warrant, and the remaining portion of this Warrant in excess of the HSR Threshold shall not be exercisable until the expiration or early termination of the applicable waiting periods or receipt of applicable approval. After such expiration or early termination of the applicable waiting period or receipt of applicable approval, the HSR Threshold shall no longer be applicable to this Warrant, notwithstanding any other provision hereof.</w:t>
      </w:r>
    </w:p>
    <w:p>
      <w:pPr>
        <w:spacing w:after="0" w:line="19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right="80" w:hanging="743"/>
        <w:spacing w:after="0" w:line="254"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Ordinary Shares</w:t>
      </w:r>
      <w:r>
        <w:rPr>
          <w:rFonts w:ascii="Times New Roman" w:cs="Times New Roman" w:eastAsia="Times New Roman" w:hAnsi="Times New Roman"/>
          <w:sz w:val="18"/>
          <w:szCs w:val="18"/>
          <w:color w:val="auto"/>
        </w:rPr>
        <w:t xml:space="preserve">. During such time as this Warrant is outstanding, if the Company subdivides (by any share split, share dividend, recapitalization or otherwise) its outstanding Ordinary Shares into a greater number of shares, the Exercise Price in effect immediately prior to such subdivision will be proportionately reduced and the number of Warrant Shares will be proportionately increased. During such time as this Warrant is outstanding, if the Company combines (by combination, reverse share split or otherwise) its outstanding Ordinary Shares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191" w:lineRule="exact"/>
        <w:rPr>
          <w:rFonts w:ascii="Times New Roman" w:cs="Times New Roman" w:eastAsia="Times New Roman" w:hAnsi="Times New Roman"/>
          <w:sz w:val="18"/>
          <w:szCs w:val="18"/>
          <w:color w:val="auto"/>
        </w:rPr>
      </w:pPr>
    </w:p>
    <w:p>
      <w:pPr>
        <w:ind w:left="1500" w:right="60" w:hanging="743"/>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if during such time as this Warrant is outstanding the Company grants, issues or sells any rights to purchase share, warrants, securities or other property, in each case pro rata to the record holders of its outstanding Ordinary Shares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Ordinary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743" w:right="140"/>
        <w:spacing w:after="0" w:line="258" w:lineRule="auto"/>
        <w:rPr>
          <w:sz w:val="20"/>
          <w:szCs w:val="20"/>
          <w:color w:val="auto"/>
        </w:rPr>
      </w:pPr>
      <w:r>
        <w:rPr>
          <w:rFonts w:ascii="Times New Roman" w:cs="Times New Roman" w:eastAsia="Times New Roman" w:hAnsi="Times New Roman"/>
          <w:sz w:val="18"/>
          <w:szCs w:val="18"/>
          <w:color w:val="auto"/>
        </w:rPr>
        <w:t>Shares are to be determined for the grant, issue or sale of such Purchase Rights (provided, however, to the extent that the Holder’s right to participate in any such Purchase Right would result in the Holder exceeding the HSR Threshold (if applicable),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HSR Threshold (if applicable)).</w:t>
      </w:r>
    </w:p>
    <w:p>
      <w:pPr>
        <w:spacing w:after="0" w:line="183" w:lineRule="exact"/>
        <w:rPr>
          <w:sz w:val="20"/>
          <w:szCs w:val="20"/>
          <w:color w:val="auto"/>
        </w:rPr>
      </w:pPr>
    </w:p>
    <w:p>
      <w:pPr>
        <w:ind w:left="743" w:right="40" w:hanging="743"/>
        <w:spacing w:after="0" w:line="253" w:lineRule="auto"/>
        <w:tabs>
          <w:tab w:leader="none" w:pos="7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its outstanding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as a result of a share dividend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immediately before the date of which a record is taken for such Distribution, or, if no such record is taken, the date as of which the record holders of Ordinary Shares are to be determined for the participation in such Distribution (provided, however, to the extent that the Holder’s right to participate in any such Distribution would result in the Holder exceeding the HSR Threshold (if applicable),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HSR Threshold (if applicable)).</w:t>
      </w:r>
    </w:p>
    <w:p>
      <w:pPr>
        <w:spacing w:after="0" w:line="187" w:lineRule="exact"/>
        <w:rPr>
          <w:rFonts w:ascii="Times New Roman" w:cs="Times New Roman" w:eastAsia="Times New Roman" w:hAnsi="Times New Roman"/>
          <w:sz w:val="18"/>
          <w:szCs w:val="18"/>
          <w:color w:val="auto"/>
        </w:rPr>
      </w:pPr>
    </w:p>
    <w:p>
      <w:pPr>
        <w:ind w:left="743" w:hanging="743"/>
        <w:spacing w:after="0" w:line="251" w:lineRule="auto"/>
        <w:tabs>
          <w:tab w:leader="none" w:pos="7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while this Warrant is outstanding (i) the Company, directly or indirectly, in one or more related transactions, effects any merger or consolidation of the Company with or into another Person, in which the Company is not the surviving entity or the shareholders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to another Person of all or substantially all of its assets in one or a series of related transactions, (iii) any direct or indirect purchase offer, tender offer or exchange offer (whether by the Company or another Person) is completed pursuant to which holders of share capital who tender shares representing more than 50% of the voting power of the share capital of the Company and the Company or such other Person, as applicable, accepts such tender for payment, (iv) the Company, directly or indirectly, in one or more related transactions, consummates a share purchase agreement or other business combination (including, without limitation, a reorganization, recapitalization, spin-off or scheme of arrangement) with another Person whereby such other Person acquires more than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directly or indirectly, whether by merger, consolidation or otherwise, in one or more related transactions, effects any reclassification, reorganization or recapitalization of the Ordinary Shares or any compulsory share exchange pursuant to which the Ordinary Shares are effectively converted into or exchanged for other securities, cash or property (other than as a result of a subdivision or combination of Ordinary Shares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For</w:t>
      </w:r>
    </w:p>
    <w:p>
      <w:pPr>
        <w:spacing w:after="0" w:line="20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7" w:right="339" w:bottom="1440" w:gutter="0" w:footer="0" w:header="0"/>
        </w:sectPr>
      </w:pPr>
    </w:p>
    <w:bookmarkStart w:id="59" w:name="page60"/>
    <w:bookmarkEnd w:id="59"/>
    <w:p>
      <w:pPr>
        <w:ind w:left="1500" w:right="20"/>
        <w:spacing w:after="0" w:line="252" w:lineRule="auto"/>
        <w:rPr>
          <w:sz w:val="20"/>
          <w:szCs w:val="20"/>
          <w:color w:val="auto"/>
        </w:rPr>
      </w:pPr>
      <w:r>
        <w:rPr>
          <w:rFonts w:ascii="Times New Roman" w:cs="Times New Roman" w:eastAsia="Times New Roman" w:hAnsi="Times New Roman"/>
          <w:sz w:val="18"/>
          <w:szCs w:val="18"/>
          <w:color w:val="auto"/>
        </w:rPr>
        <w:t xml:space="preserve">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Holder is not permitted to exercise any portion of the Warrant due to the HSR Threshold, then the Holder shall be entitled to receive cash as Alternate Consideration for such portion of the Warrant subject to such restriction..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Any such payment of such amount of such Alternate Consideration shall be made in the same form of consideration (whether securities, cash or property) as is given to the holders of Ordinary Shares in such Fundamental Transaction, and if multiple forms of consideration are given, the consideration shall be paid to the Holder in the same proportion as such consideration is paid to the holders of Ordinary Shares. The terms of any agreement pursuant to which a Fundamental Transaction is effected shall include terms requiring any such successor or surviving entity to comply with the provisions of this paragraph (d) and insuring that this Warrant (or any such replacement security) will be similarly adjusted upon any subsequent Fundamental Transaction. The Company shall not effect any Fundamental Transaction in which the Company is not the surviving entity or the Alternate Consideration includes securities of another Person unless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191" w:lineRule="exact"/>
        <w:rPr>
          <w:sz w:val="20"/>
          <w:szCs w:val="20"/>
          <w:color w:val="auto"/>
        </w:rPr>
      </w:pPr>
    </w:p>
    <w:p>
      <w:pPr>
        <w:ind w:left="1500" w:right="60" w:hanging="743"/>
        <w:spacing w:after="0" w:line="266" w:lineRule="auto"/>
        <w:tabs>
          <w:tab w:leader="none" w:pos="1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any calculation of the number of Ordinary Shares deemed to be issued and outstanding as of a given date shall not include treasury shares, if any.</w:t>
      </w:r>
    </w:p>
    <w:p>
      <w:pPr>
        <w:spacing w:after="0" w:line="17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00" w:hanging="743"/>
        <w:spacing w:after="0" w:line="253"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by the Holder. Upon any such registration or transfer, a new warrant to purchase Ordinary Shares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Notwithstanding anything herein to the contrary, the Holder shall not be required to physically surrender this Warrant to the Company unless the Holder has assigned this Warrant in full, in which case, the Holder shall surrender this Warrant to the Company within three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7" w:lineRule="exact"/>
        <w:rPr>
          <w:rFonts w:ascii="Times New Roman" w:cs="Times New Roman" w:eastAsia="Times New Roman" w:hAnsi="Times New Roman"/>
          <w:sz w:val="18"/>
          <w:szCs w:val="18"/>
          <w:color w:val="auto"/>
        </w:rPr>
      </w:pPr>
    </w:p>
    <w:p>
      <w:pPr>
        <w:jc w:val="both"/>
        <w:ind w:left="1500" w:right="180" w:hanging="743"/>
        <w:spacing w:after="0" w:line="266"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principal office of the Company (or other designated agent), together with a written notice specifying the names and denominations in which new Warrants are to be issued, signed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1500" w:right="80"/>
        <w:spacing w:after="0" w:line="258" w:lineRule="auto"/>
        <w:rPr>
          <w:sz w:val="20"/>
          <w:szCs w:val="20"/>
          <w:color w:val="auto"/>
        </w:rPr>
      </w:pPr>
      <w:r>
        <w:rPr>
          <w:rFonts w:ascii="Times New Roman" w:cs="Times New Roman" w:eastAsia="Times New Roman" w:hAnsi="Times New Roman"/>
          <w:sz w:val="18"/>
          <w:szCs w:val="18"/>
          <w:color w:val="auto"/>
        </w:rPr>
        <w:t>the Holder or its agent or attorney. Subject to compliance with Section 5(a),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to this Warrant except as to the number of Warrant Shares issuable pursuant thereto.</w:t>
      </w:r>
    </w:p>
    <w:p>
      <w:pPr>
        <w:spacing w:after="0" w:line="18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00" w:right="60" w:hanging="743"/>
        <w:spacing w:after="0" w:line="258"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this Warrant does not entitle the Holder to any voting rights, dividends or other rights as a shareholder of the Company prior to the exercise hereof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spacing w:after="0" w:line="183" w:lineRule="exact"/>
        <w:rPr>
          <w:rFonts w:ascii="Times New Roman" w:cs="Times New Roman" w:eastAsia="Times New Roman" w:hAnsi="Times New Roman"/>
          <w:sz w:val="18"/>
          <w:szCs w:val="18"/>
          <w:color w:val="auto"/>
        </w:rPr>
      </w:pPr>
    </w:p>
    <w:p>
      <w:pPr>
        <w:ind w:left="1500" w:right="80" w:hanging="743"/>
        <w:spacing w:after="0" w:line="258"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them of the loss, theft, destruction or mutilation of this Warrant or any share certificate relating to the Warrant Shares, and in case of loss, theft or destruction, of indemnity or security reasonably satisfactory to it,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83" w:lineRule="exact"/>
        <w:rPr>
          <w:rFonts w:ascii="Times New Roman" w:cs="Times New Roman" w:eastAsia="Times New Roman" w:hAnsi="Times New Roman"/>
          <w:sz w:val="18"/>
          <w:szCs w:val="18"/>
          <w:color w:val="auto"/>
        </w:rPr>
      </w:pPr>
    </w:p>
    <w:p>
      <w:pPr>
        <w:ind w:left="1500" w:right="280" w:hanging="743"/>
        <w:spacing w:after="0" w:line="266"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5" w:lineRule="exact"/>
        <w:rPr>
          <w:rFonts w:ascii="Times New Roman" w:cs="Times New Roman" w:eastAsia="Times New Roman" w:hAnsi="Times New Roman"/>
          <w:sz w:val="18"/>
          <w:szCs w:val="18"/>
          <w:color w:val="auto"/>
        </w:rPr>
      </w:pPr>
    </w:p>
    <w:p>
      <w:pPr>
        <w:ind w:left="1500" w:hanging="743"/>
        <w:spacing w:after="0" w:line="252"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Ordinary Shares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share certificates to execute and issue the necessary certificates, if applicable,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(meaning that a holder of a Warrant Share shall not by reason of merely being such a holder be subject to assessment or calls by the Company or its creditors for further payment on such Warrant Share)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(including any Fundamental Transaction), in each case, avoid or seek to avoid the observance or performance of any of the terms of this Warrant, and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nominal value of any Warrant Shares above the pre-funded Aggregate Exercise Price per Warrant Share, (ii) take all such action as may be necessary or appropriate in order that the Company may validly and legally issue fully paid and nonassessable Warrant Shares (meaning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left="743" w:right="60"/>
        <w:spacing w:after="0" w:line="255" w:lineRule="auto"/>
        <w:rPr>
          <w:sz w:val="20"/>
          <w:szCs w:val="20"/>
          <w:color w:val="auto"/>
        </w:rPr>
      </w:pPr>
      <w:r>
        <w:rPr>
          <w:rFonts w:ascii="Times New Roman" w:cs="Times New Roman" w:eastAsia="Times New Roman" w:hAnsi="Times New Roman"/>
          <w:sz w:val="18"/>
          <w:szCs w:val="18"/>
          <w:color w:val="auto"/>
        </w:rPr>
        <w:t>that a holder of a Warrant Share shall not by reason of merely being such a holder be subject to assessment or calls by the Company or its creditors for further payment on such Warrant Share) upon the exercise of this Warrant and (iii) use its reasonable best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9" w:lineRule="exact"/>
        <w:rPr>
          <w:sz w:val="20"/>
          <w:szCs w:val="20"/>
          <w:color w:val="auto"/>
        </w:rPr>
      </w:pPr>
    </w:p>
    <w:p>
      <w:pPr>
        <w:ind w:left="743" w:hanging="743"/>
        <w:spacing w:after="0"/>
        <w:tabs>
          <w:tab w:leader="none" w:pos="7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03" w:right="20" w:hanging="755"/>
        <w:spacing w:after="0" w:line="266" w:lineRule="auto"/>
        <w:tabs>
          <w:tab w:leader="none" w:pos="15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75" w:lineRule="exact"/>
        <w:rPr>
          <w:rFonts w:ascii="Times New Roman" w:cs="Times New Roman" w:eastAsia="Times New Roman" w:hAnsi="Times New Roman"/>
          <w:sz w:val="18"/>
          <w:szCs w:val="18"/>
          <w:color w:val="auto"/>
        </w:rPr>
      </w:pPr>
    </w:p>
    <w:p>
      <w:pPr>
        <w:ind w:left="1503" w:hanging="755"/>
        <w:spacing w:after="0" w:line="254" w:lineRule="auto"/>
        <w:tabs>
          <w:tab w:leader="none" w:pos="15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Warrant and the transactions contemplated herein, or for recognition or enforcement of any judgment, and each of the Company and the Holder irrevocably and unconditionally agrees that all claims in respect of any such action or proceeding may be heard and determined in such New York state court or, to the fullest extent permitted by applicable law, in such federal court. Each of the Company and the Holder hereto agrees that a final judgment in any such action or proceeding shall be conclusive and may be enforced in other jurisdictions by suit on the judgment or in any other manner provided by law.</w:t>
      </w:r>
    </w:p>
    <w:p>
      <w:pPr>
        <w:spacing w:after="0" w:line="188" w:lineRule="exact"/>
        <w:rPr>
          <w:rFonts w:ascii="Times New Roman" w:cs="Times New Roman" w:eastAsia="Times New Roman" w:hAnsi="Times New Roman"/>
          <w:sz w:val="18"/>
          <w:szCs w:val="18"/>
          <w:color w:val="auto"/>
        </w:rPr>
      </w:pPr>
    </w:p>
    <w:p>
      <w:pPr>
        <w:ind w:left="1503" w:right="140" w:hanging="755"/>
        <w:spacing w:after="0" w:line="258" w:lineRule="auto"/>
        <w:tabs>
          <w:tab w:leader="none" w:pos="15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Holder irrevocably and unconditionally waives, to the fullest extent permitted by applicable law, any objection that it may now or hereafter have to the laying of venue of any action or proceeding arising out of or relating to this Warrant and the transactions contemplated herein in any court referred to in </w:t>
      </w:r>
      <w:r>
        <w:rPr>
          <w:rFonts w:ascii="Times New Roman" w:cs="Times New Roman" w:eastAsia="Times New Roman" w:hAnsi="Times New Roman"/>
          <w:sz w:val="18"/>
          <w:szCs w:val="18"/>
          <w:u w:val="single" w:color="auto"/>
          <w:color w:val="auto"/>
        </w:rPr>
        <w:t>Section 6(e)(ii)</w:t>
      </w:r>
      <w:r>
        <w:rPr>
          <w:rFonts w:ascii="Times New Roman" w:cs="Times New Roman" w:eastAsia="Times New Roman" w:hAnsi="Times New Roman"/>
          <w:sz w:val="18"/>
          <w:szCs w:val="18"/>
          <w:color w:val="auto"/>
        </w:rPr>
        <w:t xml:space="preserve"> hereof. Each of the Company and the Holder hereby irrevocably waives, to the fullest extent permitted by applicable law, the defense of an inconvenient forum to the maintenance of such action or proceeding in any such court.</w:t>
      </w:r>
    </w:p>
    <w:p>
      <w:pPr>
        <w:spacing w:after="0" w:line="183" w:lineRule="exact"/>
        <w:rPr>
          <w:rFonts w:ascii="Times New Roman" w:cs="Times New Roman" w:eastAsia="Times New Roman" w:hAnsi="Times New Roman"/>
          <w:sz w:val="18"/>
          <w:szCs w:val="18"/>
          <w:color w:val="auto"/>
        </w:rPr>
      </w:pPr>
    </w:p>
    <w:p>
      <w:pPr>
        <w:ind w:left="1503" w:hanging="755"/>
        <w:spacing w:after="0" w:line="253" w:lineRule="auto"/>
        <w:tabs>
          <w:tab w:leader="none" w:pos="15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HEREBY IRREVOCABLY WAIVES, TO THE FULLEST EXTENT PERMITTED BY APPLICABLE LAW, ANY RIGHT IT MAY HAVE TO A TRIAL BY JURY IN ANY LEGAL PROCEEDING DIRECTLY OR INDIRECTLY ARISING OUT OF OR RELATING TO THIS WARRANT OR THE TRANSACTIONS CONTEMPLATED HEREBY (WHETHER BASED ON CONTRACT, TORT OR ANY OTHER THEORY). EACH OF THE COMPANY AND THE HOLDER (A) CERTIFIES THAT NO REPRESENTATIVE, AGENT OR ATTORNEY OF ANY OTHER PERSON HAS REPRESENTED, EXPRESSLY OR OTHERWISE, THAT SUCH OTHER PERSON WOULD NOT, IN THE EVENT OF LITIGATION, SEEK TO ENFORCE THE FOREGOING WAIVER AND (B) ACKNOWLEDGES THAT EACH OF THE COMPANY AND THE HOLDER HAS BEEN INDUCED TO ENTER INTO THIS WARRANT BY, AMONG OTHER THINGS, THE MUTUAL WAIVERS AND CERTIFICATIONS IN THIS SECTION.</w:t>
      </w:r>
    </w:p>
    <w:p>
      <w:pPr>
        <w:spacing w:after="0" w:line="194" w:lineRule="exact"/>
        <w:rPr>
          <w:rFonts w:ascii="Times New Roman" w:cs="Times New Roman" w:eastAsia="Times New Roman" w:hAnsi="Times New Roman"/>
          <w:sz w:val="18"/>
          <w:szCs w:val="18"/>
          <w:color w:val="auto"/>
        </w:rPr>
      </w:pPr>
    </w:p>
    <w:p>
      <w:pPr>
        <w:ind w:left="743" w:right="120" w:hanging="743"/>
        <w:spacing w:after="0" w:line="266" w:lineRule="auto"/>
        <w:tabs>
          <w:tab w:leader="none" w:pos="7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Warrant, if</w:t>
      </w:r>
    </w:p>
    <w:p>
      <w:pPr>
        <w:spacing w:after="0" w:line="1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7" w:right="339" w:bottom="1440" w:gutter="0" w:footer="0" w:header="0"/>
        </w:sectPr>
      </w:pPr>
    </w:p>
    <w:bookmarkStart w:id="62" w:name="page63"/>
    <w:bookmarkEnd w:id="62"/>
    <w:p>
      <w:pPr>
        <w:ind w:left="743" w:right="60"/>
        <w:spacing w:after="0" w:line="261" w:lineRule="auto"/>
        <w:rPr>
          <w:sz w:val="20"/>
          <w:szCs w:val="20"/>
          <w:color w:val="auto"/>
        </w:rPr>
      </w:pPr>
      <w:r>
        <w:rPr>
          <w:rFonts w:ascii="Times New Roman" w:cs="Times New Roman" w:eastAsia="Times New Roman" w:hAnsi="Times New Roman"/>
          <w:sz w:val="18"/>
          <w:szCs w:val="18"/>
          <w:color w:val="auto"/>
        </w:rPr>
        <w:t>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0" w:lineRule="exact"/>
        <w:rPr>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w:t>
      </w:r>
    </w:p>
    <w:p>
      <w:pPr>
        <w:spacing w:after="0" w:line="225" w:lineRule="exact"/>
        <w:rPr>
          <w:rFonts w:ascii="Times New Roman" w:cs="Times New Roman" w:eastAsia="Times New Roman" w:hAnsi="Times New Roman"/>
          <w:sz w:val="18"/>
          <w:szCs w:val="18"/>
          <w:color w:val="auto"/>
        </w:rPr>
      </w:pPr>
    </w:p>
    <w:p>
      <w:pPr>
        <w:ind w:left="1503" w:right="60" w:hanging="755"/>
        <w:spacing w:after="0" w:line="272" w:lineRule="auto"/>
        <w:tabs>
          <w:tab w:leader="none" w:pos="1503"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Procedures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w:t>
      </w:r>
    </w:p>
    <w:p>
      <w:pPr>
        <w:spacing w:after="0" w:line="1" w:lineRule="exact"/>
        <w:rPr>
          <w:rFonts w:ascii="Times New Roman" w:cs="Times New Roman" w:eastAsia="Times New Roman" w:hAnsi="Times New Roman"/>
          <w:sz w:val="17"/>
          <w:szCs w:val="17"/>
          <w:color w:val="auto"/>
        </w:rPr>
      </w:pPr>
    </w:p>
    <w:p>
      <w:pPr>
        <w:ind w:left="1503" w:hanging="6"/>
        <w:spacing w:after="0" w:line="265" w:lineRule="auto"/>
        <w:tabs>
          <w:tab w:leader="none" w:pos="1758"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w:t>
      </w:r>
    </w:p>
    <w:p>
      <w:pPr>
        <w:ind w:left="1503" w:right="300" w:hanging="6"/>
        <w:spacing w:after="0" w:line="260" w:lineRule="auto"/>
        <w:tabs>
          <w:tab w:leader="none" w:pos="174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The addresses for such communications shall be:</w:t>
      </w:r>
    </w:p>
    <w:p>
      <w:pPr>
        <w:spacing w:after="0" w:line="181" w:lineRule="exact"/>
        <w:rPr>
          <w:sz w:val="20"/>
          <w:szCs w:val="20"/>
          <w:color w:val="auto"/>
        </w:rPr>
      </w:pPr>
    </w:p>
    <w:p>
      <w:pPr>
        <w:ind w:left="2243"/>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Pharvaris N.V.</w:t>
      </w:r>
    </w:p>
    <w:p>
      <w:pPr>
        <w:spacing w:after="0" w:line="27"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Emmy Noetherweg 2</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2333 BK Leiden</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2243"/>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3003"/>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2243"/>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3003" w:right="360"/>
        <w:spacing w:after="0" w:line="282" w:lineRule="auto"/>
        <w:rPr>
          <w:sz w:val="20"/>
          <w:szCs w:val="20"/>
          <w:color w:val="auto"/>
        </w:rPr>
      </w:pPr>
      <w:r>
        <w:rPr>
          <w:rFonts w:ascii="Times New Roman" w:cs="Times New Roman" w:eastAsia="Times New Roman" w:hAnsi="Times New Roman"/>
          <w:sz w:val="18"/>
          <w:szCs w:val="18"/>
          <w:color w:val="auto"/>
        </w:rPr>
        <w:t xml:space="preserve">To the address, email address or facsimile number set forth in the Warrant Register, or as otherwise provided by the Holder to the Company in accordance with this </w:t>
      </w:r>
      <w:r>
        <w:rPr>
          <w:rFonts w:ascii="Times New Roman" w:cs="Times New Roman" w:eastAsia="Times New Roman" w:hAnsi="Times New Roman"/>
          <w:sz w:val="18"/>
          <w:szCs w:val="18"/>
          <w:u w:val="single" w:color="auto"/>
          <w:color w:val="auto"/>
        </w:rPr>
        <w:t>Section 6(g)(i)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03" w:right="180" w:hanging="755"/>
        <w:spacing w:after="0" w:line="261" w:lineRule="auto"/>
        <w:tabs>
          <w:tab w:leader="none" w:pos="15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or number of Warrant Shares is adjusted pursuant to any provision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Company shall promptly provide the Holder a notice setting forth the Company’s good faith adjustment of the Exercise Price and number of Warrant Shares after such adjustment and setting forth a description of the transactions giving rise to such adjustments and a detailed statement of the facts upon which such adjustment is based.</w:t>
      </w:r>
    </w:p>
    <w:p>
      <w:pPr>
        <w:spacing w:after="0" w:line="179" w:lineRule="exact"/>
        <w:rPr>
          <w:rFonts w:ascii="Times New Roman" w:cs="Times New Roman" w:eastAsia="Times New Roman" w:hAnsi="Times New Roman"/>
          <w:sz w:val="18"/>
          <w:szCs w:val="18"/>
          <w:color w:val="auto"/>
        </w:rPr>
      </w:pPr>
    </w:p>
    <w:p>
      <w:pPr>
        <w:ind w:left="1503" w:right="160" w:hanging="755"/>
        <w:spacing w:after="0" w:line="266" w:lineRule="auto"/>
        <w:tabs>
          <w:tab w:leader="none" w:pos="15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the Holder</w:t>
      </w:r>
      <w:r>
        <w:rPr>
          <w:rFonts w:ascii="Times New Roman" w:cs="Times New Roman" w:eastAsia="Times New Roman" w:hAnsi="Times New Roman"/>
          <w:sz w:val="18"/>
          <w:szCs w:val="18"/>
          <w:color w:val="auto"/>
        </w:rPr>
        <w:t>. After the Issue Date, if (A) the Company shall declare a dividend (or any other distribution in whatever form) on the Ordinary Shares, including any Distribution, (B) the Company shall declare a special nonrecurring cash</w:t>
      </w:r>
    </w:p>
    <w:p>
      <w:pPr>
        <w:spacing w:after="0" w:line="1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7" w:right="339" w:bottom="1440" w:gutter="0" w:footer="0" w:header="0"/>
        </w:sectPr>
      </w:pPr>
    </w:p>
    <w:bookmarkStart w:id="63" w:name="page64"/>
    <w:bookmarkEnd w:id="63"/>
    <w:p>
      <w:pPr>
        <w:ind w:left="1503"/>
        <w:spacing w:after="0" w:line="252" w:lineRule="auto"/>
        <w:rPr>
          <w:sz w:val="20"/>
          <w:szCs w:val="20"/>
          <w:color w:val="auto"/>
        </w:rPr>
      </w:pPr>
      <w:r>
        <w:rPr>
          <w:rFonts w:ascii="Times New Roman" w:cs="Times New Roman" w:eastAsia="Times New Roman" w:hAnsi="Times New Roman"/>
          <w:sz w:val="18"/>
          <w:szCs w:val="18"/>
          <w:color w:val="auto"/>
        </w:rPr>
        <w:t xml:space="preserve">dividend on or a redemption of the Ordinary Shares, (C) the Company shall authorize the granting to all holders of the Ordinary Shares rights or warrants to subscribe for or purchase any shares of any class or of any rights, including any Purchase Right, (D) the approval of any shareholders of the Company shall be required in connection with any reclassification of the Ordinary Shares,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Ordinary Shares are converted into other securities, cash or property, including any Fundamental Transaction,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shares of the Ordinary Shares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89" w:lineRule="exact"/>
        <w:rPr>
          <w:sz w:val="20"/>
          <w:szCs w:val="20"/>
          <w:color w:val="auto"/>
        </w:rPr>
      </w:pPr>
    </w:p>
    <w:p>
      <w:pPr>
        <w:ind w:left="743" w:right="360" w:hanging="743"/>
        <w:spacing w:after="0" w:line="261" w:lineRule="auto"/>
        <w:tabs>
          <w:tab w:leader="none" w:pos="7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ind w:left="743" w:right="80" w:hanging="743"/>
        <w:spacing w:after="0" w:line="256" w:lineRule="auto"/>
        <w:tabs>
          <w:tab w:leader="none" w:pos="7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cash payments pursuant to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in no event shall the Company be required to net cash settle an exercise of this Warrant.</w:t>
      </w:r>
    </w:p>
    <w:p>
      <w:pPr>
        <w:spacing w:after="0" w:line="187" w:lineRule="exact"/>
        <w:rPr>
          <w:rFonts w:ascii="Times New Roman" w:cs="Times New Roman" w:eastAsia="Times New Roman" w:hAnsi="Times New Roman"/>
          <w:sz w:val="18"/>
          <w:szCs w:val="18"/>
          <w:color w:val="auto"/>
        </w:rPr>
      </w:pPr>
    </w:p>
    <w:p>
      <w:pPr>
        <w:ind w:left="743" w:hanging="743"/>
        <w:spacing w:after="0" w:line="261" w:lineRule="auto"/>
        <w:tabs>
          <w:tab w:leader="none" w:pos="7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743" w:right="40" w:hanging="743"/>
        <w:spacing w:after="0" w:line="282" w:lineRule="auto"/>
        <w:tabs>
          <w:tab w:leader="none" w:pos="7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743" w:right="140" w:hanging="743"/>
        <w:spacing w:after="0" w:line="266" w:lineRule="auto"/>
        <w:tabs>
          <w:tab w:leader="none" w:pos="7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w:t>
      </w:r>
    </w:p>
    <w:p>
      <w:pPr>
        <w:spacing w:after="0" w:line="17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37" w:right="359" w:bottom="1440" w:gutter="0" w:footer="0" w:header="0"/>
        </w:sectPr>
      </w:pPr>
    </w:p>
    <w:bookmarkStart w:id="64" w:name="page65"/>
    <w:bookmarkEnd w:id="64"/>
    <w:p>
      <w:pPr>
        <w:ind w:left="743"/>
        <w:spacing w:after="0"/>
        <w:rPr>
          <w:sz w:val="20"/>
          <w:szCs w:val="20"/>
          <w:color w:val="auto"/>
        </w:rPr>
      </w:pPr>
      <w:r>
        <w:rPr>
          <w:rFonts w:ascii="Times New Roman" w:cs="Times New Roman" w:eastAsia="Times New Roman" w:hAnsi="Times New Roman"/>
          <w:sz w:val="18"/>
          <w:szCs w:val="18"/>
          <w:color w:val="auto"/>
        </w:rPr>
        <w:t>of such prohibition or invalidity, without invalidating the remainder of such provisions or the remaining provisions of this Warrant.</w:t>
      </w:r>
    </w:p>
    <w:p>
      <w:pPr>
        <w:spacing w:after="0" w:line="225" w:lineRule="exact"/>
        <w:rPr>
          <w:sz w:val="20"/>
          <w:szCs w:val="20"/>
          <w:color w:val="auto"/>
        </w:rPr>
      </w:pPr>
    </w:p>
    <w:p>
      <w:pPr>
        <w:ind w:left="743" w:hanging="743"/>
        <w:spacing w:after="0" w:line="252"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in writing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in writing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Company was correct and such determination by the Holder was incorrect, in which case the expenses of the investment bank and accountant will be borne by the Holder.</w:t>
      </w:r>
    </w:p>
    <w:p>
      <w:pPr>
        <w:spacing w:after="0" w:line="197" w:lineRule="exact"/>
        <w:rPr>
          <w:rFonts w:ascii="Times New Roman" w:cs="Times New Roman" w:eastAsia="Times New Roman" w:hAnsi="Times New Roman"/>
          <w:sz w:val="18"/>
          <w:szCs w:val="18"/>
          <w:color w:val="auto"/>
        </w:rPr>
      </w:pPr>
    </w:p>
    <w:p>
      <w:pPr>
        <w:ind w:left="743" w:hanging="743"/>
        <w:spacing w:after="0" w:line="282" w:lineRule="auto"/>
        <w:tabs>
          <w:tab w:leader="none" w:pos="7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ind w:left="3303"/>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158750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37" w:right="359" w:bottom="1440" w:gutter="0" w:footer="0" w:header="0"/>
        </w:sectPr>
      </w:pPr>
    </w:p>
    <w:bookmarkStart w:id="65" w:name="page66"/>
    <w:bookmarkEnd w:id="65"/>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Warrant to be executed by its officer thereunto duly authorized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indicated.</w:t>
      </w:r>
    </w:p>
    <w:p>
      <w:pPr>
        <w:spacing w:after="0" w:line="15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-7620</wp:posOffset>
            </wp:positionV>
            <wp:extent cx="228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66" w:name="page67"/>
    <w:bookmarkEnd w:id="6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Pharvaris N.V.</w:t>
      </w:r>
    </w:p>
    <w:p>
      <w:pPr>
        <w:spacing w:after="0" w:line="225" w:lineRule="exact"/>
        <w:rPr>
          <w:sz w:val="20"/>
          <w:szCs w:val="20"/>
          <w:color w:val="auto"/>
        </w:rPr>
      </w:pPr>
    </w:p>
    <w:p>
      <w:pPr>
        <w:spacing w:after="0"/>
        <w:tabs>
          <w:tab w:leader="none" w:pos="340" w:val="left"/>
          <w:tab w:leader="none" w:pos="5760" w:val="left"/>
        </w:tabs>
        <w:rPr>
          <w:sz w:val="20"/>
          <w:szCs w:val="20"/>
          <w:color w:val="auto"/>
        </w:rPr>
      </w:pPr>
      <w:r>
        <w:rPr>
          <w:rFonts w:ascii="Times New Roman" w:cs="Times New Roman" w:eastAsia="Times New Roman" w:hAnsi="Times New Roman"/>
          <w:sz w:val="18"/>
          <w:szCs w:val="18"/>
          <w:color w:val="auto"/>
        </w:rPr>
        <w:t>(1)</w:t>
        <w:tab/>
        <w:t>The undersigned holder of Warrant No. hereby elects to purchase</w:t>
      </w:r>
      <w:r>
        <w:rPr>
          <w:sz w:val="20"/>
          <w:szCs w:val="20"/>
          <w:color w:val="auto"/>
        </w:rPr>
        <w:tab/>
      </w:r>
      <w:r>
        <w:rPr>
          <w:rFonts w:ascii="Times New Roman" w:cs="Times New Roman" w:eastAsia="Times New Roman" w:hAnsi="Times New Roman"/>
          <w:sz w:val="17"/>
          <w:szCs w:val="17"/>
          <w:color w:val="auto"/>
        </w:rPr>
        <w:t>Warrant Shares of the Company pursuant to the terms of the attached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Warrant (only if exercised in full), and tenders herewith payment of the exercise price in full, together with all applicable transfer taxes, if any.</w:t>
      </w:r>
    </w:p>
    <w:p>
      <w:pPr>
        <w:spacing w:after="0" w:line="218"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3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exceed the HSR Threshold (if applicable), as defined in the Warrant to which this notice relates.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if DWAC is unavailable,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266065</wp:posOffset>
            </wp:positionV>
            <wp:extent cx="27419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193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540385</wp:posOffset>
            </wp:positionV>
            <wp:extent cx="2741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193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814705</wp:posOffset>
            </wp:positionV>
            <wp:extent cx="27419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193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1500505</wp:posOffset>
            </wp:positionV>
            <wp:extent cx="15995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-7620</wp:posOffset>
            </wp:positionV>
            <wp:extent cx="13709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-7620</wp:posOffset>
            </wp:positionV>
            <wp:extent cx="13709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-7620</wp:posOffset>
            </wp:positionV>
            <wp:extent cx="13709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-7620</wp:posOffset>
            </wp:positionV>
            <wp:extent cx="13709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ectPr>
          <w:pgSz w:w="11900" w:h="16838" w:orient="portrait"/>
          <w:cols w:equalWidth="0" w:num="1">
            <w:col w:w="11000"/>
          </w:cols>
          <w:pgMar w:left="320" w:top="333" w:right="5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tabs>
          <w:tab w:leader="none" w:pos="2460" w:val="left"/>
          <w:tab w:leader="none" w:pos="3740" w:val="left"/>
        </w:tabs>
        <w:rPr>
          <w:sz w:val="20"/>
          <w:szCs w:val="20"/>
          <w:color w:val="auto"/>
        </w:rPr>
      </w:pPr>
      <w:r>
        <w:rPr>
          <w:rFonts w:ascii="Times New Roman" w:cs="Times New Roman" w:eastAsia="Times New Roman" w:hAnsi="Times New Roman"/>
          <w:sz w:val="18"/>
          <w:szCs w:val="18"/>
          <w:color w:val="auto"/>
        </w:rPr>
        <w:t>FOR VALUE RECEIVED, [</w:t>
      </w:r>
      <w:r>
        <w:rPr>
          <w:sz w:val="20"/>
          <w:szCs w:val="20"/>
          <w:color w:val="auto"/>
        </w:rPr>
        <w:tab/>
      </w:r>
      <w:r>
        <w:rPr>
          <w:rFonts w:ascii="Times New Roman" w:cs="Times New Roman" w:eastAsia="Times New Roman" w:hAnsi="Times New Roman"/>
          <w:sz w:val="18"/>
          <w:szCs w:val="18"/>
          <w:color w:val="auto"/>
        </w:rPr>
        <w:t>] all of or [</w:t>
      </w:r>
      <w:r>
        <w:rPr>
          <w:sz w:val="20"/>
          <w:szCs w:val="20"/>
          <w:color w:val="auto"/>
        </w:rPr>
        <w:tab/>
      </w:r>
      <w:r>
        <w:rPr>
          <w:rFonts w:ascii="Times New Roman" w:cs="Times New Roman" w:eastAsia="Times New Roman" w:hAnsi="Times New Roman"/>
          <w:sz w:val="17"/>
          <w:szCs w:val="17"/>
          <w:color w:val="auto"/>
        </w:rPr>
        <w:t>] shares of the foregoing Warrant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2285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266065</wp:posOffset>
            </wp:positionV>
            <wp:extent cx="18281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8165"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540385</wp:posOffset>
            </wp:positionV>
            <wp:extent cx="18281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816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814705</wp:posOffset>
            </wp:positionV>
            <wp:extent cx="1828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-7620</wp:posOffset>
            </wp:positionV>
            <wp:extent cx="1599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-7620</wp:posOffset>
            </wp:positionV>
            <wp:extent cx="1389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-7620</wp:posOffset>
            </wp:positionV>
            <wp:extent cx="1680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8084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266065</wp:posOffset>
            </wp:positionV>
            <wp:extent cx="18281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816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540385</wp:posOffset>
            </wp:positionV>
            <wp:extent cx="18281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color w:val="auto"/>
        </w:rPr>
        <w:t>Exhibit 5.1</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-64135</wp:posOffset>
            </wp:positionV>
            <wp:extent cx="11398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P.O. Box 7113</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1007 JC Amsterdam</w:t>
      </w:r>
    </w:p>
    <w:p>
      <w:pPr>
        <w:ind w:left="140"/>
        <w:spacing w:after="0"/>
        <w:rPr>
          <w:sz w:val="20"/>
          <w:szCs w:val="20"/>
          <w:color w:val="auto"/>
        </w:rPr>
      </w:pPr>
      <w:r>
        <w:rPr>
          <w:rFonts w:ascii="Times New Roman" w:cs="Times New Roman" w:eastAsia="Times New Roman" w:hAnsi="Times New Roman"/>
          <w:sz w:val="20"/>
          <w:szCs w:val="20"/>
          <w:color w:val="auto"/>
        </w:rPr>
        <w:t>Beethovenstraat 400</w:t>
      </w:r>
    </w:p>
    <w:p>
      <w:pPr>
        <w:ind w:left="140"/>
        <w:spacing w:after="0"/>
        <w:rPr>
          <w:sz w:val="20"/>
          <w:szCs w:val="20"/>
          <w:color w:val="auto"/>
        </w:rPr>
      </w:pPr>
      <w:r>
        <w:rPr>
          <w:rFonts w:ascii="Times New Roman" w:cs="Times New Roman" w:eastAsia="Times New Roman" w:hAnsi="Times New Roman"/>
          <w:sz w:val="20"/>
          <w:szCs w:val="20"/>
          <w:color w:val="auto"/>
        </w:rPr>
        <w:t>1082 PR Amsterdam</w:t>
      </w:r>
    </w:p>
    <w:p>
      <w:pPr>
        <w:ind w:left="140"/>
        <w:spacing w:after="0"/>
        <w:tabs>
          <w:tab w:leader="none" w:pos="5880" w:val="left"/>
        </w:tabs>
        <w:rPr>
          <w:sz w:val="20"/>
          <w:szCs w:val="20"/>
          <w:color w:val="auto"/>
        </w:rPr>
      </w:pPr>
      <w:r>
        <w:rPr>
          <w:rFonts w:ascii="Times New Roman" w:cs="Times New Roman" w:eastAsia="Times New Roman" w:hAnsi="Times New Roman"/>
          <w:sz w:val="20"/>
          <w:szCs w:val="20"/>
          <w:color w:val="auto"/>
        </w:rPr>
        <w:t>T +31 20 71 71 000</w:t>
      </w:r>
      <w:r>
        <w:rPr>
          <w:sz w:val="20"/>
          <w:szCs w:val="20"/>
          <w:color w:val="auto"/>
        </w:rPr>
        <w:tab/>
      </w:r>
      <w:r>
        <w:rPr>
          <w:rFonts w:ascii="Times New Roman" w:cs="Times New Roman" w:eastAsia="Times New Roman" w:hAnsi="Times New Roman"/>
          <w:sz w:val="19"/>
          <w:szCs w:val="19"/>
          <w:color w:val="auto"/>
        </w:rPr>
        <w:t>Amsterdam, 8 December 2023.</w:t>
      </w:r>
    </w:p>
    <w:p>
      <w:pPr>
        <w:ind w:left="140"/>
        <w:spacing w:after="0"/>
        <w:rPr>
          <w:sz w:val="20"/>
          <w:szCs w:val="20"/>
          <w:color w:val="auto"/>
        </w:rPr>
      </w:pPr>
      <w:r>
        <w:rPr>
          <w:rFonts w:ascii="Times New Roman" w:cs="Times New Roman" w:eastAsia="Times New Roman" w:hAnsi="Times New Roman"/>
          <w:sz w:val="20"/>
          <w:szCs w:val="20"/>
          <w:color w:val="auto"/>
        </w:rPr>
        <w:t>F +31 20 71 71 111</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bmkSocieteinfo</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bmkSocieteinfo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acted as legal counsel as to Dutch law to the Company in connection with the Offering and the filing of the Prosectus Supplement to the Registration Statement with the SEC. This opinion letter is rendered to you in order to be filed with the SEC as an exhibit to the Company's Form 6-K, as filed or to be filed with the SEC on 8 December 2023.</w:t>
      </w:r>
    </w:p>
    <w:p>
      <w:pPr>
        <w:spacing w:after="0" w:line="1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rendering the opinions expressed in this opinion letter, we have reviewed and relied upon drafts of the Reviewed Documents, a draft of the Registration Statement and the Prospectus Supplement and pdf copies or drafts, as the case may be, of the Corporate Documents and we have assumed that the Reviewed Documents shall be entered into for bona fide commercial reasons. We have not investigated or verified any factual matter disclosed to us in the course of our review.</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w:t>
      </w:r>
    </w:p>
    <w:p>
      <w:pPr>
        <w:spacing w:after="0" w:line="3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developments and/or changes of Dutch law subsequent to today's date. We do not purport to opine on the consequences of amendments to the Reviewed Documents, the Registration Statement or the Corporate Documents subsequent to the date of this opinion letter.</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this opinion letter, we have assumed that:</w:t>
      </w:r>
    </w:p>
    <w:p>
      <w:pPr>
        <w:spacing w:after="0" w:line="175" w:lineRule="exact"/>
        <w:rPr>
          <w:sz w:val="20"/>
          <w:szCs w:val="20"/>
          <w:color w:val="auto"/>
        </w:rPr>
      </w:pPr>
    </w:p>
    <w:p>
      <w:pPr>
        <w:ind w:left="760" w:hanging="752"/>
        <w:spacing w:after="0" w:line="269"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132"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33"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has been or will be declared effective by the SEC and the Prospectus Supplement has been filed with the SEC, in each case in the form reviewed by us;</w:t>
      </w:r>
    </w:p>
    <w:p>
      <w:pPr>
        <w:spacing w:after="0" w:line="118"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Relevant Moment, (i) Ordinary Shares shall have been admitted for trading on a trading system outside the European Economic Area</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0" w:name="page71"/>
    <w:bookmarkEnd w:id="70"/>
    <w:p>
      <w:pPr>
        <w:ind w:left="3812"/>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752"/>
        <w:spacing w:after="0" w:line="246" w:lineRule="auto"/>
        <w:rPr>
          <w:sz w:val="20"/>
          <w:szCs w:val="20"/>
          <w:color w:val="auto"/>
        </w:rPr>
      </w:pPr>
      <w:r>
        <w:rPr>
          <w:rFonts w:ascii="Times New Roman" w:cs="Times New Roman" w:eastAsia="Times New Roman" w:hAnsi="Times New Roman"/>
          <w:sz w:val="20"/>
          <w:szCs w:val="20"/>
          <w:color w:val="auto"/>
        </w:rPr>
        <w:t>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44" w:lineRule="exact"/>
        <w:rPr>
          <w:sz w:val="20"/>
          <w:szCs w:val="20"/>
          <w:color w:val="auto"/>
        </w:rPr>
      </w:pPr>
    </w:p>
    <w:p>
      <w:pPr>
        <w:ind w:left="752" w:hanging="752"/>
        <w:spacing w:after="0"/>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Deed of Incorporation is a valid notarial deed;</w:t>
      </w:r>
    </w:p>
    <w:p>
      <w:pPr>
        <w:spacing w:after="0" w:line="184" w:lineRule="exact"/>
        <w:rPr>
          <w:rFonts w:ascii="Times New Roman" w:cs="Times New Roman" w:eastAsia="Times New Roman" w:hAnsi="Times New Roman"/>
          <w:sz w:val="20"/>
          <w:szCs w:val="20"/>
          <w:color w:val="auto"/>
        </w:rPr>
      </w:pPr>
    </w:p>
    <w:p>
      <w:pPr>
        <w:jc w:val="both"/>
        <w:ind w:left="752" w:hanging="752"/>
        <w:spacing w:after="0" w:line="256" w:lineRule="auto"/>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internal regulations (</w:t>
      </w:r>
      <w:r>
        <w:rPr>
          <w:rFonts w:ascii="Times New Roman" w:cs="Times New Roman" w:eastAsia="Times New Roman" w:hAnsi="Times New Roman"/>
          <w:sz w:val="20"/>
          <w:szCs w:val="20"/>
          <w:i w:val="1"/>
          <w:iCs w:val="1"/>
          <w:color w:val="auto"/>
        </w:rPr>
        <w:t>reglementen</w:t>
      </w:r>
      <w:r>
        <w:rPr>
          <w:rFonts w:ascii="Times New Roman" w:cs="Times New Roman" w:eastAsia="Times New Roman" w:hAnsi="Times New Roman"/>
          <w:sz w:val="20"/>
          <w:szCs w:val="20"/>
          <w:color w:val="auto"/>
        </w:rPr>
        <w:t>) have been adopted by any corporate body of the Company which would affect the validity of the resolutions recorded in the Resolutions and (ii) the Current Articles are the Articles of Association currently in force and as they will be in force at each Relevant Moment;</w:t>
      </w:r>
    </w:p>
    <w:p>
      <w:pPr>
        <w:spacing w:after="0" w:line="132" w:lineRule="exact"/>
        <w:rPr>
          <w:rFonts w:ascii="Times New Roman" w:cs="Times New Roman" w:eastAsia="Times New Roman" w:hAnsi="Times New Roman"/>
          <w:sz w:val="20"/>
          <w:szCs w:val="20"/>
          <w:color w:val="auto"/>
        </w:rPr>
      </w:pPr>
    </w:p>
    <w:p>
      <w:pPr>
        <w:jc w:val="both"/>
        <w:ind w:left="752" w:hanging="752"/>
        <w:spacing w:after="0" w:line="254" w:lineRule="auto"/>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at each Relevant Moment, the resolutions recorded in the Resolutions shall be in full force and effect, (ii) at each Relevant Moment, the factual statements made and the confirmations given in the Resolutions and in each Deed of Issue shall be complete and correct and (iii) the Resolutions correctly reflect the resolutions recorded therein;</w:t>
      </w:r>
    </w:p>
    <w:p>
      <w:pPr>
        <w:spacing w:after="0" w:line="129" w:lineRule="exact"/>
        <w:rPr>
          <w:rFonts w:ascii="Times New Roman" w:cs="Times New Roman" w:eastAsia="Times New Roman" w:hAnsi="Times New Roman"/>
          <w:sz w:val="20"/>
          <w:szCs w:val="20"/>
          <w:color w:val="auto"/>
        </w:rPr>
      </w:pPr>
    </w:p>
    <w:p>
      <w:pPr>
        <w:ind w:left="752" w:right="20" w:hanging="752"/>
        <w:spacing w:after="0" w:line="273" w:lineRule="auto"/>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Relevant Moment, the authorised share capital (</w:t>
      </w:r>
      <w:r>
        <w:rPr>
          <w:rFonts w:ascii="Times New Roman" w:cs="Times New Roman" w:eastAsia="Times New Roman" w:hAnsi="Times New Roman"/>
          <w:sz w:val="20"/>
          <w:szCs w:val="20"/>
          <w:i w:val="1"/>
          <w:iCs w:val="1"/>
          <w:color w:val="auto"/>
        </w:rPr>
        <w:t>maatschappelijk kapitaal</w:t>
      </w:r>
      <w:r>
        <w:rPr>
          <w:rFonts w:ascii="Times New Roman" w:cs="Times New Roman" w:eastAsia="Times New Roman" w:hAnsi="Times New Roman"/>
          <w:sz w:val="20"/>
          <w:szCs w:val="20"/>
          <w:color w:val="auto"/>
        </w:rPr>
        <w:t>) of the Company shall allow for the issuance of the Offer Shares and the Warrant Shares;</w:t>
      </w:r>
    </w:p>
    <w:p>
      <w:pPr>
        <w:spacing w:after="0" w:line="128" w:lineRule="exact"/>
        <w:rPr>
          <w:rFonts w:ascii="Times New Roman" w:cs="Times New Roman" w:eastAsia="Times New Roman" w:hAnsi="Times New Roman"/>
          <w:sz w:val="20"/>
          <w:szCs w:val="20"/>
          <w:color w:val="auto"/>
        </w:rPr>
      </w:pPr>
    </w:p>
    <w:p>
      <w:pPr>
        <w:jc w:val="both"/>
        <w:ind w:left="752" w:hanging="752"/>
        <w:spacing w:after="0" w:line="249" w:lineRule="auto"/>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 for any Warrants shall at least equal the aggregate nominal value of the underlying Warrant Shares, any such exercise price shall have been paid in cash or otherwise satisfied as provided for in the Warrant and shall have been received and accepted by the Company ultimately upon the issuance of the relevant Warrant Shares and, where relevant, the Company shall have consented to payment in a currency other than Euro;</w:t>
      </w:r>
    </w:p>
    <w:p>
      <w:pPr>
        <w:spacing w:after="0" w:line="139"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Relevant Moment, the relevant Deed of Issue shall have been validly signed and executed on behalf of the Company;</w:t>
      </w:r>
    </w:p>
    <w:p>
      <w:pPr>
        <w:spacing w:after="0" w:line="175" w:lineRule="exact"/>
        <w:rPr>
          <w:rFonts w:ascii="Times New Roman" w:cs="Times New Roman" w:eastAsia="Times New Roman" w:hAnsi="Times New Roman"/>
          <w:sz w:val="20"/>
          <w:szCs w:val="20"/>
          <w:color w:val="auto"/>
        </w:rPr>
      </w:pPr>
    </w:p>
    <w:p>
      <w:pPr>
        <w:ind w:left="752" w:hanging="752"/>
        <w:spacing w:after="0" w:line="269" w:lineRule="auto"/>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Offering, to the extent made in the Netherlands, has been, is and will be made in conformity with the Prospectus Regulation, the PRIIPs Regulation and the rules promulgated thereunder; and</w:t>
      </w:r>
    </w:p>
    <w:p>
      <w:pPr>
        <w:spacing w:after="0" w:line="132"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(i) has been validly granted as a right to subscribe for Ordinary</w:t>
      </w:r>
    </w:p>
    <w:p>
      <w:pPr>
        <w:spacing w:after="0" w:line="18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86360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13" w:right="339" w:bottom="1440" w:gutter="0" w:footer="0" w:header="0"/>
        </w:sectPr>
      </w:pPr>
    </w:p>
    <w:bookmarkStart w:id="71" w:name="page72"/>
    <w:bookmarkEnd w:id="71"/>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color w:val="auto"/>
        </w:rPr>
        <w:t>Shares (</w:t>
      </w:r>
      <w:r>
        <w:rPr>
          <w:rFonts w:ascii="Times New Roman" w:cs="Times New Roman" w:eastAsia="Times New Roman" w:hAnsi="Times New Roman"/>
          <w:sz w:val="20"/>
          <w:szCs w:val="20"/>
          <w:i w:val="1"/>
          <w:iCs w:val="1"/>
          <w:color w:val="auto"/>
        </w:rPr>
        <w:t>recht tot het nemen van aandelen</w:t>
      </w:r>
      <w:r>
        <w:rPr>
          <w:rFonts w:ascii="Times New Roman" w:cs="Times New Roman" w:eastAsia="Times New Roman" w:hAnsi="Times New Roman"/>
          <w:sz w:val="20"/>
          <w:szCs w:val="20"/>
          <w:color w:val="auto"/>
        </w:rPr>
        <w:t>), (ii) shall be in full force and effect upon being exercised and (iii) shall have been validly exercised in accordance with the terms of the Underwriting Agreement or the Warrant, respectively.</w:t>
      </w:r>
    </w:p>
    <w:p>
      <w:pPr>
        <w:spacing w:after="0" w:line="1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Based upon and subject to the foregoing and subject to the qualifications set forth in this opinion letter and to any matters, documents or events not disclosed to us, we express the following opinions:</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Corporate Status</w:t>
      </w:r>
    </w:p>
    <w:p>
      <w:pPr>
        <w:spacing w:after="0" w:line="175" w:lineRule="exact"/>
        <w:rPr>
          <w:sz w:val="20"/>
          <w:szCs w:val="20"/>
          <w:color w:val="auto"/>
        </w:rPr>
      </w:pPr>
    </w:p>
    <w:p>
      <w:pPr>
        <w:ind w:left="740" w:hanging="732"/>
        <w:spacing w:after="0" w:line="273" w:lineRule="auto"/>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been duly incorporated as a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and is validly existing as a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Offer Shares</w:t>
      </w:r>
    </w:p>
    <w:p>
      <w:pPr>
        <w:spacing w:after="0" w:line="192" w:lineRule="exact"/>
        <w:rPr>
          <w:rFonts w:ascii="Times New Roman" w:cs="Times New Roman" w:eastAsia="Times New Roman" w:hAnsi="Times New Roman"/>
          <w:sz w:val="20"/>
          <w:szCs w:val="20"/>
          <w:color w:val="auto"/>
        </w:rPr>
      </w:pPr>
    </w:p>
    <w:p>
      <w:pPr>
        <w:jc w:val="both"/>
        <w:ind w:left="740" w:hanging="732"/>
        <w:spacing w:after="0" w:line="254" w:lineRule="auto"/>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by the Company of payment in full for the Offer Shares as provided for in the Reviewed Documents, and when issued and accepted in accordance with the Resolutions and the Reviewed Documents, the Offer Shares shall be validly issued, fully paid and non-assessable.</w:t>
      </w:r>
    </w:p>
    <w:p>
      <w:pPr>
        <w:spacing w:after="0" w:line="129"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Warrant Shares</w:t>
      </w:r>
    </w:p>
    <w:p>
      <w:pPr>
        <w:spacing w:after="0" w:line="179" w:lineRule="exact"/>
        <w:rPr>
          <w:rFonts w:ascii="Times New Roman" w:cs="Times New Roman" w:eastAsia="Times New Roman" w:hAnsi="Times New Roman"/>
          <w:sz w:val="20"/>
          <w:szCs w:val="20"/>
          <w:color w:val="auto"/>
        </w:rPr>
      </w:pPr>
    </w:p>
    <w:p>
      <w:pPr>
        <w:jc w:val="both"/>
        <w:ind w:left="740" w:right="20" w:hanging="732"/>
        <w:spacing w:after="0" w:line="254" w:lineRule="auto"/>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by the Company of payment in full for, or other satisfaction of the exercise price for, the Warrant Shares in accordance with the Warrant, and when issued and accepted in accordance with the Resolutions and the Warrant, the Warrant Shares shall be validly issued, fully paid and non-assessable.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opinions expressed above are subject to the following qualifications:</w:t>
      </w:r>
    </w:p>
    <w:p>
      <w:pPr>
        <w:spacing w:after="0" w:line="171" w:lineRule="exact"/>
        <w:rPr>
          <w:sz w:val="20"/>
          <w:szCs w:val="20"/>
          <w:color w:val="auto"/>
        </w:rPr>
      </w:pPr>
    </w:p>
    <w:p>
      <w:pPr>
        <w:jc w:val="both"/>
        <w:ind w:left="740" w:hanging="732"/>
        <w:spacing w:after="0" w:line="250" w:lineRule="auto"/>
        <w:tabs>
          <w:tab w:leader="none" w:pos="7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1 must not be read to imply that the Company cannot be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20"/>
          <w:szCs w:val="20"/>
          <w:i w:val="1"/>
          <w:iCs w:val="1"/>
          <w:color w:val="auto"/>
        </w:rPr>
        <w:t>belanghebbende</w:t>
      </w:r>
      <w:r>
        <w:rPr>
          <w:rFonts w:ascii="Times New Roman" w:cs="Times New Roman" w:eastAsia="Times New Roman" w:hAnsi="Times New Roman"/>
          <w:sz w:val="20"/>
          <w:szCs w:val="20"/>
          <w:color w:val="auto"/>
        </w:rPr>
        <w:t>) or the public prosecution office in certain circumstances, such as when there are certain defects in the incorporation of the company. Any such dissolution will not have retro-active effect.</w:t>
      </w:r>
    </w:p>
    <w:p>
      <w:pPr>
        <w:spacing w:after="0" w:line="139" w:lineRule="exact"/>
        <w:rPr>
          <w:rFonts w:ascii="Times New Roman" w:cs="Times New Roman" w:eastAsia="Times New Roman" w:hAnsi="Times New Roman"/>
          <w:sz w:val="20"/>
          <w:szCs w:val="20"/>
          <w:color w:val="auto"/>
        </w:rPr>
      </w:pPr>
    </w:p>
    <w:p>
      <w:pPr>
        <w:ind w:left="740" w:hanging="732"/>
        <w:spacing w:after="0" w:line="269" w:lineRule="auto"/>
        <w:tabs>
          <w:tab w:leader="none" w:pos="7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2:7 DCC, any transaction entered into by a legal entity may be nullified by the legal entity itself or its liquidator in bankruptcy</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2" w:name="page73"/>
    <w:bookmarkEnd w:id="72"/>
    <w:p>
      <w:pPr>
        <w:ind w:left="3812"/>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732"/>
        <w:spacing w:after="0" w:line="243" w:lineRule="auto"/>
        <w:rPr>
          <w:sz w:val="20"/>
          <w:szCs w:val="20"/>
          <w:color w:val="auto"/>
        </w:rPr>
      </w:pPr>
      <w:r>
        <w:rPr>
          <w:rFonts w:ascii="Times New Roman" w:cs="Times New Roman" w:eastAsia="Times New Roman" w:hAnsi="Times New Roman"/>
          <w:sz w:val="20"/>
          <w:szCs w:val="20"/>
          <w:color w:val="auto"/>
        </w:rPr>
        <w:t>proceedings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20"/>
          <w:szCs w:val="20"/>
          <w:i w:val="1"/>
          <w:iCs w:val="1"/>
          <w:color w:val="auto"/>
        </w:rPr>
        <w:t>wist of zonder eigen onderzoek moest weten</w:t>
      </w:r>
      <w:r>
        <w:rPr>
          <w:rFonts w:ascii="Times New Roman" w:cs="Times New Roman" w:eastAsia="Times New Roman" w:hAnsi="Times New Roman"/>
          <w:sz w:val="20"/>
          <w:szCs w:val="20"/>
          <w:color w:val="auto"/>
        </w:rPr>
        <w:t>). The Dutch Supreme Court (</w:t>
      </w:r>
      <w:r>
        <w:rPr>
          <w:rFonts w:ascii="Times New Roman" w:cs="Times New Roman" w:eastAsia="Times New Roman" w:hAnsi="Times New Roman"/>
          <w:sz w:val="20"/>
          <w:szCs w:val="20"/>
          <w:i w:val="1"/>
          <w:iCs w:val="1"/>
          <w:color w:val="auto"/>
        </w:rPr>
        <w:t>Hoge Raad der Nederlanden</w:t>
      </w:r>
      <w:r>
        <w:rPr>
          <w:rFonts w:ascii="Times New Roman" w:cs="Times New Roman" w:eastAsia="Times New Roman" w:hAnsi="Times New Roman"/>
          <w:sz w:val="20"/>
          <w:szCs w:val="20"/>
          <w:color w:val="auto"/>
        </w:rPr>
        <w:t>) has ruled that in determining whether the objects of a legal entity are transgressed, not only the description of the objects in that legal entity's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w:t>
      </w:r>
    </w:p>
    <w:p>
      <w:pPr>
        <w:spacing w:after="0" w:line="145" w:lineRule="exact"/>
        <w:rPr>
          <w:sz w:val="20"/>
          <w:szCs w:val="20"/>
          <w:color w:val="auto"/>
        </w:rPr>
      </w:pPr>
    </w:p>
    <w:p>
      <w:pPr>
        <w:jc w:val="both"/>
        <w:ind w:left="732" w:hanging="732"/>
        <w:spacing w:after="0" w:line="242" w:lineRule="auto"/>
        <w:tabs>
          <w:tab w:leader="none" w:pos="7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2:98c DCC, a company such as the Company may grant loans (</w:t>
      </w:r>
      <w:r>
        <w:rPr>
          <w:rFonts w:ascii="Times New Roman" w:cs="Times New Roman" w:eastAsia="Times New Roman" w:hAnsi="Times New Roman"/>
          <w:sz w:val="20"/>
          <w:szCs w:val="20"/>
          <w:i w:val="1"/>
          <w:iCs w:val="1"/>
          <w:color w:val="auto"/>
        </w:rPr>
        <w:t>leningen verstrekken</w:t>
      </w:r>
      <w:r>
        <w:rPr>
          <w:rFonts w:ascii="Times New Roman" w:cs="Times New Roman" w:eastAsia="Times New Roman" w:hAnsi="Times New Roman"/>
          <w:sz w:val="20"/>
          <w:szCs w:val="20"/>
          <w:color w:val="auto"/>
        </w:rPr>
        <w:t>) only in accordance with the restrictions set out in Section 2:98c DCC, and may not provide security (</w:t>
      </w:r>
      <w:r>
        <w:rPr>
          <w:rFonts w:ascii="Times New Roman" w:cs="Times New Roman" w:eastAsia="Times New Roman" w:hAnsi="Times New Roman"/>
          <w:sz w:val="20"/>
          <w:szCs w:val="20"/>
          <w:i w:val="1"/>
          <w:iCs w:val="1"/>
          <w:color w:val="auto"/>
        </w:rPr>
        <w:t>zekerheid stellen</w:t>
      </w:r>
      <w:r>
        <w:rPr>
          <w:rFonts w:ascii="Times New Roman" w:cs="Times New Roman" w:eastAsia="Times New Roman" w:hAnsi="Times New Roman"/>
          <w:sz w:val="20"/>
          <w:szCs w:val="20"/>
          <w:color w:val="auto"/>
        </w:rPr>
        <w:t>), give a price guarantee (</w:t>
      </w:r>
      <w:r>
        <w:rPr>
          <w:rFonts w:ascii="Times New Roman" w:cs="Times New Roman" w:eastAsia="Times New Roman" w:hAnsi="Times New Roman"/>
          <w:sz w:val="20"/>
          <w:szCs w:val="20"/>
          <w:i w:val="1"/>
          <w:iCs w:val="1"/>
          <w:color w:val="auto"/>
        </w:rPr>
        <w:t>koersgarantie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geven</w:t>
      </w:r>
      <w:r>
        <w:rPr>
          <w:rFonts w:ascii="Times New Roman" w:cs="Times New Roman" w:eastAsia="Times New Roman" w:hAnsi="Times New Roman"/>
          <w:sz w:val="20"/>
          <w:szCs w:val="20"/>
          <w:color w:val="auto"/>
        </w:rPr>
        <w:t>) or otherwise bind itself, whether jointly and severally or otherwise with or for third parties (</w:t>
      </w:r>
      <w:r>
        <w:rPr>
          <w:rFonts w:ascii="Times New Roman" w:cs="Times New Roman" w:eastAsia="Times New Roman" w:hAnsi="Times New Roman"/>
          <w:sz w:val="20"/>
          <w:szCs w:val="20"/>
          <w:i w:val="1"/>
          <w:iCs w:val="1"/>
          <w:color w:val="auto"/>
        </w:rPr>
        <w:t>zich op andere wijze sterk maken of zich hoofdelijk of anderszins naast of voor anderen verbinden</w:t>
      </w:r>
      <w:r>
        <w:rPr>
          <w:rFonts w:ascii="Times New Roman" w:cs="Times New Roman" w:eastAsia="Times New Roman" w:hAnsi="Times New Roman"/>
          <w:sz w:val="20"/>
          <w:szCs w:val="20"/>
          <w:color w:val="auto"/>
        </w:rPr>
        <w:t>) with a view to (</w:t>
      </w:r>
      <w:r>
        <w:rPr>
          <w:rFonts w:ascii="Times New Roman" w:cs="Times New Roman" w:eastAsia="Times New Roman" w:hAnsi="Times New Roman"/>
          <w:sz w:val="20"/>
          <w:szCs w:val="20"/>
          <w:i w:val="1"/>
          <w:iCs w:val="1"/>
          <w:color w:val="auto"/>
        </w:rPr>
        <w:t>met het oog op</w:t>
      </w:r>
      <w:r>
        <w:rPr>
          <w:rFonts w:ascii="Times New Roman" w:cs="Times New Roman" w:eastAsia="Times New Roman" w:hAnsi="Times New Roman"/>
          <w:sz w:val="20"/>
          <w:szCs w:val="20"/>
          <w:color w:val="auto"/>
        </w:rPr>
        <w:t>) the subscription or acquisition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of shares in its share capital or depository receipts. This prohibition also applies to its subsidiaries (</w:t>
      </w:r>
      <w:r>
        <w:rPr>
          <w:rFonts w:ascii="Times New Roman" w:cs="Times New Roman" w:eastAsia="Times New Roman" w:hAnsi="Times New Roman"/>
          <w:sz w:val="20"/>
          <w:szCs w:val="20"/>
          <w:i w:val="1"/>
          <w:iCs w:val="1"/>
          <w:color w:val="auto"/>
        </w:rPr>
        <w:t>dochtervennootschappen</w:t>
      </w:r>
      <w:r>
        <w:rPr>
          <w:rFonts w:ascii="Times New Roman" w:cs="Times New Roman" w:eastAsia="Times New Roman" w:hAnsi="Times New Roman"/>
          <w:sz w:val="20"/>
          <w:szCs w:val="20"/>
          <w:color w:val="auto"/>
        </w:rPr>
        <w:t>). It is generally assumed that a transaction entered into in violation of Section 2:98c DCC is null and void (</w:t>
      </w:r>
      <w:r>
        <w:rPr>
          <w:rFonts w:ascii="Times New Roman" w:cs="Times New Roman" w:eastAsia="Times New Roman" w:hAnsi="Times New Roman"/>
          <w:sz w:val="20"/>
          <w:szCs w:val="20"/>
          <w:i w:val="1"/>
          <w:iCs w:val="1"/>
          <w:color w:val="auto"/>
        </w:rPr>
        <w:t>nietig</w:t>
      </w:r>
      <w:r>
        <w:rPr>
          <w:rFonts w:ascii="Times New Roman" w:cs="Times New Roman" w:eastAsia="Times New Roman" w:hAnsi="Times New Roman"/>
          <w:sz w:val="20"/>
          <w:szCs w:val="20"/>
          <w:color w:val="auto"/>
        </w:rPr>
        <w:t>). Based on the content of the Reviewed Documents, we have no reason to believe that the Company or its subsidiaries will violate Section 2:98c DCC in connection with the issue of the Offer Shares or the Warrant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166" w:lineRule="exact"/>
        <w:rPr>
          <w:rFonts w:ascii="Times New Roman" w:cs="Times New Roman" w:eastAsia="Times New Roman" w:hAnsi="Times New Roman"/>
          <w:sz w:val="20"/>
          <w:szCs w:val="20"/>
          <w:color w:val="auto"/>
        </w:rPr>
      </w:pPr>
    </w:p>
    <w:p>
      <w:pPr>
        <w:ind w:left="732" w:hanging="732"/>
        <w:spacing w:after="0"/>
        <w:tabs>
          <w:tab w:leader="none" w:pos="7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opinions expressed in this opinion letter may be limited or affected by:</w:t>
      </w:r>
    </w:p>
    <w:p>
      <w:pPr>
        <w:spacing w:after="0" w:line="175" w:lineRule="exact"/>
        <w:rPr>
          <w:sz w:val="20"/>
          <w:szCs w:val="20"/>
          <w:color w:val="auto"/>
        </w:rPr>
      </w:pPr>
    </w:p>
    <w:p>
      <w:pPr>
        <w:ind w:left="1472" w:hanging="739"/>
        <w:spacing w:after="0"/>
        <w:tabs>
          <w:tab w:leader="none" w:pos="147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relating to Insolvency Proceedings or similar proceedings</w:t>
      </w:r>
    </w:p>
    <w:p>
      <w:pPr>
        <w:spacing w:after="0" w:line="18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86360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13" w:right="339" w:bottom="1440" w:gutter="0" w:footer="0" w:header="0"/>
        </w:sectPr>
      </w:pPr>
    </w:p>
    <w:bookmarkStart w:id="73" w:name="page74"/>
    <w:bookmarkEnd w:id="73"/>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under a foreign law and other rules affecting creditors' rights generally;</w:t>
      </w:r>
    </w:p>
    <w:p>
      <w:pPr>
        <w:spacing w:after="0" w:line="171" w:lineRule="exact"/>
        <w:rPr>
          <w:sz w:val="20"/>
          <w:szCs w:val="20"/>
          <w:color w:val="auto"/>
        </w:rPr>
      </w:pPr>
    </w:p>
    <w:p>
      <w:pPr>
        <w:ind w:left="1480" w:hanging="739"/>
        <w:spacing w:after="0" w:line="273" w:lineRule="auto"/>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fraudulent preference and fraudulent conveyance (</w:t>
      </w:r>
      <w:r>
        <w:rPr>
          <w:rFonts w:ascii="Times New Roman" w:cs="Times New Roman" w:eastAsia="Times New Roman" w:hAnsi="Times New Roman"/>
          <w:sz w:val="20"/>
          <w:szCs w:val="20"/>
          <w:i w:val="1"/>
          <w:iCs w:val="1"/>
          <w:color w:val="auto"/>
        </w:rPr>
        <w:t>Actio Pauliana</w:t>
      </w:r>
      <w:r>
        <w:rPr>
          <w:rFonts w:ascii="Times New Roman" w:cs="Times New Roman" w:eastAsia="Times New Roman" w:hAnsi="Times New Roman"/>
          <w:sz w:val="20"/>
          <w:szCs w:val="20"/>
          <w:color w:val="auto"/>
        </w:rPr>
        <w:t>) and similar rights available in other jurisdictions to insolvency practitioners and insolvency office holders in bankruptcy proceedings or creditors;</w:t>
      </w:r>
    </w:p>
    <w:p>
      <w:pPr>
        <w:spacing w:after="0" w:line="124"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tort (</w:t>
      </w:r>
      <w:r>
        <w:rPr>
          <w:rFonts w:ascii="Times New Roman" w:cs="Times New Roman" w:eastAsia="Times New Roman" w:hAnsi="Times New Roman"/>
          <w:sz w:val="20"/>
          <w:szCs w:val="20"/>
          <w:i w:val="1"/>
          <w:iCs w:val="1"/>
          <w:color w:val="auto"/>
        </w:rPr>
        <w:t>onrechtmatige daad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20"/>
          <w:szCs w:val="20"/>
          <w:i w:val="1"/>
          <w:iCs w:val="1"/>
          <w:color w:val="auto"/>
        </w:rPr>
        <w:t>Sanctiewet 1977</w:t>
      </w:r>
      <w:r>
        <w:rPr>
          <w:rFonts w:ascii="Times New Roman" w:cs="Times New Roman" w:eastAsia="Times New Roman" w:hAnsi="Times New Roman"/>
          <w:sz w:val="20"/>
          <w:szCs w:val="20"/>
          <w:color w:val="auto"/>
        </w:rPr>
        <w:t>) or other legislation;</w:t>
      </w:r>
    </w:p>
    <w:p>
      <w:pPr>
        <w:spacing w:after="0" w:line="118"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Anti-Boycott Regulation, Anti Money Laundering Laws and related legislation;</w:t>
      </w:r>
    </w:p>
    <w:p>
      <w:pPr>
        <w:spacing w:after="0" w:line="188"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intervention, recovery or resolution measure by any regulatory or other authority or governmental body in relation to financial enterprises or their affiliated entities; and</w:t>
      </w:r>
    </w:p>
    <w:p>
      <w:pPr>
        <w:spacing w:after="0" w:line="114" w:lineRule="exact"/>
        <w:rPr>
          <w:rFonts w:ascii="Times New Roman" w:cs="Times New Roman" w:eastAsia="Times New Roman" w:hAnsi="Times New Roman"/>
          <w:sz w:val="20"/>
          <w:szCs w:val="20"/>
          <w:color w:val="auto"/>
        </w:rPr>
      </w:pPr>
    </w:p>
    <w:p>
      <w:pPr>
        <w:jc w:val="both"/>
        <w:ind w:left="1480" w:hanging="739"/>
        <w:spacing w:after="0" w:line="250" w:lineRule="auto"/>
        <w:tabs>
          <w:tab w:leader="none" w:pos="14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of force majeure (</w:t>
      </w:r>
      <w:r>
        <w:rPr>
          <w:rFonts w:ascii="Times New Roman" w:cs="Times New Roman" w:eastAsia="Times New Roman" w:hAnsi="Times New Roman"/>
          <w:sz w:val="20"/>
          <w:szCs w:val="20"/>
          <w:i w:val="1"/>
          <w:iCs w:val="1"/>
          <w:color w:val="auto"/>
        </w:rPr>
        <w:t>niet toerekenbare tekortkoming</w:t>
      </w:r>
      <w:r>
        <w:rPr>
          <w:rFonts w:ascii="Times New Roman" w:cs="Times New Roman" w:eastAsia="Times New Roman" w:hAnsi="Times New Roman"/>
          <w:sz w:val="20"/>
          <w:szCs w:val="20"/>
          <w:color w:val="auto"/>
        </w:rPr>
        <w:t>), reasonableness and fairness (</w:t>
      </w:r>
      <w:r>
        <w:rPr>
          <w:rFonts w:ascii="Times New Roman" w:cs="Times New Roman" w:eastAsia="Times New Roman" w:hAnsi="Times New Roman"/>
          <w:sz w:val="20"/>
          <w:szCs w:val="20"/>
          <w:i w:val="1"/>
          <w:iCs w:val="1"/>
          <w:color w:val="auto"/>
        </w:rPr>
        <w:t>redelijkheid en billijkheid</w:t>
      </w:r>
      <w:r>
        <w:rPr>
          <w:rFonts w:ascii="Times New Roman" w:cs="Times New Roman" w:eastAsia="Times New Roman" w:hAnsi="Times New Roman"/>
          <w:sz w:val="20"/>
          <w:szCs w:val="20"/>
          <w:color w:val="auto"/>
        </w:rPr>
        <w:t>), suspension (</w:t>
      </w:r>
      <w:r>
        <w:rPr>
          <w:rFonts w:ascii="Times New Roman" w:cs="Times New Roman" w:eastAsia="Times New Roman" w:hAnsi="Times New Roman"/>
          <w:sz w:val="20"/>
          <w:szCs w:val="20"/>
          <w:i w:val="1"/>
          <w:iCs w:val="1"/>
          <w:color w:val="auto"/>
        </w:rPr>
        <w:t>opschorting</w:t>
      </w:r>
      <w:r>
        <w:rPr>
          <w:rFonts w:ascii="Times New Roman" w:cs="Times New Roman" w:eastAsia="Times New Roman" w:hAnsi="Times New Roman"/>
          <w:sz w:val="20"/>
          <w:szCs w:val="20"/>
          <w:color w:val="auto"/>
        </w:rPr>
        <w:t>), dissolution (</w:t>
      </w:r>
      <w:r>
        <w:rPr>
          <w:rFonts w:ascii="Times New Roman" w:cs="Times New Roman" w:eastAsia="Times New Roman" w:hAnsi="Times New Roman"/>
          <w:sz w:val="20"/>
          <w:szCs w:val="20"/>
          <w:i w:val="1"/>
          <w:iCs w:val="1"/>
          <w:color w:val="auto"/>
        </w:rPr>
        <w:t>ontbinding</w:t>
      </w:r>
      <w:r>
        <w:rPr>
          <w:rFonts w:ascii="Times New Roman" w:cs="Times New Roman" w:eastAsia="Times New Roman" w:hAnsi="Times New Roman"/>
          <w:sz w:val="20"/>
          <w:szCs w:val="20"/>
          <w:color w:val="auto"/>
        </w:rPr>
        <w:t>), unforeseen circumstances (</w:t>
      </w:r>
      <w:r>
        <w:rPr>
          <w:rFonts w:ascii="Times New Roman" w:cs="Times New Roman" w:eastAsia="Times New Roman" w:hAnsi="Times New Roman"/>
          <w:sz w:val="20"/>
          <w:szCs w:val="20"/>
          <w:i w:val="1"/>
          <w:iCs w:val="1"/>
          <w:color w:val="auto"/>
        </w:rPr>
        <w:t>onvoorziene omstandigheden</w:t>
      </w:r>
      <w:r>
        <w:rPr>
          <w:rFonts w:ascii="Times New Roman" w:cs="Times New Roman" w:eastAsia="Times New Roman" w:hAnsi="Times New Roman"/>
          <w:sz w:val="20"/>
          <w:szCs w:val="20"/>
          <w:color w:val="auto"/>
        </w:rPr>
        <w:t>) and vitiated consent (i.e., duress (</w:t>
      </w:r>
      <w:r>
        <w:rPr>
          <w:rFonts w:ascii="Times New Roman" w:cs="Times New Roman" w:eastAsia="Times New Roman" w:hAnsi="Times New Roman"/>
          <w:sz w:val="20"/>
          <w:szCs w:val="20"/>
          <w:i w:val="1"/>
          <w:iCs w:val="1"/>
          <w:color w:val="auto"/>
        </w:rPr>
        <w:t>bedreiging</w:t>
      </w:r>
      <w:r>
        <w:rPr>
          <w:rFonts w:ascii="Times New Roman" w:cs="Times New Roman" w:eastAsia="Times New Roman" w:hAnsi="Times New Roman"/>
          <w:sz w:val="20"/>
          <w:szCs w:val="20"/>
          <w:color w:val="auto"/>
        </w:rPr>
        <w:t>), fraud (</w:t>
      </w:r>
      <w:r>
        <w:rPr>
          <w:rFonts w:ascii="Times New Roman" w:cs="Times New Roman" w:eastAsia="Times New Roman" w:hAnsi="Times New Roman"/>
          <w:sz w:val="20"/>
          <w:szCs w:val="20"/>
          <w:i w:val="1"/>
          <w:iCs w:val="1"/>
          <w:color w:val="auto"/>
        </w:rPr>
        <w:t>bedrog</w:t>
      </w:r>
      <w:r>
        <w:rPr>
          <w:rFonts w:ascii="Times New Roman" w:cs="Times New Roman" w:eastAsia="Times New Roman" w:hAnsi="Times New Roman"/>
          <w:sz w:val="20"/>
          <w:szCs w:val="20"/>
          <w:color w:val="auto"/>
        </w:rPr>
        <w:t>), abuse of circumstances (</w:t>
      </w:r>
      <w:r>
        <w:rPr>
          <w:rFonts w:ascii="Times New Roman" w:cs="Times New Roman" w:eastAsia="Times New Roman" w:hAnsi="Times New Roman"/>
          <w:sz w:val="20"/>
          <w:szCs w:val="20"/>
          <w:i w:val="1"/>
          <w:iCs w:val="1"/>
          <w:color w:val="auto"/>
        </w:rPr>
        <w:t>misbruik van omstandigheden</w:t>
      </w:r>
      <w:r>
        <w:rPr>
          <w:rFonts w:ascii="Times New Roman" w:cs="Times New Roman" w:eastAsia="Times New Roman" w:hAnsi="Times New Roman"/>
          <w:sz w:val="20"/>
          <w:szCs w:val="20"/>
          <w:color w:val="auto"/>
        </w:rPr>
        <w:t>) and error (</w:t>
      </w:r>
      <w:r>
        <w:rPr>
          <w:rFonts w:ascii="Times New Roman" w:cs="Times New Roman" w:eastAsia="Times New Roman" w:hAnsi="Times New Roman"/>
          <w:sz w:val="20"/>
          <w:szCs w:val="20"/>
          <w:i w:val="1"/>
          <w:iCs w:val="1"/>
          <w:color w:val="auto"/>
        </w:rPr>
        <w:t>dwaling</w:t>
      </w:r>
      <w:r>
        <w:rPr>
          <w:rFonts w:ascii="Times New Roman" w:cs="Times New Roman" w:eastAsia="Times New Roman" w:hAnsi="Times New Roman"/>
          <w:sz w:val="20"/>
          <w:szCs w:val="20"/>
          <w:color w:val="auto"/>
        </w:rPr>
        <w:t>)) or a difference of intention (</w:t>
      </w:r>
      <w:r>
        <w:rPr>
          <w:rFonts w:ascii="Times New Roman" w:cs="Times New Roman" w:eastAsia="Times New Roman" w:hAnsi="Times New Roman"/>
          <w:sz w:val="20"/>
          <w:szCs w:val="20"/>
          <w:i w:val="1"/>
          <w:iCs w:val="1"/>
          <w:color w:val="auto"/>
        </w:rPr>
        <w:t>wil</w:t>
      </w:r>
      <w:r>
        <w:rPr>
          <w:rFonts w:ascii="Times New Roman" w:cs="Times New Roman" w:eastAsia="Times New Roman" w:hAnsi="Times New Roman"/>
          <w:sz w:val="20"/>
          <w:szCs w:val="20"/>
          <w:color w:val="auto"/>
        </w:rPr>
        <w:t>) and declaration (</w:t>
      </w:r>
      <w:r>
        <w:rPr>
          <w:rFonts w:ascii="Times New Roman" w:cs="Times New Roman" w:eastAsia="Times New Roman" w:hAnsi="Times New Roman"/>
          <w:sz w:val="20"/>
          <w:szCs w:val="20"/>
          <w:i w:val="1"/>
          <w:iCs w:val="1"/>
          <w:color w:val="auto"/>
        </w:rPr>
        <w:t>verklaring</w:t>
      </w:r>
      <w:r>
        <w:rPr>
          <w:rFonts w:ascii="Times New Roman" w:cs="Times New Roman" w:eastAsia="Times New Roman" w:hAnsi="Times New Roman"/>
          <w:sz w:val="20"/>
          <w:szCs w:val="20"/>
          <w:color w:val="auto"/>
        </w:rPr>
        <w:t>).</w:t>
      </w:r>
    </w:p>
    <w:p>
      <w:pPr>
        <w:spacing w:after="0" w:line="139" w:lineRule="exact"/>
        <w:rPr>
          <w:rFonts w:ascii="Times New Roman" w:cs="Times New Roman" w:eastAsia="Times New Roman" w:hAnsi="Times New Roman"/>
          <w:sz w:val="20"/>
          <w:szCs w:val="20"/>
          <w:color w:val="auto"/>
        </w:rPr>
      </w:pPr>
    </w:p>
    <w:p>
      <w:pPr>
        <w:jc w:val="both"/>
        <w:ind w:left="740" w:hanging="732"/>
        <w:spacing w:after="0" w:line="254" w:lineRule="auto"/>
        <w:tabs>
          <w:tab w:leader="none" w:pos="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47" w:lineRule="exact"/>
        <w:rPr>
          <w:rFonts w:ascii="Times New Roman" w:cs="Times New Roman" w:eastAsia="Times New Roman" w:hAnsi="Times New Roman"/>
          <w:sz w:val="20"/>
          <w:szCs w:val="20"/>
          <w:color w:val="auto"/>
        </w:rPr>
      </w:pPr>
    </w:p>
    <w:p>
      <w:pPr>
        <w:ind w:left="740" w:right="20" w:hanging="732"/>
        <w:spacing w:after="0" w:line="269" w:lineRule="auto"/>
        <w:tabs>
          <w:tab w:leader="none" w:pos="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opinion letter does not purport to express any opinion or view on the operational rules and procedures of any clearing or settlement system or agency.</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consent to the filing of this opinion letter as an exhibit to the Company's Form 6-K, as filed or to be filed with the SEC on 8 December 2023 and also consent to</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4" w:name="page75"/>
    <w:bookmarkEnd w:id="74"/>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320675</wp:posOffset>
            </wp:positionV>
            <wp:extent cx="11398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reference to NautaDutilh in the Registration Statement and Prospectus Supplement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 yours,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NautaDutilh N.V.</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NautaDutilh N.V.</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DEFINITIONS</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 Money Laundering Laws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Anti-Boycott Regulation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Register</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Articles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DCC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-405130</wp:posOffset>
            </wp:positionV>
            <wp:extent cx="11398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720"/>
        <w:spacing w:after="0" w:line="249" w:lineRule="auto"/>
        <w:rPr>
          <w:sz w:val="20"/>
          <w:szCs w:val="20"/>
          <w:color w:val="auto"/>
        </w:rPr>
      </w:pPr>
      <w:r>
        <w:rPr>
          <w:rFonts w:ascii="Times New Roman" w:cs="Times New Roman" w:eastAsia="Times New Roman" w:hAnsi="Times New Roman"/>
          <w:sz w:val="20"/>
          <w:szCs w:val="20"/>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20"/>
          <w:szCs w:val="20"/>
          <w:i w:val="1"/>
          <w:iCs w:val="1"/>
          <w:color w:val="auto"/>
        </w:rPr>
        <w:t>Wet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ter voorkoming van witwassen en financieren van terrorisme</w:t>
      </w:r>
      <w:r>
        <w:rPr>
          <w:rFonts w:ascii="Times New Roman" w:cs="Times New Roman" w:eastAsia="Times New Roman" w:hAnsi="Times New Roman"/>
          <w:sz w:val="20"/>
          <w:szCs w:val="20"/>
          <w:color w:val="auto"/>
        </w:rPr>
        <w:t>) and the Dutch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Criminal Code (</w:t>
      </w:r>
      <w:r>
        <w:rPr>
          <w:rFonts w:ascii="Times New Roman" w:cs="Times New Roman" w:eastAsia="Times New Roman" w:hAnsi="Times New Roman"/>
          <w:sz w:val="20"/>
          <w:szCs w:val="20"/>
          <w:i w:val="1"/>
          <w:iCs w:val="1"/>
          <w:color w:val="auto"/>
        </w:rPr>
        <w:t>Wetboek van Strafrecht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20"/>
          <w:szCs w:val="20"/>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as they read from time to time.</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Bankruptcy Code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board of directors (</w:t>
      </w:r>
      <w:r>
        <w:rPr>
          <w:rFonts w:ascii="Times New Roman" w:cs="Times New Roman" w:eastAsia="Times New Roman" w:hAnsi="Times New Roman"/>
          <w:sz w:val="20"/>
          <w:szCs w:val="20"/>
          <w:i w:val="1"/>
          <w:iCs w:val="1"/>
          <w:color w:val="auto"/>
        </w:rPr>
        <w:t>bestuur</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20"/>
        <w:spacing w:after="0" w:line="273" w:lineRule="auto"/>
        <w:rPr>
          <w:sz w:val="20"/>
          <w:szCs w:val="20"/>
          <w:color w:val="auto"/>
        </w:rPr>
      </w:pPr>
      <w:r>
        <w:rPr>
          <w:rFonts w:ascii="Times New Roman" w:cs="Times New Roman" w:eastAsia="Times New Roman" w:hAnsi="Times New Roman"/>
          <w:sz w:val="20"/>
          <w:szCs w:val="20"/>
          <w:color w:val="auto"/>
        </w:rPr>
        <w:t>Pharvaris N.V., a public company with limited liability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 registered with the Commercial Register under number 64239411.</w:t>
      </w:r>
    </w:p>
    <w:p>
      <w:pPr>
        <w:spacing w:after="0" w:line="142"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20"/>
          <w:szCs w:val="20"/>
          <w:color w:val="auto"/>
        </w:rPr>
        <w:t>The Deed of Incorporation, the Deed of Conversion, the Current Articles and the Resolutions.</w:t>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Articles of Association as contained in the Deed of Conversion.</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Dutch Civil Code (</w:t>
      </w:r>
      <w:r>
        <w:rPr>
          <w:rFonts w:ascii="Times New Roman" w:cs="Times New Roman" w:eastAsia="Times New Roman" w:hAnsi="Times New Roman"/>
          <w:sz w:val="20"/>
          <w:szCs w:val="20"/>
          <w:i w:val="1"/>
          <w:iCs w:val="1"/>
          <w:color w:val="auto"/>
        </w:rPr>
        <w:t>Burgerlijk Wetboek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287020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720"/>
            <w:col w:w="7320"/>
          </w:cols>
          <w:pgMar w:left="320" w:top="913" w:right="439" w:bottom="1440" w:gutter="0" w:footer="0" w:header="0"/>
        </w:sectPr>
      </w:pPr>
    </w:p>
    <w:bookmarkStart w:id="76" w:name="page77"/>
    <w:bookmarkEnd w:id="76"/>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320040</wp:posOffset>
            </wp:positionV>
            <wp:extent cx="113982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Conversion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deed of conversion and amendment to the Articles of Association dated 5</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February 2021.</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Incorporation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Company's deed of incorporation (</w:t>
            </w:r>
            <w:r>
              <w:rPr>
                <w:rFonts w:ascii="Times New Roman" w:cs="Times New Roman" w:eastAsia="Times New Roman" w:hAnsi="Times New Roman"/>
                <w:sz w:val="20"/>
                <w:szCs w:val="20"/>
                <w:i w:val="1"/>
                <w:iCs w:val="1"/>
                <w:color w:val="auto"/>
              </w:rPr>
              <w:t>akte van oprichting</w:t>
            </w:r>
            <w:r>
              <w:rPr>
                <w:rFonts w:ascii="Times New Roman" w:cs="Times New Roman" w:eastAsia="Times New Roman" w:hAnsi="Times New Roman"/>
                <w:sz w:val="20"/>
                <w:szCs w:val="20"/>
                <w:color w:val="auto"/>
              </w:rPr>
              <w:t>) dated 30 September</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2015.</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Deed of Issue</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draft deed of issue of the Offer Shares, prepared by us with reference</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82045253 M 50834181.</w:t>
            </w:r>
          </w:p>
        </w:tc>
      </w:tr>
      <w:tr>
        <w:trPr>
          <w:trHeight w:val="59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eIDAS Regulation</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Regulation (EU) No 910/2014 of the European Parliament and of the Council of</w:t>
            </w:r>
          </w:p>
        </w:tc>
      </w:tr>
      <w:tr>
        <w:trPr>
          <w:trHeight w:val="230"/>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23  July  2014  on  electronic  identification  and  trust  services  for  electronic</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transactions in the internal market and repealing Directive 1999/93/EC.</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Meeting</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Company's general meeting (</w:t>
            </w:r>
            <w:r>
              <w:rPr>
                <w:rFonts w:ascii="Times New Roman" w:cs="Times New Roman" w:eastAsia="Times New Roman" w:hAnsi="Times New Roman"/>
                <w:sz w:val="20"/>
                <w:szCs w:val="20"/>
                <w:i w:val="1"/>
                <w:iCs w:val="1"/>
                <w:color w:val="auto"/>
              </w:rPr>
              <w:t>algemene vergadering</w:t>
            </w:r>
            <w:r>
              <w:rPr>
                <w:rFonts w:ascii="Times New Roman" w:cs="Times New Roman" w:eastAsia="Times New Roman" w:hAnsi="Times New Roman"/>
                <w:sz w:val="20"/>
                <w:szCs w:val="20"/>
                <w:color w:val="auto"/>
              </w:rPr>
              <w:t>).</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Any insolvency proceedings within the meaning of Regulation (EU) 2015/848 of</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European Parliament and of the Council of 20 May 2015 on insolvency</w:t>
            </w:r>
          </w:p>
        </w:tc>
      </w:tr>
      <w:tr>
        <w:trPr>
          <w:trHeight w:val="229"/>
        </w:trPr>
        <w:tc>
          <w:tcPr>
            <w:tcW w:w="3400" w:type="dxa"/>
            <w:vAlign w:val="bottom"/>
          </w:tcPr>
          <w:p>
            <w:pPr>
              <w:spacing w:after="0"/>
              <w:rPr>
                <w:sz w:val="19"/>
                <w:szCs w:val="19"/>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proceedings (recast), as amended by Regulation (EU) 2021/2260 of the European</w:t>
            </w:r>
          </w:p>
        </w:tc>
      </w:tr>
      <w:tr>
        <w:trPr>
          <w:trHeight w:val="226"/>
        </w:trPr>
        <w:tc>
          <w:tcPr>
            <w:tcW w:w="3400" w:type="dxa"/>
            <w:vAlign w:val="bottom"/>
          </w:tcPr>
          <w:p>
            <w:pPr>
              <w:spacing w:after="0"/>
              <w:rPr>
                <w:sz w:val="19"/>
                <w:szCs w:val="19"/>
                <w:color w:val="auto"/>
              </w:rPr>
            </w:pPr>
          </w:p>
        </w:tc>
        <w:tc>
          <w:tcPr>
            <w:tcW w:w="7840" w:type="dxa"/>
            <w:vAlign w:val="bottom"/>
          </w:tcPr>
          <w:p>
            <w:pPr>
              <w:ind w:left="1140"/>
              <w:spacing w:after="0" w:line="226" w:lineRule="exact"/>
              <w:rPr>
                <w:sz w:val="20"/>
                <w:szCs w:val="20"/>
                <w:color w:val="auto"/>
              </w:rPr>
            </w:pPr>
            <w:r>
              <w:rPr>
                <w:rFonts w:ascii="Times New Roman" w:cs="Times New Roman" w:eastAsia="Times New Roman" w:hAnsi="Times New Roman"/>
                <w:sz w:val="20"/>
                <w:szCs w:val="20"/>
                <w:color w:val="auto"/>
              </w:rPr>
              <w:t>Parliament and of the Counsel of 15 December 2021, listed in Annex A thereto</w:t>
            </w:r>
          </w:p>
        </w:tc>
      </w:tr>
      <w:tr>
        <w:trPr>
          <w:trHeight w:val="233"/>
        </w:trPr>
        <w:tc>
          <w:tcPr>
            <w:tcW w:w="3400" w:type="dxa"/>
            <w:vAlign w:val="bottom"/>
          </w:tcPr>
          <w:p>
            <w:pPr>
              <w:spacing w:after="0"/>
              <w:rPr>
                <w:sz w:val="20"/>
                <w:szCs w:val="20"/>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and any statutory proceedings for the restructuring of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pursuant to the Bankruptcy Code.</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NautaDutilh</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NautaDutilh N.V.</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 Netherlands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European territory of the Kingdom of the Netherlands and "</w:t>
            </w:r>
            <w:r>
              <w:rPr>
                <w:rFonts w:ascii="Times New Roman" w:cs="Times New Roman" w:eastAsia="Times New Roman" w:hAnsi="Times New Roman"/>
                <w:sz w:val="20"/>
                <w:szCs w:val="20"/>
                <w:b w:val="1"/>
                <w:bCs w:val="1"/>
                <w:color w:val="auto"/>
              </w:rPr>
              <w:t>Dutch</w:t>
            </w:r>
            <w:r>
              <w:rPr>
                <w:rFonts w:ascii="Times New Roman" w:cs="Times New Roman" w:eastAsia="Times New Roman" w:hAnsi="Times New Roman"/>
                <w:sz w:val="20"/>
                <w:szCs w:val="20"/>
                <w:color w:val="auto"/>
              </w:rPr>
              <w:t>" is in or</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from the Netherlands.</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Shares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11,125,000 Ordinary Shares.</w:t>
            </w:r>
          </w:p>
        </w:tc>
      </w:tr>
      <w:tr>
        <w:trPr>
          <w:trHeight w:val="403"/>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The offering of Ordinary Shares and Warrants as contemplated by the Prospectus</w:t>
            </w:r>
          </w:p>
        </w:tc>
      </w:tr>
      <w:tr>
        <w:trPr>
          <w:trHeight w:val="258"/>
        </w:trPr>
        <w:tc>
          <w:tcPr>
            <w:tcW w:w="3400" w:type="dxa"/>
            <w:vAlign w:val="bottom"/>
          </w:tcPr>
          <w:p>
            <w:pPr>
              <w:spacing w:after="0"/>
              <w:rPr>
                <w:sz w:val="22"/>
                <w:szCs w:val="22"/>
                <w:color w:val="auto"/>
              </w:rPr>
            </w:pP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Supplement.</w:t>
            </w:r>
          </w:p>
        </w:tc>
      </w:tr>
      <w:tr>
        <w:trPr>
          <w:trHeight w:val="432"/>
        </w:trPr>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w:t>
            </w:r>
          </w:p>
        </w:tc>
        <w:tc>
          <w:tcPr>
            <w:tcW w:w="78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Ordinary shares in the Company's capital, with</w:t>
            </w:r>
          </w:p>
        </w:tc>
      </w:tr>
      <w:tr>
        <w:trPr>
          <w:trHeight w:val="292"/>
        </w:trPr>
        <w:tc>
          <w:tcPr>
            <w:tcW w:w="34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82045253 M 54018138 / 19</w:t>
            </w:r>
          </w:p>
        </w:tc>
        <w:tc>
          <w:tcPr>
            <w:tcW w:w="7840" w:type="dxa"/>
            <w:vAlign w:val="bottom"/>
          </w:tcPr>
          <w:p>
            <w:pPr>
              <w:spacing w:after="0"/>
              <w:rPr>
                <w:sz w:val="24"/>
                <w:szCs w:val="24"/>
                <w:color w:val="auto"/>
              </w:rPr>
            </w:pPr>
          </w:p>
        </w:tc>
      </w:tr>
      <w:tr>
        <w:trPr>
          <w:trHeight w:val="155"/>
        </w:trPr>
        <w:tc>
          <w:tcPr>
            <w:tcW w:w="3400" w:type="dxa"/>
            <w:vAlign w:val="bottom"/>
            <w:tcBorders>
              <w:bottom w:val="single" w:sz="8" w:color="9A9A9A"/>
            </w:tcBorders>
          </w:tcPr>
          <w:p>
            <w:pPr>
              <w:spacing w:after="0"/>
              <w:rPr>
                <w:sz w:val="13"/>
                <w:szCs w:val="13"/>
                <w:color w:val="auto"/>
              </w:rPr>
            </w:pPr>
          </w:p>
        </w:tc>
        <w:tc>
          <w:tcPr>
            <w:tcW w:w="78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7" w:name="page78"/>
    <w:bookmarkEnd w:id="77"/>
    <w:p>
      <w:pPr>
        <w:ind w:left="37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320040</wp:posOffset>
            </wp:positionV>
            <wp:extent cx="113982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a nominal value of EUR 0.12 each.</w:t>
            </w:r>
          </w:p>
        </w:tc>
      </w:tr>
      <w:tr>
        <w:trPr>
          <w:trHeight w:val="403"/>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PRIIPs Regulation</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Regulation (EU) No 1286/2014 of the European Parliament and of the Council of</w:t>
            </w:r>
          </w:p>
        </w:tc>
      </w:tr>
      <w:tr>
        <w:trPr>
          <w:trHeight w:val="229"/>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26 November 2014 on key information documents for packaged retail and</w:t>
            </w:r>
          </w:p>
        </w:tc>
      </w:t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insurance-based investment products (PRIIPs).</w:t>
            </w:r>
          </w:p>
        </w:tc>
      </w:tr>
      <w:tr>
        <w:trPr>
          <w:trHeight w:val="457"/>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Prospectus Regulation</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Regulation (EU) 2017/1129 of the European Parliament and of the Council of 14</w:t>
            </w:r>
          </w:p>
        </w:tc>
      </w:tr>
      <w:tr>
        <w:trPr>
          <w:trHeight w:val="229"/>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June 2017 on the prospectus to be published when securities are offered to the</w:t>
            </w:r>
          </w:p>
        </w:tc>
      </w:tr>
      <w:tr>
        <w:trPr>
          <w:trHeight w:val="229"/>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public or admitted to trading on a regulated market, and repealing Directive</w:t>
            </w:r>
          </w:p>
        </w:tc>
      </w:t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2003/71/EC.</w:t>
            </w:r>
          </w:p>
        </w:tc>
      </w:tr>
      <w:tr>
        <w:trPr>
          <w:trHeight w:val="403"/>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Prospectus Supplement</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The prospectus supplement with respect to the Offering, supplementing the</w:t>
            </w:r>
          </w:p>
        </w:tc>
      </w:tr>
      <w:tr>
        <w:trPr>
          <w:trHeight w:val="230"/>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Registration Statement, as filed or to be filed with the SEC by the Company on 6</w:t>
            </w:r>
          </w:p>
        </w:tc>
      </w:t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December 2023.</w:t>
            </w:r>
          </w:p>
        </w:tc>
      </w:tr>
      <w:tr>
        <w:trPr>
          <w:trHeight w:val="457"/>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The Company's registration statement on Form F-3, as declared effective by the</w:t>
            </w:r>
          </w:p>
        </w:tc>
      </w:tr>
      <w:tr>
        <w:trPr>
          <w:trHeight w:val="229"/>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SEC on</w:t>
            </w:r>
          </w:p>
        </w:tc>
      </w:t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10 March 2022.</w:t>
            </w:r>
          </w:p>
        </w:tc>
      </w:tr>
      <w:tr>
        <w:trPr>
          <w:trHeight w:val="403"/>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Moment</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The time when Offer Shares are issued pursuant to the execution of a Deed of</w:t>
            </w:r>
          </w:p>
        </w:tc>
      </w:tr>
      <w:tr>
        <w:trPr>
          <w:trHeight w:val="230"/>
        </w:trPr>
        <w:tc>
          <w:tcPr>
            <w:tcW w:w="3300" w:type="dxa"/>
            <w:vAlign w:val="bottom"/>
          </w:tcPr>
          <w:p>
            <w:pPr>
              <w:spacing w:after="0"/>
              <w:rPr>
                <w:sz w:val="19"/>
                <w:szCs w:val="19"/>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Issue, or when Warrant Shares are issued pursuant to the exercise of one or more</w:t>
            </w:r>
          </w:p>
        </w:tc>
      </w:tr>
      <w:tr>
        <w:trPr>
          <w:trHeight w:val="258"/>
        </w:trPr>
        <w:tc>
          <w:tcPr>
            <w:tcW w:w="3300" w:type="dxa"/>
            <w:vAlign w:val="bottom"/>
          </w:tcPr>
          <w:p>
            <w:pPr>
              <w:spacing w:after="0"/>
              <w:rPr>
                <w:sz w:val="22"/>
                <w:szCs w:val="22"/>
                <w:color w:val="auto"/>
              </w:rPr>
            </w:pP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Warrants.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Resolutions</w:t>
            </w:r>
            <w:r>
              <w:rPr>
                <w:rFonts w:ascii="Times New Roman" w:cs="Times New Roman" w:eastAsia="Times New Roman" w:hAnsi="Times New Roman"/>
                <w:sz w:val="20"/>
                <w:szCs w:val="20"/>
                <w:color w:val="auto"/>
              </w:rPr>
              <w:t>"</w:t>
            </w:r>
          </w:p>
        </w:tc>
        <w:tc>
          <w:tcPr>
            <w:tcW w:w="774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Each of the following:</w:t>
            </w:r>
          </w:p>
        </w:tc>
      </w:tr>
      <w:tr>
        <w:trPr>
          <w:trHeight w:val="376"/>
        </w:trPr>
        <w:tc>
          <w:tcPr>
            <w:tcW w:w="330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a.</w:t>
            </w:r>
          </w:p>
        </w:tc>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written resolution of the Board, dated 4 December 2023;</w:t>
            </w:r>
          </w:p>
        </w:tc>
      </w:tr>
      <w:tr>
        <w:trPr>
          <w:trHeight w:val="229"/>
        </w:trPr>
        <w:tc>
          <w:tcPr>
            <w:tcW w:w="3300" w:type="dxa"/>
            <w:vAlign w:val="bottom"/>
          </w:tcPr>
          <w:p>
            <w:pPr>
              <w:spacing w:after="0"/>
              <w:rPr>
                <w:sz w:val="19"/>
                <w:szCs w:val="19"/>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b.</w:t>
            </w:r>
          </w:p>
        </w:tc>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written resolution of the Board dated 5 December 2023;</w:t>
            </w:r>
          </w:p>
        </w:tc>
      </w:tr>
      <w:tr>
        <w:trPr>
          <w:trHeight w:val="230"/>
        </w:trPr>
        <w:tc>
          <w:tcPr>
            <w:tcW w:w="3300" w:type="dxa"/>
            <w:vAlign w:val="bottom"/>
          </w:tcPr>
          <w:p>
            <w:pPr>
              <w:spacing w:after="0"/>
              <w:rPr>
                <w:sz w:val="19"/>
                <w:szCs w:val="19"/>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c.</w:t>
            </w:r>
          </w:p>
        </w:tc>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the written resolution of the General Meeting, dated 1 February 2021; and</w:t>
            </w:r>
          </w:p>
        </w:tc>
      </w:tr>
      <w:tr>
        <w:trPr>
          <w:trHeight w:val="230"/>
        </w:trPr>
        <w:tc>
          <w:tcPr>
            <w:tcW w:w="3300" w:type="dxa"/>
            <w:vAlign w:val="bottom"/>
          </w:tcPr>
          <w:p>
            <w:pPr>
              <w:spacing w:after="0"/>
              <w:rPr>
                <w:sz w:val="19"/>
                <w:szCs w:val="19"/>
                <w:color w:val="auto"/>
              </w:rPr>
            </w:pPr>
          </w:p>
        </w:tc>
        <w:tc>
          <w:tcPr>
            <w:tcW w:w="774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d.   the minutes of the meeting of the pricing committee established by the</w:t>
            </w:r>
          </w:p>
        </w:tc>
      </w:tr>
      <w:tr>
        <w:trPr>
          <w:trHeight w:val="258"/>
        </w:trPr>
        <w:tc>
          <w:tcPr>
            <w:tcW w:w="3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Board held on 5 December 2023.</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82045253 M 54018138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86360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60" w:top="913" w:right="439" w:bottom="1440" w:gutter="0" w:footer="0" w:header="0"/>
        </w:sectPr>
      </w:pPr>
    </w:p>
    <w:bookmarkStart w:id="78" w:name="page79"/>
    <w:bookmarkEnd w:id="78"/>
    <w:p>
      <w:pPr>
        <w:ind w:left="38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2308225</wp:posOffset>
            </wp:positionH>
            <wp:positionV relativeFrom="page">
              <wp:posOffset>320040</wp:posOffset>
            </wp:positionV>
            <wp:extent cx="11398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Reviewed Documents</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Each Deed of Issue, the Warrant and the Underwriting Agreement.</w:t>
            </w:r>
          </w:p>
        </w:tc>
        <w:tc>
          <w:tcPr>
            <w:tcW w:w="0" w:type="dxa"/>
            <w:vAlign w:val="bottom"/>
          </w:tcPr>
          <w:p>
            <w:pPr>
              <w:spacing w:after="0"/>
              <w:rPr>
                <w:sz w:val="1"/>
                <w:szCs w:val="1"/>
                <w:color w:val="auto"/>
              </w:rPr>
            </w:pPr>
          </w:p>
        </w:tc>
      </w:tr>
      <w:tr>
        <w:trPr>
          <w:trHeight w:val="432"/>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The United States Securities and Exchange Commission.</w:t>
            </w:r>
          </w:p>
        </w:tc>
        <w:tc>
          <w:tcPr>
            <w:tcW w:w="0" w:type="dxa"/>
            <w:vAlign w:val="bottom"/>
          </w:tcPr>
          <w:p>
            <w:pPr>
              <w:spacing w:after="0"/>
              <w:rPr>
                <w:sz w:val="1"/>
                <w:szCs w:val="1"/>
                <w:color w:val="auto"/>
              </w:rPr>
            </w:pPr>
          </w:p>
        </w:tc>
      </w:tr>
      <w:tr>
        <w:trPr>
          <w:trHeight w:val="432"/>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Underwriters</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The Underwriters, as defined in the Underwriting Agreement.</w:t>
            </w:r>
          </w:p>
        </w:tc>
        <w:tc>
          <w:tcPr>
            <w:tcW w:w="0" w:type="dxa"/>
            <w:vAlign w:val="bottom"/>
          </w:tcPr>
          <w:p>
            <w:pPr>
              <w:spacing w:after="0"/>
              <w:rPr>
                <w:sz w:val="1"/>
                <w:szCs w:val="1"/>
                <w:color w:val="auto"/>
              </w:rPr>
            </w:pPr>
          </w:p>
        </w:tc>
      </w:tr>
      <w:tr>
        <w:trPr>
          <w:trHeight w:val="403"/>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Underwriting Agreement</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The draft underwriting agreement to be entered into between the Company and the</w:t>
            </w: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2"/>
                <w:szCs w:val="22"/>
                <w:color w:val="auto"/>
              </w:rPr>
            </w:pP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Underwriters in connection with the Offering, in the form reviewed by us.</w:t>
            </w:r>
          </w:p>
        </w:tc>
        <w:tc>
          <w:tcPr>
            <w:tcW w:w="0" w:type="dxa"/>
            <w:vAlign w:val="bottom"/>
          </w:tcPr>
          <w:p>
            <w:pPr>
              <w:spacing w:after="0"/>
              <w:rPr>
                <w:sz w:val="1"/>
                <w:szCs w:val="1"/>
                <w:color w:val="auto"/>
              </w:rPr>
            </w:pPr>
          </w:p>
        </w:tc>
      </w:tr>
      <w:tr>
        <w:trPr>
          <w:trHeight w:val="457"/>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Up to 1,375,000 Ordinary Shares underlying the Warrants issuable upon exercise</w:t>
            </w: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2"/>
                <w:szCs w:val="22"/>
                <w:color w:val="auto"/>
              </w:rPr>
            </w:pP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of the Warrants in accordance with their terms.</w:t>
            </w:r>
          </w:p>
        </w:tc>
        <w:tc>
          <w:tcPr>
            <w:tcW w:w="0" w:type="dxa"/>
            <w:vAlign w:val="bottom"/>
          </w:tcPr>
          <w:p>
            <w:pPr>
              <w:spacing w:after="0"/>
              <w:rPr>
                <w:sz w:val="1"/>
                <w:szCs w:val="1"/>
                <w:color w:val="auto"/>
              </w:rPr>
            </w:pPr>
          </w:p>
        </w:tc>
      </w:tr>
      <w:tr>
        <w:trPr>
          <w:trHeight w:val="457"/>
        </w:trPr>
        <w:tc>
          <w:tcPr>
            <w:tcW w:w="3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The pre-funded warrant to purchase Ordinary Shares to be issued by the Company,</w:t>
            </w:r>
          </w:p>
        </w:tc>
        <w:tc>
          <w:tcPr>
            <w:tcW w:w="0" w:type="dxa"/>
            <w:vAlign w:val="bottom"/>
          </w:tcPr>
          <w:p>
            <w:pPr>
              <w:spacing w:after="0"/>
              <w:rPr>
                <w:sz w:val="1"/>
                <w:szCs w:val="1"/>
                <w:color w:val="auto"/>
              </w:rPr>
            </w:pPr>
          </w:p>
        </w:tc>
      </w:tr>
      <w:tr>
        <w:trPr>
          <w:trHeight w:val="258"/>
        </w:trPr>
        <w:tc>
          <w:tcPr>
            <w:tcW w:w="3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82045253 M 54018138 / 19</w:t>
            </w:r>
          </w:p>
        </w:tc>
        <w:tc>
          <w:tcPr>
            <w:tcW w:w="77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in the form reviewed by us.</w:t>
            </w:r>
          </w:p>
        </w:tc>
        <w:tc>
          <w:tcPr>
            <w:tcW w:w="0" w:type="dxa"/>
            <w:vAlign w:val="bottom"/>
          </w:tcPr>
          <w:p>
            <w:pPr>
              <w:spacing w:after="0"/>
              <w:rPr>
                <w:sz w:val="1"/>
                <w:szCs w:val="1"/>
                <w:color w:val="auto"/>
              </w:rPr>
            </w:pPr>
          </w:p>
        </w:tc>
      </w:tr>
      <w:tr>
        <w:trPr>
          <w:trHeight w:val="117"/>
        </w:trPr>
        <w:tc>
          <w:tcPr>
            <w:tcW w:w="3480" w:type="dxa"/>
            <w:vAlign w:val="bottom"/>
            <w:vMerge w:val="continue"/>
          </w:tcPr>
          <w:p>
            <w:pPr>
              <w:spacing w:after="0"/>
              <w:rPr>
                <w:sz w:val="10"/>
                <w:szCs w:val="10"/>
                <w:color w:val="auto"/>
              </w:rPr>
            </w:pPr>
          </w:p>
        </w:tc>
        <w:tc>
          <w:tcPr>
            <w:tcW w:w="7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80" w:type="dxa"/>
            <w:vAlign w:val="bottom"/>
            <w:tcBorders>
              <w:bottom w:val="single" w:sz="8" w:color="9A9A9A"/>
            </w:tcBorders>
          </w:tcPr>
          <w:p>
            <w:pPr>
              <w:spacing w:after="0"/>
              <w:rPr>
                <w:sz w:val="13"/>
                <w:szCs w:val="13"/>
                <w:color w:val="auto"/>
              </w:rPr>
            </w:pPr>
          </w:p>
        </w:tc>
        <w:tc>
          <w:tcPr>
            <w:tcW w:w="77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9" w:name="page80"/>
    <w:bookmarkEnd w:id="79"/>
    <w:p>
      <w:pPr>
        <w:ind w:left="10500"/>
        <w:spacing w:after="0"/>
        <w:rPr>
          <w:sz w:val="20"/>
          <w:szCs w:val="20"/>
          <w:color w:val="auto"/>
        </w:rPr>
      </w:pPr>
      <w:r>
        <w:rPr>
          <w:rFonts w:ascii="Times New Roman" w:cs="Times New Roman" w:eastAsia="Times New Roman" w:hAnsi="Times New Roman"/>
          <w:sz w:val="14"/>
          <w:szCs w:val="14"/>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126365</wp:posOffset>
            </wp:positionV>
            <wp:extent cx="2040255" cy="283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40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601 Lexington Avenue</w:t>
      </w:r>
    </w:p>
    <w:p>
      <w:pPr>
        <w:sectPr>
          <w:pgSz w:w="11900" w:h="16838" w:orient="portrait"/>
          <w:cols w:equalWidth="0" w:num="1">
            <w:col w:w="11240"/>
          </w:cols>
          <w:pgMar w:left="320" w:top="522" w:right="339" w:bottom="1440" w:gutter="0" w:footer="0" w:header="0"/>
        </w:sectPr>
      </w:pPr>
    </w:p>
    <w:p>
      <w:pPr>
        <w:spacing w:after="0" w:line="244"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New York, NY 10022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Facsimile: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+1 212 446 4900</w:t>
      </w:r>
    </w:p>
    <w:p>
      <w:pPr>
        <w:spacing w:after="0" w:line="95" w:lineRule="exact"/>
        <w:rPr>
          <w:sz w:val="20"/>
          <w:szCs w:val="20"/>
          <w:color w:val="auto"/>
        </w:rPr>
      </w:pPr>
    </w:p>
    <w:p>
      <w:pPr>
        <w:sectPr>
          <w:pgSz w:w="11900" w:h="16838" w:orient="portrait"/>
          <w:cols w:equalWidth="0" w:num="2">
            <w:col w:w="6320" w:space="720"/>
            <w:col w:w="4200"/>
          </w:cols>
          <w:pgMar w:left="320" w:top="522" w:right="339" w:bottom="1440" w:gutter="0" w:footer="0" w:header="0"/>
          <w:type w:val="continuous"/>
        </w:sectPr>
      </w:pPr>
    </w:p>
    <w:p>
      <w:pPr>
        <w:ind w:left="4340"/>
        <w:spacing w:after="0"/>
        <w:rPr>
          <w:sz w:val="20"/>
          <w:szCs w:val="20"/>
          <w:color w:val="auto"/>
        </w:rPr>
      </w:pPr>
      <w:r>
        <w:rPr>
          <w:rFonts w:ascii="Arial" w:cs="Arial" w:eastAsia="Arial" w:hAnsi="Arial"/>
          <w:sz w:val="14"/>
          <w:szCs w:val="14"/>
          <w:color w:val="auto"/>
        </w:rPr>
        <w:t>United States</w:t>
      </w:r>
    </w:p>
    <w:p>
      <w:pPr>
        <w:spacing w:after="0" w:line="150"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+1 212 446 4800</w:t>
      </w:r>
    </w:p>
    <w:p>
      <w:pPr>
        <w:spacing w:after="0" w:line="177"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www.kirkland.com</w:t>
      </w:r>
    </w:p>
    <w:p>
      <w:pPr>
        <w:sectPr>
          <w:pgSz w:w="11900" w:h="16838" w:orient="portrait"/>
          <w:cols w:equalWidth="0" w:num="1">
            <w:col w:w="11240"/>
          </w:cols>
          <w:pgMar w:left="320" w:top="522"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8,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2333 BK Leiden, The Netherlands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 Prospectus Supplement to Registration Statement on Form F-3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We are issuing this opinion letter in our capacity as special U.S. counsel to Pharvaris N.V., a Dutch public company with limited liability (</w:t>
      </w:r>
      <w:r>
        <w:rPr>
          <w:rFonts w:ascii="Times New Roman" w:cs="Times New Roman" w:eastAsia="Times New Roman" w:hAnsi="Times New Roman"/>
          <w:sz w:val="22"/>
          <w:szCs w:val="22"/>
          <w:i w:val="1"/>
          <w:iCs w:val="1"/>
          <w:color w:val="auto"/>
        </w:rPr>
        <w:t>naamloze vennootschap</w:t>
      </w:r>
      <w:r>
        <w:rPr>
          <w:rFonts w:ascii="Times New Roman" w:cs="Times New Roman" w:eastAsia="Times New Roman" w:hAnsi="Times New Roman"/>
          <w:sz w:val="22"/>
          <w:szCs w:val="22"/>
          <w:color w:val="auto"/>
        </w:rPr>
        <w:t>) (the “Company”), in connection with the issuance and sale of (i) an aggregate of 11,125,000 shares (the “Offered Shares”) of the Company’s ordinary shares, €0.12 per share per share (the “Ordinary Shares”) and (ii) pre-funded warrants (the “Pre-Funded Warrants”) to purchase an aggregate of 1,375,000 Ordinary Shares (the “Warrant Shares” and, together with the Offered Shares, the “Shares”), pursuant to an underwriting agreement, dated December 6, 2023 (the “Underwriting Agreement”), by and among the Company and Morgan Stanley &amp; Co. LLC and Leerink Partners LLC, as the underwriters. In accordance with the Securities Act of 1933, as amended (the “Securities Act”), and the rules and regulations promulgated thereunder, the Company has prepared and filed with the Securities and Exchange Commission (the “SEC”) on March 1, 2022 a Registration Statement on Form F-3 (Registration No. 333-263198), declared effective by the SEC on March 10, 2022 (the “Registration Statement”), including a base prospectus dated March 10, 2022 and a prospectus supplement dated December 6, 2023 (the “Prospectus Supplement”).</w:t>
      </w:r>
    </w:p>
    <w:p>
      <w:pPr>
        <w:spacing w:after="0" w:line="18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purposes of the opinions hereinafter expressed, we have examined the Registration Statement, the Prospectus Supplement, the Underwriting Agreement, the form of Pre-Funded Warrant, the corporate and organizational documents of the Company, and originals or copies, certified and otherwise identified to our satisfaction, of such other documents, corporate or limited liability company records, certificates of public officials and other instruments as we have deemed necessary as a basis for the opinions expressed herein. Insofar as the opinions expressed herein involve factual matters, we have relied (without independent factual investigation), to the extent</w:t>
      </w: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Austin Bay Area Beijing Boston Brussels Chicago Dallas Hong Kong Houston London Los Angeles Miami Munich Paris Salt Lake City Shanghai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80" w:name="page81"/>
    <w:bookmarkEnd w:id="80"/>
    <w:p>
      <w:pPr>
        <w:ind w:left="1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267970</wp:posOffset>
            </wp:positionH>
            <wp:positionV relativeFrom="page">
              <wp:posOffset>346075</wp:posOffset>
            </wp:positionV>
            <wp:extent cx="165417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Pharvaris N.V.</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December 8, 2023</w:t>
      </w:r>
    </w:p>
    <w:p>
      <w:pPr>
        <w:ind w:left="1300"/>
        <w:spacing w:after="0"/>
        <w:rPr>
          <w:sz w:val="20"/>
          <w:szCs w:val="20"/>
          <w:color w:val="auto"/>
        </w:rPr>
      </w:pPr>
      <w:r>
        <w:rPr>
          <w:rFonts w:ascii="Times New Roman" w:cs="Times New Roman" w:eastAsia="Times New Roman" w:hAnsi="Times New Roman"/>
          <w:sz w:val="22"/>
          <w:szCs w:val="22"/>
          <w:color w:val="auto"/>
        </w:rPr>
        <w:t>Page 2</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deemed proper or necessary, upon certificates of, and other communications with, officers and employees of the Company and upon certificates of public officials.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purposes of this opinion, we have assumed the authenticity of all documents submitted to us as originals, the conformity to the originals of all documents submitted to us as copies and the authenticity of the originals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As to any facts material to the opinions expressed herein which we have not independently established or verified, we have relied upon statements and representations of officers and other representatives of the Company and others.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Based upon and subject to the assumptions, qualifications and limitations identified in this opinion, we are of the opinion that, assuming the Pre-Funded Warrants have been duly authorized, executed and delivered by the parties thereto, and delivered in accordance with the terms thereof, the Pre-Funded Warrants are legal, valid and binding obligations of the Company, enforceable against the Company in accordance with their terms.</w:t>
      </w:r>
    </w:p>
    <w:p>
      <w:pPr>
        <w:spacing w:after="0" w:line="20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Each opinion (an “enforceability opinion”) in this letter that any security is a valid and binding obligation or is enforceable in accordance with its terms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In addition, we do not express any opinion as to the enforceability of any rights to contribution or indemnification which may be violative of public policy underlying any law, rule or regulation (including any federal or state securities law, rule or regulation). “General principles of equity” include, but are not limited to: principles limiting the availability of specific performance and injunctive relief; principles which limit the availability of a remedy under certain circumstances where another remedy has been elected; principles requiring reasonableness, good faith and fair dealing in the performance and enforcement of an agreement by the party seeking enforcement; principles which may permit a party to cure a material failure to perform its obligations; and principles affording equitable defenses such as waiver, laches and estoppel. We express no opinion with respect to the enforceability of any provision which purports to waive the benefit of usury laws.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267970</wp:posOffset>
            </wp:positionH>
            <wp:positionV relativeFrom="page">
              <wp:posOffset>346075</wp:posOffset>
            </wp:positionV>
            <wp:extent cx="165417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Pharvaris N.V.</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December 8, 2023</w:t>
      </w:r>
    </w:p>
    <w:p>
      <w:pPr>
        <w:ind w:left="1300"/>
        <w:spacing w:after="0"/>
        <w:rPr>
          <w:sz w:val="20"/>
          <w:szCs w:val="20"/>
          <w:color w:val="auto"/>
        </w:rPr>
      </w:pPr>
      <w:r>
        <w:rPr>
          <w:rFonts w:ascii="Times New Roman" w:cs="Times New Roman" w:eastAsia="Times New Roman" w:hAnsi="Times New Roman"/>
          <w:sz w:val="22"/>
          <w:szCs w:val="22"/>
          <w:color w:val="auto"/>
        </w:rPr>
        <w:t>Page 3</w:t>
      </w:r>
    </w:p>
    <w:p>
      <w:pPr>
        <w:spacing w:after="0" w:line="22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We have assumed the indentures, purchase contract agreement, warrant agreement and unit agreement referenced in the numbered paragraphs above will be governed by the law of the State of New York.</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opinion is furnished to you in connection with the filing of the Company’s Current Report on Form 6-K, which is incorporated by reference into the Registration Statement, and is not to be used, circulated, quoted or otherwise relied upon for any other purposes.</w:t>
      </w:r>
    </w:p>
    <w:p>
      <w:pPr>
        <w:spacing w:after="0" w:line="20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We hereby consent to the filing of this opinion as Exhibit 5.2 to the Company’s Current Report on Form 6-K and its incorporation by reference into the Registration Statement. We also consent to the reference to our firm under the heading “Legal Matters” in the Prospectus Supplement and the Registration Statement. In giving this consent, we do not thereby admit that we are in the category of persons whose consent is required under Section 7 of the Act of the rules and regulations of the Commission.</w:t>
      </w:r>
    </w:p>
    <w:p>
      <w:pPr>
        <w:ind w:left="5240"/>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lowerRoman"/>
      <w:start w:val="2"/>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lowerLetter"/>
      <w:start w:val="3"/>
    </w:lvl>
  </w:abstractNum>
  <w:abstractNum w:abstractNumId="3">
    <w:nsid w:val="51EAD36B"/>
    <w:multiLevelType w:val="hybridMultilevel"/>
    <w:lvl w:ilvl="0">
      <w:lvlJc w:val="left"/>
      <w:lvlText w:val="(%1)"/>
      <w:numFmt w:val="lowerLetter"/>
      <w:start w:val="6"/>
    </w:lvl>
  </w:abstractNum>
  <w:abstractNum w:abstractNumId="4">
    <w:nsid w:val="2D517796"/>
    <w:multiLevelType w:val="hybridMultilevel"/>
    <w:lvl w:ilvl="0">
      <w:lvlJc w:val="left"/>
      <w:lvlText w:val="(%1)"/>
      <w:numFmt w:val="lowerLetter"/>
      <w:start w:val="11"/>
    </w:lvl>
    <w:lvl w:ilvl="1">
      <w:lvlJc w:val="left"/>
      <w:lvlText w:val="(%2)"/>
      <w:numFmt w:val="lowerLetter"/>
      <w:start w:val="12"/>
    </w:lvl>
  </w:abstractNum>
  <w:abstractNum w:abstractNumId="5">
    <w:nsid w:val="580BD78F"/>
    <w:multiLevelType w:val="hybridMultilevel"/>
    <w:lvl w:ilvl="0">
      <w:lvlJc w:val="left"/>
      <w:lvlText w:val="(%1)"/>
      <w:numFmt w:val="lowerLetter"/>
      <w:start w:val="13"/>
    </w:lvl>
  </w:abstractNum>
  <w:abstractNum w:abstractNumId="6">
    <w:nsid w:val="153EA438"/>
    <w:multiLevelType w:val="hybridMultilevel"/>
    <w:lvl w:ilvl="0">
      <w:lvlJc w:val="left"/>
      <w:lvlText w:val="(%1)"/>
      <w:numFmt w:val="lowerLetter"/>
      <w:start w:val="24"/>
    </w:lvl>
    <w:lvl w:ilvl="1">
      <w:lvlJc w:val="left"/>
      <w:lvlText w:val="(%2)"/>
      <w:numFmt w:val="lowerLetter"/>
      <w:start w:val="16"/>
    </w:lvl>
  </w:abstractNum>
  <w:abstractNum w:abstractNumId="7">
    <w:nsid w:val="3855585C"/>
    <w:multiLevelType w:val="hybridMultilevel"/>
    <w:lvl w:ilvl="0">
      <w:lvlJc w:val="left"/>
      <w:lvlText w:val="(%1)"/>
      <w:numFmt w:val="lowerLetter"/>
      <w:start w:val="19"/>
    </w:lvl>
  </w:abstractNum>
  <w:abstractNum w:abstractNumId="8">
    <w:nsid w:val="70A64E2A"/>
    <w:multiLevelType w:val="hybridMultilevel"/>
    <w:lvl w:ilvl="0">
      <w:lvlJc w:val="left"/>
      <w:lvlText w:val="%1"/>
      <w:numFmt w:val="lowerRoman"/>
      <w:start w:val="1"/>
    </w:lvl>
    <w:lvl w:ilvl="1">
      <w:lvlJc w:val="left"/>
      <w:lvlText w:val="(%2)"/>
      <w:numFmt w:val="upperLetter"/>
      <w:start w:val="2"/>
    </w:lvl>
  </w:abstractNum>
  <w:abstractNum w:abstractNumId="9">
    <w:nsid w:val="6A2342EC"/>
    <w:multiLevelType w:val="hybridMultilevel"/>
    <w:lvl w:ilvl="0">
      <w:lvlJc w:val="left"/>
      <w:lvlText w:val="(%1)"/>
      <w:numFmt w:val="lowerRoman"/>
      <w:start w:val="2"/>
    </w:lvl>
    <w:lvl w:ilvl="1">
      <w:lvlJc w:val="left"/>
      <w:lvlText w:val="%2"/>
      <w:numFmt w:val="upperLetter"/>
      <w:start w:val="1"/>
    </w:lvl>
  </w:abstractNum>
  <w:abstractNum w:abstractNumId="10">
    <w:nsid w:val="2A487CB0"/>
    <w:multiLevelType w:val="hybridMultilevel"/>
    <w:lvl w:ilvl="0">
      <w:lvlJc w:val="left"/>
      <w:lvlText w:val="(%1)"/>
      <w:numFmt w:val="upperLetter"/>
      <w:start w:val="2"/>
    </w:lvl>
  </w:abstractNum>
  <w:abstractNum w:abstractNumId="11">
    <w:nsid w:val="1D4ED43B"/>
    <w:multiLevelType w:val="hybridMultilevel"/>
    <w:lvl w:ilvl="0">
      <w:lvlJc w:val="left"/>
      <w:lvlText w:val="%1"/>
      <w:numFmt w:val="lowerLetter"/>
      <w:start w:val="1"/>
    </w:lvl>
    <w:lvl w:ilvl="1">
      <w:lvlJc w:val="left"/>
      <w:lvlText w:val="(%2)"/>
      <w:numFmt w:val="lowerRoman"/>
      <w:start w:val="3"/>
    </w:lvl>
  </w:abstractNum>
  <w:abstractNum w:abstractNumId="12">
    <w:nsid w:val="725A06FB"/>
    <w:multiLevelType w:val="hybridMultilevel"/>
    <w:lvl w:ilvl="0">
      <w:lvlJc w:val="left"/>
      <w:lvlText w:val="(%1)"/>
      <w:numFmt w:val="lowerLetter"/>
      <w:start w:val="21"/>
    </w:lvl>
    <w:lvl w:ilvl="1">
      <w:lvlJc w:val="left"/>
      <w:lvlText w:val="%2"/>
      <w:numFmt w:val="lowerRoman"/>
      <w:start w:val="1"/>
    </w:lvl>
  </w:abstractNum>
  <w:abstractNum w:abstractNumId="13">
    <w:nsid w:val="2CD89A32"/>
    <w:multiLevelType w:val="hybridMultilevel"/>
    <w:lvl w:ilvl="0">
      <w:lvlJc w:val="left"/>
      <w:lvlText w:val="(%1)"/>
      <w:numFmt w:val="lowerRoman"/>
      <w:start w:val="4"/>
    </w:lvl>
    <w:lvl w:ilvl="1">
      <w:lvlJc w:val="left"/>
      <w:lvlText w:val="(%2)"/>
      <w:numFmt w:val="lowerLetter"/>
      <w:start w:val="24"/>
    </w:lvl>
  </w:abstractNum>
  <w:abstractNum w:abstractNumId="14">
    <w:nsid w:val="57E4CCAF"/>
    <w:multiLevelType w:val="hybridMultilevel"/>
    <w:lvl w:ilvl="0">
      <w:lvlJc w:val="left"/>
      <w:lvlText w:val="(%1)"/>
      <w:numFmt w:val="lowerLetter"/>
      <w:start w:val="26"/>
    </w:lvl>
    <w:lvl w:ilvl="1">
      <w:lvlJc w:val="left"/>
      <w:lvlText w:val="%2"/>
      <w:numFmt w:val="lowerLetter"/>
      <w:start w:val="1"/>
    </w:lvl>
  </w:abstractNum>
  <w:abstractNum w:abstractNumId="15">
    <w:nsid w:val="7A6D8D3C"/>
    <w:multiLevelType w:val="hybridMultilevel"/>
    <w:lvl w:ilvl="0">
      <w:lvlJc w:val="left"/>
      <w:lvlText w:val="(%1)"/>
      <w:numFmt w:val="lowerLetter"/>
      <w:start w:val="28"/>
    </w:lvl>
  </w:abstractNum>
  <w:abstractNum w:abstractNumId="16">
    <w:nsid w:val="4B588F54"/>
    <w:multiLevelType w:val="hybridMultilevel"/>
    <w:lvl w:ilvl="0">
      <w:lvlJc w:val="left"/>
      <w:lvlText w:val="(%1)"/>
      <w:numFmt w:val="lowerLetter"/>
      <w:start w:val="32"/>
    </w:lvl>
  </w:abstractNum>
  <w:abstractNum w:abstractNumId="17">
    <w:nsid w:val="542289EC"/>
    <w:multiLevelType w:val="hybridMultilevel"/>
    <w:lvl w:ilvl="0">
      <w:lvlJc w:val="left"/>
      <w:lvlText w:val="(%1)"/>
      <w:numFmt w:val="lowerLetter"/>
      <w:start w:val="34"/>
    </w:lvl>
    <w:lvl w:ilvl="1">
      <w:lvlJc w:val="left"/>
      <w:lvlText w:val="(%2)"/>
      <w:numFmt w:val="lowerLetter"/>
      <w:start w:val="35"/>
    </w:lvl>
  </w:abstractNum>
  <w:abstractNum w:abstractNumId="18">
    <w:nsid w:val="6DE91B18"/>
    <w:multiLevelType w:val="hybridMultilevel"/>
    <w:lvl w:ilvl="0">
      <w:lvlJc w:val="left"/>
      <w:lvlText w:val="%1"/>
      <w:numFmt w:val="lowerLetter"/>
      <w:start w:val="1"/>
    </w:lvl>
    <w:lvl w:ilvl="1">
      <w:lvlJc w:val="left"/>
      <w:lvlText w:val="(%2)"/>
      <w:numFmt w:val="lowerLetter"/>
      <w:start w:val="37"/>
    </w:lvl>
    <w:lvl w:ilvl="2">
      <w:lvlJc w:val="left"/>
      <w:lvlText w:val="(%3)"/>
      <w:numFmt w:val="lowerLetter"/>
      <w:start w:val="38"/>
    </w:lvl>
  </w:abstractNum>
  <w:abstractNum w:abstractNumId="19">
    <w:nsid w:val="38437FDB"/>
    <w:multiLevelType w:val="hybridMultilevel"/>
    <w:lvl w:ilvl="0">
      <w:lvlJc w:val="left"/>
      <w:lvlText w:val="(%1)"/>
      <w:numFmt w:val="lowerLetter"/>
      <w:start w:val="39"/>
    </w:lvl>
    <w:lvl w:ilvl="1">
      <w:lvlJc w:val="left"/>
      <w:lvlText w:val="(%2)"/>
      <w:numFmt w:val="lowerLetter"/>
      <w:start w:val="40"/>
    </w:lvl>
    <w:lvl w:ilvl="2">
      <w:lvlJc w:val="left"/>
      <w:lvlText w:val="%3"/>
      <w:numFmt w:val="lowerLetter"/>
      <w:start w:val="1"/>
    </w:lvl>
  </w:abstractNum>
  <w:abstractNum w:abstractNumId="20">
    <w:nsid w:val="7644A45C"/>
    <w:multiLevelType w:val="hybridMultilevel"/>
    <w:lvl w:ilvl="0">
      <w:lvlJc w:val="left"/>
      <w:lvlText w:val="%1"/>
      <w:numFmt w:val="upperLetter"/>
      <w:start w:val="1"/>
    </w:lvl>
    <w:lvl w:ilvl="1">
      <w:lvlJc w:val="left"/>
      <w:lvlText w:val="(%2)"/>
      <w:numFmt w:val="lowerLetter"/>
      <w:start w:val="41"/>
    </w:lvl>
    <w:lvl w:ilvl="2">
      <w:lvlJc w:val="left"/>
      <w:lvlText w:val="%3"/>
      <w:numFmt w:val="lowerLetter"/>
      <w:start w:val="1"/>
    </w:lvl>
  </w:abstractNum>
  <w:abstractNum w:abstractNumId="21">
    <w:nsid w:val="32FFF902"/>
    <w:multiLevelType w:val="hybridMultilevel"/>
    <w:lvl w:ilvl="0">
      <w:lvlJc w:val="left"/>
      <w:lvlText w:val="(%1)"/>
      <w:numFmt w:val="upperLetter"/>
      <w:start w:val="2"/>
    </w:lvl>
    <w:lvl w:ilvl="1">
      <w:lvlJc w:val="left"/>
      <w:lvlText w:val="(%2)"/>
      <w:numFmt w:val="lowerLetter"/>
      <w:start w:val="43"/>
    </w:lvl>
    <w:lvl w:ilvl="2">
      <w:lvlJc w:val="left"/>
      <w:lvlText w:val="(%3)"/>
      <w:numFmt w:val="lowerLetter"/>
      <w:start w:val="44"/>
    </w:lvl>
  </w:abstractNum>
  <w:abstractNum w:abstractNumId="22">
    <w:nsid w:val="684A481A"/>
    <w:multiLevelType w:val="hybridMultilevel"/>
    <w:lvl w:ilvl="0">
      <w:lvlJc w:val="left"/>
      <w:lvlText w:val="%1"/>
      <w:numFmt w:val="lowerLetter"/>
      <w:start w:val="1"/>
    </w:lvl>
    <w:lvl w:ilvl="1">
      <w:lvlJc w:val="left"/>
      <w:lvlText w:val="(%2)"/>
      <w:numFmt w:val="lowerLetter"/>
      <w:start w:val="47"/>
    </w:lvl>
  </w:abstractNum>
  <w:abstractNum w:abstractNumId="23">
    <w:nsid w:val="579478FE"/>
    <w:multiLevelType w:val="hybridMultilevel"/>
    <w:lvl w:ilvl="0">
      <w:lvlJc w:val="left"/>
      <w:lvlText w:val="(%1)"/>
      <w:numFmt w:val="lowerLetter"/>
      <w:start w:val="49"/>
    </w:lvl>
    <w:lvl w:ilvl="1">
      <w:lvlJc w:val="left"/>
      <w:lvlText w:val="(%2)"/>
      <w:numFmt w:val="lowerLetter"/>
      <w:start w:val="50"/>
    </w:lvl>
  </w:abstractNum>
  <w:abstractNum w:abstractNumId="24">
    <w:nsid w:val="749ABB43"/>
    <w:multiLevelType w:val="hybridMultilevel"/>
    <w:lvl w:ilvl="0">
      <w:lvlJc w:val="left"/>
      <w:lvlText w:val="(%1)"/>
      <w:numFmt w:val="lowerLetter"/>
      <w:start w:val="52"/>
    </w:lvl>
  </w:abstractNum>
  <w:abstractNum w:abstractNumId="25">
    <w:nsid w:val="3DC240FB"/>
    <w:multiLevelType w:val="hybridMultilevel"/>
    <w:lvl w:ilvl="0">
      <w:lvlJc w:val="left"/>
      <w:lvlText w:val="%1"/>
      <w:numFmt w:val="lowerLetter"/>
      <w:start w:val="1"/>
    </w:lvl>
    <w:lvl w:ilvl="1">
      <w:lvlJc w:val="left"/>
      <w:lvlText w:val="(%2)"/>
      <w:numFmt w:val="lowerRoman"/>
      <w:start w:val="1"/>
    </w:lvl>
  </w:abstractNum>
  <w:abstractNum w:abstractNumId="26">
    <w:nsid w:val="1BA026FA"/>
    <w:multiLevelType w:val="hybridMultilevel"/>
    <w:lvl w:ilvl="0">
      <w:lvlJc w:val="left"/>
      <w:lvlText w:val="(%1)"/>
      <w:numFmt w:val="lowerLetter"/>
      <w:start w:val="2"/>
    </w:lvl>
    <w:lvl w:ilvl="1">
      <w:lvlJc w:val="left"/>
      <w:lvlText w:val="%2"/>
      <w:numFmt w:val="lowerRoman"/>
      <w:start w:val="1"/>
    </w:lvl>
  </w:abstractNum>
  <w:abstractNum w:abstractNumId="27">
    <w:nsid w:val="79A1DEAA"/>
    <w:multiLevelType w:val="hybridMultilevel"/>
    <w:lvl w:ilvl="0">
      <w:lvlJc w:val="left"/>
      <w:lvlText w:val="(%1)"/>
      <w:numFmt w:val="lowerLetter"/>
      <w:start w:val="3"/>
    </w:lvl>
  </w:abstractNum>
  <w:abstractNum w:abstractNumId="28">
    <w:nsid w:val="75C6C33A"/>
    <w:multiLevelType w:val="hybridMultilevel"/>
    <w:lvl w:ilvl="0">
      <w:lvlJc w:val="left"/>
      <w:lvlText w:val="(%1)"/>
      <w:numFmt w:val="lowerLetter"/>
      <w:start w:val="4"/>
    </w:lvl>
  </w:abstractNum>
  <w:abstractNum w:abstractNumId="29">
    <w:nsid w:val="12E685FB"/>
    <w:multiLevelType w:val="hybridMultilevel"/>
    <w:lvl w:ilvl="0">
      <w:lvlJc w:val="left"/>
      <w:lvlText w:val="(%1)"/>
      <w:numFmt w:val="lowerLetter"/>
      <w:start w:val="8"/>
    </w:lvl>
    <w:lvl w:ilvl="1">
      <w:lvlJc w:val="left"/>
      <w:lvlText w:val="(%2)"/>
      <w:numFmt w:val="lowerLetter"/>
      <w:start w:val="9"/>
    </w:lvl>
  </w:abstractNum>
  <w:abstractNum w:abstractNumId="30">
    <w:nsid w:val="70C6A529"/>
    <w:multiLevelType w:val="hybridMultilevel"/>
    <w:lvl w:ilvl="0">
      <w:lvlJc w:val="left"/>
      <w:lvlText w:val="(%1)"/>
      <w:numFmt w:val="lowerLetter"/>
      <w:start w:val="11"/>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6"/>
    </w:lvl>
  </w:abstractNum>
  <w:abstractNum w:abstractNumId="33">
    <w:nsid w:val="4F4EF005"/>
    <w:multiLevelType w:val="hybridMultilevel"/>
    <w:lvl w:ilvl="0">
      <w:lvlJc w:val="left"/>
      <w:lvlText w:val="%1"/>
      <w:numFmt w:val="lowerRoman"/>
      <w:start w:val="1"/>
    </w:lvl>
    <w:lvl w:ilvl="1">
      <w:lvlJc w:val="left"/>
      <w:lvlText w:val="(%2)"/>
      <w:numFmt w:val="lowerRoman"/>
      <w:start w:val="1"/>
    </w:lvl>
  </w:abstractNum>
  <w:abstractNum w:abstractNumId="34">
    <w:nsid w:val="23F9C13C"/>
    <w:multiLevelType w:val="hybridMultilevel"/>
    <w:lvl w:ilvl="0">
      <w:lvlJc w:val="left"/>
      <w:lvlText w:val="(%1)"/>
      <w:numFmt w:val="lowerRoman"/>
      <w:start w:val="10"/>
    </w:lvl>
    <w:lvl w:ilvl="1">
      <w:lvlJc w:val="left"/>
      <w:lvlText w:val="%2"/>
      <w:numFmt w:val="lowerRoman"/>
      <w:start w:val="1"/>
    </w:lvl>
  </w:abstractNum>
  <w:abstractNum w:abstractNumId="35">
    <w:nsid w:val="649BB77C"/>
    <w:multiLevelType w:val="hybridMultilevel"/>
    <w:lvl w:ilvl="0">
      <w:lvlJc w:val="left"/>
      <w:lvlText w:val="%1"/>
      <w:numFmt w:val="lowerLetter"/>
      <w:start w:val="1"/>
    </w:lvl>
    <w:lvl w:ilvl="1">
      <w:lvlJc w:val="left"/>
      <w:lvlText w:val="(%2)"/>
      <w:numFmt w:val="lowerLetter"/>
      <w:start w:val="10"/>
    </w:lvl>
  </w:abstractNum>
  <w:abstractNum w:abstractNumId="36">
    <w:nsid w:val="275AC794"/>
    <w:multiLevelType w:val="hybridMultilevel"/>
    <w:lvl w:ilvl="0">
      <w:lvlJc w:val="left"/>
      <w:lvlText w:val="(%1)"/>
      <w:numFmt w:val="lowerLetter"/>
      <w:start w:val="11"/>
    </w:lvl>
    <w:lvl w:ilvl="1">
      <w:lvlJc w:val="left"/>
      <w:lvlText w:val="(%2)"/>
      <w:numFmt w:val="lowerLetter"/>
      <w:start w:val="12"/>
    </w:lvl>
  </w:abstractNum>
  <w:abstractNum w:abstractNumId="37">
    <w:nsid w:val="39386575"/>
    <w:multiLevelType w:val="hybridMultilevel"/>
    <w:lvl w:ilvl="0">
      <w:lvlJc w:val="left"/>
      <w:lvlText w:val="(%1)"/>
      <w:numFmt w:val="lowerLetter"/>
      <w:start w:val="13"/>
    </w:lvl>
  </w:abstractNum>
  <w:abstractNum w:abstractNumId="38">
    <w:nsid w:val="1CF10FD8"/>
    <w:multiLevelType w:val="hybridMultilevel"/>
    <w:lvl w:ilvl="0">
      <w:lvlJc w:val="left"/>
      <w:lvlText w:val="(%1)"/>
      <w:numFmt w:val="lowerLetter"/>
      <w:start w:val="16"/>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lowerLetter"/>
      <w:start w:val="2"/>
    </w:lvl>
  </w:abstractNum>
  <w:abstractNum w:abstractNumId="41">
    <w:nsid w:val="47398C89"/>
    <w:multiLevelType w:val="hybridMultilevel"/>
    <w:lvl w:ilvl="0">
      <w:lvlJc w:val="left"/>
      <w:lvlText w:val="(%1)"/>
      <w:numFmt w:val="lowerLetter"/>
      <w:start w:val="3"/>
    </w:lvl>
  </w:abstractNum>
  <w:abstractNum w:abstractNumId="42">
    <w:nsid w:val="354FE9F9"/>
    <w:multiLevelType w:val="hybridMultilevel"/>
    <w:lvl w:ilvl="0">
      <w:lvlJc w:val="left"/>
      <w:lvlText w:val="(%1)"/>
      <w:numFmt w:val="lowerLetter"/>
      <w:start w:val="4"/>
    </w:lvl>
  </w:abstractNum>
  <w:abstractNum w:abstractNumId="43">
    <w:nsid w:val="15B5AF5C"/>
    <w:multiLevelType w:val="hybridMultilevel"/>
    <w:lvl w:ilvl="0">
      <w:lvlJc w:val="left"/>
      <w:lvlText w:val="(%1)"/>
      <w:numFmt w:val="lowerLetter"/>
      <w:start w:val="6"/>
    </w:lvl>
  </w:abstractNum>
  <w:abstractNum w:abstractNumId="44">
    <w:nsid w:val="741226BB"/>
    <w:multiLevelType w:val="hybridMultilevel"/>
    <w:lvl w:ilvl="0">
      <w:lvlJc w:val="left"/>
      <w:lvlText w:val="%1"/>
      <w:numFmt w:val="lowerLetter"/>
      <w:start w:val="1"/>
    </w:lvl>
    <w:lvl w:ilvl="1">
      <w:lvlJc w:val="left"/>
      <w:lvlText w:val="(%2)"/>
      <w:numFmt w:val="lowerLetter"/>
      <w:start w:val="2"/>
    </w:lvl>
  </w:abstractNum>
  <w:abstractNum w:abstractNumId="45">
    <w:nsid w:val="D34B6A8"/>
    <w:multiLevelType w:val="hybridMultilevel"/>
    <w:lvl w:ilvl="0">
      <w:lvlJc w:val="left"/>
      <w:lvlText w:val="(%1)"/>
      <w:numFmt w:val="lowerLetter"/>
      <w:start w:val="9"/>
    </w:lvl>
    <w:lvl w:ilvl="1">
      <w:lvlJc w:val="left"/>
      <w:lvlText w:val="%2"/>
      <w:numFmt w:val="lowerLetter"/>
      <w:start w:val="1"/>
    </w:lvl>
  </w:abstractNum>
  <w:abstractNum w:abstractNumId="46">
    <w:nsid w:val="10233C99"/>
    <w:multiLevelType w:val="hybridMultilevel"/>
    <w:lvl w:ilvl="0">
      <w:lvlJc w:val="left"/>
      <w:lvlText w:val="(%1)"/>
      <w:numFmt w:val="lowerLetter"/>
      <w:start w:val="2"/>
    </w:lvl>
  </w:abstractNum>
  <w:abstractNum w:abstractNumId="47">
    <w:nsid w:val="3F6AB60F"/>
    <w:multiLevelType w:val="hybridMultilevel"/>
    <w:lvl w:ilvl="0">
      <w:lvlJc w:val="left"/>
      <w:lvlText w:val="(%1)"/>
      <w:numFmt w:val="lowerLetter"/>
      <w:start w:val="2"/>
    </w:lvl>
  </w:abstractNum>
  <w:abstractNum w:abstractNumId="48">
    <w:nsid w:val="61574095"/>
    <w:multiLevelType w:val="hybridMultilevel"/>
    <w:lvl w:ilvl="0">
      <w:lvlJc w:val="left"/>
      <w:lvlText w:val="%1."/>
      <w:numFmt w:val="decimal"/>
      <w:start w:val="2"/>
    </w:lvl>
  </w:abstractNum>
  <w:abstractNum w:abstractNumId="49">
    <w:nsid w:val="7E0C57B1"/>
    <w:multiLevelType w:val="hybridMultilevel"/>
    <w:lvl w:ilvl="0">
      <w:lvlJc w:val="left"/>
      <w:lvlText w:val="(%1)"/>
      <w:numFmt w:val="lowerRoman"/>
      <w:start w:val="2"/>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2"/>
    </w:lvl>
    <w:lvl w:ilvl="1">
      <w:lvlJc w:val="left"/>
      <w:lvlText w:val="(%2)"/>
      <w:numFmt w:val="lowerRoman"/>
      <w:start w:val="1"/>
    </w:lvl>
  </w:abstractNum>
  <w:abstractNum w:abstractNumId="53">
    <w:nsid w:val="5FF87E05"/>
    <w:multiLevelType w:val="hybridMultilevel"/>
    <w:lvl w:ilvl="0">
      <w:lvlJc w:val="left"/>
      <w:lvlText w:val="%1"/>
      <w:numFmt w:val="lowerLetter"/>
      <w:start w:val="1"/>
    </w:lvl>
    <w:lvl w:ilvl="1">
      <w:lvlJc w:val="left"/>
      <w:lvlText w:val="(%2)"/>
      <w:numFmt w:val="lowerRoman"/>
      <w:start w:val="4"/>
    </w:lvl>
  </w:abstractNum>
  <w:abstractNum w:abstractNumId="54">
    <w:nsid w:val="2F305DEF"/>
    <w:multiLevelType w:val="hybridMultilevel"/>
    <w:lvl w:ilvl="0">
      <w:lvlJc w:val="left"/>
      <w:lvlText w:val="(%1)"/>
      <w:numFmt w:val="lowerLetter"/>
      <w:start w:val="3"/>
    </w:lvl>
    <w:lvl w:ilvl="1">
      <w:lvlJc w:val="left"/>
      <w:lvlText w:val="%2"/>
      <w:numFmt w:val="lowerRoman"/>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3"/>
    </w:lvl>
  </w:abstractNum>
  <w:abstractNum w:abstractNumId="57">
    <w:nsid w:val="4AD084E9"/>
    <w:multiLevelType w:val="hybridMultilevel"/>
    <w:lvl w:ilvl="0">
      <w:lvlJc w:val="left"/>
      <w:lvlText w:val="(%1)"/>
      <w:numFmt w:val="lowerLetter"/>
      <w:start w:val="5"/>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5"/>
    </w:lvl>
    <w:lvl w:ilvl="1">
      <w:lvlJc w:val="left"/>
      <w:lvlText w:val="(%2)"/>
      <w:numFmt w:val="lowerRoman"/>
      <w:start w:val="1"/>
    </w:lvl>
  </w:abstractNum>
  <w:abstractNum w:abstractNumId="61">
    <w:nsid w:val="100F8FCA"/>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2"/>
    </w:lvl>
  </w:abstractNum>
  <w:abstractNum w:abstractNumId="62">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63">
    <w:nsid w:val="15014ACB"/>
    <w:multiLevelType w:val="hybridMultilevel"/>
    <w:lvl w:ilvl="0">
      <w:lvlJc w:val="left"/>
      <w:lvlText w:val="(%1)"/>
      <w:numFmt w:val="lowerRoman"/>
      <w:start w:val="2"/>
    </w:lvl>
  </w:abstractNum>
  <w:abstractNum w:abstractNumId="64">
    <w:nsid w:val="5F5E7FD0"/>
    <w:multiLevelType w:val="hybridMultilevel"/>
    <w:lvl w:ilvl="0">
      <w:lvlJc w:val="left"/>
      <w:lvlText w:val="(%1)"/>
      <w:numFmt w:val="lowerLetter"/>
      <w:start w:val="8"/>
    </w:lvl>
  </w:abstractNum>
  <w:abstractNum w:abstractNumId="65">
    <w:nsid w:val="98A3148"/>
    <w:multiLevelType w:val="hybridMultilevel"/>
    <w:lvl w:ilvl="0">
      <w:lvlJc w:val="left"/>
      <w:lvlText w:val="(%1)"/>
      <w:numFmt w:val="lowerLetter"/>
      <w:start w:val="13"/>
    </w:lvl>
  </w:abstractNum>
  <w:abstractNum w:abstractNumId="66">
    <w:nsid w:val="799D0247"/>
    <w:multiLevelType w:val="hybridMultilevel"/>
    <w:lvl w:ilvl="0">
      <w:lvlJc w:val="left"/>
      <w:lvlText w:val="(%1)"/>
      <w:numFmt w:val="decimal"/>
      <w:start w:val="2"/>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5"/>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upperLetter"/>
      <w:start w:val="1"/>
    </w:lvl>
  </w:abstractNum>
  <w:abstractNum w:abstractNumId="71">
    <w:nsid w:val="661E3F1E"/>
    <w:multiLevelType w:val="hybridMultilevel"/>
    <w:lvl w:ilvl="0">
      <w:lvlJc w:val="left"/>
      <w:lvlText w:val="%1."/>
      <w:numFmt w:val="upperLetter"/>
      <w:start w:val="3"/>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upperLetter"/>
      <w:start w:val="1"/>
    </w:lvl>
    <w:lvl w:ilvl="1">
      <w:lvlJc w:val="left"/>
      <w:lvlText w:val="%2."/>
      <w:numFmt w:val="lowerLetter"/>
      <w:start w:val="2"/>
    </w:lvl>
  </w:abstractNum>
  <w:abstractNum w:abstractNumId="74">
    <w:nsid w:val="7BD3EE7B"/>
    <w:multiLevelType w:val="hybridMultilevel"/>
    <w:lvl w:ilvl="0">
      <w:lvlJc w:val="left"/>
      <w:lvlText w:val="%1."/>
      <w:numFmt w:val="upp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2023-12-08T15:59:02Z</dcterms:created>
  <dcterms:modified xsi:type="dcterms:W3CDTF">2023-12-08T15:59:02Z</dcterms:modified>
</cp:coreProperties>
</file>