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39370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50800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49" w:lineRule="exact"/>
        <w:rPr>
          <w:sz w:val="24"/>
          <w:szCs w:val="24"/>
          <w:color w:val="auto"/>
        </w:rPr>
      </w:pPr>
    </w:p>
    <w:p>
      <w:pPr>
        <w:ind w:left="3920" w:right="2900" w:hanging="3899"/>
        <w:spacing w:after="0" w:line="363" w:lineRule="auto"/>
        <w:tabs>
          <w:tab w:leader="none" w:pos="35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54" w:lineRule="exact"/>
        <w:rPr>
          <w:sz w:val="24"/>
          <w:szCs w:val="24"/>
          <w:color w:val="auto"/>
        </w:rPr>
      </w:pPr>
    </w:p>
    <w:p>
      <w:pPr>
        <w:ind w:left="360" w:hanging="339"/>
        <w:spacing w:after="0"/>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5" w:lineRule="exact"/>
        <w:rPr>
          <w:sz w:val="24"/>
          <w:szCs w:val="24"/>
          <w:color w:val="auto"/>
        </w:rPr>
      </w:pPr>
    </w:p>
    <w:p>
      <w:pPr>
        <w:ind w:left="3300"/>
        <w:spacing w:after="0"/>
        <w:tabs>
          <w:tab w:leader="none" w:pos="6660" w:val="left"/>
          <w:tab w:leader="none" w:pos="7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3556000</wp:posOffset>
            </wp:positionH>
            <wp:positionV relativeFrom="paragraph">
              <wp:posOffset>-8890</wp:posOffset>
            </wp:positionV>
            <wp:extent cx="143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89" w:lineRule="exact"/>
        <w:rPr>
          <w:sz w:val="24"/>
          <w:szCs w:val="24"/>
          <w:color w:val="auto"/>
        </w:rPr>
      </w:pPr>
    </w:p>
    <w:p>
      <w:pPr>
        <w:ind w:left="360" w:hanging="339"/>
        <w:spacing w:after="0"/>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Commission file number: 001-40010</w:t>
      </w:r>
    </w:p>
    <w:p>
      <w:pPr>
        <w:jc w:val="center"/>
        <w:ind w:right="-39"/>
        <w:spacing w:after="0" w:line="217" w:lineRule="auto"/>
        <w:rPr>
          <w:sz w:val="20"/>
          <w:szCs w:val="20"/>
          <w:color w:val="auto"/>
        </w:rPr>
      </w:pPr>
      <w:r>
        <w:rPr>
          <w:rFonts w:ascii="Times New Roman" w:cs="Times New Roman" w:eastAsia="Times New Roman" w:hAnsi="Times New Roman"/>
          <w:sz w:val="4"/>
          <w:szCs w:val="4"/>
          <w:color w:val="auto"/>
        </w:rPr>
        <w:t>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Pharvaris N.V.</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31115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Emmy Noetherweg 2</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2333 BK Leiden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+31 (0)71 2036 410</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Berndt Modig,</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Chief Executive Officer</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 +31 (0)71 2036 410</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Emmy Noetherweg 2, 2333 BK Leiden, The Netherlands</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60960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Copies to:</w:t>
      </w:r>
    </w:p>
    <w:p>
      <w:pPr>
        <w:spacing w:after="0" w:line="38"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Sophia Hudson, P.C.</w:t>
      </w:r>
    </w:p>
    <w:p>
      <w:pPr>
        <w:spacing w:after="0" w:line="40"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Kirkland &amp; Ellis LLP</w:t>
      </w:r>
    </w:p>
    <w:p>
      <w:pPr>
        <w:spacing w:after="0" w:line="40"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601 Lexington Avenue</w:t>
      </w:r>
    </w:p>
    <w:p>
      <w:pPr>
        <w:spacing w:after="0" w:line="40"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New York, NY 10022 Phone: (212) 446-4750</w:t>
      </w:r>
    </w:p>
    <w:p>
      <w:pPr>
        <w:spacing w:after="0" w:line="40"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Fax: (212) 446-4900</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00" w:type="dxa"/>
            <w:vAlign w:val="bottom"/>
          </w:tcPr>
          <w:p>
            <w:pPr>
              <w:ind w:left="1600"/>
              <w:spacing w:after="0"/>
              <w:rPr>
                <w:sz w:val="20"/>
                <w:szCs w:val="20"/>
                <w:color w:val="auto"/>
              </w:rPr>
            </w:pPr>
            <w:r>
              <w:rPr>
                <w:rFonts w:ascii="Arial" w:cs="Arial" w:eastAsia="Arial" w:hAnsi="Arial"/>
                <w:sz w:val="11"/>
                <w:szCs w:val="11"/>
                <w:b w:val="1"/>
                <w:bCs w:val="1"/>
                <w:color w:val="auto"/>
              </w:rPr>
              <w:t>Trading</w:t>
            </w:r>
          </w:p>
        </w:tc>
        <w:tc>
          <w:tcPr>
            <w:tcW w:w="100" w:type="dxa"/>
            <w:vAlign w:val="bottom"/>
          </w:tcPr>
          <w:p>
            <w:pPr>
              <w:spacing w:after="0"/>
              <w:rPr>
                <w:sz w:val="10"/>
                <w:szCs w:val="10"/>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7"/>
              </w:rPr>
              <w:t>Name of each exchange</w:t>
            </w:r>
          </w:p>
        </w:tc>
      </w:tr>
      <w:tr>
        <w:trPr>
          <w:trHeight w:val="14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14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Symbol(s)</w:t>
            </w:r>
          </w:p>
        </w:tc>
        <w:tc>
          <w:tcPr>
            <w:tcW w:w="100" w:type="dxa"/>
            <w:vAlign w:val="bottom"/>
          </w:tcPr>
          <w:p>
            <w:pPr>
              <w:spacing w:after="0"/>
              <w:rPr>
                <w:sz w:val="12"/>
                <w:szCs w:val="12"/>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on which registered</w:t>
            </w:r>
          </w:p>
        </w:tc>
      </w:tr>
      <w:tr>
        <w:trPr>
          <w:trHeight w:val="20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Ordinary shares, par value €0.12 per share</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PHVS</w:t>
            </w:r>
          </w:p>
        </w:tc>
        <w:tc>
          <w:tcPr>
            <w:tcW w:w="1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35560</wp:posOffset>
            </wp:positionV>
            <wp:extent cx="143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2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outstanding common shares as of December 31, 2022 was 33,816,459.</w:t>
      </w:r>
    </w:p>
    <w:p>
      <w:pPr>
        <w:spacing w:after="0" w:line="19"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7" w:lineRule="exact"/>
        <w:rPr>
          <w:sz w:val="24"/>
          <w:szCs w:val="24"/>
          <w:color w:val="auto"/>
        </w:rPr>
      </w:pPr>
    </w:p>
    <w:p>
      <w:pPr>
        <w:ind w:right="200"/>
        <w:spacing w:after="0" w:line="196" w:lineRule="exact"/>
        <w:rPr>
          <w:sz w:val="20"/>
          <w:szCs w:val="20"/>
          <w:color w:val="auto"/>
        </w:rPr>
      </w:pPr>
      <w:r>
        <w:rPr>
          <w:rFonts w:ascii="Arial" w:cs="Arial" w:eastAsia="Arial" w:hAnsi="Arial"/>
          <w:sz w:val="11"/>
          <w:szCs w:val="11"/>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Note </w:t>
      </w:r>
      <w:r>
        <w:rPr>
          <w:rFonts w:ascii="Arial" w:cs="Arial" w:eastAsia="Arial" w:hAnsi="Arial"/>
          <w:sz w:val="11"/>
          <w:szCs w:val="11"/>
          <w:color w:val="auto"/>
        </w:rPr>
        <w:t>– Checking the box above will not relieve any registrant required to file reports pursuant to Section 13 or 15(d) of the Securities Exchange Act of 1934 from their obligations under those Sections.</w:t>
      </w:r>
    </w:p>
    <w:p>
      <w:pPr>
        <w:spacing w:after="0" w:line="31"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has submitted electronically, if any, every Interactive Data File required to be submitted pursuant to Rule 405 of Regulation S-T (§232.405 of this chapter)</w:t>
      </w:r>
    </w:p>
    <w:p>
      <w:pPr>
        <w:spacing w:after="0" w:line="3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See definition of “large accelerated filer, “accelerated filer,” and “emerging growth company” in Rule 12b-2 of the Exchange Act.</w:t>
      </w:r>
    </w:p>
    <w:p>
      <w:pPr>
        <w:spacing w:after="0" w:line="33" w:lineRule="exact"/>
        <w:rPr>
          <w:sz w:val="24"/>
          <w:szCs w:val="24"/>
          <w:color w:val="auto"/>
        </w:rPr>
      </w:pPr>
    </w:p>
    <w:p>
      <w:pPr>
        <w:ind w:left="20"/>
        <w:spacing w:after="0" w:line="175" w:lineRule="exact"/>
        <w:tabs>
          <w:tab w:leader="none" w:pos="1960" w:val="left"/>
          <w:tab w:leader="none" w:pos="4660" w:val="left"/>
          <w:tab w:leader="none" w:pos="6040" w:val="left"/>
          <w:tab w:leader="none" w:pos="8820" w:val="left"/>
          <w:tab w:leader="none" w:pos="1106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p>
    <w:p>
      <w:pPr>
        <w:spacing w:after="0" w:line="20" w:lineRule="exact"/>
        <w:rPr>
          <w:sz w:val="24"/>
          <w:szCs w:val="24"/>
          <w:color w:val="auto"/>
        </w:rPr>
      </w:pPr>
    </w:p>
    <w:p>
      <w:pPr>
        <w:ind w:left="8840"/>
        <w:spacing w:after="0" w:line="175" w:lineRule="exact"/>
        <w:tabs>
          <w:tab w:leader="none" w:pos="1106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right="340"/>
        <w:spacing w:after="0" w:line="168"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6" w:lineRule="exact"/>
        <w:rPr>
          <w:sz w:val="24"/>
          <w:szCs w:val="24"/>
          <w:color w:val="auto"/>
        </w:rPr>
      </w:pPr>
    </w:p>
    <w:p>
      <w:pPr>
        <w:ind w:right="80" w:firstLine="7"/>
        <w:spacing w:after="0" w:line="156" w:lineRule="exact"/>
        <w:tabs>
          <w:tab w:leader="none" w:pos="435"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rFonts w:ascii="Times New Roman" w:cs="Times New Roman" w:eastAsia="Times New Roman" w:hAnsi="Times New Roman"/>
          <w:sz w:val="13"/>
          <w:szCs w:val="13"/>
          <w:color w:val="auto"/>
        </w:rPr>
      </w:pPr>
    </w:p>
    <w:p>
      <w:pPr>
        <w:ind w:right="60"/>
        <w:spacing w:after="0" w:line="148"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ind w:right="180"/>
        <w:spacing w:after="0" w:line="156"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3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33" w:lineRule="exact"/>
        <w:rPr>
          <w:sz w:val="24"/>
          <w:szCs w:val="24"/>
          <w:color w:val="auto"/>
        </w:rPr>
      </w:pPr>
    </w:p>
    <w:p>
      <w:pPr>
        <w:ind w:left="1060" w:right="20" w:hanging="3441"/>
        <w:spacing w:after="0" w:line="175" w:lineRule="exact"/>
        <w:tabs>
          <w:tab w:leader="none" w:pos="1040" w:val="left"/>
        </w:tabs>
        <w:rPr>
          <w:sz w:val="20"/>
          <w:szCs w:val="20"/>
          <w:color w:val="auto"/>
        </w:rPr>
      </w:pPr>
      <w:r>
        <w:rPr>
          <w:rFonts w:ascii="Arial" w:cs="Arial" w:eastAsia="Arial" w:hAnsi="Arial"/>
          <w:sz w:val="13"/>
          <w:szCs w:val="13"/>
          <w:color w:val="auto"/>
        </w:rPr>
        <w:t>U.S. GAAP</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International Financial Reporting Standards as issued by the International</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Other</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Accounting Standards Board</w:t>
      </w:r>
    </w:p>
    <w:p>
      <w:pPr>
        <w:spacing w:after="0" w:line="161" w:lineRule="exact"/>
        <w:rPr>
          <w:sz w:val="24"/>
          <w:szCs w:val="24"/>
          <w:color w:val="auto"/>
        </w:rPr>
      </w:pPr>
    </w:p>
    <w:p>
      <w:pPr>
        <w:ind w:right="1420"/>
        <w:spacing w:after="0" w:line="191"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17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18 If this is an annual report, 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147955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212090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3" w:right="359" w:bottom="1058"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80" w:type="dxa"/>
            <w:vAlign w:val="bottom"/>
            <w:gridSpan w:val="7"/>
          </w:tcPr>
          <w:p>
            <w:pPr>
              <w:jc w:val="center"/>
              <w:ind w:right="4040"/>
              <w:spacing w:after="0"/>
              <w:rPr>
                <w:sz w:val="20"/>
                <w:szCs w:val="20"/>
                <w:color w:val="auto"/>
              </w:rPr>
            </w:pPr>
            <w:r>
              <w:rPr>
                <w:rFonts w:ascii="Arial" w:cs="Arial" w:eastAsia="Arial" w:hAnsi="Arial"/>
                <w:sz w:val="16"/>
                <w:szCs w:val="16"/>
                <w:b w:val="1"/>
                <w:bCs w:val="1"/>
                <w:color w:val="auto"/>
                <w:w w:val="99"/>
              </w:rPr>
              <w:t>Pharvaris N.V.</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10"/>
          </w:tcPr>
          <w:p>
            <w:pPr>
              <w:jc w:val="center"/>
              <w:ind w:right="3380"/>
              <w:spacing w:after="0"/>
              <w:rPr>
                <w:sz w:val="20"/>
                <w:szCs w:val="20"/>
                <w:color w:val="auto"/>
              </w:rPr>
            </w:pPr>
            <w:r>
              <w:rPr>
                <w:rFonts w:ascii="Arial" w:cs="Arial" w:eastAsia="Arial" w:hAnsi="Arial"/>
                <w:sz w:val="16"/>
                <w:szCs w:val="16"/>
                <w:b w:val="1"/>
                <w:bCs w:val="1"/>
                <w:color w:val="auto"/>
                <w:w w:val="99"/>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0260" w:type="dxa"/>
            <w:vAlign w:val="bottom"/>
            <w:gridSpan w:val="40"/>
            <w:vMerge w:val="restart"/>
          </w:tcPr>
          <w:p>
            <w:pPr>
              <w:spacing w:after="0"/>
              <w:rPr>
                <w:sz w:val="20"/>
                <w:szCs w:val="20"/>
                <w:color w:val="auto"/>
              </w:rPr>
            </w:pPr>
            <w:r>
              <w:rPr>
                <w:rFonts w:ascii="Arial" w:cs="Arial" w:eastAsia="Arial" w:hAnsi="Arial"/>
                <w:sz w:val="16"/>
                <w:szCs w:val="16"/>
                <w:color w:val="0000FF"/>
              </w:rPr>
              <w:t>CAUTIONARY STATEMENT REGARDING FORWARD-LOOKING STATEMENTS</w:t>
            </w: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4"/>
        </w:trPr>
        <w:tc>
          <w:tcPr>
            <w:tcW w:w="10260" w:type="dxa"/>
            <w:vAlign w:val="bottom"/>
            <w:gridSpan w:val="40"/>
            <w:vMerge w:val="continue"/>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ENFORCEABILITY OF JUDGMENTS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gridSpan w:val="3"/>
          </w:tcPr>
          <w:p>
            <w:pPr>
              <w:spacing w:after="0" w:line="181" w:lineRule="exact"/>
              <w:rPr>
                <w:sz w:val="20"/>
                <w:szCs w:val="20"/>
                <w:color w:val="auto"/>
              </w:rPr>
            </w:pPr>
            <w:r>
              <w:rPr>
                <w:rFonts w:ascii="Arial" w:cs="Arial" w:eastAsia="Arial" w:hAnsi="Arial"/>
                <w:sz w:val="16"/>
                <w:szCs w:val="16"/>
                <w:color w:val="0000FF"/>
              </w:rPr>
              <w:t>PART I</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1. IDENTITY OF DIRECTORS, SENIOR MANAGEMENT AND ADVISERS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4620" w:type="dxa"/>
            <w:vAlign w:val="bottom"/>
            <w:tcBorders>
              <w:top w:val="single" w:sz="8" w:color="0000FF"/>
            </w:tcBorders>
            <w:gridSpan w:val="33"/>
          </w:tcPr>
          <w:p>
            <w:pPr>
              <w:spacing w:after="0" w:line="181" w:lineRule="exact"/>
              <w:rPr>
                <w:sz w:val="20"/>
                <w:szCs w:val="20"/>
                <w:color w:val="auto"/>
              </w:rPr>
            </w:pPr>
            <w:r>
              <w:rPr>
                <w:rFonts w:ascii="Arial" w:cs="Arial" w:eastAsia="Arial" w:hAnsi="Arial"/>
                <w:sz w:val="16"/>
                <w:szCs w:val="16"/>
                <w:color w:val="0000FF"/>
              </w:rPr>
              <w:t>Directors and senior management</w:t>
            </w:r>
          </w:p>
        </w:tc>
        <w:tc>
          <w:tcPr>
            <w:tcW w:w="4520" w:type="dxa"/>
            <w:vAlign w:val="bottom"/>
            <w:gridSpan w:val="4"/>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Advisers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Auditors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2. OFFER STATISTICS AND EXPECTED TIMETABLE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200" w:type="dxa"/>
            <w:vAlign w:val="bottom"/>
            <w:tcBorders>
              <w:top w:val="single" w:sz="8" w:color="0000FF"/>
            </w:tcBorders>
            <w:gridSpan w:val="27"/>
          </w:tcPr>
          <w:p>
            <w:pPr>
              <w:spacing w:after="0" w:line="181" w:lineRule="exact"/>
              <w:rPr>
                <w:sz w:val="20"/>
                <w:szCs w:val="20"/>
                <w:color w:val="auto"/>
              </w:rPr>
            </w:pPr>
            <w:r>
              <w:rPr>
                <w:rFonts w:ascii="Arial" w:cs="Arial" w:eastAsia="Arial" w:hAnsi="Arial"/>
                <w:sz w:val="16"/>
                <w:szCs w:val="16"/>
                <w:color w:val="0000FF"/>
              </w:rPr>
              <w:t>Offer statistics</w:t>
            </w:r>
          </w:p>
        </w:tc>
        <w:tc>
          <w:tcPr>
            <w:tcW w:w="5940" w:type="dxa"/>
            <w:vAlign w:val="bottom"/>
            <w:gridSpan w:val="10"/>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Method and expected timetable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3. KEY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1020" w:type="dxa"/>
            <w:vAlign w:val="bottom"/>
            <w:tcBorders>
              <w:top w:val="single" w:sz="8" w:color="0000FF"/>
            </w:tcBorders>
            <w:gridSpan w:val="6"/>
          </w:tcPr>
          <w:p>
            <w:pPr>
              <w:spacing w:after="0" w:line="181" w:lineRule="exact"/>
              <w:rPr>
                <w:sz w:val="20"/>
                <w:szCs w:val="20"/>
                <w:color w:val="auto"/>
              </w:rPr>
            </w:pPr>
            <w:r>
              <w:rPr>
                <w:rFonts w:ascii="Arial" w:cs="Arial" w:eastAsia="Arial" w:hAnsi="Arial"/>
                <w:sz w:val="16"/>
                <w:szCs w:val="16"/>
                <w:color w:val="0000FF"/>
              </w:rPr>
              <w:t>Reserved</w:t>
            </w:r>
          </w:p>
        </w:tc>
        <w:tc>
          <w:tcPr>
            <w:tcW w:w="8120" w:type="dxa"/>
            <w:vAlign w:val="bottom"/>
            <w:gridSpan w:val="31"/>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Capitalization and indebtedness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Reasons for the offer and use of proceeds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Risk factors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4. INFORMATION ON THE COMPANY</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History and development of the company</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Business Overview</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Organizational structure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Property, plants and equipment</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4A. UNRESOLVED STAFF COMMENTS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5. OPERATING AND FINANCIAL REVIEW AND PROSPECTS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800" w:type="dxa"/>
            <w:vAlign w:val="bottom"/>
            <w:tcBorders>
              <w:top w:val="single" w:sz="8" w:color="0000FF"/>
            </w:tcBorders>
            <w:gridSpan w:val="29"/>
          </w:tcPr>
          <w:p>
            <w:pPr>
              <w:spacing w:after="0" w:line="181" w:lineRule="exact"/>
              <w:rPr>
                <w:sz w:val="20"/>
                <w:szCs w:val="20"/>
                <w:color w:val="auto"/>
              </w:rPr>
            </w:pPr>
            <w:r>
              <w:rPr>
                <w:rFonts w:ascii="Arial" w:cs="Arial" w:eastAsia="Arial" w:hAnsi="Arial"/>
                <w:sz w:val="16"/>
                <w:szCs w:val="16"/>
                <w:color w:val="0000FF"/>
              </w:rPr>
              <w:t>Operating results</w:t>
            </w:r>
          </w:p>
        </w:tc>
        <w:tc>
          <w:tcPr>
            <w:tcW w:w="5340" w:type="dxa"/>
            <w:vAlign w:val="bottom"/>
            <w:gridSpan w:val="8"/>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Liquidity and capital resources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Research and development, patents and licenses, etc.</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Trend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Critical accounting estimates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6. DIRECTORS, SENIOR MANAGEMENT AND EMPLOYEES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760" w:type="dxa"/>
            <w:vAlign w:val="bottom"/>
            <w:tcBorders>
              <w:top w:val="single" w:sz="8" w:color="0000FF"/>
            </w:tcBorders>
            <w:gridSpan w:val="28"/>
          </w:tcPr>
          <w:p>
            <w:pPr>
              <w:spacing w:after="0" w:line="181" w:lineRule="exact"/>
              <w:rPr>
                <w:sz w:val="20"/>
                <w:szCs w:val="20"/>
                <w:color w:val="auto"/>
              </w:rPr>
            </w:pPr>
            <w:r>
              <w:rPr>
                <w:rFonts w:ascii="Arial" w:cs="Arial" w:eastAsia="Arial" w:hAnsi="Arial"/>
                <w:sz w:val="16"/>
                <w:szCs w:val="16"/>
                <w:color w:val="0000FF"/>
              </w:rPr>
              <w:t>Directors and senior management</w:t>
            </w:r>
          </w:p>
        </w:tc>
        <w:tc>
          <w:tcPr>
            <w:tcW w:w="5380" w:type="dxa"/>
            <w:vAlign w:val="bottom"/>
            <w:gridSpan w:val="9"/>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Compensation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Board practices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Employees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Share ownership</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Disclosure of a registrant’s action to recover erroneously awarded compensation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7. MAJOR SHAREHOLDERS AND RELATED PARTY TRANSACTIONS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4460" w:type="dxa"/>
            <w:vAlign w:val="bottom"/>
            <w:tcBorders>
              <w:top w:val="single" w:sz="8" w:color="0000FF"/>
            </w:tcBorders>
            <w:gridSpan w:val="32"/>
          </w:tcPr>
          <w:p>
            <w:pPr>
              <w:spacing w:after="0" w:line="181" w:lineRule="exact"/>
              <w:rPr>
                <w:sz w:val="20"/>
                <w:szCs w:val="20"/>
                <w:color w:val="auto"/>
              </w:rPr>
            </w:pPr>
            <w:r>
              <w:rPr>
                <w:rFonts w:ascii="Arial" w:cs="Arial" w:eastAsia="Arial" w:hAnsi="Arial"/>
                <w:sz w:val="16"/>
                <w:szCs w:val="16"/>
                <w:color w:val="0000FF"/>
              </w:rPr>
              <w:t>Major shareholders</w:t>
            </w:r>
          </w:p>
        </w:tc>
        <w:tc>
          <w:tcPr>
            <w:tcW w:w="4680" w:type="dxa"/>
            <w:vAlign w:val="bottom"/>
            <w:gridSpan w:val="5"/>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Related party transactions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Interests of Experts and Counsel</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8. FINANCIAL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Consolidated statements and other financial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1420" w:type="dxa"/>
            <w:vAlign w:val="bottom"/>
            <w:tcBorders>
              <w:top w:val="single" w:sz="8" w:color="0000FF"/>
              <w:bottom w:val="single" w:sz="8" w:color="0000FF"/>
            </w:tcBorders>
            <w:gridSpan w:val="12"/>
          </w:tcPr>
          <w:p>
            <w:pPr>
              <w:ind w:left="20"/>
              <w:spacing w:after="0" w:line="181" w:lineRule="exact"/>
              <w:rPr>
                <w:sz w:val="20"/>
                <w:szCs w:val="20"/>
                <w:color w:val="auto"/>
              </w:rPr>
            </w:pPr>
            <w:r>
              <w:rPr>
                <w:rFonts w:ascii="Arial" w:cs="Arial" w:eastAsia="Arial" w:hAnsi="Arial"/>
                <w:sz w:val="16"/>
                <w:szCs w:val="16"/>
                <w:color w:val="0000FF"/>
                <w:w w:val="99"/>
              </w:rPr>
              <w:t>Significant changes</w:t>
            </w:r>
          </w:p>
        </w:tc>
        <w:tc>
          <w:tcPr>
            <w:tcW w:w="2540" w:type="dxa"/>
            <w:vAlign w:val="bottom"/>
            <w:tcBorders>
              <w:top w:val="single" w:sz="8" w:color="0000FF"/>
            </w:tcBorders>
            <w:gridSpan w:val="19"/>
          </w:tcPr>
          <w:p>
            <w:pPr>
              <w:spacing w:after="0"/>
              <w:rPr>
                <w:sz w:val="15"/>
                <w:szCs w:val="15"/>
                <w:color w:val="auto"/>
              </w:rPr>
            </w:pPr>
          </w:p>
        </w:tc>
        <w:tc>
          <w:tcPr>
            <w:tcW w:w="5180" w:type="dxa"/>
            <w:vAlign w:val="bottom"/>
            <w:gridSpan w:val="6"/>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9. THE OFFER AND LISTING</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Offering and listing details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Plan of distribution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Markets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Selling shareholders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Dilution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Expenses of the issue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10. ADDITIONAL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1700" w:type="dxa"/>
            <w:vAlign w:val="bottom"/>
            <w:tcBorders>
              <w:top w:val="single" w:sz="8" w:color="0000FF"/>
            </w:tcBorders>
            <w:gridSpan w:val="16"/>
          </w:tcPr>
          <w:p>
            <w:pPr>
              <w:ind w:left="20"/>
              <w:spacing w:after="0" w:line="181" w:lineRule="exact"/>
              <w:rPr>
                <w:sz w:val="20"/>
                <w:szCs w:val="20"/>
                <w:color w:val="auto"/>
              </w:rPr>
            </w:pPr>
            <w:r>
              <w:rPr>
                <w:rFonts w:ascii="Arial" w:cs="Arial" w:eastAsia="Arial" w:hAnsi="Arial"/>
                <w:sz w:val="16"/>
                <w:szCs w:val="16"/>
                <w:color w:val="0000FF"/>
              </w:rPr>
              <w:t>Share capital</w:t>
            </w:r>
          </w:p>
        </w:tc>
        <w:tc>
          <w:tcPr>
            <w:tcW w:w="7440" w:type="dxa"/>
            <w:vAlign w:val="bottom"/>
            <w:gridSpan w:val="21"/>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Memorandum and Articles of Association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Material contracts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Exchange controls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Taxation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Dividends and paying agents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40" w:type="dxa"/>
            <w:vAlign w:val="bottom"/>
            <w:gridSpan w:val="1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G.</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Statement by experts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40" w:type="dxa"/>
            <w:vAlign w:val="bottom"/>
            <w:gridSpan w:val="1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H.</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Documents on display</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14"/>
            <w:shd w:val="clear" w:color="auto" w:fill="0000FF"/>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I.</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Subsidiary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14"/>
            <w:shd w:val="clear" w:color="auto" w:fill="0000FF"/>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J.</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Annual Report to Security Holders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3"/>
          </w:tcPr>
          <w:p>
            <w:pPr>
              <w:spacing w:after="0" w:line="20" w:lineRule="exact"/>
              <w:rPr>
                <w:sz w:val="1"/>
                <w:szCs w:val="1"/>
                <w:color w:val="auto"/>
              </w:rPr>
            </w:pPr>
          </w:p>
        </w:tc>
        <w:tc>
          <w:tcPr>
            <w:tcW w:w="2400" w:type="dxa"/>
            <w:vAlign w:val="bottom"/>
            <w:gridSpan w:val="24"/>
            <w:shd w:val="clear" w:color="auto" w:fill="0000EE"/>
          </w:tcPr>
          <w:p>
            <w:pPr>
              <w:spacing w:after="0" w:line="20" w:lineRule="exact"/>
              <w:rPr>
                <w:sz w:val="1"/>
                <w:szCs w:val="1"/>
                <w:color w:val="auto"/>
              </w:rPr>
            </w:pPr>
          </w:p>
        </w:tc>
        <w:tc>
          <w:tcPr>
            <w:tcW w:w="2720" w:type="dxa"/>
            <w:vAlign w:val="bottom"/>
            <w:tcBorders>
              <w:left w:val="single" w:sz="8" w:color="0000EE"/>
            </w:tcBorders>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11. QUANTITATIVE AND QUALITATIVE DISCLOSURES ABOUT MARKET RISK</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4"/>
        </w:trPr>
        <w:tc>
          <w:tcPr>
            <w:tcW w:w="13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9"/>
              </w:rPr>
              <w:t>Table of Contents</w:t>
            </w:r>
          </w:p>
        </w:tc>
        <w:tc>
          <w:tcPr>
            <w:tcW w:w="20" w:type="dxa"/>
            <w:vAlign w:val="bottom"/>
            <w:tcBorders>
              <w:bottom w:val="single" w:sz="8" w:color="0000EE"/>
            </w:tcBorders>
          </w:tcPr>
          <w:p>
            <w:pPr>
              <w:spacing w:after="0"/>
              <w:rPr>
                <w:sz w:val="16"/>
                <w:szCs w:val="16"/>
                <w:color w:val="auto"/>
              </w:rPr>
            </w:pPr>
          </w:p>
        </w:tc>
        <w:tc>
          <w:tcPr>
            <w:tcW w:w="8120" w:type="dxa"/>
            <w:vAlign w:val="bottom"/>
            <w:gridSpan w:val="37"/>
          </w:tcPr>
          <w:p>
            <w:pPr>
              <w:spacing w:after="0"/>
              <w:rPr>
                <w:sz w:val="16"/>
                <w:szCs w:val="16"/>
                <w:color w:val="auto"/>
              </w:rPr>
            </w:pPr>
          </w:p>
        </w:tc>
        <w:tc>
          <w:tcPr>
            <w:tcW w:w="1720" w:type="dxa"/>
            <w:vAlign w:val="bottom"/>
          </w:tcPr>
          <w:p>
            <w:pPr>
              <w:spacing w:after="0"/>
              <w:rPr>
                <w:sz w:val="16"/>
                <w:szCs w:val="16"/>
                <w:color w:val="auto"/>
              </w:rPr>
            </w:pPr>
          </w:p>
        </w:tc>
      </w:tr>
      <w:tr>
        <w:trPr>
          <w:trHeight w:val="275"/>
        </w:trPr>
        <w:tc>
          <w:tcPr>
            <w:tcW w:w="5840" w:type="dxa"/>
            <w:vAlign w:val="bottom"/>
            <w:tcBorders>
              <w:bottom w:val="single" w:sz="8" w:color="0000FF"/>
            </w:tcBorders>
            <w:gridSpan w:val="36"/>
          </w:tcPr>
          <w:p>
            <w:pPr>
              <w:ind w:left="20"/>
              <w:spacing w:after="0"/>
              <w:rPr>
                <w:sz w:val="20"/>
                <w:szCs w:val="20"/>
                <w:color w:val="auto"/>
              </w:rPr>
            </w:pPr>
            <w:r>
              <w:rPr>
                <w:rFonts w:ascii="Arial" w:cs="Arial" w:eastAsia="Arial" w:hAnsi="Arial"/>
                <w:sz w:val="16"/>
                <w:szCs w:val="16"/>
                <w:color w:val="0000FF"/>
              </w:rPr>
              <w:t>ITEM 12. DESCRIPTION OF SECURITIES OTHER THAN EQUITY SECURITIES</w:t>
            </w:r>
          </w:p>
        </w:tc>
        <w:tc>
          <w:tcPr>
            <w:tcW w:w="3660" w:type="dxa"/>
            <w:vAlign w:val="bottom"/>
            <w:gridSpan w:val="8"/>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Debt securities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Warrants and rights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Other securities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American Depositary Shares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181"/>
        </w:trPr>
        <w:tc>
          <w:tcPr>
            <w:tcW w:w="1140" w:type="dxa"/>
            <w:vAlign w:val="bottom"/>
            <w:gridSpan w:val="4"/>
          </w:tcPr>
          <w:p>
            <w:pPr>
              <w:ind w:left="20"/>
              <w:spacing w:after="0" w:line="181" w:lineRule="exact"/>
              <w:rPr>
                <w:sz w:val="20"/>
                <w:szCs w:val="20"/>
                <w:color w:val="auto"/>
              </w:rPr>
            </w:pPr>
            <w:r>
              <w:rPr>
                <w:rFonts w:ascii="Arial" w:cs="Arial" w:eastAsia="Arial" w:hAnsi="Arial"/>
                <w:sz w:val="16"/>
                <w:szCs w:val="16"/>
                <w:color w:val="0000FF"/>
              </w:rPr>
              <w:t>PART II</w:t>
            </w: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13. DEFAULTS, DIVIDEND ARREARAGES AND DELINQUENCIES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181"/>
        </w:trPr>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4160" w:type="dxa"/>
            <w:vAlign w:val="bottom"/>
            <w:tcBorders>
              <w:top w:val="single" w:sz="8" w:color="0000FF"/>
            </w:tcBorders>
            <w:gridSpan w:val="30"/>
          </w:tcPr>
          <w:p>
            <w:pPr>
              <w:spacing w:after="0" w:line="181" w:lineRule="exact"/>
              <w:rPr>
                <w:sz w:val="20"/>
                <w:szCs w:val="20"/>
                <w:color w:val="auto"/>
              </w:rPr>
            </w:pPr>
            <w:r>
              <w:rPr>
                <w:rFonts w:ascii="Arial" w:cs="Arial" w:eastAsia="Arial" w:hAnsi="Arial"/>
                <w:sz w:val="16"/>
                <w:szCs w:val="16"/>
                <w:color w:val="0000FF"/>
              </w:rPr>
              <w:t>Defaults</w:t>
            </w:r>
          </w:p>
        </w:tc>
        <w:tc>
          <w:tcPr>
            <w:tcW w:w="4200" w:type="dxa"/>
            <w:vAlign w:val="bottom"/>
            <w:gridSpan w:val="10"/>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Arrears and delinquencies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181"/>
        </w:trPr>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6880" w:type="dxa"/>
            <w:vAlign w:val="bottom"/>
            <w:tcBorders>
              <w:top w:val="single" w:sz="8" w:color="0000FF"/>
            </w:tcBorders>
            <w:gridSpan w:val="39"/>
          </w:tcPr>
          <w:p>
            <w:pPr>
              <w:spacing w:after="0" w:line="181" w:lineRule="exact"/>
              <w:rPr>
                <w:sz w:val="20"/>
                <w:szCs w:val="20"/>
                <w:color w:val="auto"/>
              </w:rPr>
            </w:pPr>
            <w:r>
              <w:rPr>
                <w:rFonts w:ascii="Arial" w:cs="Arial" w:eastAsia="Arial" w:hAnsi="Arial"/>
                <w:sz w:val="16"/>
                <w:szCs w:val="16"/>
                <w:color w:val="0000FF"/>
              </w:rPr>
              <w:t>Material modifications to instruments</w:t>
            </w:r>
          </w:p>
        </w:tc>
        <w:tc>
          <w:tcPr>
            <w:tcW w:w="14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Material modifications to rights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Withdrawal or substitution of assets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Change in trustees or paying agents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Use of Proceeds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3180" w:type="dxa"/>
            <w:vAlign w:val="bottom"/>
            <w:tcBorders>
              <w:bottom w:val="single" w:sz="8" w:color="0000FF"/>
            </w:tcBorders>
            <w:gridSpan w:val="24"/>
          </w:tcPr>
          <w:p>
            <w:pPr>
              <w:ind w:left="20"/>
              <w:spacing w:after="0" w:line="181" w:lineRule="exact"/>
              <w:rPr>
                <w:sz w:val="20"/>
                <w:szCs w:val="20"/>
                <w:color w:val="auto"/>
              </w:rPr>
            </w:pPr>
            <w:r>
              <w:rPr>
                <w:rFonts w:ascii="Arial" w:cs="Arial" w:eastAsia="Arial" w:hAnsi="Arial"/>
                <w:sz w:val="16"/>
                <w:szCs w:val="16"/>
                <w:color w:val="0000FF"/>
              </w:rPr>
              <w:t>ITEM 15. CONTROLS AND PROCEDURES</w:t>
            </w:r>
          </w:p>
        </w:tc>
        <w:tc>
          <w:tcPr>
            <w:tcW w:w="20" w:type="dxa"/>
            <w:vAlign w:val="bottom"/>
            <w:tcBorders>
              <w:bottom w:val="single" w:sz="8" w:color="0000EE"/>
            </w:tcBorders>
          </w:tcPr>
          <w:p>
            <w:pPr>
              <w:spacing w:after="0"/>
              <w:rPr>
                <w:sz w:val="15"/>
                <w:szCs w:val="15"/>
                <w:color w:val="auto"/>
              </w:rPr>
            </w:pPr>
          </w:p>
        </w:tc>
        <w:tc>
          <w:tcPr>
            <w:tcW w:w="6300" w:type="dxa"/>
            <w:vAlign w:val="bottom"/>
            <w:gridSpan w:val="19"/>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Disclosure Controls and Procedures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Management’s Annual Report on Internal Control over Financial Reporting</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Attestation Report of the Registered Public Accounting Firm</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Changes in Internal Control over Financial Reporting</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1600" w:type="dxa"/>
            <w:vAlign w:val="bottom"/>
            <w:tcBorders>
              <w:bottom w:val="single" w:sz="8" w:color="0000FF"/>
            </w:tcBorders>
            <w:gridSpan w:val="8"/>
          </w:tcPr>
          <w:p>
            <w:pPr>
              <w:ind w:left="20"/>
              <w:spacing w:after="0" w:line="181" w:lineRule="exact"/>
              <w:rPr>
                <w:sz w:val="20"/>
                <w:szCs w:val="20"/>
                <w:color w:val="auto"/>
              </w:rPr>
            </w:pPr>
            <w:r>
              <w:rPr>
                <w:rFonts w:ascii="Arial" w:cs="Arial" w:eastAsia="Arial" w:hAnsi="Arial"/>
                <w:sz w:val="16"/>
                <w:szCs w:val="16"/>
                <w:color w:val="0000FF"/>
                <w:w w:val="99"/>
              </w:rPr>
              <w:t>ITEM 16. RESERVED</w:t>
            </w:r>
          </w:p>
        </w:tc>
        <w:tc>
          <w:tcPr>
            <w:tcW w:w="20" w:type="dxa"/>
            <w:vAlign w:val="bottom"/>
            <w:tcBorders>
              <w:bottom w:val="single" w:sz="8" w:color="0000EE"/>
            </w:tcBorders>
          </w:tcPr>
          <w:p>
            <w:pPr>
              <w:spacing w:after="0"/>
              <w:rPr>
                <w:sz w:val="15"/>
                <w:szCs w:val="15"/>
                <w:color w:val="auto"/>
              </w:rPr>
            </w:pPr>
          </w:p>
        </w:tc>
        <w:tc>
          <w:tcPr>
            <w:tcW w:w="7880" w:type="dxa"/>
            <w:vAlign w:val="bottom"/>
            <w:gridSpan w:val="35"/>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16A. AUDIT COMMITTEE FINANCIAL EXPERT</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181"/>
        </w:trPr>
        <w:tc>
          <w:tcPr>
            <w:tcW w:w="2240" w:type="dxa"/>
            <w:vAlign w:val="bottom"/>
            <w:tcBorders>
              <w:top w:val="single" w:sz="8" w:color="0000FF"/>
              <w:bottom w:val="single" w:sz="8" w:color="0000FF"/>
            </w:tcBorders>
            <w:gridSpan w:val="14"/>
          </w:tcPr>
          <w:p>
            <w:pPr>
              <w:ind w:left="20"/>
              <w:spacing w:after="0" w:line="181" w:lineRule="exact"/>
              <w:rPr>
                <w:sz w:val="20"/>
                <w:szCs w:val="20"/>
                <w:color w:val="auto"/>
              </w:rPr>
            </w:pPr>
            <w:r>
              <w:rPr>
                <w:rFonts w:ascii="Arial" w:cs="Arial" w:eastAsia="Arial" w:hAnsi="Arial"/>
                <w:sz w:val="16"/>
                <w:szCs w:val="16"/>
                <w:color w:val="0000FF"/>
              </w:rPr>
              <w:t>ITEM 16B. CODE OF ETHICS</w:t>
            </w:r>
          </w:p>
        </w:tc>
        <w:tc>
          <w:tcPr>
            <w:tcW w:w="1640" w:type="dxa"/>
            <w:vAlign w:val="bottom"/>
            <w:tcBorders>
              <w:top w:val="single" w:sz="8" w:color="0000FF"/>
            </w:tcBorders>
            <w:gridSpan w:val="15"/>
          </w:tcPr>
          <w:p>
            <w:pPr>
              <w:spacing w:after="0"/>
              <w:rPr>
                <w:sz w:val="15"/>
                <w:szCs w:val="15"/>
                <w:color w:val="auto"/>
              </w:rPr>
            </w:pPr>
          </w:p>
        </w:tc>
        <w:tc>
          <w:tcPr>
            <w:tcW w:w="5620" w:type="dxa"/>
            <w:vAlign w:val="bottom"/>
            <w:gridSpan w:val="15"/>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16C. PRINCIPAL ACCOUNTANT FEES AND SERVICES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380" w:type="dxa"/>
            <w:vAlign w:val="bottom"/>
            <w:tcBorders>
              <w:top w:val="single" w:sz="8" w:color="0000FF"/>
            </w:tcBorders>
            <w:gridSpan w:val="26"/>
          </w:tcPr>
          <w:p>
            <w:pPr>
              <w:spacing w:after="0" w:line="181" w:lineRule="exact"/>
              <w:rPr>
                <w:sz w:val="20"/>
                <w:szCs w:val="20"/>
                <w:color w:val="auto"/>
              </w:rPr>
            </w:pPr>
            <w:r>
              <w:rPr>
                <w:rFonts w:ascii="Arial" w:cs="Arial" w:eastAsia="Arial" w:hAnsi="Arial"/>
                <w:sz w:val="16"/>
                <w:szCs w:val="16"/>
                <w:color w:val="0000FF"/>
              </w:rPr>
              <w:t>Audit Fees</w:t>
            </w:r>
          </w:p>
        </w:tc>
        <w:tc>
          <w:tcPr>
            <w:tcW w:w="4980" w:type="dxa"/>
            <w:vAlign w:val="bottom"/>
            <w:gridSpan w:val="14"/>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Audit-Related Fees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Tax Fees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All Other Fees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8"/>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Audit Committee’s Pre-Approval Policies and Procedures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1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Audit Work Performed by Other Than Principal Accountant if Greater than 50%</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1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10"/>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6500" w:type="dxa"/>
            <w:vAlign w:val="bottom"/>
            <w:tcBorders>
              <w:bottom w:val="single" w:sz="8" w:color="0000FF"/>
            </w:tcBorders>
            <w:gridSpan w:val="38"/>
          </w:tcPr>
          <w:p>
            <w:pPr>
              <w:ind w:left="20"/>
              <w:spacing w:after="0" w:line="181" w:lineRule="exact"/>
              <w:rPr>
                <w:sz w:val="20"/>
                <w:szCs w:val="20"/>
                <w:color w:val="auto"/>
              </w:rPr>
            </w:pPr>
            <w:r>
              <w:rPr>
                <w:rFonts w:ascii="Arial" w:cs="Arial" w:eastAsia="Arial" w:hAnsi="Arial"/>
                <w:sz w:val="16"/>
                <w:szCs w:val="16"/>
                <w:color w:val="0000FF"/>
              </w:rPr>
              <w:t>ITEM 16D. EXEMPTIONS FROM THE LISTING STANDARDS FOR AUDIT COMMITTEES</w:t>
            </w:r>
          </w:p>
        </w:tc>
        <w:tc>
          <w:tcPr>
            <w:tcW w:w="20" w:type="dxa"/>
            <w:vAlign w:val="bottom"/>
            <w:tcBorders>
              <w:bottom w:val="single" w:sz="8" w:color="0000EE"/>
            </w:tcBorders>
          </w:tcPr>
          <w:p>
            <w:pPr>
              <w:spacing w:after="0"/>
              <w:rPr>
                <w:sz w:val="15"/>
                <w:szCs w:val="15"/>
                <w:color w:val="auto"/>
              </w:rPr>
            </w:pPr>
          </w:p>
        </w:tc>
        <w:tc>
          <w:tcPr>
            <w:tcW w:w="2980" w:type="dxa"/>
            <w:vAlign w:val="bottom"/>
            <w:gridSpan w:val="5"/>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16E. PURCHASES OF EQUITY SECURITIES BY THE ISSUER AND AFFILIATED PURCHASERS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7500" w:type="dxa"/>
            <w:vAlign w:val="bottom"/>
            <w:tcBorders>
              <w:top w:val="single" w:sz="8" w:color="0000FF"/>
            </w:tcBorders>
            <w:gridSpan w:val="42"/>
          </w:tcPr>
          <w:p>
            <w:pPr>
              <w:ind w:left="20"/>
              <w:spacing w:after="0" w:line="181" w:lineRule="exact"/>
              <w:rPr>
                <w:sz w:val="20"/>
                <w:szCs w:val="20"/>
                <w:color w:val="auto"/>
              </w:rPr>
            </w:pPr>
            <w:r>
              <w:rPr>
                <w:rFonts w:ascii="Arial" w:cs="Arial" w:eastAsia="Arial" w:hAnsi="Arial"/>
                <w:sz w:val="16"/>
                <w:szCs w:val="16"/>
                <w:color w:val="0000FF"/>
              </w:rPr>
              <w:t>ITEM 16F. CHANGE IN REGISTRANT’S CERTIFYING ACCOUNTANT</w:t>
            </w:r>
          </w:p>
        </w:tc>
        <w:tc>
          <w:tcPr>
            <w:tcW w:w="2000" w:type="dxa"/>
            <w:vAlign w:val="bottom"/>
            <w:gridSpan w:val="2"/>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3040" w:type="dxa"/>
            <w:vAlign w:val="bottom"/>
            <w:tcBorders>
              <w:top w:val="single" w:sz="8" w:color="0000FF"/>
              <w:bottom w:val="single" w:sz="8" w:color="0000FF"/>
            </w:tcBorders>
            <w:gridSpan w:val="21"/>
          </w:tcPr>
          <w:p>
            <w:pPr>
              <w:ind w:left="20"/>
              <w:spacing w:after="0" w:line="181" w:lineRule="exact"/>
              <w:rPr>
                <w:sz w:val="20"/>
                <w:szCs w:val="20"/>
                <w:color w:val="auto"/>
              </w:rPr>
            </w:pPr>
            <w:r>
              <w:rPr>
                <w:rFonts w:ascii="Arial" w:cs="Arial" w:eastAsia="Arial" w:hAnsi="Arial"/>
                <w:sz w:val="16"/>
                <w:szCs w:val="16"/>
                <w:color w:val="0000FF"/>
                <w:w w:val="99"/>
              </w:rPr>
              <w:t>ITEM 16G. CORPORATE GOVERNANCE</w:t>
            </w:r>
          </w:p>
        </w:tc>
        <w:tc>
          <w:tcPr>
            <w:tcW w:w="2040" w:type="dxa"/>
            <w:vAlign w:val="bottom"/>
            <w:tcBorders>
              <w:top w:val="single" w:sz="8" w:color="0000FF"/>
            </w:tcBorders>
            <w:gridSpan w:val="11"/>
          </w:tcPr>
          <w:p>
            <w:pPr>
              <w:spacing w:after="0"/>
              <w:rPr>
                <w:sz w:val="15"/>
                <w:szCs w:val="15"/>
                <w:color w:val="auto"/>
              </w:rPr>
            </w:pPr>
          </w:p>
        </w:tc>
        <w:tc>
          <w:tcPr>
            <w:tcW w:w="4420" w:type="dxa"/>
            <w:vAlign w:val="bottom"/>
            <w:gridSpan w:val="12"/>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3000" w:type="dxa"/>
            <w:vAlign w:val="bottom"/>
            <w:tcBorders>
              <w:bottom w:val="single" w:sz="8" w:color="0000FF"/>
            </w:tcBorders>
            <w:gridSpan w:val="19"/>
          </w:tcPr>
          <w:p>
            <w:pPr>
              <w:ind w:left="20"/>
              <w:spacing w:after="0" w:line="181" w:lineRule="exact"/>
              <w:rPr>
                <w:sz w:val="20"/>
                <w:szCs w:val="20"/>
                <w:color w:val="auto"/>
              </w:rPr>
            </w:pPr>
            <w:r>
              <w:rPr>
                <w:rFonts w:ascii="Arial" w:cs="Arial" w:eastAsia="Arial" w:hAnsi="Arial"/>
                <w:sz w:val="16"/>
                <w:szCs w:val="16"/>
                <w:color w:val="0000FF"/>
                <w:w w:val="99"/>
              </w:rPr>
              <w:t>ITEM 16H. MINE SAFETY DISCLOSURE</w:t>
            </w:r>
          </w:p>
        </w:tc>
        <w:tc>
          <w:tcPr>
            <w:tcW w:w="20" w:type="dxa"/>
            <w:vAlign w:val="bottom"/>
            <w:tcBorders>
              <w:bottom w:val="single" w:sz="8" w:color="0000EE"/>
            </w:tcBorders>
          </w:tcPr>
          <w:p>
            <w:pPr>
              <w:spacing w:after="0"/>
              <w:rPr>
                <w:sz w:val="15"/>
                <w:szCs w:val="15"/>
                <w:color w:val="auto"/>
              </w:rPr>
            </w:pPr>
          </w:p>
        </w:tc>
        <w:tc>
          <w:tcPr>
            <w:tcW w:w="6480" w:type="dxa"/>
            <w:vAlign w:val="bottom"/>
            <w:gridSpan w:val="24"/>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16I. DISCLOSURE REGARDING FOREIGN JURISDICTIONS THAT PREVENT INSPECTIONS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620" w:type="dxa"/>
            <w:vAlign w:val="bottom"/>
            <w:tcBorders>
              <w:top w:val="single" w:sz="8" w:color="0000FF"/>
              <w:bottom w:val="single" w:sz="8" w:color="0000FF"/>
            </w:tcBorders>
            <w:gridSpan w:val="2"/>
          </w:tcPr>
          <w:p>
            <w:pPr>
              <w:ind w:left="20"/>
              <w:spacing w:after="0" w:line="181" w:lineRule="exact"/>
              <w:rPr>
                <w:sz w:val="20"/>
                <w:szCs w:val="20"/>
                <w:color w:val="auto"/>
              </w:rPr>
            </w:pPr>
            <w:r>
              <w:rPr>
                <w:rFonts w:ascii="Arial" w:cs="Arial" w:eastAsia="Arial" w:hAnsi="Arial"/>
                <w:sz w:val="16"/>
                <w:szCs w:val="16"/>
                <w:color w:val="0000FF"/>
                <w:w w:val="95"/>
              </w:rPr>
              <w:t>PART III</w:t>
            </w:r>
          </w:p>
        </w:tc>
        <w:tc>
          <w:tcPr>
            <w:tcW w:w="2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109</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17. FINANCIAL STATEMENTS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109</w:t>
            </w:r>
          </w:p>
        </w:tc>
      </w:tr>
      <w:tr>
        <w:trPr>
          <w:trHeight w:val="20"/>
        </w:trPr>
        <w:tc>
          <w:tcPr>
            <w:tcW w:w="130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1380" w:type="dxa"/>
            <w:vAlign w:val="bottom"/>
            <w:tcBorders>
              <w:right w:val="single" w:sz="8" w:color="0000EE"/>
            </w:tcBorders>
            <w:gridSpan w:val="12"/>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380" w:type="dxa"/>
            <w:vAlign w:val="bottom"/>
            <w:gridSpan w:val="2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18. FINANCIAL STATEMENTS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109</w:t>
            </w:r>
          </w:p>
        </w:tc>
      </w:tr>
      <w:tr>
        <w:trPr>
          <w:trHeight w:val="181"/>
        </w:trPr>
        <w:tc>
          <w:tcPr>
            <w:tcW w:w="2680" w:type="dxa"/>
            <w:vAlign w:val="bottom"/>
            <w:tcBorders>
              <w:top w:val="single" w:sz="8" w:color="0000FF"/>
            </w:tcBorders>
            <w:gridSpan w:val="17"/>
          </w:tcPr>
          <w:p>
            <w:pPr>
              <w:ind w:left="20"/>
              <w:spacing w:after="0" w:line="181" w:lineRule="exact"/>
              <w:rPr>
                <w:sz w:val="20"/>
                <w:szCs w:val="20"/>
                <w:color w:val="auto"/>
              </w:rPr>
            </w:pPr>
            <w:r>
              <w:rPr>
                <w:rFonts w:ascii="Arial" w:cs="Arial" w:eastAsia="Arial" w:hAnsi="Arial"/>
                <w:sz w:val="16"/>
                <w:szCs w:val="16"/>
                <w:color w:val="0000FF"/>
              </w:rPr>
              <w:t>ITEM 19. Exhibits</w:t>
            </w:r>
          </w:p>
        </w:tc>
        <w:tc>
          <w:tcPr>
            <w:tcW w:w="6820" w:type="dxa"/>
            <w:vAlign w:val="bottom"/>
            <w:gridSpan w:val="27"/>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109</w:t>
            </w:r>
          </w:p>
        </w:tc>
      </w:tr>
      <w:tr>
        <w:trPr>
          <w:trHeight w:val="20"/>
        </w:trPr>
        <w:tc>
          <w:tcPr>
            <w:tcW w:w="130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6380" w:type="dxa"/>
            <w:vAlign w:val="bottom"/>
            <w:gridSpan w:val="2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Index to Consolidated Financial Statements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F-1</w:t>
            </w:r>
          </w:p>
        </w:tc>
      </w:tr>
      <w:tr>
        <w:trPr>
          <w:trHeight w:val="20"/>
        </w:trPr>
        <w:tc>
          <w:tcPr>
            <w:tcW w:w="5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6" w:lineRule="exact"/>
        <w:rPr>
          <w:sz w:val="20"/>
          <w:szCs w:val="20"/>
          <w:color w:val="auto"/>
        </w:rPr>
      </w:pPr>
    </w:p>
    <w:p>
      <w:pPr>
        <w:ind w:left="140" w:right="880" w:firstLine="458"/>
        <w:spacing w:after="0" w:line="282" w:lineRule="auto"/>
        <w:rPr>
          <w:sz w:val="20"/>
          <w:szCs w:val="20"/>
          <w:color w:val="auto"/>
        </w:rPr>
      </w:pPr>
      <w:r>
        <w:rPr>
          <w:rFonts w:ascii="Arial" w:cs="Arial" w:eastAsia="Arial" w:hAnsi="Arial"/>
          <w:sz w:val="14"/>
          <w:szCs w:val="14"/>
          <w:color w:val="auto"/>
        </w:rPr>
        <w:t>Unless otherwise indicated or the context otherwise requires, all references in this Annual Report on Form 20-F, or this Annual Report, to “Pharvaris N.V.,” “Pharvaris,” the “Company,” “we,” “our,” “ours,” “us” or similar terms refer to Pharvaris N.V. and its subsidiaries.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Presentation of Financial and Other Information</w:t>
      </w:r>
    </w:p>
    <w:p>
      <w:pPr>
        <w:spacing w:after="0" w:line="218" w:lineRule="exact"/>
        <w:rPr>
          <w:sz w:val="20"/>
          <w:szCs w:val="20"/>
          <w:color w:val="auto"/>
        </w:rPr>
      </w:pPr>
    </w:p>
    <w:p>
      <w:pPr>
        <w:jc w:val="both"/>
        <w:ind w:left="140" w:right="100" w:firstLine="458"/>
        <w:spacing w:after="0" w:line="254" w:lineRule="auto"/>
        <w:rPr>
          <w:sz w:val="20"/>
          <w:szCs w:val="20"/>
          <w:color w:val="auto"/>
        </w:rPr>
      </w:pPr>
      <w:r>
        <w:rPr>
          <w:rFonts w:ascii="Arial" w:cs="Arial" w:eastAsia="Arial" w:hAnsi="Arial"/>
          <w:sz w:val="16"/>
          <w:szCs w:val="16"/>
          <w:color w:val="auto"/>
        </w:rPr>
        <w:t>We report under International Financial Reporting Standards, or IFRS, as issued by the International Accounting Standards Board, or the IASB. None of the consolidated financial statements in this Annual Report were prepared in accordance with generally accepted accounting principles in the United States, or United States Generally Accepted Accounting Principles, or U.S. GAAP. We present our consolidated financial statements in euros and in accordance with IFRS, as issued by the IASB. We have made rounding adjustments to some of the figures included in this Annual Report. Accordingly, numerical figures shown as totals in some tables may not be an arithmetic aggregation of the figures that preceded them.</w:t>
      </w:r>
    </w:p>
    <w:p>
      <w:pPr>
        <w:spacing w:after="0" w:line="166" w:lineRule="exact"/>
        <w:rPr>
          <w:sz w:val="20"/>
          <w:szCs w:val="20"/>
          <w:color w:val="auto"/>
        </w:rPr>
      </w:pPr>
    </w:p>
    <w:p>
      <w:pPr>
        <w:jc w:val="both"/>
        <w:ind w:left="140" w:firstLine="458"/>
        <w:spacing w:after="0" w:line="264" w:lineRule="auto"/>
        <w:rPr>
          <w:sz w:val="20"/>
          <w:szCs w:val="20"/>
          <w:color w:val="auto"/>
        </w:rPr>
      </w:pPr>
      <w:r>
        <w:rPr>
          <w:rFonts w:ascii="Arial" w:cs="Arial" w:eastAsia="Arial" w:hAnsi="Arial"/>
          <w:sz w:val="16"/>
          <w:szCs w:val="16"/>
          <w:color w:val="auto"/>
        </w:rPr>
        <w:t>Unless otherwise indicated, all references in this Annual Report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57" w:lineRule="exact"/>
        <w:rPr>
          <w:sz w:val="20"/>
          <w:szCs w:val="20"/>
          <w:color w:val="auto"/>
        </w:rPr>
      </w:pPr>
    </w:p>
    <w:p>
      <w:pPr>
        <w:jc w:val="both"/>
        <w:ind w:left="140" w:right="280" w:firstLine="458"/>
        <w:spacing w:after="0" w:line="264" w:lineRule="auto"/>
        <w:rPr>
          <w:sz w:val="20"/>
          <w:szCs w:val="20"/>
          <w:color w:val="auto"/>
        </w:rPr>
      </w:pPr>
      <w:r>
        <w:rPr>
          <w:rFonts w:ascii="Arial" w:cs="Arial" w:eastAsia="Arial" w:hAnsi="Arial"/>
          <w:sz w:val="16"/>
          <w:szCs w:val="16"/>
          <w:color w:val="auto"/>
        </w:rPr>
        <w:t>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w:t>
      </w:r>
      <w:r>
        <w:rPr>
          <w:rFonts w:ascii="Arial" w:cs="Arial" w:eastAsia="Arial" w:hAnsi="Arial"/>
          <w:sz w:val="16"/>
          <w:szCs w:val="16"/>
          <w:color w:val="auto"/>
        </w:rPr>
        <w:t>) and changed our name from Pharvaris B.V. to Pharvaris N.V.</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Market and Industry Data</w:t>
      </w:r>
    </w:p>
    <w:p>
      <w:pPr>
        <w:spacing w:after="0" w:line="205" w:lineRule="exact"/>
        <w:rPr>
          <w:sz w:val="20"/>
          <w:szCs w:val="20"/>
          <w:color w:val="auto"/>
        </w:rPr>
      </w:pPr>
    </w:p>
    <w:p>
      <w:pPr>
        <w:ind w:left="140" w:right="20" w:firstLine="458"/>
        <w:spacing w:after="0" w:line="254" w:lineRule="auto"/>
        <w:rPr>
          <w:sz w:val="20"/>
          <w:szCs w:val="20"/>
          <w:color w:val="auto"/>
        </w:rPr>
      </w:pPr>
      <w:r>
        <w:rPr>
          <w:rFonts w:ascii="Arial" w:cs="Arial" w:eastAsia="Arial" w:hAnsi="Arial"/>
          <w:sz w:val="16"/>
          <w:szCs w:val="16"/>
          <w:color w:val="auto"/>
        </w:rPr>
        <w:t>The information in this Annual Report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Trademarks</w:t>
      </w:r>
    </w:p>
    <w:p>
      <w:pPr>
        <w:spacing w:after="0" w:line="205" w:lineRule="exact"/>
        <w:rPr>
          <w:sz w:val="20"/>
          <w:szCs w:val="20"/>
          <w:color w:val="auto"/>
        </w:rPr>
      </w:pPr>
    </w:p>
    <w:p>
      <w:pPr>
        <w:ind w:left="140" w:right="80" w:firstLine="458"/>
        <w:spacing w:after="0" w:line="257" w:lineRule="auto"/>
        <w:rPr>
          <w:sz w:val="20"/>
          <w:szCs w:val="20"/>
          <w:color w:val="auto"/>
        </w:rPr>
      </w:pPr>
      <w:r>
        <w:rPr>
          <w:rFonts w:ascii="Arial" w:cs="Arial" w:eastAsia="Arial" w:hAnsi="Arial"/>
          <w:sz w:val="16"/>
          <w:szCs w:val="16"/>
          <w:color w:val="auto"/>
        </w:rPr>
        <w:t>All trademarks, trade names and service marks appearing in this Annual Report are the property of their respective owners. Solely for convenience, the trademarks and trade names in this Annual Report are referred to without the symbols ® and ™,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8" w:lineRule="exact"/>
        <w:rPr>
          <w:sz w:val="20"/>
          <w:szCs w:val="20"/>
          <w:color w:val="auto"/>
        </w:rPr>
      </w:pPr>
    </w:p>
    <w:p>
      <w:pPr>
        <w:ind w:left="140" w:firstLine="458"/>
        <w:spacing w:after="0" w:line="249"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8" w:lineRule="exact"/>
        <w:rPr>
          <w:sz w:val="20"/>
          <w:szCs w:val="20"/>
          <w:color w:val="auto"/>
        </w:rPr>
      </w:pPr>
    </w:p>
    <w:p>
      <w:pPr>
        <w:ind w:left="1020" w:right="8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the clinical hold on PHA121, or deucrictibant, clinical trials in the U.S.;</w:t>
      </w:r>
    </w:p>
    <w:p>
      <w:pPr>
        <w:spacing w:after="0" w:line="49" w:lineRule="exact"/>
        <w:rPr>
          <w:rFonts w:ascii="Times New Roman" w:cs="Times New Roman" w:eastAsia="Times New Roman" w:hAnsi="Times New Roman"/>
          <w:sz w:val="16"/>
          <w:szCs w:val="16"/>
          <w:color w:val="auto"/>
        </w:rPr>
      </w:pPr>
    </w:p>
    <w:p>
      <w:pPr>
        <w:ind w:left="1020" w:right="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PHVS416 and PHVS719, which are in mid-stage global clinical trials and are currently on hold in the U.S. as a result of the clinical hold;</w:t>
      </w:r>
    </w:p>
    <w:p>
      <w:pPr>
        <w:spacing w:after="0" w:line="49" w:lineRule="exact"/>
        <w:rPr>
          <w:rFonts w:ascii="Times New Roman" w:cs="Times New Roman" w:eastAsia="Times New Roman" w:hAnsi="Times New Roman"/>
          <w:sz w:val="16"/>
          <w:szCs w:val="16"/>
          <w:color w:val="auto"/>
        </w:rPr>
      </w:pPr>
    </w:p>
    <w:p>
      <w:pPr>
        <w:ind w:left="1020" w:right="40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49" w:lineRule="exact"/>
        <w:rPr>
          <w:rFonts w:ascii="Times New Roman" w:cs="Times New Roman" w:eastAsia="Times New Roman" w:hAnsi="Times New Roman"/>
          <w:sz w:val="16"/>
          <w:szCs w:val="16"/>
          <w:color w:val="auto"/>
        </w:rPr>
      </w:pPr>
    </w:p>
    <w:p>
      <w:pPr>
        <w:ind w:left="10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49" w:lineRule="exact"/>
        <w:rPr>
          <w:rFonts w:ascii="Times New Roman" w:cs="Times New Roman" w:eastAsia="Times New Roman" w:hAnsi="Times New Roman"/>
          <w:sz w:val="16"/>
          <w:szCs w:val="16"/>
          <w:color w:val="auto"/>
        </w:rPr>
      </w:pPr>
    </w:p>
    <w:p>
      <w:pPr>
        <w:ind w:left="1020" w:right="28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3" w:lineRule="exact"/>
        <w:rPr>
          <w:rFonts w:ascii="Times New Roman" w:cs="Times New Roman" w:eastAsia="Times New Roman" w:hAnsi="Times New Roman"/>
          <w:sz w:val="16"/>
          <w:szCs w:val="16"/>
          <w:color w:val="auto"/>
        </w:rPr>
      </w:pPr>
    </w:p>
    <w:p>
      <w:pPr>
        <w:ind w:left="1020" w:right="6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3" w:lineRule="exact"/>
        <w:rPr>
          <w:rFonts w:ascii="Times New Roman" w:cs="Times New Roman" w:eastAsia="Times New Roman" w:hAnsi="Times New Roman"/>
          <w:sz w:val="16"/>
          <w:szCs w:val="16"/>
          <w:color w:val="auto"/>
        </w:rPr>
      </w:pPr>
    </w:p>
    <w:p>
      <w:pPr>
        <w:ind w:left="1020" w:right="4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and with competitive generic products;</w:t>
      </w:r>
    </w:p>
    <w:p>
      <w:pPr>
        <w:spacing w:after="0" w:line="123" w:lineRule="exact"/>
        <w:rPr>
          <w:rFonts w:ascii="Times New Roman" w:cs="Times New Roman" w:eastAsia="Times New Roman" w:hAnsi="Times New Roman"/>
          <w:sz w:val="16"/>
          <w:szCs w:val="16"/>
          <w:color w:val="auto"/>
        </w:rPr>
      </w:pPr>
    </w:p>
    <w:p>
      <w:pPr>
        <w:ind w:left="1020" w:right="54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3" w:lineRule="exact"/>
        <w:rPr>
          <w:rFonts w:ascii="Times New Roman" w:cs="Times New Roman" w:eastAsia="Times New Roman" w:hAnsi="Times New Roman"/>
          <w:sz w:val="16"/>
          <w:szCs w:val="16"/>
          <w:color w:val="auto"/>
        </w:rPr>
      </w:pPr>
    </w:p>
    <w:p>
      <w:pPr>
        <w:ind w:left="1020" w:right="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3" w:lineRule="exact"/>
        <w:rPr>
          <w:rFonts w:ascii="Times New Roman" w:cs="Times New Roman" w:eastAsia="Times New Roman" w:hAnsi="Times New Roman"/>
          <w:sz w:val="16"/>
          <w:szCs w:val="16"/>
          <w:color w:val="auto"/>
        </w:rPr>
      </w:pPr>
    </w:p>
    <w:p>
      <w:pPr>
        <w:ind w:left="1020" w:right="6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 and</w:t>
      </w:r>
    </w:p>
    <w:p>
      <w:pPr>
        <w:spacing w:after="0" w:line="123" w:lineRule="exact"/>
        <w:rPr>
          <w:rFonts w:ascii="Times New Roman" w:cs="Times New Roman" w:eastAsia="Times New Roman" w:hAnsi="Times New Roman"/>
          <w:sz w:val="16"/>
          <w:szCs w:val="16"/>
          <w:color w:val="auto"/>
        </w:rPr>
      </w:pPr>
    </w:p>
    <w:p>
      <w:pPr>
        <w:ind w:left="1020" w:right="100" w:hanging="504"/>
        <w:spacing w:after="0" w:line="282"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w:t>
      </w:r>
    </w:p>
    <w:p>
      <w:pPr>
        <w:spacing w:after="0" w:line="157" w:lineRule="exact"/>
        <w:rPr>
          <w:sz w:val="20"/>
          <w:szCs w:val="20"/>
          <w:color w:val="auto"/>
        </w:rPr>
      </w:pPr>
    </w:p>
    <w:p>
      <w:pPr>
        <w:ind w:left="140" w:right="100" w:firstLine="458"/>
        <w:spacing w:after="0" w:line="250" w:lineRule="auto"/>
        <w:rPr>
          <w:sz w:val="20"/>
          <w:szCs w:val="20"/>
          <w:color w:val="auto"/>
        </w:rPr>
      </w:pPr>
      <w:r>
        <w:rPr>
          <w:rFonts w:ascii="Arial" w:cs="Arial" w:eastAsia="Arial" w:hAnsi="Arial"/>
          <w:sz w:val="16"/>
          <w:szCs w:val="16"/>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83" w:lineRule="exact"/>
        <w:rPr>
          <w:sz w:val="20"/>
          <w:szCs w:val="20"/>
          <w:color w:val="auto"/>
        </w:rPr>
      </w:pPr>
    </w:p>
    <w:p>
      <w:pPr>
        <w:ind w:left="140" w:right="20" w:firstLine="458"/>
        <w:spacing w:after="0" w:line="254"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ind w:left="140" w:right="220" w:firstLine="458"/>
        <w:spacing w:after="0" w:line="264"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ENFORCEABILITY OF JUDGMENTS</w:t>
      </w:r>
    </w:p>
    <w:p>
      <w:pPr>
        <w:spacing w:after="0" w:line="218" w:lineRule="exact"/>
        <w:rPr>
          <w:sz w:val="20"/>
          <w:szCs w:val="20"/>
          <w:color w:val="auto"/>
        </w:rPr>
      </w:pPr>
    </w:p>
    <w:p>
      <w:pPr>
        <w:jc w:val="both"/>
        <w:ind w:left="140" w:right="20" w:firstLine="458"/>
        <w:spacing w:after="0" w:line="264" w:lineRule="auto"/>
        <w:rPr>
          <w:sz w:val="20"/>
          <w:szCs w:val="20"/>
          <w:color w:val="auto"/>
        </w:rPr>
      </w:pPr>
      <w:r>
        <w:rPr>
          <w:rFonts w:ascii="Arial" w:cs="Arial" w:eastAsia="Arial" w:hAnsi="Arial"/>
          <w:sz w:val="16"/>
          <w:szCs w:val="16"/>
          <w:color w:val="auto"/>
        </w:rPr>
        <w:t>We are organized and existing under the laws of the Netherlands and, as such, Dutch private international law governs the rights of our shareholders and the civil liability of our directors and executive officers are governed in certain respects by the laws of the Netherlands. The ability of our shareholders to bring an action against us or our directors and executive officers in certain countries other than the Netherlands may be limited under applicable law.</w:t>
      </w:r>
    </w:p>
    <w:p>
      <w:pPr>
        <w:spacing w:after="0" w:line="170" w:lineRule="exact"/>
        <w:rPr>
          <w:sz w:val="20"/>
          <w:szCs w:val="20"/>
          <w:color w:val="auto"/>
        </w:rPr>
      </w:pPr>
    </w:p>
    <w:p>
      <w:pPr>
        <w:ind w:left="140" w:right="20" w:firstLine="458"/>
        <w:spacing w:after="0" w:line="252" w:lineRule="auto"/>
        <w:rPr>
          <w:sz w:val="20"/>
          <w:szCs w:val="20"/>
          <w:color w:val="auto"/>
        </w:rPr>
      </w:pPr>
      <w:r>
        <w:rPr>
          <w:rFonts w:ascii="Arial" w:cs="Arial" w:eastAsia="Arial" w:hAnsi="Arial"/>
          <w:sz w:val="16"/>
          <w:szCs w:val="16"/>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shareholders to effect service of process within the United States upon us or our directors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directors and executive officers in an original action based solely upon the federal securities laws of the United States brought in a court of competent jurisdiction in the Netherlands.</w:t>
      </w:r>
    </w:p>
    <w:p>
      <w:pPr>
        <w:spacing w:after="0" w:line="181" w:lineRule="exact"/>
        <w:rPr>
          <w:sz w:val="20"/>
          <w:szCs w:val="20"/>
          <w:color w:val="auto"/>
        </w:rPr>
      </w:pPr>
    </w:p>
    <w:p>
      <w:pPr>
        <w:ind w:left="140" w:firstLine="458"/>
        <w:spacing w:after="0" w:line="247" w:lineRule="auto"/>
        <w:rPr>
          <w:sz w:val="20"/>
          <w:szCs w:val="20"/>
          <w:color w:val="auto"/>
        </w:rPr>
      </w:pPr>
      <w:r>
        <w:rPr>
          <w:rFonts w:ascii="Arial" w:cs="Arial" w:eastAsia="Arial" w:hAnsi="Arial"/>
          <w:sz w:val="16"/>
          <w:szCs w:val="16"/>
          <w:color w:val="auto"/>
        </w:rPr>
        <w:t>There is currently no treaty in effect between the United States and the Netherlands providing for the reciprocal recognition and enforcement of judgments, other than arbitration awards, in civil and commercial matters. It is noted that, as of the date of this annual report, the Hague Convention on Choice of Court Agreements of June 30, 2005 has entered into force for the Netherlands, but has not entered into force for the United States. The Hague Convention of July 2, 2019 on the Recognition and Enforcement of Foreign Judgments in Civil or Commercial Matters has not entered into force for either the Netherlands 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(behoorlijke rechtspleging), (iii) binding effect of such judgment is not contrary to Dutch public order (openbare orde)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However, even if such a United States judgment is given binding effect, a claim based on that judgment may still be rejected if that judgment is not or no longer formally enforceable.</w:t>
      </w:r>
    </w:p>
    <w:p>
      <w:pPr>
        <w:spacing w:after="0" w:line="191" w:lineRule="exact"/>
        <w:rPr>
          <w:sz w:val="20"/>
          <w:szCs w:val="20"/>
          <w:color w:val="auto"/>
        </w:rPr>
      </w:pPr>
    </w:p>
    <w:p>
      <w:pPr>
        <w:jc w:val="both"/>
        <w:ind w:left="140" w:right="140" w:firstLine="458"/>
        <w:spacing w:after="0" w:line="264" w:lineRule="auto"/>
        <w:rPr>
          <w:sz w:val="20"/>
          <w:szCs w:val="20"/>
          <w:color w:val="auto"/>
        </w:rPr>
      </w:pPr>
      <w:r>
        <w:rPr>
          <w:rFonts w:ascii="Arial" w:cs="Arial" w:eastAsia="Arial" w:hAnsi="Arial"/>
          <w:sz w:val="16"/>
          <w:szCs w:val="16"/>
          <w:color w:val="auto"/>
        </w:rPr>
        <w:t>Based on the foregoing, U.S. investors may not be able to enforce against us or our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18" w:lineRule="exact"/>
        <w:rPr>
          <w:sz w:val="20"/>
          <w:szCs w:val="20"/>
          <w:color w:val="auto"/>
        </w:rPr>
      </w:pPr>
    </w:p>
    <w:p>
      <w:pPr>
        <w:ind w:left="900" w:hanging="429"/>
        <w:spacing w:after="0"/>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Advisers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Auditors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18" w:lineRule="exact"/>
        <w:rPr>
          <w:sz w:val="20"/>
          <w:szCs w:val="20"/>
          <w:color w:val="auto"/>
        </w:rPr>
      </w:pPr>
    </w:p>
    <w:p>
      <w:pPr>
        <w:ind w:left="900" w:hanging="429"/>
        <w:spacing w:after="0"/>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Offer statistics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Method and expected timetable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3. KEY INFORMATION</w:t>
      </w:r>
    </w:p>
    <w:p>
      <w:pPr>
        <w:spacing w:after="0" w:line="218" w:lineRule="exact"/>
        <w:rPr>
          <w:sz w:val="20"/>
          <w:szCs w:val="20"/>
          <w:color w:val="auto"/>
        </w:rPr>
      </w:pPr>
    </w:p>
    <w:p>
      <w:pPr>
        <w:ind w:left="900" w:hanging="429"/>
        <w:spacing w:after="0"/>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325" w:lineRule="exact"/>
        <w:rPr>
          <w:rFonts w:ascii="Arial" w:cs="Arial" w:eastAsia="Arial" w:hAnsi="Arial"/>
          <w:sz w:val="16"/>
          <w:szCs w:val="16"/>
          <w:b w:val="1"/>
          <w:bCs w:val="1"/>
          <w:color w:val="auto"/>
        </w:rPr>
      </w:pPr>
    </w:p>
    <w:p>
      <w:pPr>
        <w:ind w:left="900" w:hanging="429"/>
        <w:spacing w:after="0"/>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Reasons for the offer and use of proceeds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13"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Summary Risk Factors</w:t>
      </w:r>
    </w:p>
    <w:p>
      <w:pPr>
        <w:spacing w:after="0" w:line="109" w:lineRule="exact"/>
        <w:rPr>
          <w:sz w:val="20"/>
          <w:szCs w:val="20"/>
          <w:color w:val="auto"/>
        </w:rPr>
      </w:pPr>
    </w:p>
    <w:p>
      <w:pPr>
        <w:ind w:left="900" w:right="160" w:hanging="429"/>
        <w:spacing w:after="0" w:line="263"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4"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9"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such as the COVID-19 pandemic and political instability such as the recent conflict in Ukraine.</w:t>
      </w:r>
    </w:p>
    <w:p>
      <w:pPr>
        <w:spacing w:after="0" w:line="49" w:lineRule="exact"/>
        <w:rPr>
          <w:rFonts w:ascii="Times New Roman" w:cs="Times New Roman" w:eastAsia="Times New Roman" w:hAnsi="Times New Roman"/>
          <w:sz w:val="16"/>
          <w:szCs w:val="16"/>
          <w:color w:val="auto"/>
        </w:rPr>
      </w:pPr>
    </w:p>
    <w:p>
      <w:pPr>
        <w:ind w:left="900" w:hanging="429"/>
        <w:spacing w:after="0" w:line="252"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PHVS416 and PHVS719, which are in mid-stage development. We have released topline data from our RAPIDe-1 study demonstrating efficacy in our Phase 2 clinical trial for treatment of HAE attacks on demand using PHVS416, but have not completed our assessment of efficacy for prevention of HAE attacks using PHVS719.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line="251"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proof-of-mechanism for deucrictibant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3" w:lineRule="exact"/>
        <w:rPr>
          <w:rFonts w:ascii="Times New Roman" w:cs="Times New Roman" w:eastAsia="Times New Roman" w:hAnsi="Times New Roman"/>
          <w:sz w:val="16"/>
          <w:szCs w:val="16"/>
          <w:color w:val="auto"/>
        </w:rPr>
      </w:pPr>
    </w:p>
    <w:p>
      <w:pPr>
        <w:ind w:left="900" w:right="100" w:hanging="429"/>
        <w:spacing w:after="0" w:line="257"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9"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3" w:lineRule="exact"/>
        <w:rPr>
          <w:rFonts w:ascii="Times New Roman" w:cs="Times New Roman" w:eastAsia="Times New Roman" w:hAnsi="Times New Roman"/>
          <w:sz w:val="16"/>
          <w:szCs w:val="16"/>
          <w:color w:val="auto"/>
        </w:rPr>
      </w:pPr>
    </w:p>
    <w:p>
      <w:pPr>
        <w:ind w:left="900" w:right="8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4" w:lineRule="exact"/>
        <w:rPr>
          <w:rFonts w:ascii="Times New Roman" w:cs="Times New Roman" w:eastAsia="Times New Roman" w:hAnsi="Times New Roman"/>
          <w:sz w:val="16"/>
          <w:szCs w:val="16"/>
          <w:color w:val="auto"/>
        </w:rPr>
      </w:pPr>
    </w:p>
    <w:p>
      <w:pPr>
        <w:ind w:left="900" w:right="28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9" w:lineRule="exact"/>
        <w:rPr>
          <w:rFonts w:ascii="Times New Roman" w:cs="Times New Roman" w:eastAsia="Times New Roman" w:hAnsi="Times New Roman"/>
          <w:sz w:val="16"/>
          <w:szCs w:val="16"/>
          <w:color w:val="auto"/>
        </w:rPr>
      </w:pPr>
    </w:p>
    <w:p>
      <w:pPr>
        <w:ind w:left="90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9" w:lineRule="exact"/>
        <w:rPr>
          <w:rFonts w:ascii="Times New Roman" w:cs="Times New Roman" w:eastAsia="Times New Roman" w:hAnsi="Times New Roman"/>
          <w:sz w:val="16"/>
          <w:szCs w:val="16"/>
          <w:color w:val="auto"/>
        </w:rPr>
      </w:pPr>
    </w:p>
    <w:p>
      <w:pPr>
        <w:ind w:left="900" w:right="124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49" w:lineRule="exact"/>
        <w:rPr>
          <w:rFonts w:ascii="Times New Roman" w:cs="Times New Roman" w:eastAsia="Times New Roman" w:hAnsi="Times New Roman"/>
          <w:sz w:val="16"/>
          <w:szCs w:val="16"/>
          <w:color w:val="auto"/>
        </w:rPr>
      </w:pPr>
    </w:p>
    <w:p>
      <w:pPr>
        <w:ind w:left="900" w:right="16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4" w:lineRule="exact"/>
        <w:rPr>
          <w:rFonts w:ascii="Times New Roman" w:cs="Times New Roman" w:eastAsia="Times New Roman" w:hAnsi="Times New Roman"/>
          <w:sz w:val="16"/>
          <w:szCs w:val="16"/>
          <w:color w:val="auto"/>
        </w:rPr>
      </w:pPr>
    </w:p>
    <w:p>
      <w:pPr>
        <w:ind w:left="900" w:right="78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9" w:lineRule="exact"/>
        <w:rPr>
          <w:rFonts w:ascii="Times New Roman" w:cs="Times New Roman" w:eastAsia="Times New Roman" w:hAnsi="Times New Roman"/>
          <w:sz w:val="16"/>
          <w:szCs w:val="16"/>
          <w:color w:val="auto"/>
        </w:rPr>
      </w:pPr>
    </w:p>
    <w:p>
      <w:pPr>
        <w:ind w:left="900" w:right="6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4" w:lineRule="exact"/>
        <w:rPr>
          <w:rFonts w:ascii="Times New Roman" w:cs="Times New Roman" w:eastAsia="Times New Roman" w:hAnsi="Times New Roman"/>
          <w:sz w:val="16"/>
          <w:szCs w:val="16"/>
          <w:color w:val="auto"/>
        </w:rPr>
      </w:pPr>
    </w:p>
    <w:p>
      <w:pPr>
        <w:ind w:left="900" w:right="160" w:hanging="429"/>
        <w:spacing w:after="0" w:line="257"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69" w:lineRule="exact"/>
        <w:rPr>
          <w:rFonts w:ascii="Times New Roman" w:cs="Times New Roman" w:eastAsia="Times New Roman" w:hAnsi="Times New Roman"/>
          <w:sz w:val="16"/>
          <w:szCs w:val="16"/>
          <w:color w:val="auto"/>
        </w:rPr>
      </w:pPr>
    </w:p>
    <w:p>
      <w:pPr>
        <w:ind w:left="900" w:right="12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180" w:hanging="429"/>
        <w:spacing w:after="0" w:line="282" w:lineRule="auto"/>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9"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218" w:lineRule="exact"/>
        <w:rPr>
          <w:sz w:val="20"/>
          <w:szCs w:val="20"/>
          <w:color w:val="auto"/>
        </w:rPr>
      </w:pPr>
    </w:p>
    <w:p>
      <w:pPr>
        <w:ind w:firstLine="458"/>
        <w:spacing w:after="0" w:line="268"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59"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3" w:lineRule="exact"/>
        <w:rPr>
          <w:rFonts w:ascii="Times New Roman" w:cs="Times New Roman" w:eastAsia="Times New Roman" w:hAnsi="Times New Roman"/>
          <w:sz w:val="16"/>
          <w:szCs w:val="16"/>
          <w:color w:val="auto"/>
        </w:rPr>
      </w:pPr>
    </w:p>
    <w:p>
      <w:pPr>
        <w:ind w:left="900" w:right="320" w:hanging="429"/>
        <w:spacing w:after="0" w:line="282" w:lineRule="auto"/>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85" w:lineRule="exact"/>
        <w:rPr>
          <w:sz w:val="20"/>
          <w:szCs w:val="20"/>
          <w:color w:val="auto"/>
        </w:rPr>
      </w:pPr>
    </w:p>
    <w:p>
      <w:pPr>
        <w:jc w:val="both"/>
        <w:ind w:left="460"/>
        <w:spacing w:after="0" w:line="268"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5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49" w:lineRule="exact"/>
        <w:rPr>
          <w:sz w:val="20"/>
          <w:szCs w:val="20"/>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duration and impact of the clinical holds on deucrictibant clinical trials in the U.S.;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3" w:lineRule="exact"/>
        <w:rPr>
          <w:rFonts w:ascii="Times New Roman" w:cs="Times New Roman" w:eastAsia="Times New Roman" w:hAnsi="Times New Roman"/>
          <w:sz w:val="16"/>
          <w:szCs w:val="16"/>
          <w:color w:val="auto"/>
        </w:rPr>
      </w:pPr>
    </w:p>
    <w:p>
      <w:pPr>
        <w:ind w:left="900" w:right="120" w:hanging="429"/>
        <w:spacing w:after="0" w:line="282"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3" w:lineRule="exact"/>
        <w:rPr>
          <w:rFonts w:ascii="Times New Roman" w:cs="Times New Roman" w:eastAsia="Times New Roman" w:hAnsi="Times New Roman"/>
          <w:sz w:val="16"/>
          <w:szCs w:val="16"/>
          <w:color w:val="auto"/>
        </w:rPr>
      </w:pPr>
    </w:p>
    <w:p>
      <w:pPr>
        <w:ind w:left="900" w:right="640" w:hanging="429"/>
        <w:spacing w:after="0" w:line="282"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of any delays caused by the COVID-19 pandemic and associated restrictions;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1"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resulting from the COVID-19 pandemic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84"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2"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may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6"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40"/>
        <w:spacing w:after="0" w:line="260"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66"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the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and to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as of and for the fiscal year ended December 31, 2022,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8" w:lineRule="exact"/>
        <w:rPr>
          <w:sz w:val="20"/>
          <w:szCs w:val="20"/>
          <w:color w:val="auto"/>
        </w:rPr>
      </w:pPr>
    </w:p>
    <w:p>
      <w:pPr>
        <w:ind w:left="900" w:right="140" w:hanging="429"/>
        <w:spacing w:after="0" w:line="263"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4" w:lineRule="exact"/>
        <w:rPr>
          <w:rFonts w:ascii="Times New Roman" w:cs="Times New Roman" w:eastAsia="Times New Roman" w:hAnsi="Times New Roman"/>
          <w:sz w:val="16"/>
          <w:szCs w:val="16"/>
          <w:color w:val="auto"/>
        </w:rPr>
      </w:pPr>
    </w:p>
    <w:p>
      <w:pPr>
        <w:ind w:left="900" w:right="60" w:hanging="429"/>
        <w:spacing w:after="0" w:line="254"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179"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 To remediate the identified material weaknesses we have taken, and continue to take, various actions including, among other things: (i) hiring additional qualified accounting and financial reporting personnel, (ii) further developing and documenting our risk assessment matrix and scoping, to identify key processes and controls, (iii) further developing and implementing our formal policies, processes, and internal controls relating to our key processes, including financial reporting; and (iv) selecting a new accounting system that will be implemented in 2023 and that will improve the application controls over information technology and reduce the manual nature of execution of key controls throughout significant business processes. 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91" w:lineRule="exact"/>
        <w:rPr>
          <w:sz w:val="20"/>
          <w:szCs w:val="20"/>
          <w:color w:val="auto"/>
        </w:rPr>
      </w:pPr>
    </w:p>
    <w:p>
      <w:pPr>
        <w:ind w:firstLine="503"/>
        <w:spacing w:after="0" w:line="248"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However, our independent registered public accounting firm was not required to attest to the effectiveness of our internal control over financial reporting and will not be so required for as long as we are an “emerging growth company” under the JOBS Act. We could be an “emerging growth company” until December 31, 2026 (the last day of our fiscal year following the fifth anniversary of our initial public offering in February 2021).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be also subject to sanctions or investigations by Nasdaq, the SEC or other regulatory authorities.</w:t>
      </w:r>
    </w:p>
    <w:p>
      <w:pPr>
        <w:spacing w:after="0" w:line="220" w:lineRule="exact"/>
        <w:rPr>
          <w:sz w:val="20"/>
          <w:szCs w:val="20"/>
          <w:color w:val="auto"/>
        </w:rPr>
      </w:pPr>
    </w:p>
    <w:p>
      <w:pPr>
        <w:ind w:left="460" w:right="660"/>
        <w:spacing w:after="0" w:line="291"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2"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56"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depends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7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81" w:lineRule="exact"/>
        <w:rPr>
          <w:sz w:val="20"/>
          <w:szCs w:val="20"/>
          <w:color w:val="auto"/>
        </w:rPr>
      </w:pPr>
    </w:p>
    <w:p>
      <w:pPr>
        <w:jc w:val="both"/>
        <w:ind w:right="180" w:firstLine="458"/>
        <w:spacing w:after="0" w:line="264"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18" w:lineRule="exact"/>
        <w:rPr>
          <w:sz w:val="20"/>
          <w:szCs w:val="20"/>
          <w:color w:val="auto"/>
        </w:rPr>
      </w:pPr>
    </w:p>
    <w:p>
      <w:pPr>
        <w:ind w:left="520" w:right="160"/>
        <w:spacing w:after="0" w:line="252"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recent clinical holds. Moreover, we have established proof-of-mechanism for deucrictibant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147" w:lineRule="exact"/>
        <w:rPr>
          <w:sz w:val="20"/>
          <w:szCs w:val="20"/>
          <w:color w:val="auto"/>
        </w:rPr>
      </w:pPr>
    </w:p>
    <w:p>
      <w:pPr>
        <w:ind w:firstLine="464"/>
        <w:spacing w:after="0" w:line="247"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proof-of-mechanism for deucrictibant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The protocol for this nonclinical study has been reviewed by the FDA and the study has commenced. The FDA also agreed to partially lift the hold on our on-demand IND to allow the two remaining U.S. participants in our RAPIDe-1 trial to complete treatment, but there can be no assurance that both clinical holds will be fully lifted.</w:t>
      </w:r>
    </w:p>
    <w:p>
      <w:pPr>
        <w:spacing w:after="0" w:line="375"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60" w:lineRule="exact"/>
        <w:rPr>
          <w:sz w:val="20"/>
          <w:szCs w:val="20"/>
          <w:color w:val="auto"/>
        </w:rPr>
      </w:pPr>
    </w:p>
    <w:p>
      <w:pPr>
        <w:jc w:val="both"/>
        <w:ind w:left="1020" w:right="380" w:hanging="504"/>
        <w:spacing w:after="0" w:line="263"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PHVS416 and PHVS719 programs and designs for improving the efficiency of our clinical development path;</w:t>
      </w:r>
    </w:p>
    <w:p>
      <w:pPr>
        <w:spacing w:after="0" w:line="6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3" w:lineRule="exact"/>
        <w:rPr>
          <w:rFonts w:ascii="Times New Roman" w:cs="Times New Roman" w:eastAsia="Times New Roman" w:hAnsi="Times New Roman"/>
          <w:sz w:val="16"/>
          <w:szCs w:val="16"/>
          <w:color w:val="auto"/>
        </w:rPr>
      </w:pPr>
    </w:p>
    <w:p>
      <w:pPr>
        <w:ind w:left="1020" w:right="180" w:hanging="504"/>
        <w:spacing w:after="0" w:line="282"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 the COVID-19 pandemic;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1020" w:right="540" w:hanging="504"/>
        <w:spacing w:after="0" w:line="282"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the COVID-19 pandemic; or the escalation of the ongoing conflict in Ukraine;</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3" w:lineRule="exact"/>
        <w:rPr>
          <w:rFonts w:ascii="Times New Roman" w:cs="Times New Roman" w:eastAsia="Times New Roman" w:hAnsi="Times New Roman"/>
          <w:sz w:val="16"/>
          <w:szCs w:val="16"/>
          <w:color w:val="auto"/>
        </w:rPr>
      </w:pPr>
    </w:p>
    <w:p>
      <w:pPr>
        <w:ind w:left="1020" w:right="160" w:hanging="504"/>
        <w:spacing w:after="0" w:line="282"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9" w:lineRule="exact"/>
        <w:rPr>
          <w:rFonts w:ascii="Times New Roman" w:cs="Times New Roman" w:eastAsia="Times New Roman" w:hAnsi="Times New Roman"/>
          <w:sz w:val="16"/>
          <w:szCs w:val="16"/>
          <w:color w:val="auto"/>
        </w:rPr>
      </w:pPr>
    </w:p>
    <w:p>
      <w:pPr>
        <w:ind w:left="1020" w:right="40" w:hanging="504"/>
        <w:spacing w:after="0" w:line="282"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57"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additional patients at sites in other countries, we may not be able to complete CHAPTER-1 on our anticipated timeline.</w:t>
      </w:r>
    </w:p>
    <w:p>
      <w:pPr>
        <w:spacing w:after="0" w:line="15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the clinical holds on our clinical trials of deucrictibant in the U.S. are not resolved or if any of our other clinical trials are put on clinical hold or terminated, we may incur increased costs or be unable to continue development of deucrictibant, including our product candidates PHVS416 and PHVS719, which could have a material adverse effect on our business, financial condition, results of operations and prospects.</w:t>
      </w:r>
    </w:p>
    <w:p>
      <w:pPr>
        <w:spacing w:after="0" w:line="179" w:lineRule="exact"/>
        <w:rPr>
          <w:sz w:val="20"/>
          <w:szCs w:val="20"/>
          <w:color w:val="auto"/>
        </w:rPr>
      </w:pPr>
    </w:p>
    <w:p>
      <w:pPr>
        <w:ind w:left="520" w:right="80"/>
        <w:spacing w:after="0" w:line="252"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PHVS416 and PHVS719, which are in mid-stage development. We have released topline data from our RAPIDe-1 study demonstrating efficacy in our Phase 2 clinical trial for treatment of HAE attacks on demand using PHVS416, but have not completed our assessment of efficacy for prevention of HAE attacks using PHVS719.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147" w:lineRule="exact"/>
        <w:rPr>
          <w:sz w:val="20"/>
          <w:szCs w:val="20"/>
          <w:color w:val="auto"/>
        </w:rPr>
      </w:pPr>
    </w:p>
    <w:p>
      <w:pPr>
        <w:ind w:right="40" w:firstLine="464"/>
        <w:spacing w:after="0" w:line="248" w:lineRule="auto"/>
        <w:rPr>
          <w:sz w:val="20"/>
          <w:szCs w:val="20"/>
          <w:color w:val="auto"/>
        </w:rPr>
      </w:pPr>
      <w:r>
        <w:rPr>
          <w:rFonts w:ascii="Arial" w:cs="Arial" w:eastAsia="Arial" w:hAnsi="Arial"/>
          <w:sz w:val="16"/>
          <w:szCs w:val="16"/>
          <w:color w:val="auto"/>
        </w:rPr>
        <w:t xml:space="preserve">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To date we only have data from preclinical studies, Phase 1 clinical trials in healthy volunteers, and a Phase 2 trial of </w:t>
      </w:r>
      <w:r>
        <w:rPr>
          <w:rFonts w:ascii="Arial" w:cs="Arial" w:eastAsia="Arial" w:hAnsi="Arial"/>
          <w:sz w:val="16"/>
          <w:szCs w:val="16"/>
          <w:i w:val="1"/>
          <w:iCs w:val="1"/>
          <w:color w:val="auto"/>
        </w:rPr>
        <w:t>PHVS416</w:t>
      </w:r>
      <w:r>
        <w:rPr>
          <w:rFonts w:ascii="Arial" w:cs="Arial" w:eastAsia="Arial" w:hAnsi="Arial"/>
          <w:sz w:val="16"/>
          <w:szCs w:val="16"/>
          <w:color w:val="auto"/>
        </w:rPr>
        <w:t>. However, we have not conducted a head-to-head comparison of icatibant or any other drug candidate to deucrictibant in a clinical trial. We have compared the published data for icatibant to data from our Phase 1 clinical trial of deucrictibant and Phase 2 trial of PHVS416 (RAPIDe-1).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PHVS416 and PHVS719 has been and will continue to be a time-consuming and costly process and may leave us with insufficient resources to advance other programs and product candidates. We cannot be certain that any deucrictibant-containing product candidate, including PHVS416 and PHVS719, will receive regulatory approval or be successfully commercialized, even if we receive regulatory approval.</w:t>
      </w:r>
    </w:p>
    <w:p>
      <w:pPr>
        <w:spacing w:after="0" w:line="185"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77"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right="20"/>
        <w:spacing w:after="0" w:line="268"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such as the COVID-19 pandemic, and political instability, such as the conflict between Russia and Ukraine.</w:t>
      </w:r>
    </w:p>
    <w:p>
      <w:pPr>
        <w:spacing w:after="0" w:line="159"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ongoing spread of variants of the COVID-19 virus may continue to interrupt, or delay, our clinical trial activities, regulatory reviews, manufacturing activities and supply chain. The COVID-19 outbreak delayed, and may continue to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we experienced an approximate two-month delay in starting the enrollment of our now completed Phase 1 multiple ascending dose study of deucrictibant in healthy volunteers as a result of COVID-19.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Furthermore, the spread of an infectious disease, such as COVID-19, may affect the operations of key governmental agencies, such as the FDA, which may delay the development of our product candidates, and may also result in the inability of our suppliers to deliver components or raw materials, and the inability of our CDMOs to provide supplies of our product candidates for our planned clinical trials, on a timely basis or at all. In addition, it may impact the ability of our CROs, including nonclinical CROs, to provide services to support our clinical program. Further,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 If we are unable to meet our milestones it might jeopardize our funding opportunities.</w:t>
      </w:r>
    </w:p>
    <w:p>
      <w:pPr>
        <w:spacing w:after="0" w:line="182"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In addition, the COVID-19 pandemic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 The ultimate impact of the COVID-19 pandemic or a similar health epidemic is uncertain and subject to change. To the extent the COVID-19 pandemic adversely affects our business and financial results, it may also have the effect of heightening many of the other risks described in this “Risk Factors” section, such as those relating to our clinical and nonclinical development operations, manufacturing activities, the supply chain for our ongoing and planned clinical trials and our ability and need to raise additional capital to support our operations.</w:t>
      </w:r>
    </w:p>
    <w:p>
      <w:pPr>
        <w:spacing w:after="0" w:line="18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Moreover, unforeseen global events, such as the armed conflict between Russia and Ukraine, could adversely impact our business and operations.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jc w:val="both"/>
        <w:ind w:left="460" w:right="180"/>
        <w:spacing w:after="0" w:line="268" w:lineRule="auto"/>
        <w:rPr>
          <w:sz w:val="20"/>
          <w:szCs w:val="20"/>
          <w:color w:val="auto"/>
        </w:rPr>
      </w:pPr>
      <w:r>
        <w:rPr>
          <w:rFonts w:ascii="Arial" w:cs="Arial" w:eastAsia="Arial" w:hAnsi="Arial"/>
          <w:sz w:val="16"/>
          <w:szCs w:val="16"/>
          <w:b w:val="1"/>
          <w:bCs w:val="1"/>
          <w:i w:val="1"/>
          <w:iCs w:val="1"/>
          <w:color w:val="auto"/>
        </w:rPr>
        <w:t>Disruptions at FDA, EMA and other government agencies caused by funding shortages or global health concerns such as COVID-19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59"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Even though the FDA has since resumed standard inspection operations of domestic facilities where feasible, any resurgence of the virus or emergence of new variants may lead to further inspectional delays. Foreign pre-approval and for-cause inspection assignments that are not deemed mission-critical remain temporarily postponed, while those deemed “mission-critical” are being considered for inspection on a case-by-case basis. Regulatory authorities outside the United States may adopt similar restrictions or other policy measures in response to the COVID-19 pandemic. In addition, regulatory agencies have generally reduced face-to-face interactions relative to the pre-pandemic situation which may 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16"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Our current strategy includes developing an extended-release formulation for the deucrictibant prophylactic indication (PHVS719). To date, we have studied a prospective extended-release formulation only in a single clinical study in healthy volunteers. We are planning to conduct an open-label, multiple dose study to assess the PK and safety of the extended-release formulation. If we pursue this development strategy, we expect to file for and obtain patents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185"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5" w:lineRule="exact"/>
        <w:rPr>
          <w:sz w:val="20"/>
          <w:szCs w:val="20"/>
          <w:color w:val="auto"/>
        </w:rPr>
      </w:pPr>
    </w:p>
    <w:p>
      <w:pPr>
        <w:ind w:right="20" w:firstLine="464"/>
        <w:spacing w:after="0" w:line="250"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conducting mid-stage clinical trials: we have completed a Phase 2 trial in the on-demand setting and have an ongoing Phase 2 trial in the prophylactic setting which we expect will provide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3" w:lineRule="exact"/>
        <w:rPr>
          <w:sz w:val="20"/>
          <w:szCs w:val="20"/>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3" w:lineRule="exact"/>
        <w:rPr>
          <w:rFonts w:ascii="Times New Roman" w:cs="Times New Roman" w:eastAsia="Times New Roman" w:hAnsi="Times New Roman"/>
          <w:sz w:val="16"/>
          <w:szCs w:val="16"/>
          <w:color w:val="auto"/>
        </w:rPr>
      </w:pPr>
    </w:p>
    <w:p>
      <w:pPr>
        <w:ind w:left="900" w:right="440" w:hanging="429"/>
        <w:spacing w:after="0" w:line="282"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COVID-19 pandemic;</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3"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49" w:lineRule="exact"/>
        <w:rPr>
          <w:rFonts w:ascii="Times New Roman" w:cs="Times New Roman" w:eastAsia="Times New Roman" w:hAnsi="Times New Roman"/>
          <w:sz w:val="16"/>
          <w:szCs w:val="16"/>
          <w:color w:val="auto"/>
        </w:rPr>
      </w:pPr>
    </w:p>
    <w:p>
      <w:pPr>
        <w:ind w:left="900" w:right="340" w:hanging="429"/>
        <w:spacing w:after="0" w:line="282"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us, or recommendations by data safety monitoring boards, to suspend or terminate clinical trials at any time for safety issues or for any other reason;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1"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81" w:lineRule="exact"/>
        <w:rPr>
          <w:sz w:val="20"/>
          <w:szCs w:val="20"/>
          <w:color w:val="auto"/>
        </w:rPr>
      </w:pPr>
    </w:p>
    <w:p>
      <w:pPr>
        <w:ind w:left="460" w:right="100"/>
        <w:spacing w:after="0" w:line="268"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5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deucrictibant as shown in preclinical, Phase 1 clinical trials, and a single Phase 2 clinical trial (RAPIDe-1). Potency as used in this Annual Report refers to the amount of drug required to produce a pharmacological effect of given intensity and is not a measure of therapeutic efficacy. We have released topline data demonstrating efficacy and tolerability in a Phase 2 clinical trial for treatment of attacks in our RAPIDe-1 study but have not completed assessment of efficacy for prevention of attacks in our CHAPTER-1 study. The results of preclinical studies and early clinical trials, as well as data from interim analysis of ongoing clinical trials, may not be predictive of the results of ongoing or future clinical trials.</w:t>
      </w:r>
    </w:p>
    <w:p>
      <w:pPr>
        <w:spacing w:after="0" w:line="18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8"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In addition, there is a constrained supply of some types of animals for research and nonclinical studies which has arisen as a consequence of the COVID-19 pandemic. This reduction in supply and the prioritization for COVID-19-related studies have severely restricted the availability of some types of animals for other pharmaceutical development programs and has the potential to significantly delay the nonclinical toxicology and developmental and reproductive toxicity studies.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18" w:lineRule="exact"/>
        <w:rPr>
          <w:sz w:val="20"/>
          <w:szCs w:val="20"/>
          <w:color w:val="auto"/>
        </w:rPr>
      </w:pPr>
    </w:p>
    <w:p>
      <w:pPr>
        <w:ind w:left="460" w:right="340"/>
        <w:spacing w:after="0" w:line="291"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2" w:lineRule="exact"/>
        <w:rPr>
          <w:sz w:val="20"/>
          <w:szCs w:val="20"/>
          <w:color w:val="auto"/>
        </w:rPr>
      </w:pPr>
    </w:p>
    <w:p>
      <w:pPr>
        <w:ind w:right="580" w:firstLine="458"/>
        <w:spacing w:after="0" w:line="264"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with or market our product candidates.</w:t>
      </w:r>
    </w:p>
    <w:p>
      <w:pPr>
        <w:spacing w:after="0" w:line="170" w:lineRule="exact"/>
        <w:rPr>
          <w:sz w:val="20"/>
          <w:szCs w:val="20"/>
          <w:color w:val="auto"/>
        </w:rPr>
      </w:pPr>
    </w:p>
    <w:p>
      <w:pPr>
        <w:ind w:firstLine="503"/>
        <w:spacing w:after="0" w:line="249" w:lineRule="auto"/>
        <w:rPr>
          <w:sz w:val="20"/>
          <w:szCs w:val="20"/>
          <w:color w:val="auto"/>
        </w:rPr>
      </w:pPr>
      <w:r>
        <w:rPr>
          <w:rFonts w:ascii="Arial" w:cs="Arial" w:eastAsia="Arial" w:hAnsi="Arial"/>
          <w:sz w:val="16"/>
          <w:szCs w:val="16"/>
          <w:color w:val="auto"/>
        </w:rPr>
        <w:t xml:space="preserve">Since the 1990s, many companies have tried but failed to discover oral B2 antagonists, as the bradykinin- 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 </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4" w:lineRule="exact"/>
        <w:rPr>
          <w:sz w:val="20"/>
          <w:szCs w:val="20"/>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pacing w:after="0" w:line="123" w:lineRule="exact"/>
        <w:rPr>
          <w:rFonts w:ascii="Times New Roman" w:cs="Times New Roman" w:eastAsia="Times New Roman" w:hAnsi="Times New Roman"/>
          <w:sz w:val="16"/>
          <w:szCs w:val="16"/>
          <w:color w:val="auto"/>
        </w:rPr>
      </w:pPr>
    </w:p>
    <w:p>
      <w:pPr>
        <w:ind w:left="900" w:right="540" w:hanging="429"/>
        <w:spacing w:after="0" w:line="282" w:lineRule="auto"/>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1"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0"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6"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7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PHVS416 and PHVS719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84"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59"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6" w:lineRule="exact"/>
        <w:rPr>
          <w:sz w:val="20"/>
          <w:szCs w:val="20"/>
          <w:color w:val="auto"/>
        </w:rPr>
      </w:pPr>
    </w:p>
    <w:p>
      <w:pPr>
        <w:ind w:right="220" w:firstLine="458"/>
        <w:spacing w:after="0" w:line="264"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375" w:lineRule="exact"/>
        <w:rPr>
          <w:sz w:val="20"/>
          <w:szCs w:val="20"/>
          <w:color w:val="auto"/>
        </w:rPr>
      </w:pPr>
    </w:p>
    <w:p>
      <w:pPr>
        <w:ind w:left="460" w:right="180"/>
        <w:spacing w:after="0" w:line="291"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79" w:lineRule="exact"/>
        <w:rPr>
          <w:sz w:val="20"/>
          <w:szCs w:val="20"/>
          <w:color w:val="auto"/>
        </w:rPr>
      </w:pPr>
    </w:p>
    <w:p>
      <w:pPr>
        <w:ind w:right="40" w:firstLine="503"/>
        <w:spacing w:after="0" w:line="248"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While the Biden administration has proposed to repeal, or delayed implementation of, certain of the actions taken by the Trump administration,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83"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1"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in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1"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18" w:lineRule="exact"/>
        <w:rPr>
          <w:sz w:val="20"/>
          <w:szCs w:val="20"/>
          <w:color w:val="auto"/>
        </w:rPr>
      </w:pPr>
    </w:p>
    <w:p>
      <w:pPr>
        <w:ind w:left="460" w:right="300"/>
        <w:spacing w:after="0" w:line="29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42"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183" w:lineRule="exact"/>
        <w:rPr>
          <w:sz w:val="20"/>
          <w:szCs w:val="20"/>
          <w:color w:val="auto"/>
        </w:rPr>
      </w:pPr>
    </w:p>
    <w:p>
      <w:pPr>
        <w:ind w:left="460" w:right="20"/>
        <w:spacing w:after="0" w:line="268"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59"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79"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In the first quarter of 2021, we learned that one of our CDMOs discovered a packaging issue with certain batches of packaging of softgel capsules for our RAPIDe-1 trial. The issue was investigated and we commenced the RAPIDe-1 trial for on-demand treatment of HAE attacks in February 2021.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86"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88"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1"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7" w:lineRule="exact"/>
        <w:rPr>
          <w:sz w:val="20"/>
          <w:szCs w:val="20"/>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3" w:lineRule="exact"/>
        <w:rPr>
          <w:rFonts w:ascii="Times New Roman" w:cs="Times New Roman" w:eastAsia="Times New Roman" w:hAnsi="Times New Roman"/>
          <w:sz w:val="16"/>
          <w:szCs w:val="16"/>
          <w:color w:val="auto"/>
        </w:rPr>
      </w:pPr>
    </w:p>
    <w:p>
      <w:pPr>
        <w:ind w:left="900" w:right="240" w:hanging="429"/>
        <w:spacing w:after="0" w:line="282"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w:t>
      </w:r>
    </w:p>
    <w:p>
      <w:pPr>
        <w:spacing w:after="0" w:line="231"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2"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81" w:lineRule="exact"/>
        <w:rPr>
          <w:sz w:val="20"/>
          <w:szCs w:val="20"/>
          <w:color w:val="auto"/>
        </w:rPr>
      </w:pPr>
    </w:p>
    <w:p>
      <w:pPr>
        <w:jc w:val="both"/>
        <w:ind w:right="40" w:firstLine="458"/>
        <w:spacing w:after="0" w:line="257"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9"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7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86" w:lineRule="exact"/>
        <w:rPr>
          <w:sz w:val="20"/>
          <w:szCs w:val="20"/>
          <w:color w:val="auto"/>
        </w:rPr>
      </w:pPr>
    </w:p>
    <w:p>
      <w:pPr>
        <w:ind w:right="60" w:firstLine="458"/>
        <w:spacing w:after="0" w:line="247"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the CJEU, declared the Privacy Shield to be invalid. The CJEU upheld the validity of the standard contractual clauses, or SCCs, as a legal mechanism to transfer personal data but companies relying on SCCs will, subject to additional guidance from regulators in the EEA, need to evaluate and implement supplementary measures that provide privacy protections additional to those provided under SCCs. In turn, the findings of the CJEU will have significant implications for cross-border data flows. Further, the GDPR provides that countries in the EEA may establish their own laws and regulations further restricting the processing of certain personal data, including genetic data, biometric data, and health data.</w:t>
      </w:r>
    </w:p>
    <w:p>
      <w:pPr>
        <w:spacing w:after="0" w:line="191"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2"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or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83" w:lineRule="exact"/>
        <w:rPr>
          <w:sz w:val="20"/>
          <w:szCs w:val="20"/>
          <w:color w:val="auto"/>
        </w:rPr>
      </w:pPr>
    </w:p>
    <w:p>
      <w:pPr>
        <w:ind w:left="460" w:right="580"/>
        <w:spacing w:after="0" w:line="291"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2"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are a party to certain agreements, including clinical trial agreements and licensing agreements that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18" w:lineRule="exact"/>
        <w:rPr>
          <w:sz w:val="20"/>
          <w:szCs w:val="20"/>
          <w:color w:val="auto"/>
        </w:rPr>
      </w:pPr>
    </w:p>
    <w:p>
      <w:pPr>
        <w:ind w:left="460" w:right="260"/>
        <w:spacing w:after="0" w:line="268" w:lineRule="auto"/>
        <w:rPr>
          <w:sz w:val="20"/>
          <w:szCs w:val="20"/>
          <w:color w:val="auto"/>
        </w:rPr>
      </w:pPr>
      <w:r>
        <w:rPr>
          <w:rFonts w:ascii="Arial" w:cs="Arial" w:eastAsia="Arial" w:hAnsi="Arial"/>
          <w:sz w:val="16"/>
          <w:szCs w:val="16"/>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159"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900" w:right="160" w:hanging="429"/>
        <w:spacing w:after="0" w:line="282"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Also, the results obtained in our PHA-0221121- C001 and PHA-022121-C002 clinical trials may not be comparable to results that may be produced during the further development of our deucrictibant-containing product candidates.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79"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Moreover, if we are successful in developing both PHVS416 and PHVS719, we cannot accurately predict the proportion of patients choosing prophylactic or on-demand only treatment regimens.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6"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nonclinical studies or clinical trials regarding the safety of our product candidates, which we have not planned or anticipated. For instance, we are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77"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83"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2" w:lineRule="exact"/>
        <w:rPr>
          <w:sz w:val="20"/>
          <w:szCs w:val="20"/>
          <w:color w:val="auto"/>
        </w:rPr>
      </w:pPr>
    </w:p>
    <w:p>
      <w:pPr>
        <w:ind w:right="180" w:firstLine="458"/>
        <w:spacing w:after="0" w:line="254"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3" w:lineRule="exact"/>
        <w:rPr>
          <w:rFonts w:ascii="Times New Roman" w:cs="Times New Roman" w:eastAsia="Times New Roman" w:hAnsi="Times New Roman"/>
          <w:sz w:val="16"/>
          <w:szCs w:val="16"/>
          <w:color w:val="auto"/>
        </w:rPr>
      </w:pPr>
    </w:p>
    <w:p>
      <w:pPr>
        <w:ind w:left="900" w:right="440" w:hanging="429"/>
        <w:spacing w:after="0" w:line="282"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9" w:lineRule="exact"/>
        <w:rPr>
          <w:rFonts w:ascii="Times New Roman" w:cs="Times New Roman" w:eastAsia="Times New Roman" w:hAnsi="Times New Roman"/>
          <w:sz w:val="16"/>
          <w:szCs w:val="16"/>
          <w:color w:val="auto"/>
        </w:rPr>
      </w:pPr>
    </w:p>
    <w:p>
      <w:pPr>
        <w:ind w:left="900" w:right="360" w:hanging="429"/>
        <w:spacing w:after="0" w:line="282"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9" w:lineRule="exact"/>
        <w:rPr>
          <w:rFonts w:ascii="Times New Roman" w:cs="Times New Roman" w:eastAsia="Times New Roman" w:hAnsi="Times New Roman"/>
          <w:sz w:val="16"/>
          <w:szCs w:val="16"/>
          <w:color w:val="auto"/>
        </w:rPr>
      </w:pPr>
    </w:p>
    <w:p>
      <w:pPr>
        <w:ind w:left="900" w:right="480" w:hanging="429"/>
        <w:spacing w:after="0" w:line="282"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79"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 —B. Business overview—Competition,”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6"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185" w:lineRule="exact"/>
        <w:rPr>
          <w:sz w:val="20"/>
          <w:szCs w:val="20"/>
          <w:color w:val="auto"/>
        </w:rPr>
      </w:pPr>
    </w:p>
    <w:p>
      <w:pPr>
        <w:ind w:left="460" w:right="660"/>
        <w:spacing w:after="0" w:line="291"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2"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7"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172" w:lineRule="exact"/>
        <w:rPr>
          <w:sz w:val="20"/>
          <w:szCs w:val="20"/>
          <w:color w:val="auto"/>
        </w:rPr>
      </w:pPr>
    </w:p>
    <w:p>
      <w:pPr>
        <w:jc w:val="both"/>
        <w:ind w:left="460" w:right="640"/>
        <w:spacing w:after="0" w:line="268"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59" w:lineRule="exact"/>
        <w:rPr>
          <w:sz w:val="20"/>
          <w:szCs w:val="20"/>
          <w:color w:val="auto"/>
        </w:rPr>
      </w:pPr>
    </w:p>
    <w:p>
      <w:pPr>
        <w:ind w:right="180" w:firstLine="458"/>
        <w:spacing w:after="0" w:line="252"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79"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1"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440" w:firstLine="458"/>
        <w:spacing w:after="0" w:line="264"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2" w:lineRule="exact"/>
        <w:rPr>
          <w:sz w:val="20"/>
          <w:szCs w:val="20"/>
          <w:color w:val="auto"/>
        </w:rPr>
      </w:pPr>
    </w:p>
    <w:p>
      <w:pPr>
        <w:ind w:left="460" w:right="880"/>
        <w:spacing w:after="0" w:line="291"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4"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5" w:lineRule="exact"/>
        <w:rPr>
          <w:sz w:val="20"/>
          <w:szCs w:val="20"/>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1"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right="220" w:firstLine="458"/>
        <w:spacing w:after="0" w:line="257"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79" w:lineRule="exact"/>
        <w:rPr>
          <w:sz w:val="20"/>
          <w:szCs w:val="20"/>
          <w:color w:val="auto"/>
        </w:rPr>
      </w:pPr>
    </w:p>
    <w:p>
      <w:pPr>
        <w:ind w:left="460" w:right="280"/>
        <w:spacing w:after="0" w:line="291"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2"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200"/>
        <w:spacing w:after="0" w:line="268"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5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85"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374"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179" w:lineRule="exact"/>
        <w:rPr>
          <w:sz w:val="20"/>
          <w:szCs w:val="20"/>
          <w:color w:val="auto"/>
        </w:rPr>
      </w:pPr>
    </w:p>
    <w:p>
      <w:pPr>
        <w:ind w:left="460" w:right="500"/>
        <w:spacing w:after="0" w:line="291"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2"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600"/>
        <w:spacing w:after="0" w:line="268"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59"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1" w:lineRule="exact"/>
        <w:rPr>
          <w:sz w:val="20"/>
          <w:szCs w:val="20"/>
          <w:color w:val="auto"/>
        </w:rPr>
      </w:pPr>
    </w:p>
    <w:p>
      <w:pPr>
        <w:ind w:left="900" w:right="340" w:hanging="429"/>
        <w:spacing w:after="0" w:line="282"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9" w:lineRule="exact"/>
        <w:rPr>
          <w:rFonts w:ascii="Times New Roman" w:cs="Times New Roman" w:eastAsia="Times New Roman" w:hAnsi="Times New Roman"/>
          <w:sz w:val="16"/>
          <w:szCs w:val="16"/>
          <w:color w:val="auto"/>
        </w:rPr>
      </w:pPr>
    </w:p>
    <w:p>
      <w:pPr>
        <w:ind w:left="900" w:right="120" w:hanging="429"/>
        <w:spacing w:after="0" w:line="282"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9" w:lineRule="exact"/>
        <w:rPr>
          <w:rFonts w:ascii="Times New Roman" w:cs="Times New Roman" w:eastAsia="Times New Roman" w:hAnsi="Times New Roman"/>
          <w:sz w:val="16"/>
          <w:szCs w:val="16"/>
          <w:color w:val="auto"/>
        </w:rPr>
      </w:pPr>
    </w:p>
    <w:p>
      <w:pPr>
        <w:ind w:left="900" w:right="220" w:hanging="429"/>
        <w:spacing w:after="0" w:line="263"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123" w:lineRule="exact"/>
        <w:rPr>
          <w:rFonts w:ascii="Times New Roman" w:cs="Times New Roman" w:eastAsia="Times New Roman" w:hAnsi="Times New Roman"/>
          <w:sz w:val="16"/>
          <w:szCs w:val="16"/>
          <w:color w:val="auto"/>
        </w:rPr>
      </w:pPr>
    </w:p>
    <w:p>
      <w:pPr>
        <w:jc w:val="both"/>
        <w:ind w:left="900" w:right="340" w:hanging="429"/>
        <w:spacing w:after="0" w:line="263"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4" w:lineRule="exact"/>
        <w:rPr>
          <w:rFonts w:ascii="Times New Roman" w:cs="Times New Roman" w:eastAsia="Times New Roman" w:hAnsi="Times New Roman"/>
          <w:sz w:val="16"/>
          <w:szCs w:val="16"/>
          <w:color w:val="auto"/>
        </w:rPr>
      </w:pPr>
    </w:p>
    <w:p>
      <w:pPr>
        <w:ind w:left="900" w:right="160" w:hanging="429"/>
        <w:spacing w:after="0" w:line="282"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7" w:lineRule="exact"/>
        <w:rPr>
          <w:sz w:val="20"/>
          <w:szCs w:val="20"/>
          <w:color w:val="auto"/>
        </w:rPr>
      </w:pPr>
    </w:p>
    <w:p>
      <w:pPr>
        <w:ind w:right="60" w:firstLine="458"/>
        <w:spacing w:after="0" w:line="283"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58"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18"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159"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“ITEM 4. INFORMATION ON THE COMPANY—B. Business overview—License Agreement.”</w:t>
      </w:r>
    </w:p>
    <w:p>
      <w:pPr>
        <w:spacing w:after="0" w:line="184" w:lineRule="exact"/>
        <w:rPr>
          <w:sz w:val="20"/>
          <w:szCs w:val="20"/>
          <w:color w:val="auto"/>
        </w:rPr>
      </w:pPr>
    </w:p>
    <w:p>
      <w:pPr>
        <w:ind w:left="460" w:right="440"/>
        <w:spacing w:after="0" w:line="291"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b w:val="1"/>
          <w:bCs w:val="1"/>
          <w:i w:val="1"/>
          <w:iCs w:val="1"/>
          <w:color w:val="auto"/>
        </w:rPr>
        <w:t>develop and commercialize products and technology similar or identical to ours, and our ability to successfully commercialize any product candidates or technology we may develop may be adversely affected.</w:t>
      </w:r>
    </w:p>
    <w:p>
      <w:pPr>
        <w:spacing w:after="0" w:line="142"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w:t>
      </w:r>
    </w:p>
    <w:p>
      <w:pPr>
        <w:spacing w:after="0" w:line="179"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9" w:lineRule="exact"/>
        <w:rPr>
          <w:sz w:val="20"/>
          <w:szCs w:val="20"/>
          <w:color w:val="auto"/>
        </w:rPr>
      </w:pPr>
    </w:p>
    <w:p>
      <w:pPr>
        <w:ind w:left="900" w:right="40" w:hanging="429"/>
        <w:spacing w:after="0" w:line="263"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3" w:lineRule="exact"/>
        <w:rPr>
          <w:rFonts w:ascii="Times New Roman" w:cs="Times New Roman" w:eastAsia="Times New Roman" w:hAnsi="Times New Roman"/>
          <w:sz w:val="16"/>
          <w:szCs w:val="16"/>
          <w:color w:val="auto"/>
        </w:rPr>
      </w:pPr>
    </w:p>
    <w:p>
      <w:pPr>
        <w:ind w:left="900" w:right="760" w:hanging="429"/>
        <w:spacing w:after="0" w:line="282"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9" w:lineRule="exact"/>
        <w:rPr>
          <w:rFonts w:ascii="Times New Roman" w:cs="Times New Roman" w:eastAsia="Times New Roman" w:hAnsi="Times New Roman"/>
          <w:sz w:val="16"/>
          <w:szCs w:val="16"/>
          <w:color w:val="auto"/>
        </w:rPr>
      </w:pPr>
    </w:p>
    <w:p>
      <w:pPr>
        <w:ind w:left="900" w:hanging="429"/>
        <w:spacing w:after="0" w:line="263"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4" w:lineRule="exact"/>
        <w:rPr>
          <w:rFonts w:ascii="Times New Roman" w:cs="Times New Roman" w:eastAsia="Times New Roman" w:hAnsi="Times New Roman"/>
          <w:sz w:val="16"/>
          <w:szCs w:val="16"/>
          <w:color w:val="auto"/>
        </w:rPr>
      </w:pPr>
    </w:p>
    <w:p>
      <w:pPr>
        <w:ind w:left="900" w:right="400" w:hanging="429"/>
        <w:spacing w:after="0" w:line="263"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4"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7"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then our rights to such intellectual property, and ultimately our ability to protect our candidate products, may be adversely affected.</w:t>
      </w:r>
    </w:p>
    <w:p>
      <w:pPr>
        <w:spacing w:after="0" w:line="156"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that we may own in the future, if any), or that we were the first to file for patent protection of such inventions.</w:t>
      </w:r>
    </w:p>
    <w:p>
      <w:pPr>
        <w:spacing w:after="0" w:line="188"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2"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79" w:lineRule="exact"/>
        <w:rPr>
          <w:sz w:val="20"/>
          <w:szCs w:val="20"/>
          <w:color w:val="auto"/>
        </w:rPr>
      </w:pPr>
    </w:p>
    <w:p>
      <w:pPr>
        <w:ind w:right="240" w:firstLine="458"/>
        <w:spacing w:after="0" w:line="257"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protecting aspects of our product candidates and technology, such as product improvements, formulations, methods of production or novel uses of the relevant product candidates.</w:t>
      </w:r>
    </w:p>
    <w:p>
      <w:pPr>
        <w:spacing w:after="0" w:line="156" w:lineRule="exact"/>
        <w:rPr>
          <w:sz w:val="20"/>
          <w:szCs w:val="20"/>
          <w:color w:val="auto"/>
        </w:rPr>
      </w:pPr>
    </w:p>
    <w:p>
      <w:pPr>
        <w:ind w:right="20" w:firstLine="458"/>
        <w:spacing w:after="0" w:line="247" w:lineRule="auto"/>
        <w:rPr>
          <w:sz w:val="20"/>
          <w:szCs w:val="20"/>
          <w:color w:val="auto"/>
        </w:rPr>
      </w:pPr>
      <w:r>
        <w:rPr>
          <w:rFonts w:ascii="Arial" w:cs="Arial" w:eastAsia="Arial" w:hAnsi="Arial"/>
          <w:sz w:val="16"/>
          <w:szCs w:val="16"/>
          <w:color w:val="auto"/>
        </w:rPr>
        <w:t>In addition, patents have a limited lifespan. For example, if renewal fees are paid timely,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8"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2"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7"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8"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6"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7"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 &amp;BRCA2-Based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pacing w:after="0" w:line="184"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2"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85"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2" w:lineRule="exact"/>
        <w:rPr>
          <w:sz w:val="20"/>
          <w:szCs w:val="20"/>
          <w:color w:val="auto"/>
        </w:rPr>
      </w:pPr>
    </w:p>
    <w:p>
      <w:pPr>
        <w:ind w:right="100" w:firstLine="458"/>
        <w:spacing w:after="0" w:line="247"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production, manufacture, commercialization or use of our product candidates and technology. In addition, the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1" w:lineRule="exact"/>
        <w:rPr>
          <w:sz w:val="20"/>
          <w:szCs w:val="20"/>
          <w:color w:val="auto"/>
        </w:rPr>
      </w:pPr>
    </w:p>
    <w:p>
      <w:pPr>
        <w:ind w:left="900" w:hanging="429"/>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3" w:lineRule="exact"/>
        <w:rPr>
          <w:rFonts w:ascii="Times New Roman" w:cs="Times New Roman" w:eastAsia="Times New Roman" w:hAnsi="Times New Roman"/>
          <w:sz w:val="16"/>
          <w:szCs w:val="16"/>
          <w:color w:val="auto"/>
        </w:rPr>
      </w:pPr>
    </w:p>
    <w:p>
      <w:pPr>
        <w:ind w:left="900" w:right="20" w:hanging="429"/>
        <w:spacing w:after="0" w:line="257"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Times New Roman" w:cs="Times New Roman" w:eastAsia="Times New Roman" w:hAnsi="Times New Roman"/>
          <w:sz w:val="16"/>
          <w:szCs w:val="16"/>
          <w:color w:val="auto"/>
        </w:rPr>
      </w:pPr>
    </w:p>
    <w:p>
      <w:pPr>
        <w:ind w:left="900" w:hanging="429"/>
        <w:spacing w:after="0" w:line="282"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9" w:lineRule="exact"/>
        <w:rPr>
          <w:rFonts w:ascii="Times New Roman" w:cs="Times New Roman" w:eastAsia="Times New Roman" w:hAnsi="Times New Roman"/>
          <w:sz w:val="16"/>
          <w:szCs w:val="16"/>
          <w:color w:val="auto"/>
        </w:rPr>
      </w:pPr>
    </w:p>
    <w:p>
      <w:pPr>
        <w:ind w:left="900" w:right="220" w:hanging="429"/>
        <w:spacing w:after="0" w:line="282"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18"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88"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2" w:lineRule="exact"/>
        <w:rPr>
          <w:sz w:val="20"/>
          <w:szCs w:val="20"/>
          <w:color w:val="auto"/>
        </w:rPr>
      </w:pPr>
    </w:p>
    <w:p>
      <w:pPr>
        <w:ind w:right="180" w:firstLine="458"/>
        <w:spacing w:after="0" w:line="252"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720"/>
        <w:spacing w:after="0" w:line="283" w:lineRule="auto"/>
        <w:rPr>
          <w:sz w:val="20"/>
          <w:szCs w:val="20"/>
          <w:color w:val="auto"/>
        </w:rPr>
      </w:pPr>
      <w:r>
        <w:rPr>
          <w:rFonts w:ascii="Arial" w:cs="Arial" w:eastAsia="Arial" w:hAnsi="Arial"/>
          <w:sz w:val="16"/>
          <w:szCs w:val="16"/>
          <w:color w:val="auto"/>
        </w:rPr>
        <w:t>jurisdictions, with an uncertain outcome and which may have a material adverse effect on our business, financial condition, results of operations and prospects.</w:t>
      </w:r>
    </w:p>
    <w:p>
      <w:pPr>
        <w:spacing w:after="0" w:line="156"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jc w:val="both"/>
        <w:ind w:left="460" w:right="140"/>
        <w:spacing w:after="0" w:line="268"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59" w:lineRule="exact"/>
        <w:rPr>
          <w:sz w:val="20"/>
          <w:szCs w:val="20"/>
          <w:color w:val="auto"/>
        </w:rPr>
      </w:pPr>
    </w:p>
    <w:p>
      <w:pPr>
        <w:ind w:right="260" w:firstLine="458"/>
        <w:spacing w:after="0" w:line="251"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w:t>
      </w:r>
    </w:p>
    <w:p>
      <w:pPr>
        <w:spacing w:after="0" w:line="185"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6"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9" w:lineRule="exact"/>
        <w:rPr>
          <w:sz w:val="20"/>
          <w:szCs w:val="20"/>
          <w:color w:val="auto"/>
        </w:rPr>
      </w:pPr>
    </w:p>
    <w:p>
      <w:pPr>
        <w:ind w:left="900" w:right="400" w:hanging="429"/>
        <w:spacing w:after="0" w:line="282"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9"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9" w:lineRule="exact"/>
        <w:rPr>
          <w:rFonts w:ascii="Times New Roman" w:cs="Times New Roman" w:eastAsia="Times New Roman" w:hAnsi="Times New Roman"/>
          <w:sz w:val="16"/>
          <w:szCs w:val="16"/>
          <w:color w:val="auto"/>
        </w:rPr>
      </w:pPr>
    </w:p>
    <w:p>
      <w:pPr>
        <w:ind w:left="900" w:right="340" w:hanging="429"/>
        <w:spacing w:after="0" w:line="282"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62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3" w:lineRule="exact"/>
        <w:rPr>
          <w:rFonts w:ascii="Times New Roman" w:cs="Times New Roman" w:eastAsia="Times New Roman" w:hAnsi="Times New Roman"/>
          <w:sz w:val="16"/>
          <w:szCs w:val="16"/>
          <w:color w:val="auto"/>
        </w:rPr>
      </w:pPr>
    </w:p>
    <w:p>
      <w:pPr>
        <w:ind w:left="900" w:right="80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that we may hold rights to may be held invalid or unenforceable, including as a result of legal challenges by our competitors;</w:t>
      </w:r>
    </w:p>
    <w:p>
      <w:pPr>
        <w:spacing w:after="0" w:line="49"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develop additional proprietary technologies that are patentable;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3" w:lineRule="exact"/>
        <w:rPr>
          <w:rFonts w:ascii="Times New Roman" w:cs="Times New Roman" w:eastAsia="Times New Roman" w:hAnsi="Times New Roman"/>
          <w:sz w:val="16"/>
          <w:szCs w:val="16"/>
          <w:color w:val="auto"/>
        </w:rPr>
      </w:pPr>
    </w:p>
    <w:p>
      <w:pPr>
        <w:ind w:left="900" w:right="48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 party may subsequently file a patent covering such intellectual property.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1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70"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1" w:lineRule="exact"/>
        <w:rPr>
          <w:sz w:val="20"/>
          <w:szCs w:val="20"/>
          <w:color w:val="auto"/>
        </w:rPr>
      </w:pPr>
    </w:p>
    <w:p>
      <w:pPr>
        <w:ind w:left="900" w:right="40" w:hanging="429"/>
        <w:spacing w:after="0" w:line="257"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69" w:lineRule="exact"/>
        <w:rPr>
          <w:rFonts w:ascii="Times New Roman" w:cs="Times New Roman" w:eastAsia="Times New Roman" w:hAnsi="Times New Roman"/>
          <w:sz w:val="16"/>
          <w:szCs w:val="16"/>
          <w:color w:val="auto"/>
        </w:rPr>
      </w:pPr>
    </w:p>
    <w:p>
      <w:pPr>
        <w:ind w:left="900" w:right="60" w:hanging="429"/>
        <w:spacing w:after="0" w:line="257"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Times New Roman" w:cs="Times New Roman" w:eastAsia="Times New Roman" w:hAnsi="Times New Roman"/>
          <w:sz w:val="16"/>
          <w:szCs w:val="16"/>
          <w:color w:val="auto"/>
        </w:rPr>
      </w:pPr>
    </w:p>
    <w:p>
      <w:pPr>
        <w:ind w:left="900" w:right="60" w:hanging="429"/>
        <w:spacing w:after="0" w:line="263"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4" w:lineRule="exact"/>
        <w:rPr>
          <w:rFonts w:ascii="Times New Roman" w:cs="Times New Roman" w:eastAsia="Times New Roman" w:hAnsi="Times New Roman"/>
          <w:sz w:val="16"/>
          <w:szCs w:val="16"/>
          <w:color w:val="auto"/>
        </w:rPr>
      </w:pPr>
    </w:p>
    <w:p>
      <w:pPr>
        <w:ind w:left="900" w:hanging="429"/>
        <w:spacing w:after="0" w:line="257"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80" w:hanging="429"/>
        <w:spacing w:after="0" w:line="257"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ind w:left="900" w:right="260" w:hanging="429"/>
        <w:spacing w:after="0" w:line="263"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laws in all 50 U.S. states require businesses to provide notice to customers whose personally identifiable information has been disclosed as a result of a data breach, and certain U.S. state laws impose particular requirements relating to the handling of sensitive data, such as health information;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220" w:hanging="429"/>
        <w:spacing w:after="0" w:line="254"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1" w:lineRule="exact"/>
        <w:rPr>
          <w:rFonts w:ascii="Times New Roman" w:cs="Times New Roman" w:eastAsia="Times New Roman" w:hAnsi="Times New Roman"/>
          <w:sz w:val="16"/>
          <w:szCs w:val="16"/>
          <w:color w:val="auto"/>
        </w:rPr>
      </w:pPr>
    </w:p>
    <w:p>
      <w:pPr>
        <w:ind w:left="900" w:right="54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9"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9" w:lineRule="exact"/>
        <w:rPr>
          <w:rFonts w:ascii="Times New Roman" w:cs="Times New Roman" w:eastAsia="Times New Roman" w:hAnsi="Times New Roman"/>
          <w:sz w:val="16"/>
          <w:szCs w:val="16"/>
          <w:color w:val="auto"/>
        </w:rPr>
      </w:pPr>
    </w:p>
    <w:p>
      <w:pPr>
        <w:ind w:left="900" w:right="40" w:hanging="429"/>
        <w:spacing w:after="0" w:line="263"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4" w:lineRule="exact"/>
        <w:rPr>
          <w:rFonts w:ascii="Times New Roman" w:cs="Times New Roman" w:eastAsia="Times New Roman" w:hAnsi="Times New Roman"/>
          <w:sz w:val="16"/>
          <w:szCs w:val="16"/>
          <w:color w:val="auto"/>
        </w:rPr>
      </w:pPr>
    </w:p>
    <w:p>
      <w:pPr>
        <w:ind w:left="900" w:right="34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 related activities, drug price transparency disclosures, and other practices; and</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w:t>
      </w:r>
    </w:p>
    <w:p>
      <w:pPr>
        <w:spacing w:after="0" w:line="23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77"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5" w:lineRule="exact"/>
        <w:rPr>
          <w:sz w:val="20"/>
          <w:szCs w:val="20"/>
          <w:color w:val="auto"/>
        </w:rPr>
      </w:pPr>
    </w:p>
    <w:p>
      <w:pPr>
        <w:ind w:right="460" w:firstLine="458"/>
        <w:spacing w:after="0" w:line="283"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6" w:lineRule="exact"/>
        <w:rPr>
          <w:sz w:val="20"/>
          <w:szCs w:val="20"/>
          <w:color w:val="auto"/>
        </w:rPr>
      </w:pPr>
    </w:p>
    <w:p>
      <w:pPr>
        <w:ind w:right="800" w:firstLine="458"/>
        <w:spacing w:after="0" w:line="283"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9" w:lineRule="exact"/>
        <w:rPr>
          <w:sz w:val="20"/>
          <w:szCs w:val="20"/>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3" w:lineRule="exact"/>
        <w:rPr>
          <w:rFonts w:ascii="Times New Roman" w:cs="Times New Roman" w:eastAsia="Times New Roman" w:hAnsi="Times New Roman"/>
          <w:sz w:val="16"/>
          <w:szCs w:val="16"/>
          <w:color w:val="auto"/>
        </w:rPr>
      </w:pPr>
    </w:p>
    <w:p>
      <w:pPr>
        <w:ind w:left="900" w:right="440" w:hanging="429"/>
        <w:spacing w:after="0" w:line="282" w:lineRule="auto"/>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59" w:lineRule="exact"/>
        <w:rPr>
          <w:sz w:val="20"/>
          <w:szCs w:val="20"/>
          <w:color w:val="auto"/>
        </w:rPr>
      </w:pPr>
    </w:p>
    <w:p>
      <w:pPr>
        <w:ind w:left="460" w:right="300"/>
        <w:spacing w:after="0" w:line="291"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18" w:lineRule="exact"/>
        <w:rPr>
          <w:sz w:val="20"/>
          <w:szCs w:val="20"/>
          <w:color w:val="auto"/>
        </w:rPr>
      </w:pPr>
    </w:p>
    <w:p>
      <w:pPr>
        <w:ind w:left="460" w:right="40"/>
        <w:spacing w:after="0" w:line="268"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environmental compliance or remediation activities which may adversely affect our business and financial condition.</w:t>
      </w:r>
    </w:p>
    <w:p>
      <w:pPr>
        <w:spacing w:after="0" w:line="15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83" w:lineRule="exact"/>
        <w:rPr>
          <w:sz w:val="20"/>
          <w:szCs w:val="20"/>
          <w:color w:val="auto"/>
        </w:rPr>
      </w:pPr>
    </w:p>
    <w:p>
      <w:pPr>
        <w:ind w:right="220" w:firstLine="458"/>
        <w:spacing w:after="0" w:line="257"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77"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Environmental, health and safety laws and regulations are becoming more stringent and enforcement is prioritized. We may be required to incur substantial expenses in connection with current and future environmental, health and/ or safety compliance, our duty of care in this regard, remediation obligations and/or measurement obligations, in which case, our production and development efforts may be interrupted or delayed and our financial condition and results of operations may be materially adversely affected.</w:t>
      </w:r>
    </w:p>
    <w:p>
      <w:pPr>
        <w:spacing w:after="0" w:line="179" w:lineRule="exact"/>
        <w:rPr>
          <w:sz w:val="20"/>
          <w:szCs w:val="20"/>
          <w:color w:val="auto"/>
        </w:rPr>
      </w:pPr>
    </w:p>
    <w:p>
      <w:pPr>
        <w:ind w:left="460" w:right="40"/>
        <w:spacing w:after="0" w:line="268"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8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79"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18"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2" w:lineRule="exact"/>
        <w:rPr>
          <w:sz w:val="20"/>
          <w:szCs w:val="20"/>
          <w:color w:val="auto"/>
        </w:rPr>
      </w:pPr>
    </w:p>
    <w:p>
      <w:pPr>
        <w:jc w:val="both"/>
        <w:ind w:right="20" w:firstLine="458"/>
        <w:spacing w:after="0" w:line="257"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6"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As of March 10, 2023, our significant shareholders beneficially owned ordinary shares representing approximately 63.09% of our outstanding ordinary shares. For more information regarding our significant shareholders, please see “ITEM 7. MAJOR SHAREHOLDERS AND RELATED PARTY TRANSACTIONS—A. Major Shareholders.”</w:t>
      </w:r>
    </w:p>
    <w:p>
      <w:pPr>
        <w:spacing w:after="0" w:line="17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81" w:lineRule="exact"/>
        <w:rPr>
          <w:sz w:val="20"/>
          <w:szCs w:val="20"/>
          <w:color w:val="auto"/>
        </w:rPr>
      </w:pPr>
    </w:p>
    <w:p>
      <w:pPr>
        <w:ind w:left="460" w:right="240"/>
        <w:spacing w:after="0" w:line="268"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59"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7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Under our Articles of Association,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83"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2" w:lineRule="exact"/>
        <w:rPr>
          <w:sz w:val="20"/>
          <w:szCs w:val="20"/>
          <w:color w:val="auto"/>
        </w:rPr>
      </w:pPr>
    </w:p>
    <w:p>
      <w:pPr>
        <w:ind w:left="460" w:right="320"/>
        <w:spacing w:after="0" w:line="291"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 with which you do not agree and in ways that may not yield a return on your investment.</w:t>
      </w:r>
    </w:p>
    <w:p>
      <w:pPr>
        <w:spacing w:after="0" w:line="155"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As of December 31, 2022, we had €161.8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81"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2"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We had a total of 33,816,459 ordinary shares outstanding as of March 10, 2023.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6"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ind w:left="460" w:right="140"/>
        <w:spacing w:after="0" w:line="268"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59" w:lineRule="exact"/>
        <w:rPr>
          <w:sz w:val="20"/>
          <w:szCs w:val="20"/>
          <w:color w:val="auto"/>
        </w:rPr>
      </w:pPr>
    </w:p>
    <w:p>
      <w:pPr>
        <w:ind w:right="480" w:firstLine="458"/>
        <w:spacing w:after="0" w:line="283"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77" w:lineRule="exact"/>
        <w:rPr>
          <w:sz w:val="20"/>
          <w:szCs w:val="20"/>
          <w:color w:val="auto"/>
        </w:rPr>
      </w:pPr>
    </w:p>
    <w:p>
      <w:pPr>
        <w:ind w:right="80" w:firstLine="458"/>
        <w:spacing w:after="0" w:line="248"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5620I, which requires an issuer to provide in its bylaws for a generally applicable quorum, and that such quorum may not be less than one-third of the outstanding voting stock. 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87"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2"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7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185" w:lineRule="exact"/>
        <w:rPr>
          <w:sz w:val="20"/>
          <w:szCs w:val="20"/>
          <w:color w:val="auto"/>
        </w:rPr>
      </w:pPr>
    </w:p>
    <w:p>
      <w:pPr>
        <w:ind w:left="460" w:right="660"/>
        <w:spacing w:after="0" w:line="291"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14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an exemption from the auditor attestation requirement in the assessment of our internal control over financial reporting pursuant to the Sarbanes-Oxley Act; and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may take advantage of these provisions until such time that we are no longer an emerging growth company. We would cease to be an emerging growth company on December 31, 2026 (the last day of our fiscal year following the fifth anniversary of the date of the completion of our initial public offering in February 2021) or earlier if we have more than $1.24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We have taken advantage of reduced reporting requirements in this Annual Report. Accordingly, the information contained herein may be different than the information you receive from other public companies in which you hold equity securities.</w:t>
      </w:r>
    </w:p>
    <w:p>
      <w:pPr>
        <w:spacing w:after="0" w:line="184" w:lineRule="exact"/>
        <w:rPr>
          <w:sz w:val="20"/>
          <w:szCs w:val="20"/>
          <w:color w:val="auto"/>
        </w:rPr>
      </w:pPr>
    </w:p>
    <w:p>
      <w:pPr>
        <w:ind w:left="460" w:right="620"/>
        <w:spacing w:after="0" w:line="291"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2" w:lineRule="exact"/>
        <w:rPr>
          <w:sz w:val="20"/>
          <w:szCs w:val="20"/>
          <w:color w:val="auto"/>
        </w:rPr>
      </w:pPr>
    </w:p>
    <w:p>
      <w:pPr>
        <w:ind w:right="180" w:firstLine="458"/>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183" w:lineRule="exact"/>
        <w:rPr>
          <w:sz w:val="20"/>
          <w:szCs w:val="20"/>
          <w:color w:val="auto"/>
        </w:rPr>
      </w:pPr>
    </w:p>
    <w:p>
      <w:pPr>
        <w:ind w:left="460" w:right="340"/>
        <w:spacing w:after="0" w:line="291"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 In this respect, our general meeting has authorized our Board for a period of five years after our conversion into a Dutch public company with limited liability (</w:t>
      </w:r>
      <w:r>
        <w:rPr>
          <w:rFonts w:ascii="Arial" w:cs="Arial" w:eastAsia="Arial" w:hAnsi="Arial"/>
          <w:sz w:val="16"/>
          <w:szCs w:val="16"/>
          <w:i w:val="1"/>
          <w:iCs w:val="1"/>
          <w:color w:val="auto"/>
        </w:rPr>
        <w:t>naamloze</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w:t>
      </w:r>
      <w:r>
        <w:rPr>
          <w:rFonts w:ascii="Arial" w:cs="Arial" w:eastAsia="Arial" w:hAnsi="Arial"/>
          <w:sz w:val="16"/>
          <w:szCs w:val="16"/>
          <w:color w:val="auto"/>
        </w:rPr>
        <w:t>), to grant a call option to an independent foundation under Dutch law (if and when incorporated), or protective foundation, to acquire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pursuant to a call option agreement that may be entered into between us and such protective foundation.</w:t>
      </w:r>
    </w:p>
    <w:p>
      <w:pPr>
        <w:spacing w:after="0" w:line="177"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w:t>
      </w:r>
    </w:p>
    <w:p>
      <w:pPr>
        <w:spacing w:after="0" w:line="179"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ordinary shares, the announcement of an unsolicited public offer for our ordinary shares, shareholder activism, other concentration of control over our ordinary shares or any other form of undue pressure on us to alter our strategic policies. The protective foundation, if and when incorporated, shall be structured to operate independently of us.</w:t>
      </w:r>
    </w:p>
    <w:p>
      <w:pPr>
        <w:spacing w:after="0" w:line="18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 voting rights of our shares are based on nominal value and, as we expect our ordinary shares to trade substantially in excess of their nominal value, preferred shares issued at 25% of their nominal value can carry significant voting power for a substantially reduced price compared to the price of our ordinary shares and thus can be used as a defensive measure. These preferred shares, if and when issued, will have both a liquidation and dividend preference over our ordinary shares and will accrue a cash preferred dividend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83"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w:t>
      </w:r>
    </w:p>
    <w:p>
      <w:pPr>
        <w:spacing w:after="0" w:line="49" w:lineRule="exact"/>
        <w:rPr>
          <w:sz w:val="20"/>
          <w:szCs w:val="20"/>
          <w:color w:val="auto"/>
        </w:rPr>
      </w:pPr>
    </w:p>
    <w:p>
      <w:pPr>
        <w:ind w:left="900" w:right="260" w:hanging="429"/>
        <w:spacing w:after="0" w:line="263"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being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20" w:hanging="429"/>
        <w:spacing w:after="0" w:line="263"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4"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9" w:lineRule="exact"/>
        <w:rPr>
          <w:rFonts w:ascii="Times New Roman" w:cs="Times New Roman" w:eastAsia="Times New Roman" w:hAnsi="Times New Roman"/>
          <w:sz w:val="16"/>
          <w:szCs w:val="16"/>
          <w:color w:val="auto"/>
        </w:rPr>
      </w:pPr>
    </w:p>
    <w:p>
      <w:pPr>
        <w:ind w:left="900" w:right="240" w:hanging="429"/>
        <w:spacing w:after="0" w:line="282"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7" w:lineRule="exact"/>
        <w:rPr>
          <w:sz w:val="20"/>
          <w:szCs w:val="20"/>
          <w:color w:val="auto"/>
        </w:rPr>
      </w:pPr>
    </w:p>
    <w:p>
      <w:pPr>
        <w:ind w:right="880" w:firstLine="458"/>
        <w:spacing w:after="0" w:line="283"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56"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capital as a consequence of a successful public bid.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6"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1"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5" w:lineRule="exact"/>
        <w:rPr>
          <w:sz w:val="20"/>
          <w:szCs w:val="20"/>
          <w:color w:val="auto"/>
        </w:rPr>
      </w:pPr>
    </w:p>
    <w:p>
      <w:pPr>
        <w:ind w:right="200" w:firstLine="466"/>
        <w:spacing w:after="0" w:line="283" w:lineRule="auto"/>
        <w:tabs>
          <w:tab w:leader="none" w:pos="816"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8" w:lineRule="exact"/>
        <w:rPr>
          <w:rFonts w:ascii="Arial" w:cs="Arial" w:eastAsia="Arial" w:hAnsi="Arial"/>
          <w:sz w:val="16"/>
          <w:szCs w:val="16"/>
          <w:color w:val="auto"/>
        </w:rPr>
      </w:pPr>
    </w:p>
    <w:p>
      <w:pPr>
        <w:ind w:left="820" w:hanging="354"/>
        <w:spacing w:after="0"/>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0" w:lineRule="exact"/>
        <w:rPr>
          <w:rFonts w:ascii="Arial" w:cs="Arial" w:eastAsia="Arial" w:hAnsi="Arial"/>
          <w:sz w:val="16"/>
          <w:szCs w:val="16"/>
          <w:color w:val="auto"/>
        </w:rPr>
      </w:pPr>
    </w:p>
    <w:p>
      <w:pPr>
        <w:jc w:val="both"/>
        <w:ind w:right="20" w:firstLine="466"/>
        <w:spacing w:after="0" w:line="283" w:lineRule="auto"/>
        <w:tabs>
          <w:tab w:leader="none" w:pos="816"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58"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w:t>
      </w:r>
    </w:p>
    <w:p>
      <w:pPr>
        <w:spacing w:after="0" w:line="14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the event of an issuance of our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 senior management.</w:t>
      </w:r>
    </w:p>
    <w:p>
      <w:pPr>
        <w:spacing w:after="0" w:line="21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 Some of our assets are located outside the United States and most members of the Board and Senior Management reside outside of the United States. As a result, it may not be possible for investors to effect service of process within the United States upon such persons or to enforce against them or us the U.S. courts’ judgments predicated upon the civil liability provisions of the federal securities laws of the United States.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Foreign courts may refuse to hear a United States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w:t>
      </w:r>
    </w:p>
    <w:p>
      <w:pPr>
        <w:spacing w:after="0" w:line="170" w:lineRule="exact"/>
        <w:rPr>
          <w:sz w:val="20"/>
          <w:szCs w:val="20"/>
          <w:color w:val="auto"/>
        </w:rPr>
      </w:pPr>
    </w:p>
    <w:p>
      <w:pPr>
        <w:ind w:right="260" w:firstLine="458"/>
        <w:spacing w:after="0" w:line="283" w:lineRule="auto"/>
        <w:rPr>
          <w:sz w:val="20"/>
          <w:szCs w:val="20"/>
          <w:color w:val="auto"/>
        </w:rPr>
      </w:pPr>
      <w:r>
        <w:rPr>
          <w:rFonts w:ascii="Arial" w:cs="Arial" w:eastAsia="Arial" w:hAnsi="Arial"/>
          <w:sz w:val="16"/>
          <w:szCs w:val="16"/>
          <w:color w:val="auto"/>
        </w:rPr>
        <w:t>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56" w:lineRule="exact"/>
        <w:rPr>
          <w:sz w:val="20"/>
          <w:szCs w:val="20"/>
          <w:color w:val="auto"/>
        </w:rPr>
      </w:pPr>
    </w:p>
    <w:p>
      <w:pPr>
        <w:ind w:right="40" w:firstLine="458"/>
        <w:spacing w:after="0" w:line="247" w:lineRule="auto"/>
        <w:rPr>
          <w:sz w:val="20"/>
          <w:szCs w:val="20"/>
          <w:color w:val="auto"/>
        </w:rPr>
      </w:pPr>
      <w:r>
        <w:rPr>
          <w:rFonts w:ascii="Arial" w:cs="Arial" w:eastAsia="Arial" w:hAnsi="Arial"/>
          <w:sz w:val="16"/>
          <w:szCs w:val="16"/>
          <w:color w:val="auto"/>
        </w:rPr>
        <w:t>There is currently no treaty in effect between the United States and the Netherlands providing for the reciprocal recognition and enforcement of judgments, other than arbitration awards, in civil and commercial matters. It is noted that, as of the date of this annual report, the Hague Convention on Choice of Court Agreements of June 30, 2005 has entered into force for the Netherlands, but has not entered into force for the United States. The Hague Convention of July 2, 2019 on the Recognition and Enforcement of Foreign Judgments in Civil or Commercial Matters has not entered into force for either the Netherlands 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(behoorlijke rechtspleging), (iii) binding effect of such judgment is not contrary to Dutch public order (openbare orde)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However, even if such a United States judgment is given binding effect, a claim based on that judgment may still be rejected if that judgment is not or no longer formally enforceable.</w:t>
      </w:r>
    </w:p>
    <w:p>
      <w:pPr>
        <w:spacing w:after="0" w:line="19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Additionally, our Articles of Association provide that the U.S. federal district courts shall be the sole and exclusive forum for any claim asserting a cause of action arising under the Securities Act.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w:t>
      </w:r>
    </w:p>
    <w:p>
      <w:pPr>
        <w:spacing w:after="0" w:line="177"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Based on the foregoing, U.S. investors may not be able to enforce against us or our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investors.</w:t>
      </w:r>
    </w:p>
    <w:p>
      <w:pPr>
        <w:spacing w:after="0" w:line="202"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2022 and we do not expect to be a PFIC for our current taxable year or in the foreseeable future. In addition, we may, directly or indirectly, hold equity interests in other PFICs. Whether we or any of our subsidiaries will be a PFIC in 2023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2023 or any future taxable year.</w:t>
      </w:r>
    </w:p>
    <w:p>
      <w:pPr>
        <w:spacing w:after="0" w:line="182"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5"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42"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under U.S. insolvency laws.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6" w:lineRule="exact"/>
        <w:rPr>
          <w:sz w:val="20"/>
          <w:szCs w:val="20"/>
          <w:color w:val="auto"/>
        </w:rPr>
      </w:pPr>
    </w:p>
    <w:p>
      <w:pPr>
        <w:ind w:firstLine="458"/>
        <w:spacing w:after="0" w:line="246"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5"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2"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84" w:lineRule="exact"/>
        <w:rPr>
          <w:sz w:val="20"/>
          <w:szCs w:val="20"/>
          <w:color w:val="auto"/>
        </w:rPr>
      </w:pPr>
    </w:p>
    <w:p>
      <w:pPr>
        <w:ind w:left="460" w:right="460"/>
        <w:spacing w:after="0" w:line="291"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900" w:hanging="429"/>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360" w:hanging="429"/>
        <w:spacing w:after="0" w:line="282"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3"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 such as the COVID-19 pandemic;</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2"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1"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2" w:lineRule="exact"/>
        <w:rPr>
          <w:sz w:val="20"/>
          <w:szCs w:val="20"/>
          <w:color w:val="auto"/>
        </w:rPr>
      </w:pPr>
    </w:p>
    <w:p>
      <w:pPr>
        <w:ind w:right="240" w:firstLine="458"/>
        <w:spacing w:after="0" w:line="25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Particularly after we are no longer an “emerging growth company” or cease to qualify as a foreign private issuer, we expect to incur significant legal, accounting and other expenses.</w:t>
      </w:r>
    </w:p>
    <w:p>
      <w:pPr>
        <w:spacing w:after="0" w:line="177"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88" w:lineRule="exact"/>
        <w:rPr>
          <w:sz w:val="20"/>
          <w:szCs w:val="20"/>
          <w:color w:val="auto"/>
        </w:rPr>
      </w:pPr>
    </w:p>
    <w:p>
      <w:pPr>
        <w:ind w:left="460" w:right="40"/>
        <w:spacing w:after="0" w:line="268"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59"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 INFORMATION ON THE COMPANY</w:t>
      </w:r>
    </w:p>
    <w:p>
      <w:pPr>
        <w:spacing w:after="0" w:line="218" w:lineRule="exact"/>
        <w:rPr>
          <w:sz w:val="20"/>
          <w:szCs w:val="20"/>
          <w:color w:val="auto"/>
        </w:rPr>
      </w:pPr>
    </w:p>
    <w:p>
      <w:pPr>
        <w:ind w:left="900" w:hanging="429"/>
        <w:spacing w:after="0"/>
        <w:tabs>
          <w:tab w:leader="none" w:pos="90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200" w:lineRule="exact"/>
        <w:rPr>
          <w:sz w:val="20"/>
          <w:szCs w:val="20"/>
          <w:color w:val="auto"/>
        </w:rPr>
      </w:pPr>
    </w:p>
    <w:p>
      <w:pPr>
        <w:spacing w:after="0" w:line="206" w:lineRule="exact"/>
        <w:rPr>
          <w:sz w:val="20"/>
          <w:szCs w:val="20"/>
          <w:color w:val="auto"/>
        </w:rPr>
      </w:pPr>
    </w:p>
    <w:p>
      <w:pPr>
        <w:ind w:right="20" w:firstLine="464"/>
        <w:spacing w:after="0" w:line="247"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convenience that is superior to current standard-of-care HAE treatments, which are injectables. We believe deucrictibant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 date, we have observed that deucrictibant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w:t>
      </w:r>
    </w:p>
    <w:p>
      <w:pPr>
        <w:spacing w:after="0" w:line="164" w:lineRule="exact"/>
        <w:rPr>
          <w:sz w:val="20"/>
          <w:szCs w:val="20"/>
          <w:color w:val="auto"/>
        </w:rPr>
      </w:pPr>
    </w:p>
    <w:p>
      <w:pPr>
        <w:ind w:firstLine="464"/>
        <w:spacing w:after="0" w:line="249"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softgel capsules. Our primary objective with this trial is to assess the efficacy and safety profile of PHVS416 dose regimens for prophylactic treatments in HAE patients. We expect to have Phase 2 data from CHAPTER-1 in the second half of 2023. In February 2022, we reported Phase 1 clinical data with PHVS719 demonstrating pharmacokinetics of the extended-release formulation and the potential for once-daily dosing. Our agent for service of process in the United States is Dr. Morgan Conn, who is registered in PO Box 121, Buckingham PA 18912, USA.</w:t>
      </w:r>
    </w:p>
    <w:p>
      <w:pPr>
        <w:spacing w:after="0" w:line="182"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and changed our name from Pharvaris B.V. to Pharvaris N.V. Pharvaris B.V. was founded in 2015 in Leiden, The Netherlands. Our principal executive offices are located in Emmy Noetherweg 2, 2333 BK Leiden, The Netherlands, telephone: +31 (0)71 2036 410.</w:t>
      </w:r>
    </w:p>
    <w:p>
      <w:pPr>
        <w:spacing w:after="0" w:line="97"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AND FINANCIAL REVIEW AND PROSPECTS—B. Liquidity and Capital Resources.”</w:t>
      </w:r>
    </w:p>
    <w:p>
      <w:pPr>
        <w:spacing w:after="0" w:line="170" w:lineRule="exact"/>
        <w:rPr>
          <w:sz w:val="20"/>
          <w:szCs w:val="20"/>
          <w:color w:val="auto"/>
        </w:rPr>
      </w:pPr>
    </w:p>
    <w:p>
      <w:pPr>
        <w:ind w:right="300" w:firstLine="458"/>
        <w:spacing w:after="0" w:line="264"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278" w:lineRule="exact"/>
        <w:rPr>
          <w:sz w:val="20"/>
          <w:szCs w:val="20"/>
          <w:color w:val="auto"/>
        </w:rPr>
      </w:pPr>
    </w:p>
    <w:p>
      <w:pPr>
        <w:ind w:left="900" w:hanging="429"/>
        <w:spacing w:after="0"/>
        <w:tabs>
          <w:tab w:leader="none" w:pos="90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1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Overview</w:t>
      </w:r>
    </w:p>
    <w:p>
      <w:pPr>
        <w:spacing w:after="0" w:line="299" w:lineRule="exact"/>
        <w:rPr>
          <w:sz w:val="20"/>
          <w:szCs w:val="20"/>
          <w:color w:val="auto"/>
        </w:rPr>
      </w:pPr>
    </w:p>
    <w:p>
      <w:pPr>
        <w:ind w:right="60" w:firstLine="464"/>
        <w:spacing w:after="0" w:line="248" w:lineRule="auto"/>
        <w:rPr>
          <w:sz w:val="20"/>
          <w:szCs w:val="20"/>
          <w:color w:val="auto"/>
        </w:rPr>
      </w:pPr>
      <w:r>
        <w:rPr>
          <w:rFonts w:ascii="Arial" w:cs="Arial" w:eastAsia="Arial" w:hAnsi="Arial"/>
          <w:sz w:val="16"/>
          <w:szCs w:val="16"/>
          <w:color w:val="auto"/>
        </w:rPr>
        <w:t xml:space="preserve">Deucrictibant (PHA121, PHA-022121) is a novel, highly potent inhibitor and selective small molecule bradykinin B2-receptor antagonist and, to our knowledge, the only orally available bradykinin B2-receptor antagonist currently in development. Deucrictibant has been observed to be a potent inhibitor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as assessed using human recombinant bradykinin B2 receptors (150 pM);</w:t>
      </w:r>
      <w:r>
        <w:rPr>
          <w:rFonts w:ascii="Arial" w:cs="Arial" w:eastAsia="Arial" w:hAnsi="Arial"/>
          <w:sz w:val="16"/>
          <w:szCs w:val="16"/>
          <w:i w:val="1"/>
          <w:iCs w:val="1"/>
          <w:color w:val="auto"/>
        </w:rPr>
        <w:t xml:space="preserve">ex vivo </w:t>
      </w:r>
      <w:r>
        <w:rPr>
          <w:rFonts w:ascii="Arial" w:cs="Arial" w:eastAsia="Arial" w:hAnsi="Arial"/>
          <w:sz w:val="16"/>
          <w:szCs w:val="16"/>
          <w:color w:val="auto"/>
        </w:rPr>
        <w:t>as studied against endogenous bradykinin B2 receptors in a human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Annual Report refers to the amount of drug required to produce a pharmacological effect of given intensity and is not a measure of therapeutic efficacy. We have released topline data demonstrating efficacy and tolerability in a Phase 2 clinical trial for treatment of attacks in our RAPIDe-1 study but have not completed assessment of efficacy for prevention of attacks in our CHAPTER-1 study. PHA121 demonstrated 5000-fold selectivity for the bradykinin B2 receptor when compared to approximately 170 other molecular targets, including the bradykinin B1 receptor. We designed deucrictibant as a new chemotype with properties compatible with oral delivery. We are developing deucrictibant for the on-demand indication as PHVS416, which is delivered in a softgel capsule designed to rapidly treat symptoms with a single dose. We are also developing deucrictibant for the prophylactic indication as PHVS719, which is a small daily dose tablet with an extended-release formulation designed for the patient to maintain therapeutic levels for at least 24 hours and to achieve a steady-state plasma concentration within 72 hours.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or PK, with and without food. In addition, we observed deucrictibant to be a potent antagonist of the bradykinin B2 receptor, in vitro and in vivo with healthy volunteers. In our models based on PK data from our Phase 1 clinical trial of deucrictibant and published data for icatibant, both in the BK challenge assessment, deucrictibant was shown to be consistently 25-fold more potent at inhibiting the effects of administered bradykinin than icatibant on a molar basis. We have not conducted a head-to-head comparison of icatibant to deucrictibant in a clinical trial but have compared the published data for icatibant to data from our Phase 1 and Phase 2 clinical trials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3"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our Phase 2 placebo-controlled trial evaluating the efficacy and tolerability of PHVS416 for on-demand treatment of attacks in patients with HAE type 1 and 2 (RAPIDe-1), a statistically significant and clinical meaningful reduction of the patient-reported symptoms of HAE was observed for the attacks treated with all doses of PHVS416 (10, 20, 30 mg) compared to placebo-treated attacks. The study’s primary endpoint—symptom relief at four hours after treatment with study drug—as well as all key secondary efficacy endpoints were met. Consistently with its pharmacokinetic profile, PHVS416 demonstrated rapid onset of action, symptom relief, and resolution of the manifestations of HAE attacks as well as sustained clinical effects, with consistent findings across outcome measures. In addition, PHVS416 substantially reduced the use of rescue medication compared to the placebo. PHVS416 was generally well tolerated at all dose levels with three treatment-related adverse events (TRAEs) reported for one PHVS416 30-mg-treated attack (2.8%) and one TRAE reported for one placebo-treated attack (1.9%); there were no treatment-related serious adverse events (SAEs), no treatment-related adverse events (AEs) of severe severity, and no AEs leading to treatment discontinuation. We believe these positive Phase 2 data support further development of PHVS416 as a potential oral on-demand therapy for HAE attacks.</w:t>
      </w:r>
    </w:p>
    <w:p>
      <w:pPr>
        <w:spacing w:after="0" w:line="18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81"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Global sales of treatments for HAE in 2022 are estimated at approximately $2.7 billion based on publicly available information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6" w:lineRule="exact"/>
        <w:rPr>
          <w:sz w:val="20"/>
          <w:szCs w:val="20"/>
          <w:color w:val="auto"/>
        </w:rPr>
      </w:pPr>
    </w:p>
    <w:p>
      <w:pPr>
        <w:ind w:firstLine="464"/>
        <w:spacing w:after="0" w:line="246" w:lineRule="auto"/>
        <w:rPr>
          <w:sz w:val="20"/>
          <w:szCs w:val="20"/>
          <w:color w:val="auto"/>
        </w:rPr>
      </w:pPr>
      <w:r>
        <w:rPr>
          <w:rFonts w:ascii="Arial" w:cs="Arial" w:eastAsia="Arial" w:hAnsi="Arial"/>
          <w:sz w:val="16"/>
          <w:szCs w:val="16"/>
          <w:color w:val="auto"/>
        </w:rPr>
        <w:t>Based on results observed from our four completed clinical trials to-date, we believe our product candidates that contain deucrictibant will demonstrate advantages and differentiation relative to currently approved HAE therapies and other oral therapies in clinical development. Deucrictibant’s bradykinin- B2-receptor-inhibition mechanism has a well-established clinical therapeutic profile in a currently approved product in the rapid treatment of acute HAE attacks. We have observed greater potency for deucrictibant compared to icatibant using a surrogate endpoint in the bradykinin challenge study, potentially resulting in both a smaller therapeutic dose and a longer duration of effect. We evaluated the PD and PK of deucrictibant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deucrictibant on cardiovascular parameters affected by bradykinin such as blood pressure, heart rate and cardiac output in healthy volunteers. We observed that deucrictibant was more potent in blocking the effects of BK in humans than icatibant, when comparing the deucrictibant results of the trial to published data on icatibant. The data from this trial allowed us to generate a PK/PD correlation model. Based on this model and published data on icatibant, we predict the duration of effect for a single oral dose of 12 mg deucrictibant to exceed that of 30 mg of icatibant and a single oral dose of 22 mg deucrictibant will cover the same duration of effect as two icatibant injections of 30 mg administered six hours apart. Furthermore, analysis based on the results from this trial suggest that therapeutic doses of deucrictibant may be at least 10-fold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The topline data from our deucrictibant Phase 2 RAPIDe-1 trial treating HAE attacks were consistent with the predictions of the BK challenge in both onset of symptom relief and duration of effect (use of rescue medication). However, we have not conducted a head-to-head comparison of icatibant to deucrictibant in a clinical trial but have compared the published data for icatibant to data from our Phase 1 clinical trial of deucrictibant. Potency as used in this Annual Report refers to the amount of drug required to produce a pharmacological effect of given intensity and is not a measure of therapeutic efficacy.</w:t>
      </w:r>
    </w:p>
    <w:p>
      <w:pPr>
        <w:spacing w:after="0" w:line="195" w:lineRule="exact"/>
        <w:rPr>
          <w:sz w:val="20"/>
          <w:szCs w:val="20"/>
          <w:color w:val="auto"/>
        </w:rPr>
      </w:pPr>
    </w:p>
    <w:p>
      <w:pPr>
        <w:ind w:right="120" w:firstLine="464"/>
        <w:spacing w:after="0" w:line="283"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participated in a Type A meeting with the FDA to discuss paths to address the on-demand and prophylactic holds. A protocol for a 26-week rodent toxicology study has been aligned with the FDA and the study has initiated. We expect to submit results for this study to the FDA by the end of 2023.</w:t>
      </w:r>
    </w:p>
    <w:p>
      <w:pPr>
        <w:spacing w:after="0" w:line="156" w:lineRule="exact"/>
        <w:rPr>
          <w:sz w:val="20"/>
          <w:szCs w:val="20"/>
          <w:color w:val="auto"/>
        </w:rPr>
      </w:pPr>
    </w:p>
    <w:p>
      <w:pPr>
        <w:ind w:right="320" w:firstLine="464"/>
        <w:spacing w:after="0" w:line="283" w:lineRule="auto"/>
        <w:rPr>
          <w:sz w:val="20"/>
          <w:szCs w:val="20"/>
          <w:color w:val="auto"/>
        </w:rPr>
      </w:pPr>
      <w:r>
        <w:rPr>
          <w:rFonts w:ascii="Arial" w:cs="Arial" w:eastAsia="Arial" w:hAnsi="Arial"/>
          <w:sz w:val="16"/>
          <w:szCs w:val="16"/>
          <w:color w:val="auto"/>
        </w:rPr>
        <w:t>The FDA also agreed to partially lift the clinical hold on on-demand to allow two remaining U.S. participants in RAPIDe-1 to complete treatment of a final HAE attack per protocol. All other clinical studies of deucrictibant are currently on hold in the U.S.</w:t>
      </w:r>
    </w:p>
    <w:p>
      <w:pPr>
        <w:spacing w:after="0" w:line="156" w:lineRule="exact"/>
        <w:rPr>
          <w:sz w:val="20"/>
          <w:szCs w:val="20"/>
          <w:color w:val="auto"/>
        </w:rPr>
      </w:pPr>
    </w:p>
    <w:p>
      <w:pPr>
        <w:ind w:right="180" w:firstLine="464"/>
        <w:spacing w:after="0" w:line="264" w:lineRule="auto"/>
        <w:rPr>
          <w:sz w:val="20"/>
          <w:szCs w:val="20"/>
          <w:color w:val="auto"/>
        </w:rPr>
      </w:pPr>
      <w:r>
        <w:rPr>
          <w:rFonts w:ascii="Arial" w:cs="Arial" w:eastAsia="Arial" w:hAnsi="Arial"/>
          <w:sz w:val="16"/>
          <w:szCs w:val="16"/>
          <w:color w:val="auto"/>
        </w:rPr>
        <w:t>Outside the U.S., the regulatory status remains unchanged for the CHAPTER-1 study and other studies, including an open-label, long-term extension study (RAPIDe-2). Pharvaris notified country-specific regulatory authorities in Canada, Europe, Israel, and the UK of the U.S. clinical holds. All active sites outside of the U.S. continue to recruit participants in the CHAPTER-1 clinical study.</w:t>
      </w:r>
    </w:p>
    <w:p>
      <w:pPr>
        <w:spacing w:after="0" w:line="170" w:lineRule="exact"/>
        <w:rPr>
          <w:sz w:val="20"/>
          <w:szCs w:val="20"/>
          <w:color w:val="auto"/>
        </w:rPr>
      </w:pPr>
    </w:p>
    <w:p>
      <w:pPr>
        <w:ind w:right="320" w:firstLine="464"/>
        <w:spacing w:after="0" w:line="257" w:lineRule="auto"/>
        <w:rPr>
          <w:sz w:val="20"/>
          <w:szCs w:val="20"/>
          <w:color w:val="auto"/>
        </w:rPr>
      </w:pPr>
      <w:r>
        <w:rPr>
          <w:rFonts w:ascii="Arial" w:cs="Arial" w:eastAsia="Arial" w:hAnsi="Arial"/>
          <w:sz w:val="16"/>
          <w:szCs w:val="16"/>
          <w:color w:val="auto"/>
        </w:rPr>
        <w:t>Additional trials may be required by the FDA, EMA or other regulators even with positive data from RAPIDe-1. We are also planning to conduct a registration-directed trial in the on-demand setting and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111"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We believe that deucrictibant, as the molecule underlying both PHVS416 and PHVS719, has the potential to be highly differentiated for both the on-demand and prophylactic settings with the key benefits below:</w:t>
      </w:r>
    </w:p>
    <w:p>
      <w:pPr>
        <w:spacing w:after="0" w:line="156"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i w:val="1"/>
          <w:iCs w:val="1"/>
          <w:color w:val="auto"/>
        </w:rPr>
        <w:t xml:space="preserve">PHVS416. </w:t>
      </w:r>
      <w:r>
        <w:rPr>
          <w:rFonts w:ascii="Arial" w:cs="Arial" w:eastAsia="Arial" w:hAnsi="Arial"/>
          <w:sz w:val="16"/>
          <w:szCs w:val="16"/>
          <w:color w:val="auto"/>
        </w:rPr>
        <w:t>We believe that PHVS416, an on-demand, rapid exposure softgel capsule, has the potential to be highly differentiated for patients suffering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acute HAE attacks with the following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Complete Symptom Resolution</w:t>
            </w:r>
          </w:p>
        </w:tc>
        <w:tc>
          <w:tcPr>
            <w:tcW w:w="8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Clinically validated mechanism of bradykinin-B2-receptor antagonism</w:t>
            </w:r>
          </w:p>
        </w:tc>
        <w:tc>
          <w:tcPr>
            <w:tcW w:w="0" w:type="dxa"/>
            <w:vAlign w:val="bottom"/>
          </w:tcPr>
          <w:p>
            <w:pPr>
              <w:spacing w:after="0"/>
              <w:rPr>
                <w:sz w:val="1"/>
                <w:szCs w:val="1"/>
                <w:color w:val="auto"/>
              </w:rPr>
            </w:pPr>
          </w:p>
        </w:tc>
      </w:tr>
      <w:tr>
        <w:trPr>
          <w:trHeight w:val="301"/>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 xml:space="preserve">Utilizing same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surrogate assessment for dose selection as the</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development program for icatibant (validity confirmed in the RAPIDe-1 Phase 2</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trial)</w:t>
            </w:r>
          </w:p>
        </w:tc>
        <w:tc>
          <w:tcPr>
            <w:tcW w:w="0" w:type="dxa"/>
            <w:vAlign w:val="bottom"/>
          </w:tcPr>
          <w:p>
            <w:pPr>
              <w:spacing w:after="0"/>
              <w:rPr>
                <w:sz w:val="1"/>
                <w:szCs w:val="1"/>
                <w:color w:val="auto"/>
              </w:rPr>
            </w:pPr>
          </w:p>
        </w:tc>
      </w:tr>
      <w:tr>
        <w:trPr>
          <w:trHeight w:val="282"/>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More potent inhibitor than icatibant</w:t>
            </w:r>
          </w:p>
        </w:tc>
        <w:tc>
          <w:tcPr>
            <w:tcW w:w="0" w:type="dxa"/>
            <w:vAlign w:val="bottom"/>
          </w:tcPr>
          <w:p>
            <w:pPr>
              <w:spacing w:after="0"/>
              <w:rPr>
                <w:sz w:val="1"/>
                <w:szCs w:val="1"/>
                <w:color w:val="auto"/>
              </w:rPr>
            </w:pPr>
          </w:p>
        </w:tc>
      </w:tr>
      <w:tr>
        <w:trPr>
          <w:trHeight w:val="375"/>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Longer half-life than icatibant</w:t>
            </w:r>
          </w:p>
        </w:tc>
        <w:tc>
          <w:tcPr>
            <w:tcW w:w="0" w:type="dxa"/>
            <w:vAlign w:val="bottom"/>
          </w:tcPr>
          <w:p>
            <w:pPr>
              <w:spacing w:after="0"/>
              <w:rPr>
                <w:sz w:val="1"/>
                <w:szCs w:val="1"/>
                <w:color w:val="auto"/>
              </w:rPr>
            </w:pPr>
          </w:p>
        </w:tc>
      </w:tr>
      <w:tr>
        <w:trPr>
          <w:trHeight w:val="95"/>
        </w:trPr>
        <w:tc>
          <w:tcPr>
            <w:tcW w:w="45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Rapid Onset of Activity</w:t>
            </w:r>
          </w:p>
        </w:tc>
        <w:tc>
          <w:tcPr>
            <w:tcW w:w="880" w:type="dxa"/>
            <w:vAlign w:val="bottom"/>
          </w:tcPr>
          <w:p>
            <w:pPr>
              <w:ind w:left="7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line="181" w:lineRule="exact"/>
              <w:rPr>
                <w:sz w:val="20"/>
                <w:szCs w:val="20"/>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in</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30 minutes, with or without food</w:t>
            </w:r>
          </w:p>
        </w:tc>
        <w:tc>
          <w:tcPr>
            <w:tcW w:w="0" w:type="dxa"/>
            <w:vAlign w:val="bottom"/>
          </w:tcPr>
          <w:p>
            <w:pPr>
              <w:spacing w:after="0"/>
              <w:rPr>
                <w:sz w:val="1"/>
                <w:szCs w:val="1"/>
                <w:color w:val="auto"/>
              </w:rPr>
            </w:pPr>
          </w:p>
        </w:tc>
      </w:tr>
      <w:tr>
        <w:trPr>
          <w:trHeight w:val="247"/>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r>
        <w:trPr>
          <w:trHeight w:val="69"/>
        </w:trPr>
        <w:tc>
          <w:tcPr>
            <w:tcW w:w="452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80" w:type="dxa"/>
            <w:vAlign w:val="bottom"/>
          </w:tcPr>
          <w:p>
            <w:pPr>
              <w:ind w:left="7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line="181" w:lineRule="exact"/>
              <w:rPr>
                <w:sz w:val="20"/>
                <w:szCs w:val="20"/>
                <w:color w:val="auto"/>
              </w:rPr>
            </w:pPr>
            <w:r>
              <w:rPr>
                <w:rFonts w:ascii="Arial" w:cs="Arial" w:eastAsia="Arial" w:hAnsi="Arial"/>
                <w:sz w:val="16"/>
                <w:szCs w:val="16"/>
                <w:color w:val="auto"/>
              </w:rPr>
              <w:t>Convenient oral formulation removes barriers inherent in current injectable</w:t>
            </w:r>
          </w:p>
        </w:tc>
        <w:tc>
          <w:tcPr>
            <w:tcW w:w="0" w:type="dxa"/>
            <w:vAlign w:val="bottom"/>
          </w:tcPr>
          <w:p>
            <w:pPr>
              <w:spacing w:after="0"/>
              <w:rPr>
                <w:sz w:val="1"/>
                <w:szCs w:val="1"/>
                <w:color w:val="auto"/>
              </w:rPr>
            </w:pPr>
          </w:p>
        </w:tc>
      </w:tr>
      <w:tr>
        <w:trPr>
          <w:trHeight w:val="141"/>
        </w:trPr>
        <w:tc>
          <w:tcPr>
            <w:tcW w:w="45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treatments to facilitate early treatment of acute HAE attacks and overall treatment</w:t>
            </w: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of more attacks than currently reported</w:t>
            </w:r>
          </w:p>
        </w:tc>
        <w:tc>
          <w:tcPr>
            <w:tcW w:w="0" w:type="dxa"/>
            <w:vAlign w:val="bottom"/>
          </w:tcPr>
          <w:p>
            <w:pPr>
              <w:spacing w:after="0"/>
              <w:rPr>
                <w:sz w:val="1"/>
                <w:szCs w:val="1"/>
                <w:color w:val="auto"/>
              </w:rPr>
            </w:pPr>
          </w:p>
        </w:tc>
      </w:tr>
      <w:tr>
        <w:trPr>
          <w:trHeight w:val="282"/>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Capsule reduces treatment burden</w:t>
            </w:r>
          </w:p>
        </w:tc>
        <w:tc>
          <w:tcPr>
            <w:tcW w:w="0" w:type="dxa"/>
            <w:vAlign w:val="bottom"/>
          </w:tcPr>
          <w:p>
            <w:pPr>
              <w:spacing w:after="0"/>
              <w:rPr>
                <w:sz w:val="1"/>
                <w:szCs w:val="1"/>
                <w:color w:val="auto"/>
              </w:rPr>
            </w:pPr>
          </w:p>
        </w:tc>
      </w:tr>
      <w:tr>
        <w:trPr>
          <w:trHeight w:val="375"/>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on-demand treatment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firstLine="464"/>
        <w:spacing w:after="0" w:line="283" w:lineRule="auto"/>
        <w:rPr>
          <w:sz w:val="20"/>
          <w:szCs w:val="20"/>
          <w:color w:val="auto"/>
        </w:rPr>
      </w:pPr>
      <w:r>
        <w:rPr>
          <w:rFonts w:ascii="Arial" w:cs="Arial" w:eastAsia="Arial" w:hAnsi="Arial"/>
          <w:sz w:val="16"/>
          <w:szCs w:val="16"/>
          <w:i w:val="1"/>
          <w:iCs w:val="1"/>
          <w:color w:val="auto"/>
        </w:rPr>
        <w:t>PHVS719</w:t>
      </w:r>
      <w:r>
        <w:rPr>
          <w:rFonts w:ascii="Arial" w:cs="Arial" w:eastAsia="Arial" w:hAnsi="Arial"/>
          <w:sz w:val="16"/>
          <w:szCs w:val="16"/>
          <w:color w:val="auto"/>
        </w:rPr>
        <w:t>. We believe that PHVS719, a prophylactic extended-release tablet designed to be taken in small, daily doses, has the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HAE patients with the following benefits: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Protection From Attacks</w:t>
            </w:r>
          </w:p>
        </w:tc>
        <w:tc>
          <w:tcPr>
            <w:tcW w:w="8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Validated, proven mechanism to address all bradykinin, regardless of pathway</w:t>
            </w:r>
          </w:p>
        </w:tc>
      </w:tr>
      <w:tr>
        <w:trPr>
          <w:trHeight w:val="32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Ideal Release Profile for Prophylactic Use</w:t>
            </w: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Reaches and maintains steady-state concentration within 72 hours</w:t>
            </w:r>
          </w:p>
        </w:tc>
      </w:tr>
      <w:tr>
        <w:trPr>
          <w:trHeight w:val="309"/>
        </w:trPr>
        <w:tc>
          <w:tcPr>
            <w:tcW w:w="4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Appropriate pharmacokinetic profile with or without food</w:t>
            </w:r>
          </w:p>
        </w:tc>
      </w:tr>
      <w:tr>
        <w:trPr>
          <w:trHeight w:val="322"/>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Convenient oral daily dosing with extended-release tablet</w:t>
            </w:r>
          </w:p>
        </w:tc>
      </w:tr>
      <w:tr>
        <w:trPr>
          <w:trHeight w:val="32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for once-a-day dosing</w:t>
            </w:r>
          </w:p>
        </w:tc>
      </w:tr>
      <w:tr>
        <w:trPr>
          <w:trHeight w:val="327"/>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treatment; ease of administration</w:t>
            </w:r>
          </w:p>
        </w:tc>
      </w:tr>
      <w:tr>
        <w:trPr>
          <w:trHeight w:val="202"/>
        </w:trPr>
        <w:tc>
          <w:tcPr>
            <w:tcW w:w="4520" w:type="dxa"/>
            <w:vAlign w:val="bottom"/>
          </w:tcPr>
          <w:p>
            <w:pPr>
              <w:spacing w:after="0"/>
              <w:rPr>
                <w:sz w:val="17"/>
                <w:szCs w:val="17"/>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Well tolerated throughout therapeutic ranges as demonstrated by multiple clinical</w:t>
            </w:r>
          </w:p>
        </w:tc>
      </w:tr>
      <w:tr>
        <w:trPr>
          <w:trHeight w:val="214"/>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trials to-date</w:t>
            </w:r>
          </w:p>
        </w:tc>
      </w:tr>
      <w:tr>
        <w:trPr>
          <w:trHeight w:val="214"/>
        </w:trPr>
        <w:tc>
          <w:tcPr>
            <w:tcW w:w="4520" w:type="dxa"/>
            <w:vAlign w:val="bottom"/>
          </w:tcPr>
          <w:p>
            <w:pPr>
              <w:spacing w:after="0"/>
              <w:rPr>
                <w:sz w:val="18"/>
                <w:szCs w:val="18"/>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No injection needed</w:t>
            </w:r>
          </w:p>
        </w:tc>
      </w:tr>
    </w:tbl>
    <w:p>
      <w:pPr>
        <w:spacing w:after="0" w:line="200" w:lineRule="exact"/>
        <w:rPr>
          <w:sz w:val="20"/>
          <w:szCs w:val="20"/>
          <w:color w:val="auto"/>
        </w:rPr>
      </w:pPr>
    </w:p>
    <w:p>
      <w:pPr>
        <w:spacing w:after="0" w:line="203" w:lineRule="exact"/>
        <w:rPr>
          <w:sz w:val="20"/>
          <w:szCs w:val="20"/>
          <w:color w:val="auto"/>
        </w:rPr>
      </w:pPr>
    </w:p>
    <w:p>
      <w:pPr>
        <w:jc w:val="both"/>
        <w:ind w:right="520" w:firstLine="464"/>
        <w:spacing w:after="0" w:line="264"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get treated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on-demand only and graduate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381000</wp:posOffset>
            </wp:positionV>
            <wp:extent cx="5507355" cy="18300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07355"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464"/>
        <w:spacing w:after="0" w:line="252"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deucrictibant. PHVS416 will be a softgel capsule, and PHVS719 will be an extended-release tablet. We reported topline data from our RAPIDe-1 Phase 2 clinical trial of PHVS416 in December 2022. We also commenced a Phase 2 clinical trial for prophylaxis in 2021 using twice-daily dosing of the PHVS416 softgel capsules (CHAPTER-1). Our primary objective with this trial is to assess the effectiveness and safety profile for prophylaxis with bradykinin- B2-receptor-antagonism in HAE patients. We also reported data from a Phase 1 clinical trial with PHVS719 in 2022 showing once-daily pharmacokinetics and tolerability of the extended-release formulation.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109"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Our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111" w:lineRule="exact"/>
        <w:rPr>
          <w:sz w:val="20"/>
          <w:szCs w:val="20"/>
          <w:color w:val="auto"/>
        </w:rPr>
      </w:pPr>
    </w:p>
    <w:p>
      <w:pPr>
        <w:ind w:left="900" w:right="380" w:hanging="429"/>
        <w:spacing w:after="0" w:line="282"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FIRAZYR through European approval, and a key member from the TAKHZYRO development team;</w:t>
      </w:r>
    </w:p>
    <w:p>
      <w:pPr>
        <w:spacing w:after="0" w:line="49" w:lineRule="exact"/>
        <w:rPr>
          <w:rFonts w:ascii="Times New Roman" w:cs="Times New Roman" w:eastAsia="Times New Roman" w:hAnsi="Times New Roman"/>
          <w:sz w:val="16"/>
          <w:szCs w:val="16"/>
          <w:color w:val="auto"/>
        </w:rPr>
      </w:pPr>
    </w:p>
    <w:p>
      <w:pPr>
        <w:ind w:left="900" w:right="80" w:hanging="429"/>
        <w:spacing w:after="0" w:line="282"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HAE;</w:t>
      </w:r>
    </w:p>
    <w:p>
      <w:pPr>
        <w:spacing w:after="0" w:line="49"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has demonstrated physicochemical properties suitable to formulations as both an on-demand product candidate, PHVS416, and a distinct prophylactic product candidate, PHVS719;</w:t>
      </w:r>
    </w:p>
    <w:p>
      <w:pPr>
        <w:spacing w:after="0" w:line="49" w:lineRule="exact"/>
        <w:rPr>
          <w:rFonts w:ascii="Times New Roman" w:cs="Times New Roman" w:eastAsia="Times New Roman" w:hAnsi="Times New Roman"/>
          <w:sz w:val="16"/>
          <w:szCs w:val="16"/>
          <w:color w:val="auto"/>
        </w:rPr>
      </w:pPr>
    </w:p>
    <w:p>
      <w:pPr>
        <w:ind w:left="900" w:right="60" w:hanging="429"/>
        <w:spacing w:after="0" w:line="263"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compared to icatibant, the currently approved bradykinin B2-receptor inhibitor, demonstrated higher preclinical potency in blocking bradykinin signaling at the bradykinin B2-receptor, and good oral bioavailability and a longer half-life in humans, which has resulted in longer duration of the BK-blocking pharmacodynamic effect in humans;</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allowed and in-process patent applications – covering deucrictibant and additional molecules; and</w:t>
      </w:r>
    </w:p>
    <w:p>
      <w:pPr>
        <w:spacing w:after="0" w:line="123" w:lineRule="exact"/>
        <w:rPr>
          <w:rFonts w:ascii="Times New Roman" w:cs="Times New Roman" w:eastAsia="Times New Roman" w:hAnsi="Times New Roman"/>
          <w:sz w:val="16"/>
          <w:szCs w:val="16"/>
          <w:color w:val="auto"/>
        </w:rPr>
      </w:pPr>
    </w:p>
    <w:p>
      <w:pPr>
        <w:ind w:left="900" w:right="200" w:hanging="429"/>
        <w:spacing w:after="0" w:line="282"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Our scientific experience allows us to leverage deep insight and experience in the bradykinin- B2-receptor pathway to expand our portfolio into other BK-mediated angioedema and BK-mediated diseases beyond angioedema.</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11"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other BK-mediated angioedema and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willing to accept significantly reduced efficacy or safety with a switch to oral therapy. A therapy for HAE, whether for on-demand or prophylaxis, needs to offer strong efficacy, high tolerability &amp; safety, and convenient administration. Our intention with PHVS416 and PHVS719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3" w:lineRule="exact"/>
        <w:rPr>
          <w:sz w:val="20"/>
          <w:szCs w:val="20"/>
          <w:color w:val="auto"/>
        </w:rPr>
      </w:pPr>
    </w:p>
    <w:p>
      <w:pPr>
        <w:ind w:left="900" w:right="40" w:hanging="429"/>
        <w:spacing w:after="0" w:line="253"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Continue to advance deucrictibant through clinical development for on-demand treatment of HAE utilizing a fast-onset formulation, known as PHVS416. </w:t>
      </w:r>
      <w:r>
        <w:rPr>
          <w:rFonts w:ascii="Arial" w:cs="Arial" w:eastAsia="Arial" w:hAnsi="Arial"/>
          <w:sz w:val="16"/>
          <w:szCs w:val="16"/>
          <w:color w:val="auto"/>
        </w:rPr>
        <w:t>We intend to develop and commercialize PHVS416 as a fast- acting, orally available, potent inhibitor and selective treatment for acute</w:t>
      </w: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HAE</w:t>
      </w:r>
    </w:p>
    <w:p>
      <w:pPr>
        <w:spacing w:after="0" w:line="94" w:lineRule="exact"/>
        <w:rPr>
          <w:rFonts w:ascii="Times New Roman" w:cs="Times New Roman" w:eastAsia="Times New Roman" w:hAnsi="Times New Roman"/>
          <w:sz w:val="16"/>
          <w:szCs w:val="16"/>
          <w:color w:val="auto"/>
        </w:rPr>
      </w:pPr>
    </w:p>
    <w:p>
      <w:pPr>
        <w:ind w:left="900" w:hanging="429"/>
        <w:spacing w:after="0" w:line="254"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PHVS719</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efficacy, safety and PK data from our Phase 2 trials RAPIDe-1 and CHAPTER-1 of PHVS416 to help select and refine our prophylactic dose for the PHVS719 clinical trials.</w:t>
      </w:r>
    </w:p>
    <w:p>
      <w:pPr>
        <w:spacing w:after="0" w:line="71" w:lineRule="exact"/>
        <w:rPr>
          <w:rFonts w:ascii="Times New Roman" w:cs="Times New Roman" w:eastAsia="Times New Roman" w:hAnsi="Times New Roman"/>
          <w:sz w:val="16"/>
          <w:szCs w:val="16"/>
          <w:color w:val="auto"/>
        </w:rPr>
      </w:pPr>
    </w:p>
    <w:p>
      <w:pPr>
        <w:ind w:left="900" w:right="20" w:hanging="429"/>
        <w:spacing w:after="0" w:line="251"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PHVS416 and PHVS719 can be applied. </w:t>
      </w:r>
      <w:r>
        <w:rPr>
          <w:rFonts w:ascii="Arial" w:cs="Arial" w:eastAsia="Arial" w:hAnsi="Arial"/>
          <w:sz w:val="16"/>
          <w:szCs w:val="16"/>
          <w:color w:val="auto"/>
        </w:rPr>
        <w:t>In addition to Type 1 or</w:t>
      </w:r>
      <w:r>
        <w:rPr>
          <w:rFonts w:ascii="Arial" w:cs="Arial" w:eastAsia="Arial" w:hAnsi="Arial"/>
          <w:sz w:val="16"/>
          <w:szCs w:val="16"/>
          <w:i w:val="1"/>
          <w:iCs w:val="1"/>
          <w:color w:val="auto"/>
        </w:rPr>
        <w:t xml:space="preserve"> </w:t>
      </w:r>
      <w:r>
        <w:rPr>
          <w:rFonts w:ascii="Arial" w:cs="Arial" w:eastAsia="Arial" w:hAnsi="Arial"/>
          <w:sz w:val="16"/>
          <w:szCs w:val="16"/>
          <w:color w:val="auto"/>
        </w:rPr>
        <w:t>Type 2 HAE, bradykinin is also an important mediator for other types of non-histaminergic angioedema, such as: hereditary angioedema with normal C1-INH and acquired angioedema (AAE) due to C1-INH deficiency. Currently there are still no treatments approved for these angioedema patients who are unresponsive to conventional antihistamine/glucocorticoid treatment and have a high unmet medical need for effective therapies. Several clinical reports indicate that off-label use of icatibant has successfully treated acute attacks of these non-histaminergic angioedema patients, which provides a strong rationale to expand the development PHVS416 and PHVS719 to address such a high unmet medical need.</w:t>
      </w:r>
    </w:p>
    <w:p>
      <w:pPr>
        <w:spacing w:after="0" w:line="265" w:lineRule="exact"/>
        <w:rPr>
          <w:rFonts w:ascii="Times New Roman" w:cs="Times New Roman" w:eastAsia="Times New Roman" w:hAnsi="Times New Roman"/>
          <w:sz w:val="16"/>
          <w:szCs w:val="16"/>
          <w:color w:val="auto"/>
        </w:rPr>
      </w:pPr>
    </w:p>
    <w:p>
      <w:pPr>
        <w:ind w:left="900" w:right="60" w:hanging="429"/>
        <w:spacing w:after="0" w:line="254"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bradykinin-B2-receptor pathway</w:t>
      </w:r>
      <w:r>
        <w:rPr>
          <w:rFonts w:ascii="Arial" w:cs="Arial" w:eastAsia="Arial" w:hAnsi="Arial"/>
          <w:sz w:val="16"/>
          <w:szCs w:val="16"/>
          <w:color w:val="auto"/>
        </w:rPr>
        <w:t>. We intend to leverage the strategic strengths, insight, and deep experience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71" w:lineRule="exact"/>
        <w:rPr>
          <w:rFonts w:ascii="Times New Roman" w:cs="Times New Roman" w:eastAsia="Times New Roman" w:hAnsi="Times New Roman"/>
          <w:sz w:val="16"/>
          <w:szCs w:val="16"/>
          <w:color w:val="auto"/>
        </w:rPr>
      </w:pPr>
    </w:p>
    <w:p>
      <w:pPr>
        <w:ind w:left="900" w:right="120" w:hanging="429"/>
        <w:spacing w:after="0" w:line="257"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84"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Hereditary Angioedema</w:t>
      </w:r>
    </w:p>
    <w:p>
      <w:pPr>
        <w:spacing w:after="0" w:line="113" w:lineRule="exact"/>
        <w:rPr>
          <w:sz w:val="20"/>
          <w:szCs w:val="20"/>
          <w:color w:val="auto"/>
        </w:rPr>
      </w:pPr>
    </w:p>
    <w:p>
      <w:pPr>
        <w:jc w:val="center"/>
        <w:ind w:right="940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0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188"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8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09" w:lineRule="exact"/>
        <w:rPr>
          <w:sz w:val="20"/>
          <w:szCs w:val="20"/>
          <w:color w:val="auto"/>
        </w:rPr>
      </w:pPr>
    </w:p>
    <w:p>
      <w:pPr>
        <w:ind w:right="440" w:firstLine="458"/>
        <w:spacing w:after="0" w:line="283"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 or long-term prophylactic therapy.</w:t>
      </w:r>
    </w:p>
    <w:p>
      <w:pPr>
        <w:spacing w:after="0" w:line="116" w:lineRule="exact"/>
        <w:rPr>
          <w:sz w:val="20"/>
          <w:szCs w:val="20"/>
          <w:color w:val="auto"/>
        </w:rPr>
      </w:pPr>
    </w:p>
    <w:p>
      <w:pPr>
        <w:ind w:left="900" w:hanging="429"/>
        <w:spacing w:after="0" w:line="249"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bradykinin-B2-receptor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 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58" w:lineRule="exact"/>
        <w:rPr>
          <w:rFonts w:ascii="Times New Roman" w:cs="Times New Roman" w:eastAsia="Times New Roman" w:hAnsi="Times New Roman"/>
          <w:sz w:val="16"/>
          <w:szCs w:val="16"/>
          <w:color w:val="auto"/>
        </w:rPr>
      </w:pPr>
    </w:p>
    <w:p>
      <w:pPr>
        <w:ind w:left="900" w:right="80" w:hanging="429"/>
        <w:spacing w:after="0" w:line="249"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recently approved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225" w:lineRule="exact"/>
        <w:rPr>
          <w:sz w:val="20"/>
          <w:szCs w:val="20"/>
          <w:color w:val="auto"/>
        </w:rPr>
      </w:pPr>
    </w:p>
    <w:p>
      <w:pPr>
        <w:ind w:right="460" w:firstLine="458"/>
        <w:spacing w:after="0" w:line="283" w:lineRule="auto"/>
        <w:rPr>
          <w:sz w:val="20"/>
          <w:szCs w:val="20"/>
          <w:color w:val="auto"/>
        </w:rPr>
      </w:pPr>
      <w:r>
        <w:rPr>
          <w:rFonts w:ascii="Arial" w:cs="Arial" w:eastAsia="Arial" w:hAnsi="Arial"/>
          <w:sz w:val="16"/>
          <w:szCs w:val="16"/>
          <w:color w:val="auto"/>
        </w:rPr>
        <w:t>To our knowledge, one other angioedema-specific oral medication for on-demand use is in clinical development, a kallikrein inhibitor, sebetralstat, developed by Kalvista and currently in phase 3.</w:t>
      </w:r>
    </w:p>
    <w:p>
      <w:pPr>
        <w:spacing w:after="0" w:line="196"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believe that the properties and mechanism of deucrictibant enable us to develop oral product candidates that will be generally more convenient for patients to take, without sacrificing efficacy for treatment or prevention of angioedema attacks. For example, the known oral kallikrein inhibitor tested in on-demand settings to date have utilized doses that are more than twenty-fold higher than the efficacious dose we observed for PHVS416 in the RAPIDe-1 study and have not yet demonstrated efficacy matching the approved injectable products. In the prophylactic setting, oral kallikrein inhibitors have not yet demonstrated efficacy similar to the approved injectable products and have used or are projected to use doses much higher than we project for PHVS719.</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256"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hereditary angioedema with normal C1-INH and acquired angioedema (AAE) due to C1-INH deficiency. Unlike HAE Types 1 and 2, for other BK-mediated angioedema, an unclear pathophysiology and lack of consistent diagnostic criteria have limited the opportunity for the clinical investigation and new treatment development. Consequently, there are still no treatments approved for hereditary angioedema patients with normal C1-INH or AAE due to C1-INH deficiency, who are unresponsive to conventional antihistamine/glucocorticoid treatment and have a high unmet medical need for effective modern therapies. Recently the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hereditary angioedema patients with normal C1-INH or AAE due to C1-INH deficiency patients. All these provide strong rationales to expand the development PHVS416 and PHVS719 to these types of BK-mediated angioedema and address the high unmet medical need.</w:t>
      </w:r>
    </w:p>
    <w:p>
      <w:pPr>
        <w:spacing w:after="0" w:line="223"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To our knowledge, one kallikrein inhibitor (lanadelumab-flyo, injected subcutaneously) is in development for hereditary angioedema with normal C1-INH, currently in Phase 3 for prophylaxis.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0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Since the 1990s, many companies have tried but failed to discover oral bradykinin-B2-receptor antagonists, as the bradykinin B2 receptor has proved to be a difficult target for the development of orally available antagonists. Historically, compounds targeting the bradykinin B2 receptor with adequate potency have had 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 binding pocket at the bradykinin B2 receptor, preventing or halting its signaling activity, while also possessing desirable physicochemical properties and other profiling characteristics.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 acting as a potent and selective agonist of the bradykinin B2 receptor.</w:t>
      </w:r>
    </w:p>
    <w:p>
      <w:pPr>
        <w:spacing w:after="0" w:line="156" w:lineRule="exact"/>
        <w:rPr>
          <w:sz w:val="20"/>
          <w:szCs w:val="20"/>
          <w:color w:val="auto"/>
        </w:rPr>
      </w:pPr>
    </w:p>
    <w:p>
      <w:pPr>
        <w:ind w:right="20" w:firstLine="458"/>
        <w:spacing w:after="0" w:line="283"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w:t>
      </w:r>
    </w:p>
    <w:p>
      <w:pPr>
        <w:spacing w:after="0" w:line="156"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Excessive bradykinin generation, as in HAE, promotes vascular permeability by activating the bradykinin B2 receptor, leading to plasma extravasation and subcutaneous or submucosal tissue swelling typical of an angioedema attack.</w:t>
      </w:r>
    </w:p>
    <w:p>
      <w:pPr>
        <w:spacing w:after="0" w:line="156"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As the figure below illustrates, treatment with deucrictibant,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Deucrictibant therefore has the therapeutic potential for both acute on-demand treatment and long-term prevention of attacks in patients with bradykinin- 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240665</wp:posOffset>
            </wp:positionV>
            <wp:extent cx="5107305" cy="2868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07305"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Deucrictibant combines the preclinical selectivity of bradykinin-B2-receptor antagonism with oral bioavailability and extended exposure upon a single dose. Deucrictibant is being developed to become the first effective orally administered antagonist of BK activity with therapeutic potential for both acute on-demand treatment and long- term prevention of attacks in patients with HAE and other BK-mediated angioedema.</w:t>
      </w:r>
    </w:p>
    <w:p>
      <w:pPr>
        <w:spacing w:after="0" w:line="170"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 xml:space="preserve">Deucrictibant is an orally bioavailable competitive antagonist of the bradykinin B2 receptor with high affinity and high antagonist potency.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17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Deucrictibant demonstrated 5000-fold selectivity for the bradykinin B2 receptor when compared to approximately 170 other molecular targets, including the bradykinin B1 receptor. As shown in the graphs below depicting mean arterial blood pressure (MABP) in a bradykinin challenge study in monkeys (back-translated from human), deucrictibant showed clear dose-dependent activity. While differences between human and monkey PK prevent direct extrapolation to human dose, deucrictibant demonstrated longer duration and faster onset of activity than injected icatibant in the same study. However, we have not conducted a head-to-head comparison of icatibant to deucrictibant in a clinical trial but have compared the published data for icatibant to data from our Phase 1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BK-Challenge in Pre-Clinical Animal Model</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634990" cy="4690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34990" cy="469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 published study conducted by the Company, a dose of 0.6mg/kg sc icatibant was used in monkeys, as PK data indicated that this dose would provide an exposure (Cmax 1,044 ng/mL, AUC 2,155 ng*h/mL) similar to the exposures seen in humans at a therapeutic dose of 30 mg sc (Cmax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79"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Deucrictibant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1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6 months in rats and up to 9 months in monkeys.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genotoxicity nor</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phototoxic potential. No findings considered relevant to humans were observed in GLP (Good Laboratory Practices)-compliant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toxicity studies in rats up to 3-months duration and in cynomolgus monkeys up to 9-months duration at doses up to the maximum tolerated in each species. Deucrictibant has not demonstrated any adverse effects on embryo-fetal survival and development in the humanized bradykinin-B2-receptor transgenic rat or in the rabbit. Furthermore, male and female fertility studies showed no adverse effects of deucrictibant on gonadal function, mating behavior, and reproductive performance.</w:t>
      </w:r>
    </w:p>
    <w:p>
      <w:pPr>
        <w:spacing w:after="0" w:line="181" w:lineRule="exact"/>
        <w:rPr>
          <w:sz w:val="20"/>
          <w:szCs w:val="20"/>
          <w:color w:val="auto"/>
        </w:rPr>
      </w:pPr>
    </w:p>
    <w:p>
      <w:pPr>
        <w:jc w:val="both"/>
        <w:ind w:right="180" w:firstLine="503"/>
        <w:spacing w:after="0" w:line="264"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bradykinin-B2-receptor antagonism. Based on review of these nonclinical findings, the FDA put a clinical hold on trials of deucrictibant in the U.S. Pharvaris aligned with the FDA on the protocol and has initiated a 6-month rat exploratory study to further investigate the findings and address the clinical holds.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7"/>
                <w:szCs w:val="17"/>
                <w:color w:val="auto"/>
              </w:rPr>
            </w:pPr>
          </w:p>
        </w:tc>
        <w:tc>
          <w:tcPr>
            <w:tcW w:w="27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Short Description</w:t>
            </w:r>
          </w:p>
        </w:tc>
      </w:tr>
      <w:tr>
        <w:trPr>
          <w:trHeight w:val="180"/>
        </w:trPr>
        <w:tc>
          <w:tcPr>
            <w:tcW w:w="136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Single ascending dose (SAD)</w:t>
            </w: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and BK challenge/SAD-proof</w:t>
            </w:r>
          </w:p>
        </w:tc>
      </w:tr>
      <w:tr>
        <w:trPr>
          <w:trHeight w:val="201"/>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of mechanism (POM)</w:t>
            </w:r>
          </w:p>
        </w:tc>
      </w:tr>
      <w:tr>
        <w:trPr>
          <w:trHeight w:val="214"/>
        </w:trPr>
        <w:tc>
          <w:tcPr>
            <w:tcW w:w="1360" w:type="dxa"/>
            <w:vAlign w:val="bottom"/>
          </w:tcPr>
          <w:p>
            <w:pPr>
              <w:ind w:left="20"/>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SAD extension</w:t>
            </w:r>
          </w:p>
        </w:tc>
      </w:tr>
      <w:tr>
        <w:trPr>
          <w:trHeight w:val="363"/>
        </w:trPr>
        <w:tc>
          <w:tcPr>
            <w:tcW w:w="1360" w:type="dxa"/>
            <w:vAlign w:val="bottom"/>
          </w:tcPr>
          <w:p>
            <w:pPr>
              <w:ind w:left="20"/>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Absorption, metabolism, and</w:t>
            </w:r>
          </w:p>
        </w:tc>
      </w:tr>
      <w:tr>
        <w:trPr>
          <w:trHeight w:val="201"/>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excretion (mass balance)</w:t>
            </w: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Drug-drug interaction (DDI)—</w:t>
            </w: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CYP3A4 inhibitor (itraconazole)</w:t>
            </w:r>
          </w:p>
        </w:tc>
      </w:tr>
      <w:tr>
        <w:trPr>
          <w:trHeight w:val="214"/>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interaction</w:t>
            </w:r>
          </w:p>
        </w:tc>
      </w:tr>
      <w:tr>
        <w:trPr>
          <w:trHeight w:val="389"/>
        </w:trPr>
        <w:tc>
          <w:tcPr>
            <w:tcW w:w="1360" w:type="dxa"/>
            <w:vAlign w:val="bottom"/>
          </w:tcPr>
          <w:p>
            <w:pPr>
              <w:ind w:left="20"/>
              <w:spacing w:after="0"/>
              <w:rPr>
                <w:sz w:val="20"/>
                <w:szCs w:val="20"/>
                <w:color w:val="auto"/>
              </w:rPr>
            </w:pPr>
            <w:r>
              <w:rPr>
                <w:rFonts w:ascii="Arial" w:cs="Arial" w:eastAsia="Arial" w:hAnsi="Arial"/>
                <w:sz w:val="16"/>
                <w:szCs w:val="16"/>
                <w:color w:val="auto"/>
              </w:rPr>
              <w:t>C005</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DDI—CYP interaction (cocktail)</w:t>
            </w:r>
          </w:p>
        </w:tc>
      </w:tr>
      <w:tr>
        <w:trPr>
          <w:trHeight w:val="389"/>
        </w:trPr>
        <w:tc>
          <w:tcPr>
            <w:tcW w:w="1360" w:type="dxa"/>
            <w:vAlign w:val="bottom"/>
          </w:tcPr>
          <w:p>
            <w:pPr>
              <w:ind w:left="20"/>
              <w:spacing w:after="0"/>
              <w:rPr>
                <w:sz w:val="20"/>
                <w:szCs w:val="20"/>
                <w:color w:val="auto"/>
              </w:rPr>
            </w:pPr>
            <w:r>
              <w:rPr>
                <w:rFonts w:ascii="Arial" w:cs="Arial" w:eastAsia="Arial" w:hAnsi="Arial"/>
                <w:sz w:val="16"/>
                <w:szCs w:val="16"/>
                <w:color w:val="auto"/>
              </w:rPr>
              <w:t>C006</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Multiple ascending dose (MAD)</w:t>
            </w:r>
          </w:p>
        </w:tc>
      </w:tr>
      <w:tr>
        <w:trPr>
          <w:trHeight w:val="389"/>
        </w:trPr>
        <w:tc>
          <w:tcPr>
            <w:tcW w:w="1360" w:type="dxa"/>
            <w:vAlign w:val="bottom"/>
          </w:tcPr>
          <w:p>
            <w:pPr>
              <w:ind w:left="20"/>
              <w:spacing w:after="0"/>
              <w:rPr>
                <w:sz w:val="20"/>
                <w:szCs w:val="20"/>
                <w:color w:val="auto"/>
              </w:rPr>
            </w:pPr>
            <w:r>
              <w:rPr>
                <w:rFonts w:ascii="Arial" w:cs="Arial" w:eastAsia="Arial" w:hAnsi="Arial"/>
                <w:sz w:val="16"/>
                <w:szCs w:val="16"/>
                <w:color w:val="auto"/>
              </w:rPr>
              <w:t>C009</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Japanese PK bridging</w:t>
            </w:r>
          </w:p>
        </w:tc>
      </w:tr>
      <w:tr>
        <w:trPr>
          <w:trHeight w:val="764"/>
        </w:trPr>
        <w:tc>
          <w:tcPr>
            <w:tcW w:w="1360" w:type="dxa"/>
            <w:vAlign w:val="bottom"/>
          </w:tcPr>
          <w:p>
            <w:pPr>
              <w:ind w:left="20"/>
              <w:spacing w:after="0"/>
              <w:rPr>
                <w:sz w:val="20"/>
                <w:szCs w:val="20"/>
                <w:color w:val="auto"/>
              </w:rPr>
            </w:pPr>
            <w:r>
              <w:rPr>
                <w:rFonts w:ascii="Arial" w:cs="Arial" w:eastAsia="Arial" w:hAnsi="Arial"/>
                <w:sz w:val="16"/>
                <w:szCs w:val="16"/>
                <w:color w:val="auto"/>
              </w:rPr>
              <w:t>C010</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Exploratory XR PK bridging</w:t>
            </w:r>
          </w:p>
        </w:tc>
      </w:tr>
      <w:tr>
        <w:trPr>
          <w:trHeight w:val="576"/>
        </w:trPr>
        <w:tc>
          <w:tcPr>
            <w:tcW w:w="1360" w:type="dxa"/>
            <w:vAlign w:val="bottom"/>
          </w:tcPr>
          <w:p>
            <w:pPr>
              <w:ind w:left="20"/>
              <w:spacing w:after="0"/>
              <w:rPr>
                <w:sz w:val="20"/>
                <w:szCs w:val="20"/>
                <w:color w:val="auto"/>
              </w:rPr>
            </w:pPr>
            <w:r>
              <w:rPr>
                <w:rFonts w:ascii="Arial" w:cs="Arial" w:eastAsia="Arial" w:hAnsi="Arial"/>
                <w:sz w:val="16"/>
                <w:szCs w:val="16"/>
                <w:color w:val="auto"/>
              </w:rPr>
              <w:t>C012</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Hepatic impairment</w:t>
            </w:r>
          </w:p>
        </w:tc>
      </w:tr>
      <w:tr>
        <w:trPr>
          <w:trHeight w:val="389"/>
        </w:trPr>
        <w:tc>
          <w:tcPr>
            <w:tcW w:w="1360" w:type="dxa"/>
            <w:vAlign w:val="bottom"/>
          </w:tcPr>
          <w:p>
            <w:pPr>
              <w:ind w:left="20"/>
              <w:spacing w:after="0"/>
              <w:rPr>
                <w:sz w:val="20"/>
                <w:szCs w:val="20"/>
                <w:color w:val="auto"/>
              </w:rPr>
            </w:pPr>
            <w:r>
              <w:rPr>
                <w:rFonts w:ascii="Arial" w:cs="Arial" w:eastAsia="Arial" w:hAnsi="Arial"/>
                <w:sz w:val="16"/>
                <w:szCs w:val="16"/>
                <w:color w:val="auto"/>
              </w:rPr>
              <w:t>C013</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Renal impairment</w:t>
            </w:r>
          </w:p>
        </w:tc>
      </w:tr>
      <w:tr>
        <w:trPr>
          <w:trHeight w:val="389"/>
        </w:trPr>
        <w:tc>
          <w:tcPr>
            <w:tcW w:w="1360" w:type="dxa"/>
            <w:vAlign w:val="bottom"/>
          </w:tcPr>
          <w:p>
            <w:pPr>
              <w:ind w:left="20"/>
              <w:spacing w:after="0"/>
              <w:rPr>
                <w:sz w:val="20"/>
                <w:szCs w:val="20"/>
                <w:color w:val="auto"/>
              </w:rPr>
            </w:pPr>
            <w:r>
              <w:rPr>
                <w:rFonts w:ascii="Arial" w:cs="Arial" w:eastAsia="Arial" w:hAnsi="Arial"/>
                <w:sz w:val="16"/>
                <w:szCs w:val="16"/>
                <w:color w:val="auto"/>
              </w:rPr>
              <w:t>C015</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Confirmatory XR PK</w:t>
            </w:r>
          </w:p>
        </w:tc>
      </w:tr>
      <w:tr>
        <w:trPr>
          <w:trHeight w:val="389"/>
        </w:trPr>
        <w:tc>
          <w:tcPr>
            <w:tcW w:w="1360" w:type="dxa"/>
            <w:vAlign w:val="bottom"/>
          </w:tcPr>
          <w:p>
            <w:pPr>
              <w:ind w:left="20"/>
              <w:spacing w:after="0"/>
              <w:rPr>
                <w:sz w:val="20"/>
                <w:szCs w:val="20"/>
                <w:color w:val="auto"/>
              </w:rPr>
            </w:pPr>
            <w:r>
              <w:rPr>
                <w:rFonts w:ascii="Arial" w:cs="Arial" w:eastAsia="Arial" w:hAnsi="Arial"/>
                <w:sz w:val="16"/>
                <w:szCs w:val="16"/>
                <w:color w:val="auto"/>
              </w:rPr>
              <w:t>C016</w:t>
            </w:r>
          </w:p>
        </w:tc>
        <w:tc>
          <w:tcPr>
            <w:tcW w:w="120" w:type="dxa"/>
            <w:vAlign w:val="bottom"/>
          </w:tcPr>
          <w:p>
            <w:pPr>
              <w:spacing w:after="0"/>
              <w:rPr>
                <w:sz w:val="24"/>
                <w:szCs w:val="24"/>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DDI CYP3A4</w:t>
            </w:r>
          </w:p>
        </w:tc>
      </w:tr>
      <w:tr>
        <w:trPr>
          <w:trHeight w:val="764"/>
        </w:trPr>
        <w:tc>
          <w:tcPr>
            <w:tcW w:w="1360" w:type="dxa"/>
            <w:vAlign w:val="bottom"/>
          </w:tcPr>
          <w:p>
            <w:pPr>
              <w:ind w:left="20"/>
              <w:spacing w:after="0"/>
              <w:rPr>
                <w:sz w:val="20"/>
                <w:szCs w:val="20"/>
                <w:color w:val="auto"/>
              </w:rPr>
            </w:pPr>
            <w:r>
              <w:rPr>
                <w:rFonts w:ascii="Arial" w:cs="Arial" w:eastAsia="Arial" w:hAnsi="Arial"/>
                <w:sz w:val="16"/>
                <w:szCs w:val="16"/>
                <w:color w:val="auto"/>
              </w:rPr>
              <w:t>C018</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XR Food Effect</w:t>
            </w:r>
          </w:p>
        </w:tc>
      </w:tr>
      <w:tr>
        <w:trPr>
          <w:trHeight w:val="576"/>
        </w:trPr>
        <w:tc>
          <w:tcPr>
            <w:tcW w:w="1360" w:type="dxa"/>
            <w:vAlign w:val="bottom"/>
          </w:tcPr>
          <w:p>
            <w:pPr>
              <w:ind w:left="20"/>
              <w:spacing w:after="0"/>
              <w:rPr>
                <w:sz w:val="20"/>
                <w:szCs w:val="20"/>
                <w:color w:val="auto"/>
              </w:rPr>
            </w:pPr>
            <w:r>
              <w:rPr>
                <w:rFonts w:ascii="Arial" w:cs="Arial" w:eastAsia="Arial" w:hAnsi="Arial"/>
                <w:sz w:val="16"/>
                <w:szCs w:val="16"/>
                <w:color w:val="auto"/>
              </w:rPr>
              <w:t>C019</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XR multi-ethnicity study</w:t>
            </w:r>
          </w:p>
        </w:tc>
      </w:tr>
      <w:tr>
        <w:trPr>
          <w:trHeight w:val="765"/>
        </w:trPr>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Phase 2</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C201</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PHVS416 on-demand</w:t>
            </w:r>
          </w:p>
        </w:tc>
      </w:tr>
      <w:tr>
        <w:trPr>
          <w:trHeight w:val="201"/>
        </w:trPr>
        <w:tc>
          <w:tcPr>
            <w:tcW w:w="1360" w:type="dxa"/>
            <w:vAlign w:val="bottom"/>
          </w:tcPr>
          <w:p>
            <w:pPr>
              <w:ind w:left="20"/>
              <w:spacing w:after="0"/>
              <w:rPr>
                <w:sz w:val="20"/>
                <w:szCs w:val="20"/>
                <w:color w:val="auto"/>
              </w:rPr>
            </w:pPr>
            <w:r>
              <w:rPr>
                <w:rFonts w:ascii="Arial" w:cs="Arial" w:eastAsia="Arial" w:hAnsi="Arial"/>
                <w:sz w:val="16"/>
                <w:szCs w:val="16"/>
                <w:color w:val="auto"/>
              </w:rPr>
              <w:t>RAPIDe-1</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C303</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PHVS416 on-demand open-label</w:t>
            </w:r>
          </w:p>
        </w:tc>
      </w:tr>
      <w:tr>
        <w:trPr>
          <w:trHeight w:val="201"/>
        </w:trPr>
        <w:tc>
          <w:tcPr>
            <w:tcW w:w="1360" w:type="dxa"/>
            <w:vAlign w:val="bottom"/>
          </w:tcPr>
          <w:p>
            <w:pPr>
              <w:ind w:left="20"/>
              <w:spacing w:after="0"/>
              <w:rPr>
                <w:sz w:val="20"/>
                <w:szCs w:val="20"/>
                <w:color w:val="auto"/>
              </w:rPr>
            </w:pPr>
            <w:r>
              <w:rPr>
                <w:rFonts w:ascii="Arial" w:cs="Arial" w:eastAsia="Arial" w:hAnsi="Arial"/>
                <w:sz w:val="16"/>
                <w:szCs w:val="16"/>
                <w:color w:val="auto"/>
              </w:rPr>
              <w:t>RAPIDe-2</w:t>
            </w:r>
          </w:p>
        </w:tc>
        <w:tc>
          <w:tcPr>
            <w:tcW w:w="12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extension</w:t>
            </w: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C301</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PHVS416 prophylaxis</w:t>
            </w:r>
          </w:p>
        </w:tc>
      </w:tr>
      <w:tr>
        <w:trPr>
          <w:trHeight w:val="201"/>
        </w:trPr>
        <w:tc>
          <w:tcPr>
            <w:tcW w:w="1360" w:type="dxa"/>
            <w:vAlign w:val="bottom"/>
          </w:tcPr>
          <w:p>
            <w:pPr>
              <w:ind w:left="20"/>
              <w:spacing w:after="0"/>
              <w:rPr>
                <w:sz w:val="20"/>
                <w:szCs w:val="20"/>
                <w:color w:val="auto"/>
              </w:rPr>
            </w:pPr>
            <w:r>
              <w:rPr>
                <w:rFonts w:ascii="Arial" w:cs="Arial" w:eastAsia="Arial" w:hAnsi="Arial"/>
                <w:sz w:val="16"/>
                <w:szCs w:val="16"/>
                <w:color w:val="auto"/>
              </w:rPr>
              <w:t>CHAPTER-1</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C306</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PHVS416 on demand</w:t>
            </w:r>
          </w:p>
        </w:tc>
      </w:tr>
      <w:tr>
        <w:trPr>
          <w:trHeight w:val="214"/>
        </w:trPr>
        <w:tc>
          <w:tcPr>
            <w:tcW w:w="1360" w:type="dxa"/>
            <w:vAlign w:val="bottom"/>
          </w:tcPr>
          <w:p>
            <w:pPr>
              <w:ind w:left="20"/>
              <w:spacing w:after="0"/>
              <w:rPr>
                <w:sz w:val="20"/>
                <w:szCs w:val="20"/>
                <w:color w:val="auto"/>
              </w:rPr>
            </w:pPr>
            <w:r>
              <w:rPr>
                <w:rFonts w:ascii="Arial" w:cs="Arial" w:eastAsia="Arial" w:hAnsi="Arial"/>
                <w:sz w:val="16"/>
                <w:szCs w:val="16"/>
                <w:color w:val="auto"/>
              </w:rPr>
              <w:t>RAPIDe-3</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3549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297"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Randomized, double-blind, placebo-controlled, single ascending dose to assess safety and proof-of-mechanism through BK-challenge</w:t>
      </w:r>
    </w:p>
    <w:p>
      <w:pPr>
        <w:spacing w:after="0" w:line="49"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Open-label, single dose 14 C-deucrictibant to characterize the absorption, metabolism, and excretion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5"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Randomized, double-blind, placebo-controlled, multiple ascending dose to assess safety and different doses</w:t>
      </w:r>
    </w:p>
    <w:p>
      <w:pPr>
        <w:spacing w:after="0" w:line="4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3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ind w:right="640"/>
        <w:spacing w:after="0" w:line="253" w:lineRule="auto"/>
        <w:rPr>
          <w:sz w:val="20"/>
          <w:szCs w:val="20"/>
          <w:color w:val="auto"/>
        </w:rPr>
      </w:pPr>
      <w:r>
        <w:rPr>
          <w:rFonts w:ascii="Arial" w:cs="Arial" w:eastAsia="Arial" w:hAnsi="Arial"/>
          <w:sz w:val="16"/>
          <w:szCs w:val="16"/>
          <w:color w:val="auto"/>
        </w:rPr>
        <w:t>Open-label, single dose to assess the effect of hepatic impairment on pharmacokinetics</w:t>
      </w:r>
    </w:p>
    <w:p>
      <w:pPr>
        <w:spacing w:after="0" w:line="1" w:lineRule="exact"/>
        <w:rPr>
          <w:sz w:val="20"/>
          <w:szCs w:val="20"/>
          <w:color w:val="auto"/>
        </w:rPr>
      </w:pPr>
    </w:p>
    <w:p>
      <w:pPr>
        <w:ind w:right="800"/>
        <w:spacing w:after="0" w:line="253" w:lineRule="auto"/>
        <w:rPr>
          <w:sz w:val="20"/>
          <w:szCs w:val="20"/>
          <w:color w:val="auto"/>
        </w:rPr>
      </w:pPr>
      <w:r>
        <w:rPr>
          <w:rFonts w:ascii="Arial" w:cs="Arial" w:eastAsia="Arial" w:hAnsi="Arial"/>
          <w:sz w:val="16"/>
          <w:szCs w:val="16"/>
          <w:color w:val="auto"/>
        </w:rPr>
        <w:t>Open-label, single dose to assess the effect of renal impairment on pharmacokinetics</w:t>
      </w:r>
    </w:p>
    <w:p>
      <w:pPr>
        <w:spacing w:after="0" w:line="1"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Open-label, multiple doses to assess PK and safety of extended-release formulation</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Open-label, single-sequence, drug-drug interaction study to evaluate the effect of multiple oral doses of the moderate CYP3A4 inhibitor verapamil on the single dose PK of PHA-022121</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Open-label, randomized, two-period, two-way cross-over study to assess the influence of a high-calorie, high-fat meal on the bioavailability of extended-release formulation</w:t>
      </w:r>
    </w:p>
    <w:p>
      <w:pPr>
        <w:spacing w:after="0" w:line="6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200" w:lineRule="exact"/>
        <w:rPr>
          <w:sz w:val="20"/>
          <w:szCs w:val="20"/>
          <w:color w:val="auto"/>
        </w:rPr>
      </w:pPr>
    </w:p>
    <w:p>
      <w:pPr>
        <w:spacing w:after="0" w:line="251" w:lineRule="exact"/>
        <w:rPr>
          <w:sz w:val="20"/>
          <w:szCs w:val="20"/>
          <w:color w:val="auto"/>
        </w:rPr>
      </w:pPr>
    </w:p>
    <w:p>
      <w:pPr>
        <w:ind w:right="1640"/>
        <w:spacing w:after="0" w:line="261"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Phase II/III, Extension Study to evaluate the safety of long-term on-demand treatment with PHA-022121 for acute HAE attacks</w:t>
      </w:r>
    </w:p>
    <w:p>
      <w:pPr>
        <w:spacing w:after="0" w:line="1" w:lineRule="exact"/>
        <w:rPr>
          <w:sz w:val="20"/>
          <w:szCs w:val="20"/>
          <w:color w:val="auto"/>
        </w:rPr>
      </w:pPr>
    </w:p>
    <w:p>
      <w:pPr>
        <w:ind w:right="1640"/>
        <w:spacing w:after="0" w:line="267"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61"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Phase III, randomized, placebo-controlled study to evaluate the efficacy of PHVS416 compared with placebo as on demand treatment for achieving symptom relief of hereditary angioedema (HAE) attacks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14605</wp:posOffset>
            </wp:positionV>
            <wp:extent cx="791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200" w:lineRule="exact"/>
        <w:rPr>
          <w:sz w:val="20"/>
          <w:szCs w:val="20"/>
          <w:color w:val="auto"/>
        </w:rPr>
      </w:pPr>
    </w:p>
    <w:p>
      <w:pPr>
        <w:spacing w:after="0" w:line="38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3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Planned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Ongoing</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Planned</w:t>
      </w:r>
    </w:p>
    <w:p>
      <w:pPr>
        <w:spacing w:after="0" w:line="717" w:lineRule="exact"/>
        <w:rPr>
          <w:sz w:val="20"/>
          <w:szCs w:val="20"/>
          <w:color w:val="auto"/>
        </w:rPr>
      </w:pPr>
    </w:p>
    <w:p>
      <w:pPr>
        <w:sectPr>
          <w:pgSz w:w="11900" w:h="16838" w:orient="portrait"/>
          <w:cols w:equalWidth="0" w:num="3">
            <w:col w:w="4180" w:space="140"/>
            <w:col w:w="5560" w:space="340"/>
            <w:col w:w="940"/>
          </w:cols>
          <w:pgMar w:left="320" w:top="125" w:right="41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 BK challenge / SAD-POM)</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Deucrictibant-C001 was a randomized, double-blind, placebo-controlled, single ascending dose and proof-of-mechanism study to examine the safety, tolerability, PK and PD of orally administered deucrictibant in healthy subjects. A total of 52 subjects received single ascending oral doses of deucrictibant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deucrictibant groups occurred. The overall incidence of AEs was similar between the placebo and deucrictibant. Treatment-related AEs were reported for three subjects who received deucrictibant (12 or 22 mg), all within the gastrointestinal system and of mild severity: upper abdominal pain, vomiting, and nausea. There were no apparent trends or dose-related changes in hematology, clinical chemistry, vital signs, or ECG.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Pharmacokinetics Analysis</w:t>
      </w:r>
    </w:p>
    <w:p>
      <w:pPr>
        <w:spacing w:after="0" w:line="109" w:lineRule="exact"/>
        <w:rPr>
          <w:sz w:val="20"/>
          <w:szCs w:val="20"/>
          <w:color w:val="auto"/>
        </w:rPr>
      </w:pPr>
    </w:p>
    <w:p>
      <w:pPr>
        <w:ind w:right="260" w:firstLine="458"/>
        <w:spacing w:after="0" w:line="272" w:lineRule="auto"/>
        <w:rPr>
          <w:sz w:val="20"/>
          <w:szCs w:val="20"/>
          <w:color w:val="auto"/>
        </w:rPr>
      </w:pPr>
      <w:r>
        <w:rPr>
          <w:rFonts w:ascii="Arial" w:cs="Arial" w:eastAsia="Arial" w:hAnsi="Arial"/>
          <w:sz w:val="16"/>
          <w:szCs w:val="16"/>
          <w:color w:val="auto"/>
        </w:rPr>
        <w:t>Dose proportional PK was observed after single oral administration under fasting condition of deucrictibant in the dose range of 1 mg to 22 mg for Cmax, AUClast and AUCinf.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3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Dose (mg)</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Cmax (ng/mL)</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C0.25h (ng/mL)</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C12h (ng/mL)</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Tmax (h)</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t1/2 (h)</w:t>
            </w:r>
          </w:p>
        </w:tc>
        <w:tc>
          <w:tcPr>
            <w:tcW w:w="100" w:type="dxa"/>
            <w:vAlign w:val="bottom"/>
          </w:tcPr>
          <w:p>
            <w:pPr>
              <w:spacing w:after="0"/>
              <w:rPr>
                <w:sz w:val="14"/>
                <w:szCs w:val="14"/>
                <w:color w:val="auto"/>
              </w:rPr>
            </w:pPr>
          </w:p>
        </w:tc>
      </w:tr>
      <w:tr>
        <w:trPr>
          <w:trHeight w:val="208"/>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8"/>
                <w:szCs w:val="18"/>
                <w:color w:val="auto"/>
              </w:rPr>
            </w:pPr>
          </w:p>
        </w:tc>
      </w:tr>
      <w:tr>
        <w:trPr>
          <w:trHeight w:val="214"/>
        </w:trPr>
        <w:tc>
          <w:tcPr>
            <w:tcW w:w="3320" w:type="dxa"/>
            <w:vAlign w:val="bottom"/>
          </w:tcPr>
          <w:p>
            <w:pPr>
              <w:spacing w:after="0"/>
              <w:rPr>
                <w:sz w:val="20"/>
                <w:szCs w:val="20"/>
                <w:color w:val="auto"/>
              </w:rPr>
            </w:pPr>
            <w:r>
              <w:rPr>
                <w:rFonts w:ascii="Arial" w:cs="Arial" w:eastAsia="Arial" w:hAnsi="Arial"/>
                <w:sz w:val="16"/>
                <w:szCs w:val="16"/>
                <w:color w:val="auto"/>
              </w:rPr>
              <w:t>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5"/>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4.5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8"/>
                <w:szCs w:val="18"/>
                <w:color w:val="auto"/>
              </w:rPr>
            </w:pPr>
          </w:p>
        </w:tc>
      </w:tr>
      <w:tr>
        <w:trPr>
          <w:trHeight w:val="214"/>
        </w:trPr>
        <w:tc>
          <w:tcPr>
            <w:tcW w:w="3320" w:type="dxa"/>
            <w:vAlign w:val="bottom"/>
          </w:tcPr>
          <w:p>
            <w:pPr>
              <w:spacing w:after="0"/>
              <w:rPr>
                <w:sz w:val="20"/>
                <w:szCs w:val="20"/>
                <w:color w:val="auto"/>
              </w:rPr>
            </w:pPr>
            <w:r>
              <w:rPr>
                <w:rFonts w:ascii="Arial" w:cs="Arial" w:eastAsia="Arial" w:hAnsi="Arial"/>
                <w:sz w:val="16"/>
                <w:szCs w:val="16"/>
                <w:color w:val="auto"/>
              </w:rPr>
              <w:t>12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5"/>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8"/>
                <w:szCs w:val="18"/>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6"/>
                <w:szCs w:val="16"/>
                <w:b w:val="1"/>
                <w:bCs w:val="1"/>
                <w:color w:val="auto"/>
              </w:rPr>
              <w:t>22 (high calorie, high-fat meal)</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r>
    </w:tbl>
    <w:p>
      <w:pPr>
        <w:spacing w:after="0" w:line="233"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this study, a high-calorie, high-fat (HCHF) meal reduced peak exposure and slightly increased overall exposure of deucrictibant: after a 22 mg dose, the mean Cmax of deucrictibant was lower (~32%) while AUCinf was higher (~ 42%) when deucrictibant was administered after a high calorie, high-fat breakfast (fed conditions) compared to administration under fasted conditions. While the median Tmax of deucrictibant was delayed by approximately two hours after administration under fed conditions, the plasma concentration for deucrictibant still reached the projected therapeutic levels (EC85, as determined in the bradykinin challenge described below) within 15 minutes. As shown in the table, the concentration of deucrictibant twelve hours post-dosing at 12 mg or 22 mg remained above projected therapeutic levels under both fed and fasted conditions.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146050</wp:posOffset>
            </wp:positionV>
            <wp:extent cx="3813810" cy="9791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13810" cy="97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addition, we also evaluated the PD of deucrictibant in a bradykinin challenge model, which was designed to demonstrate deucrictibant-mediated inhibition of the drop in blood pressure and increase in heart rate resulting from injection of a bradykinin bolus in healthy subjects. The bradykinin challenge is administered at specific intervals after the deucrictibant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 approval.</w:t>
      </w:r>
    </w:p>
    <w:p>
      <w:pPr>
        <w:spacing w:after="0" w:line="181" w:lineRule="exact"/>
        <w:rPr>
          <w:sz w:val="20"/>
          <w:szCs w:val="20"/>
          <w:color w:val="auto"/>
        </w:rPr>
      </w:pPr>
    </w:p>
    <w:p>
      <w:pPr>
        <w:ind w:right="300" w:firstLine="458"/>
        <w:spacing w:after="0" w:line="254"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deucrictibant. Bradykinin was injected intravenously before deucrictibant to calibrate each subject’s response, and then at 1, 4, 8, 12 and 24 hours after dosing with deucrictibant. We monitored cardiovascular responses at each time point (see figure above). At the same time, blood samples were drawn for PK assessment. Bradykinin injection induced a short-term change in mean arterial blood pressure, or MABP, heart rate, or HR, and cardiac output. In the presence of deucrictibant, this cardiovascular response was dampened to an extent depending on the concentration of deucrictibant.</w:t>
      </w:r>
    </w:p>
    <w:p>
      <w:pPr>
        <w:spacing w:after="0" w:line="179" w:lineRule="exact"/>
        <w:rPr>
          <w:sz w:val="20"/>
          <w:szCs w:val="20"/>
          <w:color w:val="auto"/>
        </w:rPr>
      </w:pPr>
    </w:p>
    <w:p>
      <w:pPr>
        <w:ind w:left="20" w:right="120" w:firstLine="458"/>
        <w:spacing w:after="0" w:line="254"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BK challenge are provided in the table below. Deucrictibant demonstrated higher PD potency based on plasma concentrations (roughly four-fold) than icatibant relative to published data for icatibant. Adjusting for the differences between molecular weight and plasma protein binding, we found that deucrictibant is 24-fold more potent (170 pM) in the bradykinin challenge than icatibant (4.1 nM) on a molecule-by-molecule basis, consistent with our preclinical </w:t>
      </w:r>
      <w:r>
        <w:rPr>
          <w:rFonts w:ascii="Arial" w:cs="Arial" w:eastAsia="Arial" w:hAnsi="Arial"/>
          <w:sz w:val="16"/>
          <w:szCs w:val="16"/>
          <w:i w:val="1"/>
          <w:iCs w:val="1"/>
          <w:color w:val="auto"/>
        </w:rPr>
        <w:t>in vitro measurements.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5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Composite average</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deucrictibant</w:t>
            </w: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icatibant</w:t>
            </w:r>
          </w:p>
        </w:tc>
        <w:tc>
          <w:tcPr>
            <w:tcW w:w="80" w:type="dxa"/>
            <w:vAlign w:val="bottom"/>
          </w:tcPr>
          <w:p>
            <w:pPr>
              <w:spacing w:after="0"/>
              <w:rPr>
                <w:sz w:val="14"/>
                <w:szCs w:val="14"/>
                <w:color w:val="auto"/>
              </w:rPr>
            </w:pPr>
          </w:p>
        </w:tc>
      </w:tr>
      <w:tr>
        <w:trPr>
          <w:trHeight w:val="208"/>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EC50 (ng/mL)</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FF0FC"/>
          </w:tcPr>
          <w:p>
            <w:pPr>
              <w:spacing w:after="0"/>
              <w:rPr>
                <w:sz w:val="18"/>
                <w:szCs w:val="18"/>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6"/>
                <w:szCs w:val="16"/>
                <w:color w:val="auto"/>
              </w:rPr>
              <w:t>EC85 (ng/mL)</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8"/>
                <w:szCs w:val="18"/>
                <w:color w:val="auto"/>
              </w:rPr>
            </w:pPr>
          </w:p>
        </w:tc>
      </w:tr>
    </w:tbl>
    <w:p>
      <w:pPr>
        <w:spacing w:after="0" w:line="241" w:lineRule="exact"/>
        <w:rPr>
          <w:sz w:val="20"/>
          <w:szCs w:val="20"/>
          <w:color w:val="auto"/>
        </w:rPr>
      </w:pPr>
    </w:p>
    <w:p>
      <w:pPr>
        <w:ind w:right="540" w:firstLine="458"/>
        <w:spacing w:after="0" w:line="283"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5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data also allowed us to compare the projected therapeutic performance of deucrictibant with that of the icatibant study. However, we have not conducted a head-to-head comparison of icatibant to deucrictibant in a clinical trial but have compared the published data for icatibant to data from our Phase 1 and Phase 2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head-to-head data, we will be unable to make comparative claims for our product candidates, if approved. Clinical trials have shown for icatibant that the therapeutic response to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77"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Applying these criteria as exposure targets for deucrictibant leads us to project that due to deucrictibant’s longer half-life, we believe deucrictibant will stay above these therapeutic targets for much longer than icatibant. The 12 mg dose of deucrictibant showed rapid absorption and then stayed above EC50 for 10-12 hours and above the EC85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deucrictibant based on BK-challenge modeling and simulation.</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deucrictibant 12 mg</w:t>
            </w:r>
          </w:p>
        </w:tc>
        <w:tc>
          <w:tcPr>
            <w:tcW w:w="8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b w:val="1"/>
                <w:bCs w:val="1"/>
                <w:color w:val="auto"/>
              </w:rPr>
              <w:t>deucrictibant 22 mg</w:t>
            </w:r>
          </w:p>
        </w:tc>
        <w:tc>
          <w:tcPr>
            <w:tcW w:w="100" w:type="dxa"/>
            <w:vAlign w:val="bottom"/>
          </w:tcPr>
          <w:p>
            <w:pPr>
              <w:spacing w:after="0"/>
              <w:rPr>
                <w:sz w:val="13"/>
                <w:szCs w:val="13"/>
                <w:color w:val="auto"/>
              </w:rPr>
            </w:pPr>
          </w:p>
        </w:tc>
      </w:tr>
      <w:tr>
        <w:trPr>
          <w:trHeight w:val="165"/>
        </w:trPr>
        <w:tc>
          <w:tcPr>
            <w:tcW w:w="5320" w:type="dxa"/>
            <w:vAlign w:val="bottom"/>
          </w:tcPr>
          <w:p>
            <w:pPr>
              <w:spacing w:after="0"/>
              <w:rPr>
                <w:sz w:val="20"/>
                <w:szCs w:val="20"/>
                <w:color w:val="auto"/>
              </w:rPr>
            </w:pPr>
            <w:r>
              <w:rPr>
                <w:rFonts w:ascii="Arial" w:cs="Arial" w:eastAsia="Arial" w:hAnsi="Arial"/>
                <w:sz w:val="13"/>
                <w:szCs w:val="13"/>
                <w:b w:val="1"/>
                <w:bCs w:val="1"/>
                <w:color w:val="auto"/>
              </w:rPr>
              <w:t>Response</w:t>
            </w:r>
          </w:p>
        </w:tc>
        <w:tc>
          <w:tcPr>
            <w:tcW w:w="136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icatibant 30 mg</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8"/>
              </w:rPr>
              <w:t>(oral)</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(oral)</w:t>
            </w:r>
          </w:p>
        </w:tc>
        <w:tc>
          <w:tcPr>
            <w:tcW w:w="100" w:type="dxa"/>
            <w:vAlign w:val="bottom"/>
          </w:tcPr>
          <w:p>
            <w:pPr>
              <w:spacing w:after="0"/>
              <w:rPr>
                <w:sz w:val="14"/>
                <w:szCs w:val="14"/>
                <w:color w:val="auto"/>
              </w:rPr>
            </w:pPr>
          </w:p>
        </w:tc>
      </w:tr>
      <w:tr>
        <w:trPr>
          <w:trHeight w:val="154"/>
        </w:trPr>
        <w:tc>
          <w:tcPr>
            <w:tcW w:w="532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Time (h) plasma</w:t>
            </w:r>
          </w:p>
        </w:tc>
        <w:tc>
          <w:tcPr>
            <w:tcW w:w="1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3"/>
                <w:szCs w:val="13"/>
                <w:b w:val="1"/>
                <w:bCs w:val="1"/>
                <w:color w:val="auto"/>
                <w:w w:val="94"/>
              </w:rPr>
              <w:t>level above EC50 at a 75% confidence level</w:t>
            </w:r>
          </w:p>
        </w:tc>
        <w:tc>
          <w:tcPr>
            <w:tcW w:w="100" w:type="dxa"/>
            <w:vAlign w:val="bottom"/>
          </w:tcPr>
          <w:p>
            <w:pPr>
              <w:spacing w:after="0"/>
              <w:rPr>
                <w:sz w:val="13"/>
                <w:szCs w:val="13"/>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Diastolic blood pressure (DBP)</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8"/>
                <w:szCs w:val="18"/>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6"/>
                <w:szCs w:val="16"/>
                <w:color w:val="auto"/>
              </w:rPr>
              <w:t>MABP</w:t>
            </w: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Heart rate</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8"/>
                <w:szCs w:val="18"/>
                <w:color w:val="auto"/>
              </w:rPr>
            </w:pPr>
          </w:p>
        </w:tc>
      </w:tr>
      <w:tr>
        <w:trPr>
          <w:trHeight w:val="214"/>
        </w:trPr>
        <w:tc>
          <w:tcPr>
            <w:tcW w:w="5320" w:type="dxa"/>
            <w:vAlign w:val="bottom"/>
          </w:tcPr>
          <w:p>
            <w:pPr>
              <w:spacing w:after="0"/>
              <w:rPr>
                <w:sz w:val="18"/>
                <w:szCs w:val="18"/>
                <w:color w:val="auto"/>
              </w:rPr>
            </w:pPr>
          </w:p>
        </w:tc>
        <w:tc>
          <w:tcPr>
            <w:tcW w:w="4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Time (h) plasma level above EC85 at a 50% confidence level</w:t>
            </w:r>
          </w:p>
        </w:tc>
        <w:tc>
          <w:tcPr>
            <w:tcW w:w="100" w:type="dxa"/>
            <w:vAlign w:val="bottom"/>
          </w:tcPr>
          <w:p>
            <w:pPr>
              <w:spacing w:after="0"/>
              <w:rPr>
                <w:sz w:val="18"/>
                <w:szCs w:val="18"/>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6"/>
                <w:szCs w:val="16"/>
                <w:color w:val="auto"/>
              </w:rPr>
              <w:t>DBP</w:t>
            </w: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MABP</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6"/>
                <w:szCs w:val="16"/>
                <w:color w:val="auto"/>
              </w:rPr>
              <w:t>Heart rate</w:t>
            </w: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r>
    </w:tbl>
    <w:p>
      <w:pPr>
        <w:spacing w:after="0" w:line="24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deucrictibant at 12 mg (left) or 22 mg (right), using a non-linear mixed-effect model built from published data of icatibant and our bradykinin challenge study. As shown in the bottom row, the modeled PD effect of deucrictibant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122555</wp:posOffset>
            </wp:positionV>
            <wp:extent cx="3830320" cy="2119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30320" cy="2119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In conclusion, deucrictibant was well tolerated when administered orally at the doses tested without any dose- limiting toxicity. Deucrictibant was rapidly absorbed in either fasting or fed conditions and showed dose proportional PK for deucrictibant. The BK challenge demonstrated that deucrictibant potently blocks the effects of bradykinin-induced hemodynamic changes and provided the robust rationale for dose selection in future on-demand and prophylactic HAE trials.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PHA121-C002 (SAD extension)</w:t>
      </w:r>
    </w:p>
    <w:p>
      <w:pPr>
        <w:spacing w:after="0" w:line="111" w:lineRule="exact"/>
        <w:rPr>
          <w:sz w:val="20"/>
          <w:szCs w:val="20"/>
          <w:color w:val="auto"/>
        </w:rPr>
      </w:pPr>
    </w:p>
    <w:p>
      <w:pPr>
        <w:ind w:right="160" w:firstLine="458"/>
        <w:spacing w:after="0" w:line="264"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deucrictibant after a standard caloric meal and 40 mg in fasting conditions. A total of 32 subjects received either deucrictibant, with respect to 24 subjects, or placebo, with respect to 8 subjects.</w:t>
      </w:r>
    </w:p>
    <w:p>
      <w:pPr>
        <w:spacing w:after="0" w:line="170"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The trial results showed that deucrictibant was well tolerated at doses up to 40 mg under fasting and 50 mg under fed conditions. There were no SAEs reported. Treatment-related AEs that were reported as possibly related to deucrictibant were mild nausea (22 mg) (one subject), mild headache (50 mg) (one subject), and moderate headache associated with vomiting (50 mg) (one subject). There were no clinically significant changes in vital signs, laboratory or ECG parameters.</w:t>
      </w:r>
    </w:p>
    <w:p>
      <w:pPr>
        <w:spacing w:after="0" w:line="177" w:lineRule="exact"/>
        <w:rPr>
          <w:sz w:val="20"/>
          <w:szCs w:val="20"/>
          <w:color w:val="auto"/>
        </w:rPr>
      </w:pPr>
    </w:p>
    <w:p>
      <w:pPr>
        <w:ind w:right="220" w:firstLine="458"/>
        <w:spacing w:after="0" w:line="283"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deucrictibant showed dose-proportional PK with a 2.4-fold increase for mean Cmax and AUC0-24h. Administration of deucrictibant after a standardized breakfast</w:t>
      </w:r>
    </w:p>
    <w:p>
      <w:pPr>
        <w:sectPr>
          <w:pgSz w:w="11900" w:h="16838" w:orient="portrait"/>
          <w:cols w:equalWidth="0" w:num="1">
            <w:col w:w="11200"/>
          </w:cols>
          <w:pgMar w:left="320" w:top="125" w:right="379" w:bottom="1440" w:gutter="0" w:footer="0" w:header="0"/>
        </w:sectPr>
      </w:pP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resulted in 40-50% decrease in Cmax without a change in AUCinf as compared to administration under fasting conditions. As a result, C12h and C24h plasma concentration for deucrictibant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100330</wp:posOffset>
            </wp:positionV>
            <wp:extent cx="3634740" cy="17278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34740" cy="172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right"/>
              <w:ind w:right="251"/>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c>
          <w:tcPr>
            <w:tcW w:w="1880" w:type="dxa"/>
            <w:vAlign w:val="bottom"/>
          </w:tcPr>
          <w:p>
            <w:pPr>
              <w:jc w:val="right"/>
              <w:ind w:right="191"/>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c>
          <w:tcPr>
            <w:tcW w:w="2760" w:type="dxa"/>
            <w:vAlign w:val="bottom"/>
          </w:tcPr>
          <w:p>
            <w:pPr>
              <w:jc w:val="right"/>
              <w:ind w:right="631"/>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r>
      <w:tr>
        <w:trPr>
          <w:trHeight w:val="165"/>
        </w:trPr>
        <w:tc>
          <w:tcPr>
            <w:tcW w:w="2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right"/>
              <w:ind w:right="731"/>
              <w:spacing w:after="0"/>
              <w:rPr>
                <w:sz w:val="20"/>
                <w:szCs w:val="20"/>
                <w:color w:val="auto"/>
              </w:rPr>
            </w:pPr>
            <w:r>
              <w:rPr>
                <w:rFonts w:ascii="Arial" w:cs="Arial" w:eastAsia="Arial" w:hAnsi="Arial"/>
                <w:sz w:val="13"/>
                <w:szCs w:val="13"/>
                <w:b w:val="1"/>
                <w:bCs w:val="1"/>
                <w:color w:val="auto"/>
              </w:rPr>
              <w:t>Fasted</w:t>
            </w:r>
          </w:p>
        </w:tc>
        <w:tc>
          <w:tcPr>
            <w:tcW w:w="80" w:type="dxa"/>
            <w:vAlign w:val="bottom"/>
          </w:tcPr>
          <w:p>
            <w:pPr>
              <w:spacing w:after="0"/>
              <w:rPr>
                <w:sz w:val="14"/>
                <w:szCs w:val="14"/>
                <w:color w:val="auto"/>
              </w:rPr>
            </w:pPr>
          </w:p>
        </w:tc>
        <w:tc>
          <w:tcPr>
            <w:tcW w:w="188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HCHF</w:t>
            </w:r>
          </w:p>
        </w:tc>
        <w:tc>
          <w:tcPr>
            <w:tcW w:w="80" w:type="dxa"/>
            <w:vAlign w:val="bottom"/>
          </w:tcPr>
          <w:p>
            <w:pPr>
              <w:spacing w:after="0"/>
              <w:rPr>
                <w:sz w:val="14"/>
                <w:szCs w:val="14"/>
                <w:color w:val="auto"/>
              </w:rPr>
            </w:pPr>
          </w:p>
        </w:tc>
        <w:tc>
          <w:tcPr>
            <w:tcW w:w="2760" w:type="dxa"/>
            <w:vAlign w:val="bottom"/>
            <w:tcBorders>
              <w:bottom w:val="single" w:sz="8" w:color="auto"/>
            </w:tcBorders>
          </w:tcPr>
          <w:p>
            <w:pPr>
              <w:jc w:val="right"/>
              <w:ind w:right="871"/>
              <w:spacing w:after="0"/>
              <w:rPr>
                <w:sz w:val="20"/>
                <w:szCs w:val="20"/>
                <w:color w:val="auto"/>
              </w:rPr>
            </w:pPr>
            <w:r>
              <w:rPr>
                <w:rFonts w:ascii="Arial" w:cs="Arial" w:eastAsia="Arial" w:hAnsi="Arial"/>
                <w:sz w:val="13"/>
                <w:szCs w:val="13"/>
                <w:b w:val="1"/>
                <w:bCs w:val="1"/>
                <w:color w:val="auto"/>
              </w:rPr>
              <w:t>Standard Meal</w:t>
            </w:r>
          </w:p>
        </w:tc>
        <w:tc>
          <w:tcPr>
            <w:tcW w:w="80" w:type="dxa"/>
            <w:vAlign w:val="bottom"/>
          </w:tcPr>
          <w:p>
            <w:pPr>
              <w:spacing w:after="0"/>
              <w:rPr>
                <w:sz w:val="14"/>
                <w:szCs w:val="14"/>
                <w:color w:val="auto"/>
              </w:rPr>
            </w:pPr>
          </w:p>
        </w:tc>
      </w:tr>
      <w:tr>
        <w:trPr>
          <w:trHeight w:val="208"/>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C12h, ng/mL</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FF0FC"/>
          </w:tcPr>
          <w:p>
            <w:pPr>
              <w:spacing w:after="0"/>
              <w:rPr>
                <w:sz w:val="18"/>
                <w:szCs w:val="18"/>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FF0FC"/>
          </w:tcPr>
          <w:p>
            <w:pPr>
              <w:spacing w:after="0"/>
              <w:rPr>
                <w:sz w:val="18"/>
                <w:szCs w:val="18"/>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C24h, ng/mL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r>
      <w:tr>
        <w:trPr>
          <w:trHeight w:val="215"/>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Cmax, ng/mL</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FF0FC"/>
          </w:tcPr>
          <w:p>
            <w:pPr>
              <w:spacing w:after="0"/>
              <w:rPr>
                <w:sz w:val="18"/>
                <w:szCs w:val="18"/>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AUC0-24h, ng.h/mL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671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r>
      <w:tr>
        <w:trPr>
          <w:trHeight w:val="215"/>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tmax, h</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0.25-1.02</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2.00-3.00</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0.50-4.00</w:t>
            </w:r>
          </w:p>
        </w:tc>
        <w:tc>
          <w:tcPr>
            <w:tcW w:w="80" w:type="dxa"/>
            <w:vAlign w:val="bottom"/>
            <w:shd w:val="clear" w:color="auto" w:fill="CFF0FC"/>
          </w:tcPr>
          <w:p>
            <w:pPr>
              <w:spacing w:after="0"/>
              <w:rPr>
                <w:sz w:val="18"/>
                <w:szCs w:val="18"/>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t1/2, h</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1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 xml:space="preserve">Cytochrome P450 3A4 (CYP3A4) plays an important role in the metabolism of deucrictibant. Deucrictibant-C004 was designed as an open-label, single sequence crossover drug-drug interaction trial to evaluate the effect of multiple doses of itraconazole, a potent CYP3A4 inhibitor, at steady-state on the PK of a single dose of deucrictibant in healthy subjects. The primary objective of this study was to determine the effect of multiple doses of the strong CYP3A4 inhibitor itraconazole on the PK of deucrictibant in healthy adult subjects. The secondary objective of this study was to evaluate the safety and tolerability of deucrictibant alone and in combination with multiple doses of the CYP3A4 inhibitor itraconazole in healthy adult subjects. The study has been completed in 13 subjects and deucrictibant was well tolerated with no drug-related adverse events reported. Preliminary analyses show that the exposure of deucrictibant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deucrictibant is a substrate of CYP3A4. Other potential drug-drug interactions will be further assessed by the deucrictibant-C005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11" w:lineRule="exact"/>
        <w:rPr>
          <w:sz w:val="20"/>
          <w:szCs w:val="20"/>
          <w:color w:val="auto"/>
        </w:rPr>
      </w:pPr>
    </w:p>
    <w:p>
      <w:pPr>
        <w:ind w:right="460" w:firstLine="458"/>
        <w:spacing w:after="0" w:line="252"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deucrictibant in healthy subjects, which demonstrated deucrictibant’s pharmacokinetics and tolerability. The trial included 38 subjects and four cohorts, ranging from 12 to 50 mg, of healthy subjects who were studied sequentially. Within each cohort, eight subjects received deucrictibant and two subjects received placebo, except for the final cohort with six subjects receiving deucrictibant and two subjects receiving placebo. The trial evaluated multiple ascending doses of twice daily for 10 days to establish safety and tolerability and to assess the PK characteristics of deucrictibant after standard caloric meals. Deucrictibant was supplied as an oral solution.</w:t>
      </w:r>
    </w:p>
    <w:p>
      <w:pPr>
        <w:spacing w:after="0" w:line="18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The study showed deucrictibant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deucrictibant were achieved in day 1 and steady-state plasma concentrations were reached within 72 hours.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6162675" cy="7014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62675" cy="701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PHVS416 without food. The study included 8 healthy volunteers who received in randomized order a single dose of PHVS416 (20 mg, as two 10-mg softgel capsules) without food, a single tablet of PHVS719 XR1 (20 mg) without food; a single tablet of PHVS719 XR1 (20 mg) with a high-calorie, high-fat meal; a single tablet of PHVS719 XR2 (40 mg) without food; and a single tablet of PHVS719 XR2 (40 mg) with a high-calorie, high-fat meal.</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The study showed PHVS416 and PHVS719 were well tolerated. During the study, there were no SAEs or severe treatment-emergent adverse events (TEAEs) reported.</w:t>
      </w:r>
    </w:p>
    <w:p>
      <w:pPr>
        <w:spacing w:after="0" w:line="156" w:lineRule="exact"/>
        <w:rPr>
          <w:sz w:val="20"/>
          <w:szCs w:val="20"/>
          <w:color w:val="auto"/>
        </w:rPr>
      </w:pPr>
    </w:p>
    <w:p>
      <w:pPr>
        <w:ind w:right="60" w:firstLine="458"/>
        <w:spacing w:after="0" w:line="238" w:lineRule="auto"/>
        <w:rPr>
          <w:sz w:val="20"/>
          <w:szCs w:val="20"/>
          <w:color w:val="auto"/>
        </w:rPr>
      </w:pPr>
      <w:r>
        <w:rPr>
          <w:rFonts w:ascii="Arial" w:cs="Arial" w:eastAsia="Arial" w:hAnsi="Arial"/>
          <w:sz w:val="16"/>
          <w:szCs w:val="16"/>
          <w:color w:val="auto"/>
        </w:rPr>
        <w:t>The pharmacokinetic profile observed for PHVS416 confirmed that the softgel capsule formulation under fasting conditions achieved rapid exposure of the deucrictibant active ingredient consistent with previous pharmacokinetic studies using deucrictibant in a solution formulation, rising above clinically relevant exposure (in particular, the EC</w:t>
      </w:r>
      <w:r>
        <w:rPr>
          <w:rFonts w:ascii="Arial" w:cs="Arial" w:eastAsia="Arial" w:hAnsi="Arial"/>
          <w:sz w:val="21"/>
          <w:szCs w:val="21"/>
          <w:color w:val="auto"/>
          <w:vertAlign w:val="subscript"/>
        </w:rPr>
        <w:t>85</w:t>
      </w:r>
      <w:r>
        <w:rPr>
          <w:rFonts w:ascii="Arial" w:cs="Arial" w:eastAsia="Arial" w:hAnsi="Arial"/>
          <w:sz w:val="16"/>
          <w:szCs w:val="16"/>
          <w:color w:val="auto"/>
        </w:rPr>
        <w:t xml:space="preserve"> determined from the bradykinin challenge, 13.8 ng/mL) within 15 minutes. A single dose of PHVS719 (40 mg) under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6"/>
          <w:szCs w:val="16"/>
          <w:color w:val="auto"/>
        </w:rPr>
        <w:t>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21"/>
          <w:szCs w:val="21"/>
          <w:color w:val="auto"/>
          <w:vertAlign w:val="subscript"/>
        </w:rPr>
        <w:t>24h</w:t>
      </w:r>
      <w:r>
        <w:rPr>
          <w:rFonts w:ascii="Arial" w:cs="Arial" w:eastAsia="Arial" w:hAnsi="Arial"/>
          <w:sz w:val="16"/>
          <w:szCs w:val="16"/>
          <w:color w:val="auto"/>
        </w:rPr>
        <w:t>) exposure of deucrictibant using PHVS719 (40 mg) is similar to that observed</w:t>
      </w:r>
    </w:p>
    <w:p>
      <w:pPr>
        <w:spacing w:after="0" w:line="2"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in Phase 1 studies with PHVS416 softgel capsules dosed 20 mg twice a day with food (one of the doses used in the CHAPTER-1 prophylactic proof-of-concept study).</w:t>
      </w:r>
    </w:p>
    <w:p>
      <w:pPr>
        <w:spacing w:after="0" w:line="172" w:lineRule="exact"/>
        <w:rPr>
          <w:sz w:val="20"/>
          <w:szCs w:val="20"/>
          <w:color w:val="auto"/>
        </w:rPr>
      </w:pPr>
    </w:p>
    <w:p>
      <w:pPr>
        <w:ind w:right="260" w:firstLine="458"/>
        <w:spacing w:after="0" w:line="283" w:lineRule="auto"/>
        <w:rPr>
          <w:sz w:val="20"/>
          <w:szCs w:val="20"/>
          <w:color w:val="auto"/>
        </w:rPr>
      </w:pPr>
      <w:r>
        <w:rPr>
          <w:rFonts w:ascii="Arial" w:cs="Arial" w:eastAsia="Arial" w:hAnsi="Arial"/>
          <w:sz w:val="16"/>
          <w:szCs w:val="16"/>
          <w:color w:val="auto"/>
        </w:rPr>
        <w:t>The observed pharmacokinetic profile of PHVS719 is consistent with a true extended-release formulation designed to provide long-term exposure to deucrictibant. In particular, PHVS719 appears to be suitable for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107950</wp:posOffset>
            </wp:positionV>
            <wp:extent cx="6316345" cy="27324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634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PHA121-C201 (RAPIDe-1 On-Demand)</w:t>
      </w:r>
    </w:p>
    <w:p>
      <w:pPr>
        <w:spacing w:after="0" w:line="297" w:lineRule="exact"/>
        <w:rPr>
          <w:sz w:val="20"/>
          <w:szCs w:val="20"/>
          <w:color w:val="auto"/>
        </w:rPr>
      </w:pPr>
    </w:p>
    <w:p>
      <w:pPr>
        <w:ind w:right="380" w:firstLine="458"/>
        <w:spacing w:after="0" w:line="257"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similar pharmacokinetic profile as the solution formulation we used in Phase 1 trials and have now seen this also in humans from the C010 Phase 1 study.</w:t>
      </w:r>
    </w:p>
    <w:p>
      <w:pPr>
        <w:spacing w:after="0" w:line="70" w:lineRule="exact"/>
        <w:rPr>
          <w:sz w:val="20"/>
          <w:szCs w:val="20"/>
          <w:color w:val="auto"/>
        </w:rPr>
      </w:pPr>
    </w:p>
    <w:p>
      <w:pPr>
        <w:ind w:right="60" w:firstLine="503"/>
        <w:spacing w:after="0" w:line="252"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PHVS416 softgel capsule for the acute treatment of HAE type 1 and type 2 (HAE-1/2) attacks. The study, initiated in February 2021, enrolled 74 patients across 13 countries who were randomized into one of three single dose levels of PHVS416 and placebo. The study compared symptom relief during HAE attacks and the safety of each dose of PHVS416 with placebo. In Part I of the study, participants in a non-attack state received the assigned single dose of PHVS416 at the study center to assess its pharmacokinetics and safety. In Part II, participants self-administered blinded study drug at home to treat three physician-confirmed HAE attacks with PHVS416 or placebo.</w:t>
      </w:r>
    </w:p>
    <w:p>
      <w:pPr>
        <w:spacing w:after="0" w:line="74"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(VAS-3) score from pre-treatment to four hours post-treatment, as captured electronically using numerically assisted input. The top-line data from 147 attacks collected by 62 participants show that all three dose levels of PHVS416 significantly reduce attack symptoms. Composite and individual VAS-3, mean symptom complex severity, or MSCS, and treatment outcome score, or TOS, were assessed up to 48-hours post-dose. All key secondary endpoints in the study were met, demonstrating that PHVS416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PHVS416 also used substantially less rescue medication compared to placebo.</w:t>
      </w:r>
    </w:p>
    <w:p>
      <w:pPr>
        <w:spacing w:after="0" w:line="75"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PHVS416 was generally well tolerated with no treatment-related serious adverse events and no adverse events leading to treatment discontinuation. In the non-attack phase, two treatment-related adverse events were experienced by two patients; in the attack treatment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phase, three treatment-related adverse events were reported for one attack treated with PHVS416 30mg (2.8%) and one treatment-related adverse event was reported for one attack treated with placebo (1.9%).</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1"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We intend to develop deucrictibant for on-demand and prophylactic indications in parallel using two different product formulations, with clinical trials in the on-demand setting commencing first in order to provide critical data for further development for the prophylaxis indication.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09"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the same pharmacokinetic profile as the solution formulation we used in Phase 1 trials and have now seen this also in humans from the C010 Phase 1 study and in patients from the C201 Phase 2 study.</w:t>
      </w:r>
    </w:p>
    <w:p>
      <w:pPr>
        <w:spacing w:after="0" w:line="72"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Based on the positive results of the primary analysis of RAPIDe-1, we are actively planning a confirmatory global Phase 3 trial of PHVS416 in acute treatment of HAE attacks.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09" w:lineRule="exact"/>
        <w:rPr>
          <w:sz w:val="20"/>
          <w:szCs w:val="20"/>
          <w:color w:val="auto"/>
        </w:rPr>
      </w:pPr>
    </w:p>
    <w:p>
      <w:pPr>
        <w:ind w:right="360" w:firstLine="458"/>
        <w:spacing w:after="0" w:line="283" w:lineRule="auto"/>
        <w:rPr>
          <w:sz w:val="20"/>
          <w:szCs w:val="20"/>
          <w:color w:val="auto"/>
        </w:rPr>
      </w:pPr>
      <w:r>
        <w:rPr>
          <w:rFonts w:ascii="Arial" w:cs="Arial" w:eastAsia="Arial" w:hAnsi="Arial"/>
          <w:sz w:val="16"/>
          <w:szCs w:val="16"/>
          <w:color w:val="auto"/>
        </w:rPr>
        <w:t>Currently there is no bradykinin 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49"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 to icatibant, the short half-life of ecallantide makes it generally unsuitable for use in prophylaxis.</w:t>
      </w:r>
    </w:p>
    <w:p>
      <w:pPr>
        <w:spacing w:after="0" w:line="70"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deucrictibant in the bradykinin challenge, we believe we can utilize a similar concentration-above-EC50 approach to predict the required exposure of deucrictibant to control attacks prophylactically.</w:t>
      </w:r>
    </w:p>
    <w:p>
      <w:pPr>
        <w:spacing w:after="0" w:line="70" w:lineRule="exact"/>
        <w:rPr>
          <w:sz w:val="20"/>
          <w:szCs w:val="20"/>
          <w:color w:val="auto"/>
        </w:rPr>
      </w:pPr>
    </w:p>
    <w:p>
      <w:pPr>
        <w:ind w:right="120" w:firstLine="458"/>
        <w:spacing w:after="0" w:line="257" w:lineRule="auto"/>
        <w:rPr>
          <w:sz w:val="20"/>
          <w:szCs w:val="20"/>
          <w:color w:val="auto"/>
        </w:rPr>
      </w:pPr>
      <w:r>
        <w:rPr>
          <w:rFonts w:ascii="Arial" w:cs="Arial" w:eastAsia="Arial" w:hAnsi="Arial"/>
          <w:sz w:val="16"/>
          <w:szCs w:val="16"/>
          <w:color w:val="auto"/>
        </w:rPr>
        <w:t>We believe we can achieve the concentrations desired for prophylactic activity with twice-daily dosing of the PHVS416 softgel capsules. Therefore, in addition to the RAPIDe-1 on-demand trial, we are also planning clinical trials of PHVS416 to evaluate the effectiveness and safety profile for prophylaxis with bradykinin- B2-receptor-inhibition. These include an evaluation of patients randomized to placebo or active doses for a treatment period with the primary objective to assess the efficacy and safety profile of PHVS416 dose regimens for prophylactic treatments in HAE patients.</w:t>
      </w:r>
    </w:p>
    <w:p>
      <w:pPr>
        <w:spacing w:after="0" w:line="70"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We also intend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We also expect that the data from RAPIDe-1 and CHAPTER-1 will support the final dose selection for the prophylactic trials. Additional trials may be required by the FDA, EMA or other regulators even if we receive positive data from RAPIDe-1.</w:t>
      </w:r>
    </w:p>
    <w:p>
      <w:pPr>
        <w:spacing w:after="0" w:line="70"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are developing an extended-release, or XR, formulation (PHVS719) that will feature continuous slow release maintaining deucrictibant concentrations above the levels we predict to provide protection against attacks. Deucrictibant has demonstrated properties favorable to the development of XR formulations, and we initiated human pharmacokinetics trials with PHVS719 in 2021 to enable use of this product candidate in the pivotal prophylactic trial. With the results of the C010 study, which were described above, we believe we have identified an extended-release formulation that enables once-daily dosing in a prophylactic setting.</w:t>
      </w:r>
    </w:p>
    <w:p>
      <w:pPr>
        <w:spacing w:after="0" w:line="72" w:lineRule="exact"/>
        <w:rPr>
          <w:sz w:val="20"/>
          <w:szCs w:val="20"/>
          <w:color w:val="auto"/>
        </w:rPr>
      </w:pPr>
    </w:p>
    <w:p>
      <w:pPr>
        <w:ind w:right="240" w:firstLine="503"/>
        <w:spacing w:after="0" w:line="283" w:lineRule="auto"/>
        <w:rPr>
          <w:sz w:val="20"/>
          <w:szCs w:val="20"/>
          <w:color w:val="auto"/>
        </w:rPr>
      </w:pPr>
      <w:r>
        <w:rPr>
          <w:rFonts w:ascii="Arial" w:cs="Arial" w:eastAsia="Arial" w:hAnsi="Arial"/>
          <w:sz w:val="16"/>
          <w:szCs w:val="16"/>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111" w:lineRule="exact"/>
        <w:rPr>
          <w:sz w:val="20"/>
          <w:szCs w:val="20"/>
          <w:color w:val="auto"/>
        </w:rPr>
      </w:pPr>
    </w:p>
    <w:p>
      <w:pPr>
        <w:ind w:right="240" w:firstLine="458"/>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drug designations, inclusion in expedited development and review, data exclusivity, market exclusivity and patent term extensions where available.</w:t>
      </w:r>
    </w:p>
    <w:p>
      <w:pPr>
        <w:spacing w:after="0" w:line="111" w:lineRule="exact"/>
        <w:rPr>
          <w:sz w:val="20"/>
          <w:szCs w:val="20"/>
          <w:color w:val="auto"/>
        </w:rPr>
      </w:pPr>
    </w:p>
    <w:p>
      <w:pPr>
        <w:ind w:right="60" w:firstLine="458"/>
        <w:spacing w:after="0" w:line="248" w:lineRule="auto"/>
        <w:rPr>
          <w:sz w:val="20"/>
          <w:szCs w:val="20"/>
          <w:color w:val="auto"/>
        </w:rPr>
      </w:pPr>
      <w:r>
        <w:rPr>
          <w:rFonts w:ascii="Arial" w:cs="Arial" w:eastAsia="Arial" w:hAnsi="Arial"/>
          <w:sz w:val="16"/>
          <w:szCs w:val="16"/>
          <w:color w:val="auto"/>
        </w:rPr>
        <w:t>As of March 1, 2023, we own two U.S. patents and 50 national patents, including in Australia, India, Indonesia, Japan, Mexico, South Korea, France, Germany, Italy, Netherlands, Spain and United Kingdom, that expire on November 23, 2038, and 48 pending patent applications worldwide, including two pending U.S. applications, one pending U.S. continuation application, 45 pending non-U.S. applications, including applications in Europe and Japan, and three pending PCT applications. The U.S. and national patents and 41 of our pending patent applications contain composition-of-matter claims to the deucrictibant small molecule and derivatives thereof; deucrictibant is the active pharmaceutical ingredient (API) in, and therefore extends our patent applications to, our PHVS416 and PHVS719 product candidates. Each such patent application can generally be categorized into one of three patent families:</w:t>
      </w:r>
    </w:p>
    <w:p>
      <w:pPr>
        <w:spacing w:after="0" w:line="1" w:lineRule="exact"/>
        <w:rPr>
          <w:sz w:val="20"/>
          <w:szCs w:val="20"/>
          <w:color w:val="auto"/>
        </w:rPr>
      </w:pPr>
    </w:p>
    <w:p>
      <w:pPr>
        <w:ind w:right="40" w:firstLine="7"/>
        <w:spacing w:after="0" w:line="246" w:lineRule="auto"/>
        <w:tabs>
          <w:tab w:leader="none" w:pos="2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those relating to the novel bradykinin-B2-receptor antagonists, (2) those relating to the cyclic bradykinin-B2-receptor antagonists, and (3) those relating to the new cyclic bradykinin-B2-receptor antagonists. One pending PCT application contains claims directed to the use of deucrictibant in on- demand treatment of HAE and in prophylaxis for HAE, and accordingly extends the patent applications to methods of use of the PHVS416 and PHVS719 product candidates. A second pending PCT application contains claims directed to the formulation of our PHVS416 product candidate, and another one contains claims directed to the crystal form of the API. Three pending EP applications are directly or indirectly directed to the formulation of our PHVS719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82"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74"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1"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On March 31, 2016, we entered into a license agreement (the "AnalytiCon License"), and a research agreement with AnalytiCon to collaborate for the development of an orally available bradykinin B2 receptor antagonist. Pursuant to the AnalytiCon License, we acquired a worldwide, exclusive license from AnalytiCon to use (i) a certain proprietary substance class of bradykinin B2 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 In consideration for the license, we paid AnalytiCon a non-refundable up-front payment of €250,000.</w:t>
      </w:r>
    </w:p>
    <w:p>
      <w:pPr>
        <w:spacing w:after="0" w:line="18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Under the AnalytiCon License, we are required to pay AnalytiCon one-time payments in an aggregate amount of up to €11.4 million upon the achievement of certain development, regulatory, and sales milestones. To date, we have paid AnalytiCon an aggregate amount of €1,150,000 (€250,000 up-front plus €900,000 in milestone payments). 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8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Our agreement with AnalytiCon will expire upon the expiry of the last patent of the licensed intellectual property.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AnalytiCon. If AnalytiCon were to (a) terminate the AnalytiCon License for cause and (b) exercise contractual remedies available to it thereunder, then we could be required to grant to AnalytiCon an exclusive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111" w:lineRule="exact"/>
        <w:rPr>
          <w:sz w:val="20"/>
          <w:szCs w:val="20"/>
          <w:color w:val="auto"/>
        </w:rPr>
      </w:pPr>
    </w:p>
    <w:p>
      <w:pPr>
        <w:ind w:right="240" w:firstLine="458"/>
        <w:spacing w:after="0" w:line="257" w:lineRule="auto"/>
        <w:rPr>
          <w:sz w:val="20"/>
          <w:szCs w:val="20"/>
          <w:color w:val="auto"/>
        </w:rPr>
      </w:pPr>
      <w:r>
        <w:rPr>
          <w:rFonts w:ascii="Arial" w:cs="Arial" w:eastAsia="Arial" w:hAnsi="Arial"/>
          <w:sz w:val="16"/>
          <w:szCs w:val="16"/>
          <w:color w:val="auto"/>
        </w:rPr>
        <w:t>We currently have two contract CDMOs for the production of deucrictibant API. A robust and scalable synthetic route has been established. All raw materials can be purchased from multiple suppliers. We also collaborate with a leading CDMO for the manufacturing of the on-demand treatment product PHVS416. Another well-established CDMO produces the prophylactic treatment product PHVS719. The two CDMOs that manufacture both PHVS416 and PHVS719 are responsible for packaging and worldwide distribution of other commercial drug products.</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Sales and Marketing</w:t>
      </w:r>
    </w:p>
    <w:p>
      <w:pPr>
        <w:spacing w:after="0" w:line="111"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PHVS416 or PHVS719.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1" w:lineRule="exact"/>
        <w:rPr>
          <w:sz w:val="20"/>
          <w:szCs w:val="20"/>
          <w:color w:val="auto"/>
        </w:rPr>
      </w:pPr>
    </w:p>
    <w:p>
      <w:pPr>
        <w:jc w:val="both"/>
        <w:ind w:right="80" w:firstLine="458"/>
        <w:spacing w:after="0" w:line="264"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11" w:lineRule="exact"/>
        <w:rPr>
          <w:sz w:val="20"/>
          <w:szCs w:val="20"/>
          <w:color w:val="auto"/>
        </w:rPr>
      </w:pPr>
    </w:p>
    <w:p>
      <w:pPr>
        <w:ind w:left="900" w:right="20" w:hanging="429"/>
        <w:spacing w:after="0" w:line="263"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64" w:lineRule="exact"/>
        <w:rPr>
          <w:rFonts w:ascii="Times New Roman" w:cs="Times New Roman" w:eastAsia="Times New Roman" w:hAnsi="Times New Roman"/>
          <w:sz w:val="16"/>
          <w:szCs w:val="16"/>
          <w:color w:val="auto"/>
        </w:rPr>
      </w:pPr>
    </w:p>
    <w:p>
      <w:pPr>
        <w:ind w:left="900" w:right="280" w:hanging="429"/>
        <w:spacing w:after="0" w:line="263"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64" w:lineRule="exact"/>
        <w:rPr>
          <w:rFonts w:ascii="Times New Roman" w:cs="Times New Roman" w:eastAsia="Times New Roman" w:hAnsi="Times New Roman"/>
          <w:sz w:val="16"/>
          <w:szCs w:val="16"/>
          <w:color w:val="auto"/>
        </w:rPr>
      </w:pPr>
    </w:p>
    <w:p>
      <w:pPr>
        <w:ind w:left="900" w:right="240" w:hanging="429"/>
        <w:spacing w:after="0" w:line="257"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 daily for the prevention of HAE attacks.</w:t>
      </w:r>
    </w:p>
    <w:p>
      <w:pPr>
        <w:spacing w:after="0" w:line="69" w:lineRule="exact"/>
        <w:rPr>
          <w:rFonts w:ascii="Times New Roman" w:cs="Times New Roman" w:eastAsia="Times New Roman" w:hAnsi="Times New Roman"/>
          <w:sz w:val="16"/>
          <w:szCs w:val="16"/>
          <w:color w:val="auto"/>
        </w:rPr>
      </w:pPr>
    </w:p>
    <w:p>
      <w:pPr>
        <w:ind w:left="900" w:hanging="429"/>
        <w:spacing w:after="0" w:line="257"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6" w:lineRule="exact"/>
        <w:rPr>
          <w:sz w:val="20"/>
          <w:szCs w:val="20"/>
          <w:color w:val="auto"/>
        </w:rPr>
      </w:pPr>
    </w:p>
    <w:p>
      <w:pPr>
        <w:ind w:right="320" w:firstLine="458"/>
        <w:spacing w:after="0" w:line="252" w:lineRule="auto"/>
        <w:rPr>
          <w:sz w:val="20"/>
          <w:szCs w:val="20"/>
          <w:color w:val="auto"/>
        </w:rPr>
      </w:pPr>
      <w:r>
        <w:rPr>
          <w:rFonts w:ascii="Arial" w:cs="Arial" w:eastAsia="Arial" w:hAnsi="Arial"/>
          <w:sz w:val="16"/>
          <w:szCs w:val="16"/>
          <w:color w:val="auto"/>
        </w:rPr>
        <w:t>We are also aware of a number of HAE therapies in clinical development. Currently, there is one orally delivered plasma kallikrein inhibitor being developed clinically: Kalvista’s sebetralstat (KVD900) for acute treatment. In prophylaxis, CSL is developing garadacimab, an anti-factor XIIa mAb for prophylactic treatment, which is delivered subcutaneously or intravenously, and Ionis is developing donidalorsen, an antisense oligonucleotide inhibitor of prekallikrein for prophylactic treatment, which is delivered subcutaneously. Earlier stage products in development are STAR-0215 from Astria, a long-lived monoclonal antibody inhibitor of plasma kallikrein dosed subcutaneously, and two gene therapies – NTLA-2002 from Intellia, using CRISPR technology to knock out the gene for kallikrein, and BMN331 from Biomarin using AAV gene therapy technology to deliver C1-INH protein.</w:t>
      </w:r>
    </w:p>
    <w:p>
      <w:pPr>
        <w:spacing w:after="0" w:line="18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79"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09"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and safety pharmacology.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tests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I, Phase II and Phase III clinical trials.</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Pharmaceutical development</w:t>
      </w:r>
    </w:p>
    <w:p>
      <w:pPr>
        <w:spacing w:after="0" w:line="109" w:lineRule="exact"/>
        <w:rPr>
          <w:sz w:val="20"/>
          <w:szCs w:val="20"/>
          <w:color w:val="auto"/>
        </w:rPr>
      </w:pPr>
    </w:p>
    <w:p>
      <w:pPr>
        <w:jc w:val="both"/>
        <w:ind w:right="100" w:firstLine="458"/>
        <w:spacing w:after="0" w:line="264" w:lineRule="auto"/>
        <w:rPr>
          <w:sz w:val="20"/>
          <w:szCs w:val="20"/>
          <w:color w:val="auto"/>
        </w:rPr>
      </w:pPr>
      <w:r>
        <w:rPr>
          <w:rFonts w:ascii="Arial" w:cs="Arial" w:eastAsia="Arial" w:hAnsi="Arial"/>
          <w:sz w:val="16"/>
          <w:szCs w:val="16"/>
          <w:color w:val="auto"/>
        </w:rPr>
        <w:t>Laboratory tests are conducted to develop a suitable formulation for clinical use and marketing. Product development includes formulation and stability testing, and a robust product manufacturing process. The conduct of pharmaceutical development must comply with regulations and requirements set by the Competent Authorities, including compliance with GLP.</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09"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8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1" w:lineRule="exact"/>
        <w:rPr>
          <w:sz w:val="20"/>
          <w:szCs w:val="20"/>
          <w:color w:val="auto"/>
        </w:rPr>
      </w:pPr>
    </w:p>
    <w:p>
      <w:pPr>
        <w:jc w:val="both"/>
        <w:ind w:right="20" w:firstLine="458"/>
        <w:spacing w:after="0" w:line="283"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56"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7"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U.S. Food and Drug Administration</w:t>
      </w:r>
    </w:p>
    <w:p>
      <w:pPr>
        <w:spacing w:after="0" w:line="109"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The FDA Approval Process</w:t>
      </w:r>
    </w:p>
    <w:p>
      <w:pPr>
        <w:spacing w:after="0" w:line="109"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7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2" w:lineRule="exact"/>
        <w:rPr>
          <w:sz w:val="20"/>
          <w:szCs w:val="20"/>
          <w:color w:val="auto"/>
        </w:rPr>
      </w:pPr>
    </w:p>
    <w:p>
      <w:pPr>
        <w:jc w:val="both"/>
        <w:ind w:right="160" w:firstLine="458"/>
        <w:spacing w:after="0" w:line="264"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0" w:lineRule="exact"/>
        <w:rPr>
          <w:sz w:val="20"/>
          <w:szCs w:val="20"/>
          <w:color w:val="auto"/>
        </w:rPr>
      </w:pPr>
    </w:p>
    <w:p>
      <w:pPr>
        <w:ind w:right="160" w:firstLine="458"/>
        <w:spacing w:after="0" w:line="250"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 submitted information is typically requested by the FDA.</w:t>
      </w:r>
    </w:p>
    <w:p>
      <w:pPr>
        <w:spacing w:after="0" w:line="183"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7"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the drug to determine if the facilities, processes and quality are compliant with cGMP. The FDA will not approve an NDA unless compliance with cGMP is satisfactory.</w:t>
      </w:r>
    </w:p>
    <w:p>
      <w:pPr>
        <w:spacing w:after="0" w:line="156"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83"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09" w:lineRule="exact"/>
        <w:rPr>
          <w:sz w:val="20"/>
          <w:szCs w:val="20"/>
          <w:color w:val="auto"/>
        </w:rPr>
      </w:pPr>
    </w:p>
    <w:p>
      <w:pPr>
        <w:jc w:val="both"/>
        <w:ind w:right="120" w:firstLine="458"/>
        <w:spacing w:after="0" w:line="264"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 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6"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2"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3"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 approval trials with due diligence or the applicant disseminates false or misleading promotional materials related to the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09"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FDCA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09" w:lineRule="exact"/>
        <w:rPr>
          <w:sz w:val="20"/>
          <w:szCs w:val="20"/>
          <w:color w:val="auto"/>
        </w:rPr>
      </w:pPr>
    </w:p>
    <w:p>
      <w:pPr>
        <w:jc w:val="both"/>
        <w:ind w:right="80" w:firstLine="458"/>
        <w:spacing w:after="0" w:line="264"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0"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9" w:lineRule="exact"/>
        <w:rPr>
          <w:sz w:val="20"/>
          <w:szCs w:val="20"/>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pacing w:after="0" w:line="123" w:lineRule="exact"/>
        <w:rPr>
          <w:rFonts w:ascii="Times New Roman" w:cs="Times New Roman" w:eastAsia="Times New Roman" w:hAnsi="Times New Roman"/>
          <w:sz w:val="16"/>
          <w:szCs w:val="16"/>
          <w:color w:val="auto"/>
        </w:rPr>
      </w:pPr>
    </w:p>
    <w:p>
      <w:pPr>
        <w:ind w:left="900" w:right="220" w:hanging="429"/>
        <w:spacing w:after="0" w:line="263"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2"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70"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900" w:hanging="429"/>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1" w:lineRule="exact"/>
        <w:rPr>
          <w:sz w:val="20"/>
          <w:szCs w:val="20"/>
          <w:color w:val="auto"/>
        </w:rPr>
      </w:pPr>
    </w:p>
    <w:p>
      <w:pPr>
        <w:ind w:right="320" w:firstLine="458"/>
        <w:spacing w:after="0" w:line="254"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0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 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0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 the</w:t>
      </w:r>
      <w:r>
        <w:rPr>
          <w:rFonts w:ascii="Arial" w:cs="Arial" w:eastAsia="Arial" w:hAnsi="Arial"/>
          <w:sz w:val="16"/>
          <w:szCs w:val="16"/>
          <w:color w:val="auto"/>
        </w:rPr>
        <w:t xml:space="preserve"> </w:t>
      </w:r>
      <w:r>
        <w:rPr>
          <w:rFonts w:ascii="Arial" w:cs="Arial" w:eastAsia="Arial" w:hAnsi="Arial"/>
          <w:sz w:val="16"/>
          <w:szCs w:val="16"/>
          <w:i w:val="1"/>
          <w:iCs w:val="1"/>
          <w:color w:val="auto"/>
        </w:rPr>
        <w:t>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111" w:lineRule="exact"/>
        <w:rPr>
          <w:sz w:val="20"/>
          <w:szCs w:val="20"/>
          <w:color w:val="auto"/>
        </w:rPr>
      </w:pPr>
    </w:p>
    <w:p>
      <w:pPr>
        <w:ind w:left="900" w:right="60" w:hanging="429"/>
        <w:spacing w:after="0" w:line="248"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120"/>
        <w:spacing w:after="0" w:line="250" w:lineRule="auto"/>
        <w:rPr>
          <w:sz w:val="20"/>
          <w:szCs w:val="20"/>
          <w:color w:val="auto"/>
        </w:rPr>
      </w:pPr>
      <w:r>
        <w:rPr>
          <w:rFonts w:ascii="Arial" w:cs="Arial" w:eastAsia="Arial" w:hAnsi="Arial"/>
          <w:sz w:val="16"/>
          <w:szCs w:val="16"/>
          <w:color w:val="auto"/>
        </w:rPr>
        <w:t>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75" w:lineRule="exact"/>
        <w:rPr>
          <w:sz w:val="20"/>
          <w:szCs w:val="20"/>
          <w:color w:val="auto"/>
        </w:rPr>
      </w:pPr>
    </w:p>
    <w:p>
      <w:pPr>
        <w:ind w:left="900" w:right="80" w:hanging="429"/>
        <w:spacing w:after="0" w:line="247"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9" w:lineRule="exact"/>
        <w:rPr>
          <w:rFonts w:ascii="Times New Roman" w:cs="Times New Roman" w:eastAsia="Times New Roman" w:hAnsi="Times New Roman"/>
          <w:sz w:val="16"/>
          <w:szCs w:val="16"/>
          <w:color w:val="auto"/>
        </w:rPr>
      </w:pPr>
    </w:p>
    <w:p>
      <w:pPr>
        <w:ind w:left="900" w:right="20" w:hanging="429"/>
        <w:spacing w:after="0" w:line="257"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 or</w:t>
      </w:r>
      <w:r>
        <w:rPr>
          <w:rFonts w:ascii="Arial" w:cs="Arial" w:eastAsia="Arial" w:hAnsi="Arial"/>
          <w:sz w:val="16"/>
          <w:szCs w:val="16"/>
          <w:i w:val="1"/>
          <w:iCs w:val="1"/>
          <w:color w:val="auto"/>
        </w:rPr>
        <w:t xml:space="preserve"> </w:t>
      </w:r>
      <w:r>
        <w:rPr>
          <w:rFonts w:ascii="Arial" w:cs="Arial" w:eastAsia="Arial" w:hAnsi="Arial"/>
          <w:sz w:val="16"/>
          <w:szCs w:val="16"/>
          <w:color w:val="auto"/>
        </w:rPr>
        <w:t>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20" w:hanging="429"/>
        <w:spacing w:after="0" w:line="257"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hanging="429"/>
        <w:spacing w:after="0" w:line="254"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1" w:lineRule="exact"/>
        <w:rPr>
          <w:rFonts w:ascii="Times New Roman" w:cs="Times New Roman" w:eastAsia="Times New Roman" w:hAnsi="Times New Roman"/>
          <w:sz w:val="16"/>
          <w:szCs w:val="16"/>
          <w:color w:val="auto"/>
        </w:rPr>
      </w:pPr>
    </w:p>
    <w:p>
      <w:pPr>
        <w:ind w:left="900" w:hanging="429"/>
        <w:spacing w:after="0" w:line="248"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2" w:lineRule="exact"/>
        <w:rPr>
          <w:rFonts w:ascii="Times New Roman" w:cs="Times New Roman" w:eastAsia="Times New Roman" w:hAnsi="Times New Roman"/>
          <w:sz w:val="16"/>
          <w:szCs w:val="16"/>
          <w:color w:val="auto"/>
        </w:rPr>
      </w:pPr>
    </w:p>
    <w:p>
      <w:pPr>
        <w:ind w:left="900" w:right="100" w:hanging="429"/>
        <w:spacing w:after="0" w:line="252"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3" w:lineRule="exact"/>
        <w:rPr>
          <w:rFonts w:ascii="Times New Roman" w:cs="Times New Roman" w:eastAsia="Times New Roman" w:hAnsi="Times New Roman"/>
          <w:sz w:val="16"/>
          <w:szCs w:val="16"/>
          <w:color w:val="auto"/>
        </w:rPr>
      </w:pPr>
    </w:p>
    <w:p>
      <w:pPr>
        <w:jc w:val="both"/>
        <w:ind w:left="900" w:right="80" w:hanging="429"/>
        <w:spacing w:after="0" w:line="263"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 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20" w:hanging="429"/>
        <w:spacing w:after="0" w:line="248" w:lineRule="auto"/>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-1098550</wp:posOffset>
            </wp:positionV>
            <wp:extent cx="28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U.S. Healthcare Reform</w:t>
      </w:r>
    </w:p>
    <w:p>
      <w:pPr>
        <w:spacing w:after="0" w:line="109"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4" w:lineRule="exact"/>
        <w:rPr>
          <w:sz w:val="20"/>
          <w:szCs w:val="20"/>
          <w:color w:val="auto"/>
        </w:rPr>
      </w:pPr>
    </w:p>
    <w:p>
      <w:pPr>
        <w:ind w:left="900" w:right="30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9" w:lineRule="exact"/>
        <w:rPr>
          <w:rFonts w:ascii="Times New Roman" w:cs="Times New Roman" w:eastAsia="Times New Roman" w:hAnsi="Times New Roman"/>
          <w:sz w:val="16"/>
          <w:szCs w:val="16"/>
          <w:color w:val="auto"/>
        </w:rPr>
      </w:pPr>
    </w:p>
    <w:p>
      <w:pPr>
        <w:ind w:left="900" w:right="26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9"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9" w:lineRule="exact"/>
        <w:rPr>
          <w:rFonts w:ascii="Times New Roman" w:cs="Times New Roman" w:eastAsia="Times New Roman" w:hAnsi="Times New Roman"/>
          <w:sz w:val="16"/>
          <w:szCs w:val="16"/>
          <w:color w:val="auto"/>
        </w:rPr>
      </w:pPr>
    </w:p>
    <w:p>
      <w:pPr>
        <w:ind w:left="900" w:right="40" w:hanging="429"/>
        <w:spacing w:after="0" w:line="263"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64"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3" w:lineRule="exact"/>
        <w:rPr>
          <w:rFonts w:ascii="Times New Roman" w:cs="Times New Roman" w:eastAsia="Times New Roman" w:hAnsi="Times New Roman"/>
          <w:sz w:val="16"/>
          <w:szCs w:val="16"/>
          <w:color w:val="auto"/>
        </w:rPr>
      </w:pPr>
    </w:p>
    <w:p>
      <w:pPr>
        <w:ind w:left="900" w:right="600" w:hanging="429"/>
        <w:spacing w:after="0" w:line="282" w:lineRule="auto"/>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9" w:lineRule="exact"/>
        <w:rPr>
          <w:rFonts w:ascii="Times New Roman" w:cs="Times New Roman" w:eastAsia="Times New Roman" w:hAnsi="Times New Roman"/>
          <w:sz w:val="16"/>
          <w:szCs w:val="16"/>
          <w:color w:val="auto"/>
        </w:rPr>
      </w:pPr>
    </w:p>
    <w:p>
      <w:pPr>
        <w:ind w:left="900" w:right="80" w:hanging="429"/>
        <w:spacing w:after="0" w:line="282" w:lineRule="auto"/>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9" w:lineRule="exact"/>
        <w:rPr>
          <w:rFonts w:ascii="Times New Roman" w:cs="Times New Roman" w:eastAsia="Times New Roman" w:hAnsi="Times New Roman"/>
          <w:sz w:val="16"/>
          <w:szCs w:val="16"/>
          <w:color w:val="auto"/>
        </w:rPr>
      </w:pPr>
    </w:p>
    <w:p>
      <w:pPr>
        <w:ind w:left="900" w:right="320" w:hanging="429"/>
        <w:spacing w:after="0" w:line="282" w:lineRule="auto"/>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7"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8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8"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right="40" w:firstLine="458"/>
        <w:spacing w:after="0" w:line="247"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 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503"/>
        <w:spacing w:after="0" w:line="257"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7"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09"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7"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7"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79"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7"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CJEU declared the Privacy Shield to be invalid. The CJEU upheld the validity of the standard contractual clauses, or SCCs, as a legal mechanism to transfer personal data but companies relying on SCCs will— subject to additional guidance from regulators in the EEA—need to evaluate and implement supplementary measures that provide privacy protections additional to those provided under SCCs. Further, the GDPR provides that countries in the EEA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may establish their own laws and regulations further restricting the processing of certain personal data, including genetic data, biometric data, and health data.</w:t>
      </w:r>
    </w:p>
    <w:p>
      <w:pPr>
        <w:spacing w:after="0" w:line="156" w:lineRule="exact"/>
        <w:rPr>
          <w:sz w:val="20"/>
          <w:szCs w:val="20"/>
          <w:color w:val="auto"/>
        </w:rPr>
      </w:pPr>
    </w:p>
    <w:p>
      <w:pPr>
        <w:jc w:val="both"/>
        <w:ind w:right="20" w:firstLine="458"/>
        <w:spacing w:after="0" w:line="257"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7"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09"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0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0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83"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940"/>
        <w:spacing w:after="0" w:line="283" w:lineRule="auto"/>
        <w:rPr>
          <w:sz w:val="20"/>
          <w:szCs w:val="20"/>
          <w:color w:val="auto"/>
        </w:rPr>
      </w:pPr>
      <w:r>
        <w:rPr>
          <w:rFonts w:ascii="Arial" w:cs="Arial" w:eastAsia="Arial" w:hAnsi="Arial"/>
          <w:sz w:val="16"/>
          <w:szCs w:val="16"/>
          <w:color w:val="auto"/>
        </w:rPr>
        <w:t>which lasts up to 60 active days, the CHMP adopts a final opinion. The European Commission usually takes its decision to grant a legally binding authorization within 67 days after obtaining the CHMP decision.</w:t>
      </w:r>
    </w:p>
    <w:p>
      <w:pPr>
        <w:spacing w:after="0" w:line="156" w:lineRule="exact"/>
        <w:rPr>
          <w:sz w:val="20"/>
          <w:szCs w:val="20"/>
          <w:color w:val="auto"/>
        </w:rPr>
      </w:pPr>
    </w:p>
    <w:p>
      <w:pPr>
        <w:ind w:right="300" w:firstLine="458"/>
        <w:spacing w:after="0" w:line="264"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Accelerated Assessment Procedures</w:t>
      </w:r>
    </w:p>
    <w:p>
      <w:pPr>
        <w:spacing w:after="0" w:line="109"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09"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9" w:lineRule="exact"/>
        <w:rPr>
          <w:sz w:val="20"/>
          <w:szCs w:val="20"/>
          <w:color w:val="auto"/>
        </w:rPr>
      </w:pPr>
    </w:p>
    <w:p>
      <w:pPr>
        <w:ind w:left="900" w:hanging="429"/>
        <w:spacing w:after="0"/>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3"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1" w:lineRule="exact"/>
        <w:rPr>
          <w:sz w:val="20"/>
          <w:szCs w:val="20"/>
          <w:color w:val="auto"/>
        </w:rPr>
      </w:pPr>
    </w:p>
    <w:p>
      <w:pPr>
        <w:ind w:right="700" w:firstLine="458"/>
        <w:spacing w:after="0" w:line="283"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9" w:lineRule="exact"/>
        <w:rPr>
          <w:sz w:val="20"/>
          <w:szCs w:val="20"/>
          <w:color w:val="auto"/>
        </w:rPr>
      </w:pPr>
    </w:p>
    <w:p>
      <w:pPr>
        <w:ind w:left="900" w:hanging="429"/>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3" w:lineRule="exact"/>
        <w:rPr>
          <w:rFonts w:ascii="Times New Roman" w:cs="Times New Roman" w:eastAsia="Times New Roman" w:hAnsi="Times New Roman"/>
          <w:sz w:val="16"/>
          <w:szCs w:val="16"/>
          <w:color w:val="auto"/>
        </w:rPr>
      </w:pPr>
    </w:p>
    <w:p>
      <w:pPr>
        <w:ind w:left="900" w:right="160" w:hanging="429"/>
        <w:spacing w:after="0" w:line="282"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7" w:lineRule="exact"/>
        <w:rPr>
          <w:sz w:val="20"/>
          <w:szCs w:val="20"/>
          <w:color w:val="auto"/>
        </w:rPr>
      </w:pPr>
    </w:p>
    <w:p>
      <w:pPr>
        <w:jc w:val="both"/>
        <w:ind w:right="160" w:firstLine="458"/>
        <w:spacing w:after="0" w:line="257"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77"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9" w:lineRule="exact"/>
        <w:rPr>
          <w:sz w:val="20"/>
          <w:szCs w:val="20"/>
          <w:color w:val="auto"/>
        </w:rPr>
      </w:pPr>
    </w:p>
    <w:p>
      <w:pPr>
        <w:ind w:left="900" w:right="520" w:hanging="429"/>
        <w:spacing w:after="0" w:line="282"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09"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09"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0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09"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81"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1" w:lineRule="exact"/>
        <w:rPr>
          <w:sz w:val="20"/>
          <w:szCs w:val="20"/>
          <w:color w:val="auto"/>
        </w:rPr>
      </w:pPr>
    </w:p>
    <w:p>
      <w:pPr>
        <w:ind w:left="900" w:hanging="429"/>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3" w:lineRule="exact"/>
        <w:rPr>
          <w:rFonts w:ascii="Times New Roman" w:cs="Times New Roman" w:eastAsia="Times New Roman" w:hAnsi="Times New Roman"/>
          <w:sz w:val="16"/>
          <w:szCs w:val="16"/>
          <w:color w:val="auto"/>
        </w:rPr>
      </w:pPr>
    </w:p>
    <w:p>
      <w:pPr>
        <w:ind w:left="900" w:right="120" w:hanging="429"/>
        <w:spacing w:after="0" w:line="282"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18"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(EC)No. 141/2000, as amended. Regulation (EC) No. 141/2000, as amended, states that a medicinal product shall be designated as an orphan medicinal product if its manufacturer can establish:</w:t>
      </w:r>
    </w:p>
    <w:p>
      <w:pPr>
        <w:spacing w:after="0" w:line="49" w:lineRule="exact"/>
        <w:rPr>
          <w:sz w:val="20"/>
          <w:szCs w:val="20"/>
          <w:color w:val="auto"/>
        </w:rPr>
      </w:pPr>
    </w:p>
    <w:p>
      <w:pPr>
        <w:ind w:left="900" w:right="80" w:hanging="429"/>
        <w:spacing w:after="0" w:line="257"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Times New Roman" w:cs="Times New Roman" w:eastAsia="Times New Roman" w:hAnsi="Times New Roman"/>
          <w:sz w:val="16"/>
          <w:szCs w:val="16"/>
          <w:color w:val="auto"/>
        </w:rPr>
      </w:pPr>
    </w:p>
    <w:p>
      <w:pPr>
        <w:ind w:left="900" w:right="660" w:hanging="429"/>
        <w:spacing w:after="0" w:line="282"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 or Medium-Sized Enterprise Status</w:t>
      </w:r>
    </w:p>
    <w:p>
      <w:pPr>
        <w:spacing w:after="0" w:line="109"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 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1" w:lineRule="exact"/>
        <w:rPr>
          <w:sz w:val="20"/>
          <w:szCs w:val="20"/>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3" w:lineRule="exact"/>
        <w:rPr>
          <w:rFonts w:ascii="Times New Roman" w:cs="Times New Roman" w:eastAsia="Times New Roman" w:hAnsi="Times New Roman"/>
          <w:sz w:val="16"/>
          <w:szCs w:val="16"/>
          <w:color w:val="auto"/>
        </w:rPr>
      </w:pPr>
    </w:p>
    <w:p>
      <w:pPr>
        <w:ind w:left="900" w:right="420" w:hanging="429"/>
        <w:spacing w:after="0" w:line="282"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 and post-authorization regulatory procedures, including scientific advice, inspections and pharmaco-vigilance;</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3" w:lineRule="exact"/>
        <w:rPr>
          <w:rFonts w:ascii="Times New Roman" w:cs="Times New Roman" w:eastAsia="Times New Roman" w:hAnsi="Times New Roman"/>
          <w:sz w:val="16"/>
          <w:szCs w:val="16"/>
          <w:color w:val="auto"/>
        </w:rPr>
      </w:pPr>
    </w:p>
    <w:p>
      <w:pPr>
        <w:ind w:left="900" w:right="820" w:hanging="429"/>
        <w:spacing w:after="0" w:line="282"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1" w:lineRule="exact"/>
        <w:rPr>
          <w:sz w:val="20"/>
          <w:szCs w:val="20"/>
          <w:color w:val="auto"/>
        </w:rPr>
      </w:pPr>
    </w:p>
    <w:p>
      <w:pPr>
        <w:ind w:left="900" w:right="240" w:hanging="429"/>
        <w:spacing w:after="0" w:line="282"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123"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09"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09"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7"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5"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77"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0"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6" w:lineRule="exact"/>
        <w:rPr>
          <w:sz w:val="20"/>
          <w:szCs w:val="20"/>
          <w:color w:val="auto"/>
        </w:rPr>
      </w:pPr>
    </w:p>
    <w:p>
      <w:pPr>
        <w:ind w:left="900" w:hanging="429"/>
        <w:spacing w:after="0"/>
        <w:tabs>
          <w:tab w:leader="none" w:pos="90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11" w:lineRule="exact"/>
        <w:rPr>
          <w:sz w:val="20"/>
          <w:szCs w:val="20"/>
          <w:color w:val="auto"/>
        </w:rPr>
      </w:pPr>
    </w:p>
    <w:p>
      <w:pPr>
        <w:jc w:val="both"/>
        <w:ind w:right="280" w:firstLine="458"/>
        <w:spacing w:after="0" w:line="264"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147320</wp:posOffset>
            </wp:positionV>
            <wp:extent cx="4766945" cy="18815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694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429"/>
        <w:spacing w:after="0"/>
        <w:tabs>
          <w:tab w:leader="none" w:pos="90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plants and equipment</w:t>
      </w:r>
    </w:p>
    <w:p>
      <w:pPr>
        <w:spacing w:after="0" w:line="111"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475 square meters is rented through May 31, 2024 and our office space in Zug measuring approximately 58 square meters is rented on a monthly basis.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4A. UNRESOLVED STAFF COMMENTS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18" w:lineRule="exact"/>
        <w:rPr>
          <w:sz w:val="20"/>
          <w:szCs w:val="20"/>
          <w:color w:val="auto"/>
        </w:rPr>
      </w:pPr>
    </w:p>
    <w:p>
      <w:pPr>
        <w:ind w:left="900" w:hanging="429"/>
        <w:spacing w:after="0"/>
        <w:tabs>
          <w:tab w:leader="none" w:pos="90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11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76" w:lineRule="exact"/>
        <w:rPr>
          <w:sz w:val="20"/>
          <w:szCs w:val="20"/>
          <w:color w:val="auto"/>
        </w:rPr>
      </w:pPr>
    </w:p>
    <w:p>
      <w:pPr>
        <w:ind w:right="60" w:firstLine="458"/>
        <w:spacing w:after="0" w:line="280" w:lineRule="auto"/>
        <w:rPr>
          <w:sz w:val="20"/>
          <w:szCs w:val="20"/>
          <w:color w:val="auto"/>
        </w:rPr>
      </w:pPr>
      <w:r>
        <w:rPr>
          <w:rFonts w:ascii="Arial" w:cs="Arial" w:eastAsia="Arial" w:hAnsi="Arial"/>
          <w:sz w:val="16"/>
          <w:szCs w:val="16"/>
          <w:i w:val="1"/>
          <w:iCs w:val="1"/>
          <w:color w:val="auto"/>
        </w:rPr>
        <w:t>Our audited consolidated financial statements are included elsewhere in this Annual Report. These financial statements are prepared pursuant to IFRS as issued by IASB. As permitted by the rules of the SEC for foreign private issuers, we do not reconcile our financial statements to U.S. GAAP.</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1"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convenience that is superior to current standard-of-care HAE treatments, which are injectables. We believe deucrictibant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deucrictibant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w:t>
      </w:r>
    </w:p>
    <w:p>
      <w:pPr>
        <w:spacing w:after="0" w:line="84" w:lineRule="exact"/>
        <w:rPr>
          <w:sz w:val="20"/>
          <w:szCs w:val="20"/>
          <w:color w:val="auto"/>
        </w:rPr>
      </w:pPr>
    </w:p>
    <w:p>
      <w:pPr>
        <w:ind w:right="160" w:firstLine="458"/>
        <w:spacing w:after="0" w:line="252"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but we do not have data from head-to-head studies. We plan to efficiently progress deucrictibant through clinical development for on-demand and prophylactic use with our on-demand product candidate, PHVS416, and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softgel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capsules. Our primary objective with this trial is to assess the efficacy and safety profile of PHVS416 dose regimens for prophylactic treatments in HAE patients. We expect to have Phase 2 data from CHAPTER-1 in the second half of 2023.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70"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w:t>
      </w:r>
    </w:p>
    <w:p>
      <w:pPr>
        <w:spacing w:after="0" w:line="75"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63"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74"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Furthermore, 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 protocol for a 26-week rodent toxicology study has been aligned with the FDA and the study has initiated. We expect to submit results for this study to the FDA by the end of 2023. However, we cannot provide any assurance that we will be able to resolve the clinical holds.</w:t>
      </w:r>
    </w:p>
    <w:p>
      <w:pPr>
        <w:spacing w:after="0" w:line="72" w:lineRule="exact"/>
        <w:rPr>
          <w:sz w:val="20"/>
          <w:szCs w:val="20"/>
          <w:color w:val="auto"/>
        </w:rPr>
      </w:pPr>
    </w:p>
    <w:p>
      <w:pPr>
        <w:ind w:firstLine="503"/>
        <w:spacing w:after="0" w:line="283"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2021 can be found in our annual report on form 20-F, filed with the SEC on March 29, 2022.</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09" w:lineRule="exact"/>
        <w:rPr>
          <w:sz w:val="20"/>
          <w:szCs w:val="20"/>
          <w:color w:val="auto"/>
        </w:rPr>
      </w:pPr>
    </w:p>
    <w:p>
      <w:pPr>
        <w:ind w:right="280" w:firstLine="458"/>
        <w:spacing w:after="0" w:line="283"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09" w:lineRule="exact"/>
        <w:rPr>
          <w:sz w:val="20"/>
          <w:szCs w:val="20"/>
          <w:color w:val="auto"/>
        </w:rPr>
      </w:pPr>
    </w:p>
    <w:p>
      <w:pPr>
        <w:ind w:right="240" w:firstLine="458"/>
        <w:spacing w:after="0" w:line="257"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1" w:lineRule="exact"/>
        <w:rPr>
          <w:sz w:val="20"/>
          <w:szCs w:val="20"/>
          <w:color w:val="auto"/>
        </w:rPr>
      </w:pPr>
    </w:p>
    <w:p>
      <w:pPr>
        <w:ind w:left="900" w:right="18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pre-clinical expenses, which include costs of our outsourced discovery, preclinical and nonclinical development studies;</w:t>
      </w:r>
    </w:p>
    <w:p>
      <w:pPr>
        <w:spacing w:after="0" w:line="123" w:lineRule="exact"/>
        <w:rPr>
          <w:rFonts w:ascii="Times New Roman" w:cs="Times New Roman" w:eastAsia="Times New Roman" w:hAnsi="Times New Roman"/>
          <w:sz w:val="16"/>
          <w:szCs w:val="16"/>
          <w:color w:val="auto"/>
        </w:rPr>
      </w:pPr>
    </w:p>
    <w:p>
      <w:pPr>
        <w:ind w:left="900" w:right="40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9" w:lineRule="exact"/>
        <w:rPr>
          <w:rFonts w:ascii="Times New Roman" w:cs="Times New Roman" w:eastAsia="Times New Roman" w:hAnsi="Times New Roman"/>
          <w:sz w:val="16"/>
          <w:szCs w:val="16"/>
          <w:color w:val="auto"/>
        </w:rPr>
      </w:pPr>
    </w:p>
    <w:p>
      <w:pPr>
        <w:ind w:left="900" w:right="22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9" w:lineRule="exact"/>
        <w:rPr>
          <w:rFonts w:ascii="Times New Roman" w:cs="Times New Roman" w:eastAsia="Times New Roman" w:hAnsi="Times New Roman"/>
          <w:sz w:val="16"/>
          <w:szCs w:val="16"/>
          <w:color w:val="auto"/>
        </w:rPr>
      </w:pPr>
    </w:p>
    <w:p>
      <w:pPr>
        <w:ind w:left="900" w:right="32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 related and other consulting services;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1"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We expect that our total research and development expenses will increase in 2023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70" w:lineRule="exact"/>
        <w:rPr>
          <w:sz w:val="20"/>
          <w:szCs w:val="20"/>
          <w:color w:val="auto"/>
        </w:rPr>
      </w:pPr>
    </w:p>
    <w:p>
      <w:pPr>
        <w:jc w:val="both"/>
        <w:ind w:right="200" w:firstLine="458"/>
        <w:spacing w:after="0" w:line="264"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09"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5" w:lineRule="exact"/>
        <w:rPr>
          <w:sz w:val="20"/>
          <w:szCs w:val="20"/>
          <w:color w:val="auto"/>
        </w:rPr>
      </w:pPr>
    </w:p>
    <w:p>
      <w:pPr>
        <w:ind w:left="900" w:right="680" w:hanging="429"/>
        <w:spacing w:after="0" w:line="282" w:lineRule="auto"/>
        <w:tabs>
          <w:tab w:leader="none" w:pos="9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facilities and IT expenses and other general expenses relating to our operations; and</w:t>
      </w:r>
    </w:p>
    <w:p>
      <w:pPr>
        <w:spacing w:after="0" w:line="123" w:lineRule="exact"/>
        <w:rPr>
          <w:rFonts w:ascii="Times New Roman" w:cs="Times New Roman" w:eastAsia="Times New Roman" w:hAnsi="Times New Roman"/>
          <w:sz w:val="16"/>
          <w:szCs w:val="16"/>
          <w:color w:val="auto"/>
        </w:rPr>
      </w:pPr>
    </w:p>
    <w:p>
      <w:pPr>
        <w:ind w:left="900" w:right="360" w:hanging="429"/>
        <w:spacing w:after="0" w:line="282" w:lineRule="auto"/>
        <w:tabs>
          <w:tab w:leader="none" w:pos="9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7"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6"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4" w:lineRule="exact"/>
        <w:rPr>
          <w:sz w:val="20"/>
          <w:szCs w:val="20"/>
          <w:color w:val="auto"/>
        </w:rPr>
      </w:pPr>
    </w:p>
    <w:p>
      <w:pPr>
        <w:ind w:right="960" w:firstLine="229"/>
        <w:spacing w:after="0" w:line="283"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and expenses or general and administrative expenses.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share-based payment expense recorded for the years ended December 31, 2022 and 2021 were €11,349,200 and €8,196,387 respectively.</w:t>
      </w:r>
    </w:p>
    <w:p>
      <w:pPr>
        <w:spacing w:after="0" w:line="32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2022 and 2021</w:t>
      </w:r>
    </w:p>
    <w:p>
      <w:pPr>
        <w:spacing w:after="0" w:line="109" w:lineRule="exact"/>
        <w:rPr>
          <w:sz w:val="20"/>
          <w:szCs w:val="20"/>
          <w:color w:val="auto"/>
        </w:rPr>
      </w:pPr>
    </w:p>
    <w:p>
      <w:pPr>
        <w:ind w:right="560" w:firstLine="229"/>
        <w:spacing w:after="0" w:line="283" w:lineRule="auto"/>
        <w:rPr>
          <w:sz w:val="20"/>
          <w:szCs w:val="20"/>
          <w:color w:val="auto"/>
        </w:rPr>
      </w:pPr>
      <w:r>
        <w:rPr>
          <w:rFonts w:ascii="Arial" w:cs="Arial" w:eastAsia="Arial" w:hAnsi="Arial"/>
          <w:sz w:val="16"/>
          <w:szCs w:val="16"/>
          <w:color w:val="auto"/>
        </w:rPr>
        <w:t>A discussion of the financial results for the year ended December 31, 2021 as compared to the year ended December 31, 2020 can be found in the section entitled “Item 5. Operating and Financial Review and Prospects—A. Operating Results— Financial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overview—Comparison of the years ended December 31, 2021 and 2020” in our annual report on form 20-F, filed with the SEC on March 29, 2022.</w:t>
      </w:r>
    </w:p>
    <w:p>
      <w:pPr>
        <w:spacing w:after="0" w:line="32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2022 and 2021</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6"/>
              </w:rPr>
              <w:t>For the year ended</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5"/>
        </w:trPr>
        <w:tc>
          <w:tcPr>
            <w:tcW w:w="4980" w:type="dxa"/>
            <w:vAlign w:val="bottom"/>
          </w:tcPr>
          <w:p>
            <w:pPr>
              <w:spacing w:after="0"/>
              <w:rPr>
                <w:sz w:val="14"/>
                <w:szCs w:val="14"/>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December 31,</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4"/>
        </w:trPr>
        <w:tc>
          <w:tcPr>
            <w:tcW w:w="49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54"/>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ind w:left="1040"/>
              <w:spacing w:after="0"/>
              <w:rPr>
                <w:sz w:val="20"/>
                <w:szCs w:val="20"/>
                <w:color w:val="auto"/>
              </w:rPr>
            </w:pPr>
            <w:r>
              <w:rPr>
                <w:rFonts w:ascii="Arial" w:cs="Arial" w:eastAsia="Arial" w:hAnsi="Arial"/>
                <w:sz w:val="13"/>
                <w:szCs w:val="13"/>
                <w:b w:val="1"/>
                <w:bCs w:val="1"/>
                <w:color w:val="auto"/>
              </w:rPr>
              <w:t>(in €)</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Research and development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(57,375,574 )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(35,789,166 )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-21,586,408</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60 %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General and administrative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(29,339,034 )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(18,349,460 )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-10,989,574</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60 %</w:t>
            </w:r>
          </w:p>
        </w:tc>
      </w:tr>
      <w:tr>
        <w:trPr>
          <w:trHeight w:val="216"/>
        </w:trPr>
        <w:tc>
          <w:tcPr>
            <w:tcW w:w="4980" w:type="dxa"/>
            <w:vAlign w:val="bottom"/>
          </w:tcPr>
          <w:p>
            <w:pPr>
              <w:ind w:left="120"/>
              <w:spacing w:after="0"/>
              <w:rPr>
                <w:sz w:val="20"/>
                <w:szCs w:val="20"/>
                <w:color w:val="auto"/>
              </w:rPr>
            </w:pPr>
            <w:r>
              <w:rPr>
                <w:rFonts w:ascii="Arial" w:cs="Arial" w:eastAsia="Arial" w:hAnsi="Arial"/>
                <w:sz w:val="16"/>
                <w:szCs w:val="16"/>
                <w:b w:val="1"/>
                <w:bCs w:val="1"/>
                <w:color w:val="auto"/>
              </w:rPr>
              <w:t>Total operating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(86,714,608 )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(54,138,626 )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-32,575,982</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60 %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Finance income - net</w:t>
            </w:r>
          </w:p>
        </w:tc>
        <w:tc>
          <w:tcPr>
            <w:tcW w:w="114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11,477,964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-416,826</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4980" w:type="dxa"/>
            <w:vAlign w:val="bottom"/>
          </w:tcPr>
          <w:p>
            <w:pPr>
              <w:ind w:left="120"/>
              <w:spacing w:after="0"/>
              <w:rPr>
                <w:sz w:val="20"/>
                <w:szCs w:val="20"/>
                <w:color w:val="auto"/>
              </w:rPr>
            </w:pPr>
            <w:r>
              <w:rPr>
                <w:rFonts w:ascii="Arial" w:cs="Arial" w:eastAsia="Arial" w:hAnsi="Arial"/>
                <w:sz w:val="16"/>
                <w:szCs w:val="16"/>
                <w:b w:val="1"/>
                <w:bCs w:val="1"/>
                <w:color w:val="auto"/>
              </w:rPr>
              <w:t>Loss before income tax</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(75,653,470 )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(42,660,662 )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-32,992,808</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(679,087 )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(70,117 )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-608,970</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869 %</w:t>
            </w:r>
          </w:p>
        </w:tc>
      </w:tr>
      <w:tr>
        <w:trPr>
          <w:trHeight w:val="215"/>
        </w:trPr>
        <w:tc>
          <w:tcPr>
            <w:tcW w:w="4980" w:type="dxa"/>
            <w:vAlign w:val="bottom"/>
          </w:tcPr>
          <w:p>
            <w:pPr>
              <w:ind w:left="120"/>
              <w:spacing w:after="0"/>
              <w:rPr>
                <w:sz w:val="20"/>
                <w:szCs w:val="20"/>
                <w:color w:val="auto"/>
              </w:rPr>
            </w:pPr>
            <w:r>
              <w:rPr>
                <w:rFonts w:ascii="Arial" w:cs="Arial" w:eastAsia="Arial" w:hAnsi="Arial"/>
                <w:sz w:val="16"/>
                <w:szCs w:val="16"/>
                <w:b w:val="1"/>
                <w:bCs w:val="1"/>
                <w:color w:val="auto"/>
              </w:rPr>
              <w:t>Loss for the period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(76,332,557 )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(42,730,779 )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-33,601,778</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79 %</w:t>
            </w:r>
          </w:p>
        </w:tc>
      </w:tr>
      <w:tr>
        <w:trPr>
          <w:trHeight w:val="454"/>
        </w:trPr>
        <w:tc>
          <w:tcPr>
            <w:tcW w:w="4980" w:type="dxa"/>
            <w:vAlign w:val="bottom"/>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9"/>
        </w:trPr>
        <w:tc>
          <w:tcPr>
            <w:tcW w:w="498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6"/>
              </w:rPr>
              <w:t>For the year ended</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5"/>
        </w:trPr>
        <w:tc>
          <w:tcPr>
            <w:tcW w:w="4980" w:type="dxa"/>
            <w:vAlign w:val="bottom"/>
          </w:tcPr>
          <w:p>
            <w:pPr>
              <w:spacing w:after="0"/>
              <w:rPr>
                <w:sz w:val="14"/>
                <w:szCs w:val="14"/>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December 31,</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4"/>
        </w:trPr>
        <w:tc>
          <w:tcPr>
            <w:tcW w:w="49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54"/>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ind w:left="1040"/>
              <w:spacing w:after="0"/>
              <w:rPr>
                <w:sz w:val="20"/>
                <w:szCs w:val="20"/>
                <w:color w:val="auto"/>
              </w:rPr>
            </w:pPr>
            <w:r>
              <w:rPr>
                <w:rFonts w:ascii="Arial" w:cs="Arial" w:eastAsia="Arial" w:hAnsi="Arial"/>
                <w:sz w:val="13"/>
                <w:szCs w:val="13"/>
                <w:b w:val="1"/>
                <w:bCs w:val="1"/>
                <w:color w:val="auto"/>
              </w:rPr>
              <w:t>(in €)</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Personnel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(13,334,350 )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(7,988,097 )</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(5,346,253 )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67 %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Clinical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(27,653,658 )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(16,944,557 )</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(10,709,101 )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63 %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Nonclinical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(4,853,822 )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(3,891,479 )</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(962,343 )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Manufacturing costs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(11,181,355 )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(6,325,068 )</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(4,856,287 )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77 %</w:t>
            </w:r>
          </w:p>
        </w:tc>
      </w:tr>
      <w:tr>
        <w:trPr>
          <w:trHeight w:val="214"/>
        </w:trPr>
        <w:tc>
          <w:tcPr>
            <w:tcW w:w="4980" w:type="dxa"/>
            <w:vAlign w:val="bottom"/>
          </w:tcPr>
          <w:p>
            <w:pPr>
              <w:ind w:left="120"/>
              <w:spacing w:after="0"/>
              <w:rPr>
                <w:sz w:val="20"/>
                <w:szCs w:val="20"/>
                <w:color w:val="auto"/>
              </w:rPr>
            </w:pPr>
            <w:r>
              <w:rPr>
                <w:rFonts w:ascii="Arial" w:cs="Arial" w:eastAsia="Arial" w:hAnsi="Arial"/>
                <w:sz w:val="16"/>
                <w:szCs w:val="16"/>
                <w:color w:val="auto"/>
              </w:rPr>
              <w:t>License costs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(500,000 )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980" w:type="dxa"/>
            <w:vAlign w:val="bottom"/>
          </w:tcPr>
          <w:p>
            <w:pPr>
              <w:ind w:left="120"/>
              <w:spacing w:after="0"/>
              <w:rPr>
                <w:sz w:val="20"/>
                <w:szCs w:val="20"/>
                <w:color w:val="auto"/>
              </w:rPr>
            </w:pPr>
            <w:r>
              <w:rPr>
                <w:rFonts w:ascii="Arial" w:cs="Arial" w:eastAsia="Arial" w:hAnsi="Arial"/>
                <w:sz w:val="16"/>
                <w:szCs w:val="16"/>
                <w:color w:val="auto"/>
              </w:rPr>
              <w:t>Intellectual property costs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(352,389 )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(139,966 )</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(212,423 )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152 %</w:t>
            </w:r>
          </w:p>
        </w:tc>
      </w:tr>
      <w:tr>
        <w:trPr>
          <w:trHeight w:val="20"/>
        </w:trPr>
        <w:tc>
          <w:tcPr>
            <w:tcW w:w="4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4980" w:type="dxa"/>
            <w:vAlign w:val="bottom"/>
          </w:tcPr>
          <w:p>
            <w:pPr>
              <w:ind w:left="120"/>
              <w:spacing w:after="0"/>
              <w:rPr>
                <w:sz w:val="20"/>
                <w:szCs w:val="20"/>
                <w:color w:val="auto"/>
              </w:rPr>
            </w:pPr>
            <w:r>
              <w:rPr>
                <w:rFonts w:ascii="Arial" w:cs="Arial" w:eastAsia="Arial" w:hAnsi="Arial"/>
                <w:sz w:val="16"/>
                <w:szCs w:val="16"/>
                <w:b w:val="1"/>
                <w:bCs w:val="1"/>
                <w:color w:val="auto"/>
              </w:rPr>
              <w:t>Total research and development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(57,375,574 )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(35,789,166 )</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(21,586,408 )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auto"/>
                <w:highlight w:val="white"/>
              </w:rPr>
              <w:t>%</w:t>
            </w:r>
          </w:p>
        </w:tc>
      </w:tr>
      <w:tr>
        <w:trPr>
          <w:trHeight w:val="20"/>
        </w:trPr>
        <w:tc>
          <w:tcPr>
            <w:tcW w:w="4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-2782570</wp:posOffset>
            </wp:positionV>
            <wp:extent cx="6417945"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-2510790</wp:posOffset>
            </wp:positionV>
            <wp:extent cx="6417945" cy="135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-2238375</wp:posOffset>
            </wp:positionV>
            <wp:extent cx="6417945" cy="135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-1965960</wp:posOffset>
            </wp:positionV>
            <wp:extent cx="6417945" cy="135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-850900</wp:posOffset>
            </wp:positionV>
            <wp:extent cx="6417945" cy="135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-578485</wp:posOffset>
            </wp:positionV>
            <wp:extent cx="6417945" cy="135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-306070</wp:posOffset>
            </wp:positionV>
            <wp:extent cx="6417945" cy="306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7945" cy="30670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increased by €21,586,408 in 2022, or 60% from €35,789,166 for the year ended December 31, 2021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€57,375,574 for the year ended December 31, 2022. The increase in research and development expenses was primarily due to the expansion from the Phase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 clinical program to our Phase 2 clinical program. The Phase 2 program involves 2 global, placebo-controlled clinical studies with dosing over multiple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months. In addition, Open Label Extension studies have been initiated and have been running for the two programs. Manufacturing costs increased mainly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due to softgel capsules being manufactured as supplies for Phase 2 as well as the open label extension studies. Furthermore, manufacturing extended-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release for Phase 1 clinical studies as well as up-scaling and other activities including packaging and labeling contributed to the increase in costs. In 2022, no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license fees were owed to AnalytiCon following a milestone payment of €500,000 paid to AnalytiCon in 2021 upon commencement of Phase 2 development.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 personnel expenses, an amount of €4,232,835 for 2022 and €4,107,605 for 2021 is related to our share-based compensation arrangements. The increase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 the share-based payments for the year ended December 31, 2022, relates to the new grants awarded in the period after December 31, 2021 up to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including December 31, 2022. The remaining increase in personnel expenses is driven by the growth of our organization and yearly merit adjustments.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720" w:type="dxa"/>
            <w:vAlign w:val="bottom"/>
            <w:gridSpan w:val="4"/>
          </w:tcPr>
          <w:p>
            <w:pPr>
              <w:jc w:val="right"/>
              <w:ind w:right="900"/>
              <w:spacing w:after="0"/>
              <w:rPr>
                <w:sz w:val="20"/>
                <w:szCs w:val="20"/>
                <w:color w:val="auto"/>
              </w:rPr>
            </w:pPr>
            <w:r>
              <w:rPr>
                <w:rFonts w:ascii="Arial" w:cs="Arial" w:eastAsia="Arial" w:hAnsi="Arial"/>
                <w:sz w:val="13"/>
                <w:szCs w:val="13"/>
                <w:b w:val="1"/>
                <w:bCs w:val="1"/>
                <w:color w:val="auto"/>
              </w:rPr>
              <w:t>For the year ended</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4"/>
                <w:szCs w:val="14"/>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Personnel expenses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(13,484,996 )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(7,033,913 )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(6,451,083 )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Consulting fees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(898,435 )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(757,233 )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(141,202 )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Professional fees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(3,972,771 )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(2,868,684 )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(1,104,087 )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(1,652,995 )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(1,306,714 )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(346,281 )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Insurance, facilities and office expenses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(6,443,709 )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(5,648,763 )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(794,946 )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Travel expenses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(1,105,961 )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(143,582 )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(962,379 )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670 %</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Other expenses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(1,780,167 )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(590,571 )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(1,189,596 )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6"/>
                <w:szCs w:val="16"/>
                <w:b w:val="1"/>
                <w:bCs w:val="1"/>
                <w:color w:val="auto"/>
              </w:rPr>
              <w:t>General and administrative expenses</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(29,339,034 )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(18,349,460 )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(10,989,574 )</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auto"/>
                <w:highlight w:val="white"/>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-1122680</wp:posOffset>
            </wp:positionV>
            <wp:extent cx="6417945" cy="135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-850900</wp:posOffset>
            </wp:positionV>
            <wp:extent cx="6417945" cy="135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-578485</wp:posOffset>
            </wp:positionV>
            <wp:extent cx="6417945" cy="135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-306070</wp:posOffset>
            </wp:positionV>
            <wp:extent cx="6417945" cy="306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7945" cy="306705"/>
                    </a:xfrm>
                    <a:prstGeom prst="rect">
                      <a:avLst/>
                    </a:prstGeom>
                    <a:noFill/>
                  </pic:spPr>
                </pic:pic>
              </a:graphicData>
            </a:graphic>
          </wp:anchor>
        </w:drawing>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by €10,989,574, or 60% from €18,349,460 for the year ended December 31, 2021 to €29,339,034 for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2022. The increase in general and administrative expenses was mainly driven by the growth of our organization and increasing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costs related to our commercial buildout. In the personnel expenses for the year ended December 31, 2022 and 2021 an amount of €7,116,365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€4,088,782, respectively, was included which related to share-based payments arrangements. The increase in the share-based payments for the year ended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relates to the new grants awarded in the period after December 31, 2021 up to and including December 31, 2022. The remaining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increase in personnel expenses is driven by the growth of our organization and yearly merit adjustments.</w:t>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income/(expenses) - net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Finance income/(expenses) - net for the year ended December 31, 2022 and 2021 were €11,061,138 and €11,477,964 respectively, a change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€416,826. The amount mainly relates to unrealized foreign exchange income, which is mostly the result of translating the Company’s bank balances held in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USD to EUR. The foreign exchange rates developed in favor of the Company in 2022.</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09" w:lineRule="exact"/>
        <w:rPr>
          <w:sz w:val="20"/>
          <w:szCs w:val="20"/>
          <w:color w:val="auto"/>
        </w:rPr>
      </w:pPr>
    </w:p>
    <w:p>
      <w:pPr>
        <w:ind w:right="280" w:firstLine="458"/>
        <w:spacing w:after="0" w:line="254"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carry forward losses of the Dutch fiscal unity that are lower than estimated in the previous year. The Company did not recognize the tax benefit of the losses incurred in previous years.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its subsidiaries (collectively, "The Group") has tax loss carry-forwards as of December 31, 2022 of approximately €182.3 million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(2021: €95.7 million; 2020: €43.3 million), that are available for offsetting against future taxable profits of the Companies in which the losses arose. A new</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Dutch tax law came into effect on January 1, 2022. Under the new tax law, profits in a given year can be offset against tax loss carry forwards for an unlimited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period of time. The amount of the offset will be limited to 50% of taxable income (in excess of €1 million). Under Swiss law, losses can be offset against future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income or capital gains for seven years.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13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56"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Prior to the IPO, numerous objective and subjective factors were considered to determine the best estimate of the fair value of the ordinary shares as of each grant date, including:</w:t>
      </w:r>
    </w:p>
    <w:p>
      <w:pPr>
        <w:spacing w:after="0" w:line="49" w:lineRule="exact"/>
        <w:rPr>
          <w:sz w:val="20"/>
          <w:szCs w:val="20"/>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of the research and development programs;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contemporaneous third-party valuations of the ordinary shares for the share issuances in 2016, 2019 and 2020;</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the rights and preferences of the preferred shares relative to the ordinary shares;</w:t>
      </w:r>
    </w:p>
    <w:p>
      <w:pPr>
        <w:spacing w:after="0" w:line="123"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the likelihood of achieving a discrete liquidity event, such as a sale of the company or an initial public offering given prevailing market conditions; and</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external market and economic conditions impacting the industry sector.</w:t>
      </w:r>
    </w:p>
    <w:p>
      <w:pPr>
        <w:spacing w:after="0" w:line="23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The fair value of an option or an RSU was measured based on the estimated fair value of an ordinary share at grant date. An external valuation expert has estimated the fair value of the Company’s ordinary shares, on a minority basis, as of the grant dates based on the pricing of the most recent financing round of the Company at the time. As we were a private company and the equity instruments were not marketable, an Option Pricing Model, with estimated probabilities of two different exit scenarios (IPO and Trade Sale), was applied to back-solve the Company’s total equity value such that the value per Series B preferred share and Series C preferred shares is equal to the investment price per share paid in the investment round.</w:t>
      </w:r>
    </w:p>
    <w:p>
      <w:pPr>
        <w:spacing w:after="0" w:line="179"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This estimated total equity value has been used as input to the Option Pricing Model when determining the fair value of the Company’s ordinary shares at the grant/measurement dates. The Option Pricing Model uses the Black-Scholes Option-Pricing Model to determine the fair value of the Company’s different share classes based upon the Company’s total equity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60" w:firstLine="458"/>
        <w:spacing w:after="0" w:line="283" w:lineRule="auto"/>
        <w:rPr>
          <w:sz w:val="20"/>
          <w:szCs w:val="20"/>
          <w:color w:val="auto"/>
        </w:rPr>
      </w:pPr>
      <w:r>
        <w:rPr>
          <w:rFonts w:ascii="Arial" w:cs="Arial" w:eastAsia="Arial" w:hAnsi="Arial"/>
          <w:sz w:val="16"/>
          <w:szCs w:val="16"/>
          <w:color w:val="auto"/>
        </w:rPr>
        <w:t>The inputs used in the measurement of the fair value per ordinary share pre-IPO at the grant/ measurement date based upon the total equity value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20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January 1,</w:t>
            </w:r>
          </w:p>
        </w:tc>
      </w:tr>
      <w:tr>
        <w:trPr>
          <w:trHeight w:val="165"/>
        </w:trPr>
        <w:tc>
          <w:tcPr>
            <w:tcW w:w="9140" w:type="dxa"/>
            <w:vAlign w:val="bottom"/>
          </w:tcPr>
          <w:p>
            <w:pPr>
              <w:spacing w:after="0"/>
              <w:rPr>
                <w:sz w:val="14"/>
                <w:szCs w:val="14"/>
                <w:color w:val="auto"/>
              </w:rPr>
            </w:pPr>
          </w:p>
        </w:tc>
        <w:tc>
          <w:tcPr>
            <w:tcW w:w="2000" w:type="dxa"/>
            <w:vAlign w:val="bottom"/>
            <w:tcBorders>
              <w:bottom w:val="single" w:sz="8" w:color="auto"/>
            </w:tcBorders>
          </w:tcPr>
          <w:p>
            <w:pPr>
              <w:jc w:val="right"/>
              <w:ind w:right="786"/>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r>
      <w:tr>
        <w:trPr>
          <w:trHeight w:val="207"/>
        </w:trPr>
        <w:tc>
          <w:tcPr>
            <w:tcW w:w="914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200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4"/>
        </w:trPr>
        <w:tc>
          <w:tcPr>
            <w:tcW w:w="91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200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r>
      <w:tr>
        <w:trPr>
          <w:trHeight w:val="214"/>
        </w:trPr>
        <w:tc>
          <w:tcPr>
            <w:tcW w:w="9140" w:type="dxa"/>
            <w:vAlign w:val="bottom"/>
          </w:tcPr>
          <w:p>
            <w:pPr>
              <w:ind w:left="20"/>
              <w:spacing w:after="0"/>
              <w:rPr>
                <w:sz w:val="20"/>
                <w:szCs w:val="20"/>
                <w:color w:val="auto"/>
              </w:rPr>
            </w:pPr>
            <w:r>
              <w:rPr>
                <w:rFonts w:ascii="Arial" w:cs="Arial" w:eastAsia="Arial" w:hAnsi="Arial"/>
                <w:sz w:val="16"/>
                <w:szCs w:val="16"/>
                <w:color w:val="auto"/>
              </w:rPr>
              <w:t>Risk-free interest rate (%)</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(0.6 )%</w:t>
            </w:r>
          </w:p>
        </w:tc>
      </w:tr>
      <w:tr>
        <w:trPr>
          <w:trHeight w:val="214"/>
        </w:trPr>
        <w:tc>
          <w:tcPr>
            <w:tcW w:w="91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-542925</wp:posOffset>
            </wp:positionV>
            <wp:extent cx="7133590" cy="135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135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22"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b w:val="1"/>
                <w:bCs w:val="1"/>
                <w:color w:val="auto"/>
              </w:rPr>
              <w:t>June 1,</w:t>
            </w:r>
          </w:p>
        </w:tc>
        <w:tc>
          <w:tcPr>
            <w:tcW w:w="120" w:type="dxa"/>
            <w:vAlign w:val="bottom"/>
          </w:tcPr>
          <w:p>
            <w:pPr>
              <w:spacing w:after="0"/>
              <w:rPr>
                <w:sz w:val="15"/>
                <w:szCs w:val="15"/>
                <w:color w:val="auto"/>
              </w:rPr>
            </w:pPr>
          </w:p>
        </w:tc>
        <w:tc>
          <w:tcPr>
            <w:tcW w:w="880" w:type="dxa"/>
            <w:vAlign w:val="bottom"/>
            <w:gridSpan w:val="4"/>
          </w:tcPr>
          <w:p>
            <w:pPr>
              <w:ind w:left="140"/>
              <w:spacing w:after="0"/>
              <w:rPr>
                <w:sz w:val="20"/>
                <w:szCs w:val="20"/>
                <w:color w:val="auto"/>
              </w:rPr>
            </w:pPr>
            <w:r>
              <w:rPr>
                <w:rFonts w:ascii="Arial" w:cs="Arial" w:eastAsia="Arial" w:hAnsi="Arial"/>
                <w:sz w:val="13"/>
                <w:szCs w:val="13"/>
                <w:b w:val="1"/>
                <w:bCs w:val="1"/>
                <w:color w:val="auto"/>
              </w:rPr>
              <w:t>April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July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June 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4"/>
              </w:rPr>
              <w:t>February 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6"/>
              </w:rPr>
              <w:t>January 1,</w:t>
            </w:r>
          </w:p>
        </w:tc>
      </w:tr>
      <w:tr>
        <w:trPr>
          <w:trHeight w:val="165"/>
        </w:trPr>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Option 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4"/>
              </w:rPr>
              <w:t>Option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8"/>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options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552,500</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14,000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88,000</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860" w:type="dxa"/>
            <w:vAlign w:val="bottom"/>
          </w:tcPr>
          <w:p>
            <w:pPr>
              <w:ind w:left="20"/>
              <w:spacing w:after="0"/>
              <w:rPr>
                <w:sz w:val="20"/>
                <w:szCs w:val="20"/>
                <w:color w:val="auto"/>
              </w:rPr>
            </w:pPr>
            <w:r>
              <w:rPr>
                <w:rFonts w:ascii="Arial" w:cs="Arial" w:eastAsia="Arial" w:hAnsi="Arial"/>
                <w:sz w:val="16"/>
                <w:szCs w:val="16"/>
                <w:color w:val="auto"/>
              </w:rPr>
              <w:t>Fair value of the options</w:t>
            </w: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11.50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13.73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the ordinary shares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15.46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15.46</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371"/>
        </w:trPr>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5"/>
          </w:tcPr>
          <w:p>
            <w:pPr>
              <w:ind w:left="20"/>
              <w:spacing w:after="0"/>
              <w:rPr>
                <w:sz w:val="20"/>
                <w:szCs w:val="20"/>
                <w:color w:val="auto"/>
              </w:rPr>
            </w:pPr>
            <w:r>
              <w:rPr>
                <w:rFonts w:ascii="Arial" w:cs="Arial" w:eastAsia="Arial" w:hAnsi="Arial"/>
                <w:sz w:val="13"/>
                <w:szCs w:val="13"/>
                <w:b w:val="1"/>
                <w:bCs w:val="1"/>
                <w:color w:val="auto"/>
              </w:rPr>
              <w:t>June 1,</w:t>
            </w:r>
          </w:p>
        </w:tc>
        <w:tc>
          <w:tcPr>
            <w:tcW w:w="1000" w:type="dxa"/>
            <w:vAlign w:val="bottom"/>
            <w:gridSpan w:val="5"/>
          </w:tcPr>
          <w:p>
            <w:pPr>
              <w:ind w:left="60"/>
              <w:spacing w:after="0"/>
              <w:rPr>
                <w:sz w:val="20"/>
                <w:szCs w:val="20"/>
                <w:color w:val="auto"/>
              </w:rPr>
            </w:pPr>
            <w:r>
              <w:rPr>
                <w:rFonts w:ascii="Arial" w:cs="Arial" w:eastAsia="Arial" w:hAnsi="Arial"/>
                <w:sz w:val="13"/>
                <w:szCs w:val="13"/>
                <w:b w:val="1"/>
                <w:bCs w:val="1"/>
                <w:color w:val="auto"/>
              </w:rPr>
              <w:t>April 1,</w:t>
            </w:r>
          </w:p>
        </w:tc>
        <w:tc>
          <w:tcPr>
            <w:tcW w:w="96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99"/>
              </w:rPr>
              <w:t>January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July 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June 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June 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February 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6"/>
              </w:rPr>
              <w:t>January 1,</w:t>
            </w:r>
          </w:p>
        </w:tc>
      </w:tr>
      <w:tr>
        <w:trPr>
          <w:trHeight w:val="165"/>
        </w:trPr>
        <w:tc>
          <w:tcPr>
            <w:tcW w:w="286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w w:val="96"/>
              </w:rPr>
              <w:t>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6"/>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2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Option 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4"/>
              </w:rPr>
              <w:t>Option 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8"/>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price</w:t>
            </w: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86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80 %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color w:val="auto"/>
              </w:rPr>
              <w:t>85 %</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85 %</w:t>
            </w:r>
          </w:p>
        </w:tc>
      </w:tr>
      <w:tr>
        <w:trPr>
          <w:trHeight w:val="21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life (years)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860" w:type="dxa"/>
            <w:vAlign w:val="bottom"/>
          </w:tcPr>
          <w:p>
            <w:pPr>
              <w:ind w:left="20"/>
              <w:spacing w:after="0"/>
              <w:rPr>
                <w:sz w:val="20"/>
                <w:szCs w:val="20"/>
                <w:color w:val="auto"/>
              </w:rPr>
            </w:pPr>
            <w:r>
              <w:rPr>
                <w:rFonts w:ascii="Arial" w:cs="Arial" w:eastAsia="Arial" w:hAnsi="Arial"/>
                <w:sz w:val="16"/>
                <w:szCs w:val="16"/>
                <w:color w:val="auto"/>
              </w:rPr>
              <w:t>Risk-free interest rate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2.6 %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color w:val="auto"/>
              </w:rPr>
              <w:t>(0.5 )%</w:t>
            </w:r>
          </w:p>
        </w:tc>
        <w:tc>
          <w:tcPr>
            <w:tcW w:w="1000" w:type="dxa"/>
            <w:vAlign w:val="bottom"/>
            <w:gridSpan w:val="5"/>
          </w:tcPr>
          <w:p>
            <w:pPr>
              <w:jc w:val="right"/>
              <w:spacing w:after="0"/>
              <w:rPr>
                <w:sz w:val="20"/>
                <w:szCs w:val="20"/>
                <w:color w:val="auto"/>
              </w:rPr>
            </w:pPr>
            <w:r>
              <w:rPr>
                <w:rFonts w:ascii="Arial" w:cs="Arial" w:eastAsia="Arial" w:hAnsi="Arial"/>
                <w:sz w:val="16"/>
                <w:szCs w:val="16"/>
                <w:color w:val="auto"/>
              </w:rPr>
              <w:t>0.8 %</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(0.6 )%</w:t>
            </w:r>
          </w:p>
        </w:tc>
      </w:tr>
      <w:tr>
        <w:trPr>
          <w:trHeight w:val="21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dividend yield</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150"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On January 1, 2021 the Company granted a total of 107,000 stock options to members of key management with an exercise price of €7.25 per share with a final exercise date of December 31, 2030 unless forfeited or exercised on an earlier date.</w:t>
      </w:r>
    </w:p>
    <w:p>
      <w:pPr>
        <w:spacing w:after="0" w:line="129" w:lineRule="exact"/>
        <w:rPr>
          <w:sz w:val="20"/>
          <w:szCs w:val="20"/>
          <w:color w:val="auto"/>
        </w:rPr>
      </w:pPr>
    </w:p>
    <w:p>
      <w:pPr>
        <w:ind w:right="120" w:firstLine="458"/>
        <w:spacing w:after="0" w:line="257" w:lineRule="auto"/>
        <w:rPr>
          <w:sz w:val="20"/>
          <w:szCs w:val="20"/>
          <w:color w:val="auto"/>
        </w:rPr>
      </w:pPr>
      <w:r>
        <w:rPr>
          <w:rFonts w:ascii="Arial" w:cs="Arial" w:eastAsia="Arial" w:hAnsi="Arial"/>
          <w:sz w:val="16"/>
          <w:szCs w:val="16"/>
          <w:color w:val="auto"/>
        </w:rPr>
        <w:t>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50"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On June 25, 2021, the grant date fair value was determined for 88,000 stock options granted to a member of key management with an exercise price of €2.38 per share with a final exercise date of February 2, 2030 unless forfeited or exercised on an earlier date. Each month, 1/48 of the options will vest, with final vesting on February 4, 2024.</w:t>
      </w:r>
    </w:p>
    <w:p>
      <w:pPr>
        <w:spacing w:after="0" w:line="170"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ind w:right="260" w:firstLine="458"/>
        <w:spacing w:after="0" w:line="257"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ind w:right="260" w:firstLine="458"/>
        <w:spacing w:after="0" w:line="257"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ind w:right="260" w:firstLine="458"/>
        <w:spacing w:after="0" w:line="264"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1/48th of the aggregate number of share options shall vest on each subsequent monthly anniversary of the vesting commencement date until either the option is fully vested or the option holders’ continuous service terminates.</w:t>
      </w:r>
    </w:p>
    <w:p>
      <w:pPr>
        <w:spacing w:after="0" w:line="156" w:lineRule="exact"/>
        <w:rPr>
          <w:sz w:val="20"/>
          <w:szCs w:val="20"/>
          <w:color w:val="auto"/>
        </w:rPr>
      </w:pPr>
    </w:p>
    <w:p>
      <w:pPr>
        <w:jc w:val="both"/>
        <w:ind w:right="20" w:firstLine="458"/>
        <w:spacing w:after="0" w:line="257" w:lineRule="auto"/>
        <w:rPr>
          <w:sz w:val="20"/>
          <w:szCs w:val="20"/>
          <w:color w:val="auto"/>
        </w:rPr>
      </w:pPr>
      <w:r>
        <w:rPr>
          <w:rFonts w:ascii="Arial" w:cs="Arial" w:eastAsia="Arial" w:hAnsi="Arial"/>
          <w:sz w:val="16"/>
          <w:szCs w:val="16"/>
          <w:color w:val="auto"/>
        </w:rPr>
        <w:t>On June 1, 2022, a total of 120,000 stock options were granted to a member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ind w:firstLine="503"/>
        <w:spacing w:after="0" w:line="257" w:lineRule="auto"/>
        <w:rPr>
          <w:sz w:val="20"/>
          <w:szCs w:val="20"/>
          <w:color w:val="auto"/>
        </w:rPr>
      </w:pPr>
      <w:r>
        <w:rPr>
          <w:rFonts w:ascii="Arial" w:cs="Arial" w:eastAsia="Arial" w:hAnsi="Arial"/>
          <w:sz w:val="16"/>
          <w:szCs w:val="16"/>
          <w:color w:val="auto"/>
        </w:rPr>
        <w:t>During 2022 and 2021, the Company granted a total of 681,588 and 175,991 RSUs, respectively,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expenses are recognized over the service period in the consolidated statements of loss and comprehensive loss.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6" w:lineRule="exact"/>
        <w:rPr>
          <w:sz w:val="20"/>
          <w:szCs w:val="20"/>
          <w:color w:val="auto"/>
        </w:rPr>
      </w:pPr>
    </w:p>
    <w:p>
      <w:pPr>
        <w:ind w:left="900" w:hanging="429"/>
        <w:spacing w:after="0"/>
        <w:tabs>
          <w:tab w:leader="none" w:pos="90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1" w:lineRule="exact"/>
        <w:rPr>
          <w:sz w:val="20"/>
          <w:szCs w:val="20"/>
          <w:color w:val="auto"/>
        </w:rPr>
      </w:pPr>
    </w:p>
    <w:p>
      <w:pPr>
        <w:ind w:right="440" w:firstLine="458"/>
        <w:spacing w:after="0" w:line="257" w:lineRule="auto"/>
        <w:rPr>
          <w:sz w:val="20"/>
          <w:szCs w:val="20"/>
          <w:color w:val="auto"/>
        </w:rPr>
      </w:pPr>
      <w:r>
        <w:rPr>
          <w:rFonts w:ascii="Arial" w:cs="Arial" w:eastAsia="Arial" w:hAnsi="Arial"/>
          <w:sz w:val="16"/>
          <w:szCs w:val="16"/>
          <w:color w:val="auto"/>
        </w:rPr>
        <w:t>Since inception, we have incurred significant operating losses. We incurred losses of €76,332,557 during the year ended December 31, 2022 and €42,730,779 during the year ended December 31, 2021. Since inception, we have not generated any revenues or net cash flows from sales. We will not receive any revenues or net cash flows from sales until we successful develop a product candidate, obtain regulatory approval and successfully commercialize it. There is no assurance that we will be able to do so.</w:t>
      </w:r>
    </w:p>
    <w:p>
      <w:pPr>
        <w:spacing w:after="0" w:line="177"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From inception through December 31, 2022, we have raised the following capital:</w:t>
      </w:r>
    </w:p>
    <w:p>
      <w:pPr>
        <w:spacing w:after="0" w:line="49" w:lineRule="exact"/>
        <w:rPr>
          <w:sz w:val="20"/>
          <w:szCs w:val="20"/>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€225,000;</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€14,899,133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€21,631,526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€34,246,281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€67,183,593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€146,154,986 (net of transaction costs);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588,100 ordinary shares raising €9,237,864 (net of transaction costs).</w:t>
      </w:r>
    </w:p>
    <w:p>
      <w:pPr>
        <w:spacing w:after="0" w:line="231" w:lineRule="exact"/>
        <w:rPr>
          <w:sz w:val="20"/>
          <w:szCs w:val="20"/>
          <w:color w:val="auto"/>
        </w:rPr>
      </w:pPr>
    </w:p>
    <w:p>
      <w:pPr>
        <w:jc w:val="both"/>
        <w:ind w:right="540" w:firstLine="458"/>
        <w:spacing w:after="0" w:line="264"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0"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On March 1, 2022, we entered into a sales agreement with SVB Securities LLC, or SVB Securities, pursuant to which we may sell ordinary shares having an aggregate offering price of up to $75 million from time to time through SVB Securities. During 2022, we sold a total of 588,100 ordinary shares in two different transactions under the sales agreement generating total net proceeds of $9,698,504, after deducting $299,954 which was payable to SVB Securities as commission in respect of such sales. Our understanding is that SVB Securities is not impacted by the Silicon Valley Bank ("SVB") receivership proceedings.</w:t>
      </w:r>
    </w:p>
    <w:p>
      <w:pPr>
        <w:spacing w:after="0" w:line="17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As of December 31, 2022 we held cash and cash equivalents of €161,837,429. Of the cash on hand, €65,567 relates to guarantees.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81" w:lineRule="exact"/>
        <w:rPr>
          <w:sz w:val="20"/>
          <w:szCs w:val="20"/>
          <w:color w:val="auto"/>
        </w:rPr>
      </w:pPr>
    </w:p>
    <w:p>
      <w:pPr>
        <w:jc w:val="both"/>
        <w:ind w:right="220" w:firstLine="458"/>
        <w:spacing w:after="0" w:line="264"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additional funds more quickly if we choose to expand our development activities, our portfolio or if we consider acquisitions. Factors that could influence our future capital requirements and the timing thereof include:</w:t>
      </w:r>
    </w:p>
    <w:p>
      <w:pPr>
        <w:spacing w:after="0" w:line="49" w:lineRule="exact"/>
        <w:rPr>
          <w:sz w:val="20"/>
          <w:szCs w:val="20"/>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duration and impact of the clinical holds on deucrictibant clinical trials in the U.S.;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3" w:lineRule="exact"/>
        <w:rPr>
          <w:rFonts w:ascii="Times New Roman" w:cs="Times New Roman" w:eastAsia="Times New Roman" w:hAnsi="Times New Roman"/>
          <w:sz w:val="16"/>
          <w:szCs w:val="16"/>
          <w:color w:val="auto"/>
        </w:rPr>
      </w:pPr>
    </w:p>
    <w:p>
      <w:pPr>
        <w:ind w:left="900" w:right="60" w:hanging="429"/>
        <w:spacing w:after="0" w:line="282" w:lineRule="auto"/>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3" w:lineRule="exact"/>
        <w:rPr>
          <w:rFonts w:ascii="Times New Roman" w:cs="Times New Roman" w:eastAsia="Times New Roman" w:hAnsi="Times New Roman"/>
          <w:sz w:val="16"/>
          <w:szCs w:val="16"/>
          <w:color w:val="auto"/>
        </w:rPr>
      </w:pPr>
    </w:p>
    <w:p>
      <w:pPr>
        <w:ind w:left="900" w:right="580" w:hanging="429"/>
        <w:spacing w:after="0" w:line="282" w:lineRule="auto"/>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of any delays caused by the COVID-19 pandemic and associated restrictions;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1" w:lineRule="exact"/>
        <w:rPr>
          <w:sz w:val="20"/>
          <w:szCs w:val="20"/>
          <w:color w:val="auto"/>
        </w:rPr>
      </w:pPr>
    </w:p>
    <w:p>
      <w:pPr>
        <w:ind w:right="340" w:firstLine="458"/>
        <w:spacing w:after="0" w:line="26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to other technologies or our clinical product candidate that we would prefer to develop and commercialize ourselves.</w:t>
      </w:r>
    </w:p>
    <w:p>
      <w:pPr>
        <w:spacing w:after="0" w:line="181"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SVB. As of April 5, 2023,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2022 and December 31, 2021</w:t>
      </w:r>
    </w:p>
    <w:p>
      <w:pPr>
        <w:spacing w:after="0" w:line="189" w:lineRule="exact"/>
        <w:rPr>
          <w:sz w:val="20"/>
          <w:szCs w:val="20"/>
          <w:color w:val="auto"/>
        </w:rPr>
      </w:pPr>
    </w:p>
    <w:p>
      <w:pPr>
        <w:ind w:right="200" w:firstLine="274"/>
        <w:spacing w:after="0" w:line="264" w:lineRule="auto"/>
        <w:rPr>
          <w:sz w:val="20"/>
          <w:szCs w:val="20"/>
          <w:color w:val="auto"/>
        </w:rPr>
      </w:pPr>
      <w:r>
        <w:rPr>
          <w:rFonts w:ascii="Arial" w:cs="Arial" w:eastAsia="Arial" w:hAnsi="Arial"/>
          <w:sz w:val="16"/>
          <w:szCs w:val="16"/>
          <w:color w:val="auto"/>
        </w:rPr>
        <w:t>A discussion of our cash flows for the year ended December 31, 2021 as compared to the year ended December 31, 2020 can be found in the section entitled “Item 5. Operating and Financial Review and Prospects—B. Liquidity and Capital Resources—Cash Flows—Comparison of the years ended December 31, 2021 and 2020” in our annual report on form 20-F, filed with the SEC on March 29, 2022.</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940" w:type="dxa"/>
            <w:vAlign w:val="bottom"/>
            <w:gridSpan w:val="5"/>
          </w:tcPr>
          <w:p>
            <w:pPr>
              <w:jc w:val="center"/>
              <w:ind w:right="157"/>
              <w:spacing w:after="0"/>
              <w:rPr>
                <w:sz w:val="20"/>
                <w:szCs w:val="20"/>
                <w:color w:val="auto"/>
              </w:rPr>
            </w:pPr>
            <w:r>
              <w:rPr>
                <w:rFonts w:ascii="Arial" w:cs="Arial" w:eastAsia="Arial" w:hAnsi="Arial"/>
                <w:sz w:val="13"/>
                <w:szCs w:val="13"/>
                <w:b w:val="1"/>
                <w:bCs w:val="1"/>
                <w:color w:val="auto"/>
                <w:w w:val="96"/>
              </w:rPr>
              <w:t>For the year ended</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5"/>
        </w:trPr>
        <w:tc>
          <w:tcPr>
            <w:tcW w:w="464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845"/>
              <w:spacing w:after="0"/>
              <w:rPr>
                <w:sz w:val="20"/>
                <w:szCs w:val="20"/>
                <w:color w:val="auto"/>
              </w:rPr>
            </w:pPr>
            <w:r>
              <w:rPr>
                <w:rFonts w:ascii="Arial" w:cs="Arial" w:eastAsia="Arial" w:hAnsi="Arial"/>
                <w:sz w:val="13"/>
                <w:szCs w:val="13"/>
                <w:b w:val="1"/>
                <w:bCs w:val="1"/>
                <w:color w:val="auto"/>
                <w:w w:val="94"/>
              </w:rPr>
              <w:t>December 31,</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4"/>
        </w:trPr>
        <w:tc>
          <w:tcPr>
            <w:tcW w:w="4640" w:type="dxa"/>
            <w:vAlign w:val="bottom"/>
          </w:tcPr>
          <w:p>
            <w:pPr>
              <w:spacing w:after="0"/>
              <w:rPr>
                <w:sz w:val="13"/>
                <w:szCs w:val="13"/>
                <w:color w:val="auto"/>
              </w:rPr>
            </w:pPr>
          </w:p>
        </w:tc>
        <w:tc>
          <w:tcPr>
            <w:tcW w:w="1240" w:type="dxa"/>
            <w:vAlign w:val="bottom"/>
          </w:tcPr>
          <w:p>
            <w:pPr>
              <w:jc w:val="right"/>
              <w:ind w:right="405"/>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Change</w:t>
            </w:r>
          </w:p>
        </w:tc>
        <w:tc>
          <w:tcPr>
            <w:tcW w:w="1100" w:type="dxa"/>
            <w:vAlign w:val="bottom"/>
          </w:tcPr>
          <w:p>
            <w:pPr>
              <w:jc w:val="right"/>
              <w:ind w:right="402"/>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54"/>
        </w:trPr>
        <w:tc>
          <w:tcPr>
            <w:tcW w:w="46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w:t>
            </w:r>
          </w:p>
        </w:tc>
        <w:tc>
          <w:tcPr>
            <w:tcW w:w="220" w:type="dxa"/>
            <w:vAlign w:val="bottom"/>
          </w:tcPr>
          <w:p>
            <w:pPr>
              <w:jc w:val="right"/>
              <w:ind w:right="37"/>
              <w:spacing w:after="0"/>
              <w:rPr>
                <w:sz w:val="20"/>
                <w:szCs w:val="20"/>
                <w:color w:val="auto"/>
              </w:rPr>
            </w:pPr>
            <w:r>
              <w:rPr>
                <w:rFonts w:ascii="Arial" w:cs="Arial" w:eastAsia="Arial" w:hAnsi="Arial"/>
                <w:sz w:val="13"/>
                <w:szCs w:val="13"/>
                <w:b w:val="1"/>
                <w:bCs w:val="1"/>
                <w:color w:val="auto"/>
                <w:w w:val="86"/>
              </w:rPr>
              <w:t>€)</w:t>
            </w: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Net cash flows used in operating activities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(67,162,634 )</w:t>
            </w:r>
          </w:p>
        </w:tc>
        <w:tc>
          <w:tcPr>
            <w:tcW w:w="320" w:type="dxa"/>
            <w:vAlign w:val="bottom"/>
          </w:tcPr>
          <w:p>
            <w:pPr>
              <w:spacing w:after="0"/>
              <w:rPr>
                <w:sz w:val="18"/>
                <w:szCs w:val="18"/>
                <w:color w:val="auto"/>
              </w:rPr>
            </w:pPr>
          </w:p>
        </w:tc>
        <w:tc>
          <w:tcPr>
            <w:tcW w:w="1140" w:type="dxa"/>
            <w:vAlign w:val="bottom"/>
            <w:gridSpan w:val="2"/>
          </w:tcPr>
          <w:p>
            <w:pPr>
              <w:jc w:val="right"/>
              <w:ind w:right="77"/>
              <w:spacing w:after="0"/>
              <w:rPr>
                <w:sz w:val="20"/>
                <w:szCs w:val="20"/>
                <w:color w:val="auto"/>
              </w:rPr>
            </w:pPr>
            <w:r>
              <w:rPr>
                <w:rFonts w:ascii="Arial" w:cs="Arial" w:eastAsia="Arial" w:hAnsi="Arial"/>
                <w:sz w:val="16"/>
                <w:szCs w:val="16"/>
                <w:color w:val="auto"/>
              </w:rPr>
              <w:t>(44,599,684 )</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(22,562,950 )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51 %</w:t>
            </w: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(124,296 )</w:t>
            </w:r>
          </w:p>
        </w:tc>
        <w:tc>
          <w:tcPr>
            <w:tcW w:w="320" w:type="dxa"/>
            <w:vAlign w:val="bottom"/>
          </w:tcPr>
          <w:p>
            <w:pPr>
              <w:spacing w:after="0"/>
              <w:rPr>
                <w:sz w:val="18"/>
                <w:szCs w:val="18"/>
                <w:color w:val="auto"/>
              </w:rPr>
            </w:pPr>
          </w:p>
        </w:tc>
        <w:tc>
          <w:tcPr>
            <w:tcW w:w="1140" w:type="dxa"/>
            <w:vAlign w:val="bottom"/>
            <w:gridSpan w:val="2"/>
          </w:tcPr>
          <w:p>
            <w:pPr>
              <w:jc w:val="right"/>
              <w:ind w:right="77"/>
              <w:spacing w:after="0"/>
              <w:rPr>
                <w:sz w:val="20"/>
                <w:szCs w:val="20"/>
                <w:color w:val="auto"/>
              </w:rPr>
            </w:pPr>
            <w:r>
              <w:rPr>
                <w:rFonts w:ascii="Arial" w:cs="Arial" w:eastAsia="Arial" w:hAnsi="Arial"/>
                <w:sz w:val="16"/>
                <w:szCs w:val="16"/>
                <w:color w:val="auto"/>
              </w:rPr>
              <w:t>(130,032 )</w:t>
            </w:r>
          </w:p>
        </w:tc>
        <w:tc>
          <w:tcPr>
            <w:tcW w:w="1120" w:type="dxa"/>
            <w:vAlign w:val="bottom"/>
          </w:tcPr>
          <w:p>
            <w:pPr>
              <w:jc w:val="right"/>
              <w:spacing w:after="0"/>
              <w:rPr>
                <w:sz w:val="20"/>
                <w:szCs w:val="20"/>
                <w:color w:val="auto"/>
              </w:rPr>
            </w:pPr>
            <w:r>
              <w:rPr>
                <w:rFonts w:ascii="Arial" w:cs="Arial" w:eastAsia="Arial" w:hAnsi="Arial"/>
                <w:sz w:val="16"/>
                <w:szCs w:val="16"/>
                <w:color w:val="auto"/>
              </w:rPr>
              <w:t>5,736</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Net cash flows provided by financing activities</w:t>
            </w:r>
          </w:p>
        </w:tc>
        <w:tc>
          <w:tcPr>
            <w:tcW w:w="1240" w:type="dxa"/>
            <w:vAlign w:val="bottom"/>
          </w:tcPr>
          <w:p>
            <w:pPr>
              <w:jc w:val="right"/>
              <w:spacing w:after="0"/>
              <w:rPr>
                <w:sz w:val="20"/>
                <w:szCs w:val="20"/>
                <w:color w:val="auto"/>
              </w:rPr>
            </w:pPr>
            <w:r>
              <w:rPr>
                <w:rFonts w:ascii="Arial" w:cs="Arial" w:eastAsia="Arial" w:hAnsi="Arial"/>
                <w:sz w:val="16"/>
                <w:szCs w:val="16"/>
                <w:color w:val="auto"/>
              </w:rPr>
              <w:t>8,650,368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143,671,339</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(135,020,971 )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6"/>
        </w:trPr>
        <w:tc>
          <w:tcPr>
            <w:tcW w:w="464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(58,636,562 )</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98,941,623</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(157,578,185 )</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(159 )%</w:t>
            </w:r>
          </w:p>
        </w:tc>
      </w:tr>
      <w:tr>
        <w:trPr>
          <w:trHeight w:val="214"/>
        </w:trPr>
        <w:tc>
          <w:tcPr>
            <w:tcW w:w="4640" w:type="dxa"/>
            <w:vAlign w:val="bottom"/>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209,353,132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98,628,871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110,724,261</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112 %</w:t>
            </w: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240" w:type="dxa"/>
            <w:vAlign w:val="bottom"/>
          </w:tcPr>
          <w:p>
            <w:pPr>
              <w:jc w:val="right"/>
              <w:spacing w:after="0"/>
              <w:rPr>
                <w:sz w:val="20"/>
                <w:szCs w:val="20"/>
                <w:color w:val="auto"/>
              </w:rPr>
            </w:pPr>
            <w:r>
              <w:rPr>
                <w:rFonts w:ascii="Arial" w:cs="Arial" w:eastAsia="Arial" w:hAnsi="Arial"/>
                <w:sz w:val="16"/>
                <w:szCs w:val="16"/>
                <w:color w:val="auto"/>
              </w:rPr>
              <w:t>11,120,859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11,782,638</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(661,779 )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464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161,837,429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8"/>
              </w:rPr>
              <w:t>209,353,132</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(47,515,703 )</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-952500</wp:posOffset>
            </wp:positionV>
            <wp:extent cx="6417945" cy="135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-680085</wp:posOffset>
            </wp:positionV>
            <wp:extent cx="6417945"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-407670</wp:posOffset>
            </wp:positionV>
            <wp:extent cx="6417945" cy="135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-135255</wp:posOffset>
            </wp:positionV>
            <wp:extent cx="6417945" cy="135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17945" cy="135890"/>
                    </a:xfrm>
                    <a:prstGeom prst="rect">
                      <a:avLst/>
                    </a:prstGeom>
                    <a:noFill/>
                  </pic:spPr>
                </pic:pic>
              </a:graphicData>
            </a:graphic>
          </wp:anchor>
        </w:drawing>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9" w:lineRule="exact"/>
        <w:rPr>
          <w:sz w:val="20"/>
          <w:szCs w:val="20"/>
          <w:color w:val="auto"/>
        </w:rPr>
      </w:pPr>
    </w:p>
    <w:p>
      <w:pPr>
        <w:ind w:right="700" w:firstLine="458"/>
        <w:spacing w:after="0" w:line="283"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56"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Net cash flows used in operating activities increased by €22.6 million or 51%, from €44.6 million for the year ended December 31, 2021 to €67.2 million for the year ended December 31, 2022. The change is due primarily due to the increase in research and development expenses and other operating expenses, due to progression made in the development programs and the growth of our organization.</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9"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Net cash flows used in investing activities increased by €0.01 million or 4%, from €0.13 million for the year ended December 31, 2021 to €0.12 million for the year ended December 31, 2022, primarily as a result of capital expenditures for office equipment as a result of the increase in personnel and office space rented.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9"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Net cash flows provided by financing activities decreased by €135.0 million, or 94%, from €143.7 million for the year ended December 31, 2021 to €8.7 million for the year ended December 31, 2022 . Net cash provided by financing activities in the year ended December 31, 2022 consisted primarily of the receipt of €9,2 million received from the sale of ordinary shares, offset by transaction costs of €0.8 million and the increase in lease liabilities of €0.1 million. The IPO proceeds in 2021 was €146,2 million net of underwriting discount and other transaction costs.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297" w:lineRule="exact"/>
        <w:rPr>
          <w:sz w:val="20"/>
          <w:szCs w:val="20"/>
          <w:color w:val="auto"/>
        </w:rPr>
      </w:pPr>
    </w:p>
    <w:p>
      <w:pPr>
        <w:ind w:right="660" w:firstLine="458"/>
        <w:spacing w:after="0" w:line="283" w:lineRule="auto"/>
        <w:rPr>
          <w:sz w:val="20"/>
          <w:szCs w:val="20"/>
          <w:color w:val="auto"/>
        </w:rPr>
      </w:pPr>
      <w:r>
        <w:rPr>
          <w:rFonts w:ascii="Arial" w:cs="Arial" w:eastAsia="Arial" w:hAnsi="Arial"/>
          <w:sz w:val="16"/>
          <w:szCs w:val="16"/>
          <w:color w:val="auto"/>
        </w:rPr>
        <w:t>The Group has entered into research and development commitments in relation to the development of the Group’s oral bradykinin B2 receptor antagonist.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relating to our contractual obligations and commitments as of December 31, 2022:</w:t>
      </w:r>
    </w:p>
    <w:p>
      <w:pPr>
        <w:spacing w:after="0" w:line="200" w:lineRule="exact"/>
        <w:rPr>
          <w:sz w:val="20"/>
          <w:szCs w:val="20"/>
          <w:color w:val="auto"/>
        </w:rPr>
      </w:pP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60" w:type="dxa"/>
            <w:vAlign w:val="bottom"/>
          </w:tcPr>
          <w:p>
            <w:pPr>
              <w:jc w:val="right"/>
              <w:ind w:right="406"/>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Less than 1</w:t>
            </w:r>
          </w:p>
        </w:tc>
        <w:tc>
          <w:tcPr>
            <w:tcW w:w="1000" w:type="dxa"/>
            <w:vAlign w:val="bottom"/>
          </w:tcPr>
          <w:p>
            <w:pPr>
              <w:jc w:val="right"/>
              <w:ind w:right="109"/>
              <w:spacing w:after="0"/>
              <w:rPr>
                <w:sz w:val="20"/>
                <w:szCs w:val="20"/>
                <w:color w:val="auto"/>
              </w:rPr>
            </w:pPr>
            <w:r>
              <w:rPr>
                <w:rFonts w:ascii="Arial" w:cs="Arial" w:eastAsia="Arial" w:hAnsi="Arial"/>
                <w:sz w:val="13"/>
                <w:szCs w:val="13"/>
                <w:b w:val="1"/>
                <w:bCs w:val="1"/>
                <w:color w:val="auto"/>
              </w:rPr>
              <w:t>Between 1</w:t>
            </w:r>
          </w:p>
        </w:tc>
        <w:tc>
          <w:tcPr>
            <w:tcW w:w="2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3"/>
                <w:szCs w:val="13"/>
                <w:color w:val="auto"/>
              </w:rPr>
            </w:pPr>
          </w:p>
        </w:tc>
      </w:tr>
      <w:tr>
        <w:trPr>
          <w:trHeight w:val="165"/>
        </w:trPr>
        <w:tc>
          <w:tcPr>
            <w:tcW w:w="48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year</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and 3 years</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5 years</w:t>
            </w:r>
          </w:p>
        </w:tc>
        <w:tc>
          <w:tcPr>
            <w:tcW w:w="100" w:type="dxa"/>
            <w:vAlign w:val="bottom"/>
          </w:tcPr>
          <w:p>
            <w:pPr>
              <w:spacing w:after="0"/>
              <w:rPr>
                <w:sz w:val="14"/>
                <w:szCs w:val="14"/>
                <w:color w:val="auto"/>
              </w:rPr>
            </w:pPr>
          </w:p>
        </w:tc>
      </w:tr>
      <w:tr>
        <w:trPr>
          <w:trHeight w:val="154"/>
        </w:trPr>
        <w:tc>
          <w:tcPr>
            <w:tcW w:w="48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940"/>
              <w:spacing w:after="0"/>
              <w:rPr>
                <w:sz w:val="20"/>
                <w:szCs w:val="20"/>
                <w:color w:val="auto"/>
              </w:rPr>
            </w:pPr>
            <w:r>
              <w:rPr>
                <w:rFonts w:ascii="Arial" w:cs="Arial" w:eastAsia="Arial" w:hAnsi="Arial"/>
                <w:sz w:val="13"/>
                <w:szCs w:val="13"/>
                <w:b w:val="1"/>
                <w:bCs w:val="1"/>
                <w:color w:val="auto"/>
              </w:rPr>
              <w:t>(in €)</w:t>
            </w: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7"/>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Service contracts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27,972,000</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21,819,000</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6,153,000</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6"/>
                <w:szCs w:val="16"/>
                <w:color w:val="auto"/>
              </w:rPr>
              <w:t>27,972,000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21,819,000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6,153,000</w:t>
            </w:r>
          </w:p>
        </w:tc>
        <w:tc>
          <w:tcPr>
            <w:tcW w:w="2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-169545</wp:posOffset>
            </wp:positionV>
            <wp:extent cx="67945" cy="170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-169545</wp:posOffset>
            </wp:positionV>
            <wp:extent cx="67945" cy="170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-169545</wp:posOffset>
            </wp:positionV>
            <wp:extent cx="59690" cy="170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-169545</wp:posOffset>
            </wp:positionV>
            <wp:extent cx="59690" cy="170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170180"/>
                    </a:xfrm>
                    <a:prstGeom prst="rect">
                      <a:avLst/>
                    </a:prstGeom>
                    <a:noFill/>
                  </pic:spPr>
                </pic:pic>
              </a:graphicData>
            </a:graphic>
          </wp:anchor>
        </w:drawing>
      </w:r>
    </w:p>
    <w:p>
      <w:pPr>
        <w:spacing w:after="0" w:line="3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table above does not include potential milestone fees, sublicense fees, royalty fees, licensing maintenance fees, and reimbursement of patent maintenance costs that we may be required to pay under the agreement we have entered into with AnalytiCon to license intellectual property. 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 We have not included such potential obligations in the table above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ectPr>
          <w:pgSz w:w="11900" w:h="16838" w:orient="portrait"/>
          <w:cols w:equalWidth="0" w:num="1">
            <w:col w:w="11220"/>
          </w:cols>
          <w:pgMar w:left="320" w:top="125" w:right="359"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19" w:lineRule="exact"/>
        <w:rPr>
          <w:sz w:val="20"/>
          <w:szCs w:val="20"/>
          <w:color w:val="auto"/>
        </w:rPr>
      </w:pPr>
    </w:p>
    <w:p>
      <w:pPr>
        <w:ind w:left="1020" w:hanging="549"/>
        <w:spacing w:after="0"/>
        <w:tabs>
          <w:tab w:leader="none" w:pos="102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200" w:lineRule="exact"/>
        <w:rPr>
          <w:sz w:val="20"/>
          <w:szCs w:val="20"/>
          <w:color w:val="auto"/>
        </w:rPr>
      </w:pPr>
    </w:p>
    <w:p>
      <w:pPr>
        <w:spacing w:after="0" w:line="219" w:lineRule="exact"/>
        <w:rPr>
          <w:sz w:val="20"/>
          <w:szCs w:val="20"/>
          <w:color w:val="auto"/>
        </w:rPr>
      </w:pPr>
    </w:p>
    <w:p>
      <w:pPr>
        <w:ind w:left="1020" w:hanging="549"/>
        <w:spacing w:after="0"/>
        <w:tabs>
          <w:tab w:leader="none" w:pos="10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pacing w:after="0" w:line="200" w:lineRule="exact"/>
        <w:rPr>
          <w:sz w:val="20"/>
          <w:szCs w:val="20"/>
          <w:color w:val="auto"/>
        </w:rPr>
      </w:pPr>
    </w:p>
    <w:p>
      <w:pPr>
        <w:spacing w:after="0" w:line="206" w:lineRule="exact"/>
        <w:rPr>
          <w:sz w:val="20"/>
          <w:szCs w:val="20"/>
          <w:color w:val="auto"/>
        </w:rPr>
      </w:pPr>
    </w:p>
    <w:p>
      <w:pPr>
        <w:ind w:left="1020" w:hanging="549"/>
        <w:spacing w:after="0"/>
        <w:tabs>
          <w:tab w:leader="none" w:pos="10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29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78" w:lineRule="exact"/>
        <w:rPr>
          <w:sz w:val="20"/>
          <w:szCs w:val="20"/>
          <w:color w:val="auto"/>
        </w:rPr>
      </w:pPr>
    </w:p>
    <w:p>
      <w:pPr>
        <w:ind w:left="1020" w:hanging="504"/>
        <w:spacing w:after="0"/>
        <w:tabs>
          <w:tab w:leader="none" w:pos="102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 Board of Directors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our Board and Senior Management as of the date of this Annual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auto"/>
              </w:rPr>
              <w:t>Initial year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5"/>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Position</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Age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appointment</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Term</w:t>
            </w:r>
          </w:p>
        </w:tc>
      </w:tr>
      <w:tr>
        <w:trPr>
          <w:trHeight w:val="208"/>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Board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Berndt Modig</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Chief Executive Officer and Executive Director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2024</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Hans Schikan, Pharm.D.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Non-Executive Director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2024</w:t>
            </w: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David Meeker, M.D.</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Non-Executive Director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2025</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Robert Glassman, M.D.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Non-Executive Director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2025</w:t>
            </w: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Viviane Monges</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Non-Executive Director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2025</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Anne Marie de Jonge Schuermans, Ph.D.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Non-Executive Director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2026</w:t>
            </w: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Elisabeth Björk, M.D.</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Non-Executive Director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2026</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Senior Management</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Berndt Modig</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Chief Executive Officer and Director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Jochen Knolle, Ph.D.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Scientific Officer and Chief Operating Officer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Peng Lu, M.D., Ph.D.</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Chief Medical Officer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Anne Lesage, Ph.D.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Early Development Officer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Morgan Conn, Ph.D.</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Chief Business Officer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Anna Nijdam, MSc RA</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Head of Finance and Principal Accounting Officer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Wim Souverijns, Ph.D.</w:t>
            </w:r>
          </w:p>
        </w:tc>
        <w:tc>
          <w:tcPr>
            <w:tcW w:w="1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Chief Community Engagement and Commercial Officer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Joan Schmidt, J.D.</w:t>
            </w:r>
          </w:p>
        </w:tc>
        <w:tc>
          <w:tcPr>
            <w:tcW w:w="120" w:type="dxa"/>
            <w:vAlign w:val="bottom"/>
            <w:shd w:val="clear" w:color="auto" w:fill="CFF0FC"/>
          </w:tcPr>
          <w:p>
            <w:pPr>
              <w:spacing w:after="0"/>
              <w:rPr>
                <w:sz w:val="18"/>
                <w:szCs w:val="18"/>
                <w:color w:val="auto"/>
              </w:rPr>
            </w:pPr>
          </w:p>
        </w:tc>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Legal Officer</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40"/>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Annick Deschoolmeester</w:t>
            </w:r>
          </w:p>
        </w:tc>
        <w:tc>
          <w:tcPr>
            <w:tcW w:w="1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Chief Human Resources Officer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43"/>
        </w:trPr>
        <w:tc>
          <w:tcPr>
            <w:tcW w:w="296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0" w:lineRule="exact"/>
        <w:rPr>
          <w:sz w:val="20"/>
          <w:szCs w:val="20"/>
          <w:color w:val="auto"/>
        </w:rPr>
      </w:pPr>
    </w:p>
    <w:p>
      <w:pPr>
        <w:spacing w:after="0" w:line="335"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Unless otherwise indicated, the current business address for members of our Board and Senior Management is Pharvaris N.V., Emmy Noetherweg 2, 2333 BK Leiden, The Netherlands.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brief summary of the business experience of our Board and Senior Management.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Berndt Modig</w:t>
      </w:r>
    </w:p>
    <w:p>
      <w:pPr>
        <w:spacing w:after="0" w:line="189"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39" w:lineRule="exact"/>
        <w:rPr>
          <w:sz w:val="20"/>
          <w:szCs w:val="20"/>
          <w:color w:val="auto"/>
        </w:rPr>
      </w:pPr>
    </w:p>
    <w:p>
      <w:pPr>
        <w:ind w:right="340" w:firstLine="458"/>
        <w:spacing w:after="0" w:line="257" w:lineRule="auto"/>
        <w:rPr>
          <w:sz w:val="20"/>
          <w:szCs w:val="20"/>
          <w:color w:val="auto"/>
        </w:rPr>
      </w:pPr>
      <w:r>
        <w:rPr>
          <w:rFonts w:ascii="Arial" w:cs="Arial" w:eastAsia="Arial" w:hAnsi="Arial"/>
          <w:sz w:val="16"/>
          <w:szCs w:val="16"/>
          <w:color w:val="auto"/>
        </w:rPr>
        <w:t>Mr. Modig also serves as a director, chair of the compensation committee and member of the audit committee of Sio Gene Therapies Inc., and as a member of the supervisory board of Centogene N.V., both publicly held pharmaceutical companies. Mr. Modig received a bachelor’s degree in business administration, economics and German from the University of Lund, Sweden, and an MBA from INSEAD, Fontainebleau, France. Mr. Modig is a certified public accountant (inactive).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(NASDAQ: RNA), a biopharmaceutical company focusing on novel RNA modulating treatments for rare diseases including Duchenne muscular dystrophy.</w:t>
      </w:r>
    </w:p>
    <w:p>
      <w:pPr>
        <w:spacing w:after="0" w:line="162"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a Board Member of Vicore Pharma (STO: VICO) and VectivBio (NASDAQ: VECT) and is Chairman of the Board of Microbiotica and Complix. Finally, he is a member of the Top Team of the Dutch Top Sector Life Sciences &amp; Health. Previously, he served on the boards of Sobi (STO: SOBI), Hansa Biopharma (STO: HNSA), Wilson Therapeutics (STO: WTX) (acquired by Alexion), Therachon (acquired by Pfizer), Asceneuron and InteRNA. Mr. Schikan has a Pharm.D. degree from Utrecht University.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89"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41" w:lineRule="exact"/>
        <w:rPr>
          <w:sz w:val="20"/>
          <w:szCs w:val="20"/>
          <w:color w:val="auto"/>
        </w:rPr>
      </w:pPr>
    </w:p>
    <w:p>
      <w:pPr>
        <w:ind w:right="360" w:firstLine="458"/>
        <w:spacing w:after="0" w:line="283"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89" w:lineRule="exact"/>
        <w:rPr>
          <w:sz w:val="20"/>
          <w:szCs w:val="20"/>
          <w:color w:val="auto"/>
        </w:rPr>
      </w:pPr>
    </w:p>
    <w:p>
      <w:pPr>
        <w:jc w:val="both"/>
        <w:ind w:firstLine="458"/>
        <w:spacing w:after="0" w:line="251" w:lineRule="auto"/>
        <w:rPr>
          <w:sz w:val="20"/>
          <w:szCs w:val="20"/>
          <w:color w:val="auto"/>
        </w:rPr>
      </w:pPr>
      <w:r>
        <w:rPr>
          <w:rFonts w:ascii="Arial" w:cs="Arial" w:eastAsia="Arial" w:hAnsi="Arial"/>
          <w:sz w:val="16"/>
          <w:szCs w:val="16"/>
          <w:color w:val="auto"/>
        </w:rPr>
        <w:t>Dr. Glassman has been a director since January 2021. Dr. Glassman is currently the Public Equity Venture Partner at OrbiMed Advisors. Previously, Dr. Glassman had been working as a senior investment banker for 17 years, most recently serving as Vice Chairman at Credit Suisse Securities since 2015. Prior to joining Credit Suisse Securities, Dr. Glassman served as a Managing Director at Bank of America Merrill Lynch between 2010-2015. From 2009-2010, Dr.</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Glassman served as a private equity partner at OrbiMed Advisors. Earlier in his career, Dr. Glassman was with Merrill Lynch Global Private Equity where he oversaw a very successful healthcare portfolio and at McKinsey &amp; Co. where he consulted for a wide range of clients within their Pharmaceutical and Medical Products practice.</w:t>
      </w:r>
    </w:p>
    <w:p>
      <w:pPr>
        <w:spacing w:after="0" w:line="139"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Dr. Glassman was a board-certified hematologist-oncologist who remains on the faculty of Weil Cornell as a Clinical Assistant Professor of Medicine. He has co-authored numerous articles in peer-reviewed journals and spoken widely in industry and academic forums on clinical development, reimbursement, and data interpretation. Dr. Glassman received his AB from Harvard College magna cum laude and an M.D. from Harvard Medical School. He completed his residency in internal medicine at the Hospital of the University of Pennsylvania, and his fellowship in hematology and oncology at Weill Cornell. He also spent several years as a basic science investigator at Rockefeller University in the laboratory of Hidesaburo Hanafusa, where he received Howard Hughes Medical Institute and American Cancer Society awards.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64" w:lineRule="exact"/>
        <w:rPr>
          <w:sz w:val="20"/>
          <w:szCs w:val="20"/>
          <w:color w:val="auto"/>
        </w:rPr>
      </w:pPr>
    </w:p>
    <w:p>
      <w:pPr>
        <w:ind w:right="40" w:firstLine="458"/>
        <w:spacing w:after="0" w:line="262"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the Senior Vice President, Head of Late-stage Development, Cardiovascular, Renal and Metabolism (CVRM), BioPharmaceuticals R&amp;D at AstraZeneca leading the global development of medicines within this area. Throughout her career at AstraZeneca (since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Chalmers Ventures AB, Bj</w:t>
      </w:r>
      <w:r>
        <w:rPr>
          <w:rFonts w:ascii="Arial" w:cs="Arial" w:eastAsia="Arial" w:hAnsi="Arial"/>
          <w:sz w:val="16"/>
          <w:szCs w:val="16"/>
          <w:color w:val="auto"/>
        </w:rPr>
        <w:t>ӧ</w:t>
      </w:r>
      <w:r>
        <w:rPr>
          <w:rFonts w:ascii="Arial" w:cs="Arial" w:eastAsia="Arial" w:hAnsi="Arial"/>
          <w:sz w:val="16"/>
          <w:szCs w:val="16"/>
          <w:color w:val="auto"/>
        </w:rPr>
        <w:t>rks Matematik o Mera AB, and rfidcompare europe AB.</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76"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Ms. Monges has been a director since July 2021 and serves as the Chair of the Audit Committee. She currently also serves as Chair of the Board of Directors of Euroapi. She also serves as a non-executive director at UCB, ADC Therapeutics and Novo Holdings. Prior to these roles, Viviane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Marie de Jonge Schuermans, Ph.D.</w:t>
      </w:r>
    </w:p>
    <w:p>
      <w:pPr>
        <w:spacing w:after="0" w:line="176"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Dr. de Jonge Schuermans has been a director since December 2021 and is an experienced biopharma operations leader. Currently, she is responsible for managing global operations at Sandoz securing the supply of generic pharmaceuticals and biosimilars. Prior to her role at Sandoz, she was leading technical operations (CMC Development, Manufacturing, Sourcing, Supply Chain and Quality) at Swedish Orphan Biovitrum (Sobi) and part of its executive committee.</w:t>
      </w:r>
    </w:p>
    <w:p>
      <w:pPr>
        <w:spacing w:after="0" w:line="137"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Earlier in her career, Dr. de Jonge Schuermans held roles as VP Global Manufacturing Operations and VP Global Supply Chain Operations &amp; Partnerships at Biogen. Before that she spent almost 15 years at Novartis in various technical roles. Throughout her career she has built up experience in Biotech, Pharma, Medical Device and Consumer Health for a wide range of technologies in multiple territories and regulations.</w:t>
      </w:r>
    </w:p>
    <w:p>
      <w:pPr>
        <w:spacing w:after="0" w:line="144" w:lineRule="exact"/>
        <w:rPr>
          <w:sz w:val="20"/>
          <w:szCs w:val="20"/>
          <w:color w:val="auto"/>
        </w:rPr>
      </w:pPr>
    </w:p>
    <w:p>
      <w:pPr>
        <w:ind w:right="260" w:firstLine="458"/>
        <w:spacing w:after="0" w:line="283" w:lineRule="auto"/>
        <w:rPr>
          <w:sz w:val="20"/>
          <w:szCs w:val="20"/>
          <w:color w:val="auto"/>
        </w:rPr>
      </w:pPr>
      <w:r>
        <w:rPr>
          <w:rFonts w:ascii="Arial" w:cs="Arial" w:eastAsia="Arial" w:hAnsi="Arial"/>
          <w:sz w:val="16"/>
          <w:szCs w:val="16"/>
          <w:color w:val="auto"/>
        </w:rPr>
        <w:t>Dr. de Jonge Schuermans obtained her PhD from the Swiss Federal Institute of Technology Zurich (ETHZ) and holds M.Sc. degrees in Agriculture &amp; Natural Environment from Wageningen Agricultural University in the Netherlands, and Ecole Polytechnique Fédérale Lausanne (EPFL) in Switzerland.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management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Jochen Knolle, Ph.D.</w:t>
      </w:r>
    </w:p>
    <w:p>
      <w:pPr>
        <w:spacing w:after="0" w:line="176"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Dr. Knolle co-founded Pharvaris and has served as Chief Scientific Officer and Chief Operating Officer since its inception. Dr. Knolle’s experience spans 40 years in the pharmaceutical industry. Dr. Knolle is named as the author of many publications and as an inventor for many patents, including the approved therapeutics Quinapril, a marketed ACE inhibitor, and icatibant.</w:t>
      </w:r>
    </w:p>
    <w:p>
      <w:pPr>
        <w:spacing w:after="0" w:line="130"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color w:val="auto"/>
        </w:rPr>
        <w:t>From 1978 to 1998, Dr. Knolle worked in several functions in the central pharmaceutical research unit of Hoechst AG and Hoechst-Marion-Roussel (HMR). In 1998, Dr. Knolle left HMR to join Axys Pharmaceuticals (now Celera) in San Francisco, where he served as VP for Medicinal Chemistry and structural biology. From 2001 to 2008, Dr. Knolle was the Chief Scientific Officer and Head of R&amp;D in the management board of Jerini AG in Berlin, Germany. In 2008, Dr. Knolle left the management of Jerini AG and established JCK Consult.</w:t>
      </w:r>
    </w:p>
    <w:p>
      <w:pPr>
        <w:spacing w:after="0" w:line="150" w:lineRule="exact"/>
        <w:rPr>
          <w:sz w:val="20"/>
          <w:szCs w:val="20"/>
          <w:color w:val="auto"/>
        </w:rPr>
      </w:pPr>
    </w:p>
    <w:p>
      <w:pPr>
        <w:jc w:val="both"/>
        <w:ind w:right="300" w:firstLine="458"/>
        <w:spacing w:after="0" w:line="264" w:lineRule="auto"/>
        <w:rPr>
          <w:sz w:val="20"/>
          <w:szCs w:val="20"/>
          <w:color w:val="auto"/>
        </w:rPr>
      </w:pPr>
      <w:r>
        <w:rPr>
          <w:rFonts w:ascii="Arial" w:cs="Arial" w:eastAsia="Arial" w:hAnsi="Arial"/>
          <w:sz w:val="16"/>
          <w:szCs w:val="16"/>
          <w:color w:val="auto"/>
        </w:rPr>
        <w:t>In addition to his consultancy activities, Dr. Knolle acts as a board member for Thermosome. He co-founded Kosa Pharma and 3B Pharmaceuticals and has been a Senior Advisor for Kurma Partners. Dr. Knolle studied chemistry in Göttingen and Münster. After a post-doc in the laboratory of the Nobel Laureate E.J. Corey at Harvard University, he joined the pharmaceutical unit of Hoechst AG in 1978.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Peng Lu, M.D., Ph.D</w:t>
      </w:r>
      <w:r>
        <w:rPr>
          <w:rFonts w:ascii="Arial" w:cs="Arial" w:eastAsia="Arial" w:hAnsi="Arial"/>
          <w:sz w:val="16"/>
          <w:szCs w:val="16"/>
          <w:color w:val="auto"/>
        </w:rPr>
        <w:t>.</w:t>
      </w:r>
    </w:p>
    <w:p>
      <w:pPr>
        <w:spacing w:after="0" w:line="178" w:lineRule="exact"/>
        <w:rPr>
          <w:sz w:val="20"/>
          <w:szCs w:val="20"/>
          <w:color w:val="auto"/>
        </w:rPr>
      </w:pPr>
    </w:p>
    <w:p>
      <w:pPr>
        <w:ind w:right="60" w:firstLine="458"/>
        <w:spacing w:after="0" w:line="283" w:lineRule="auto"/>
        <w:rPr>
          <w:sz w:val="20"/>
          <w:szCs w:val="20"/>
          <w:color w:val="auto"/>
        </w:rPr>
      </w:pPr>
      <w:r>
        <w:rPr>
          <w:rFonts w:ascii="Arial" w:cs="Arial" w:eastAsia="Arial" w:hAnsi="Arial"/>
          <w:sz w:val="16"/>
          <w:szCs w:val="16"/>
          <w:color w:val="auto"/>
        </w:rPr>
        <w:t>Dr. Lu joined the Company in 2020, bringing 15 years of protein therapeutics and small molecule drug development experience including within genetic rare diseases.</w:t>
      </w:r>
    </w:p>
    <w:p>
      <w:pPr>
        <w:spacing w:after="0" w:line="129" w:lineRule="exact"/>
        <w:rPr>
          <w:sz w:val="20"/>
          <w:szCs w:val="20"/>
          <w:color w:val="auto"/>
        </w:rPr>
      </w:pPr>
    </w:p>
    <w:p>
      <w:pPr>
        <w:ind w:right="260" w:firstLine="458"/>
        <w:spacing w:after="0" w:line="257" w:lineRule="auto"/>
        <w:rPr>
          <w:sz w:val="20"/>
          <w:szCs w:val="20"/>
          <w:color w:val="auto"/>
        </w:rPr>
      </w:pPr>
      <w:r>
        <w:rPr>
          <w:rFonts w:ascii="Arial" w:cs="Arial" w:eastAsia="Arial" w:hAnsi="Arial"/>
          <w:sz w:val="16"/>
          <w:szCs w:val="16"/>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37"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Lesage, Ph.D.</w:t>
      </w:r>
    </w:p>
    <w:p>
      <w:pPr>
        <w:spacing w:after="0" w:line="189" w:lineRule="exact"/>
        <w:rPr>
          <w:sz w:val="20"/>
          <w:szCs w:val="20"/>
          <w:color w:val="auto"/>
        </w:rPr>
      </w:pPr>
    </w:p>
    <w:p>
      <w:pPr>
        <w:ind w:right="60" w:firstLine="458"/>
        <w:spacing w:after="0" w:line="283" w:lineRule="auto"/>
        <w:rPr>
          <w:sz w:val="20"/>
          <w:szCs w:val="20"/>
          <w:color w:val="auto"/>
        </w:rPr>
      </w:pPr>
      <w:r>
        <w:rPr>
          <w:rFonts w:ascii="Arial" w:cs="Arial" w:eastAsia="Arial" w:hAnsi="Arial"/>
          <w:sz w:val="16"/>
          <w:szCs w:val="16"/>
          <w:color w:val="auto"/>
        </w:rPr>
        <w:t>Dr. Lesage co-founded Pharvaris and has led the translational science, preclinical and nonclinical development since its inception. Dr. Lesage has over 30 years’ experience in drug discovery, preclinical and early development, and scientific and strategic project management.</w:t>
      </w:r>
    </w:p>
    <w:p>
      <w:pPr>
        <w:spacing w:after="0" w:line="129"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From 1992 until 2010, Dr. Lesage held different leadership positions with increasing responsibility in the neuroscience drug discovery unit at Johnson &amp; Johnson. By 2005, Dr. Lesage served as the biology head of psychiatry. Dr. Lesage is an inventor on 9 patents and an author of 45 publications. Dr. Lesage founded GrayMatters Consulting in 2010 and advised early and late-stage biotech companies, venture capital organizations, and government agencies and initiatives. In 2013, Dr. Lesage co-founded Kosa Pharma.</w:t>
      </w:r>
    </w:p>
    <w:p>
      <w:pPr>
        <w:spacing w:after="0" w:line="150"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Morgan Conn, Ph.D.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 Conn joined the Company in 2017 and has over 20 years of experience in the biopharmaceutical industry.</w:t>
      </w:r>
    </w:p>
    <w:p>
      <w:pPr>
        <w:spacing w:after="0" w:line="178"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Previously, Dr. Conn worked at PTC Therapeutics from 2001-2017, initially in Research and subsequently helping to build the Business Development function, holding positions of increasing responsibility including global head and Vice President, Business Development. During this time, Dr. Conn was instrumental to all corporate transactions, including collaborations, licenses, and acquisitions with leading pharma, biotech, and academic organizations, and supported private and public financing events behind the company’s growth from a discovery organization to a global commercial entity. Dr. Conn’s portfolio includes transactions and financings supporting three rare pediatric neuromuscular medicines now commercialized: TRANSLARNA (ataluren), EMFLAZA (deflazacort), and EVRYSDI (risdiplam). In 2017, Dr. Conn founded CallisBio, a consulting firm offering strategic and implementation services in biopharma business and corporate development including transactions and financing.</w:t>
      </w:r>
    </w:p>
    <w:p>
      <w:pPr>
        <w:spacing w:after="0" w:line="154"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 doctoral fellow; and, studied as a post-doctoral Research Fellow of the Miller Institute for Basic Research in Science at the University of California, Berkeley.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Anna Nijdam, MSc RA</w:t>
      </w:r>
    </w:p>
    <w:p>
      <w:pPr>
        <w:spacing w:after="0" w:line="189"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treasurer at the Entrepreneurs Foundation and previously served as member of the Associations Audit Committee of Hockey Club Rotterdam and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Wim Souverijns, Ph.D.</w:t>
      </w:r>
    </w:p>
    <w:p>
      <w:pPr>
        <w:spacing w:after="0" w:line="176" w:lineRule="exact"/>
        <w:rPr>
          <w:sz w:val="20"/>
          <w:szCs w:val="20"/>
          <w:color w:val="auto"/>
        </w:rPr>
      </w:pPr>
    </w:p>
    <w:p>
      <w:pPr>
        <w:ind w:right="320" w:firstLine="458"/>
        <w:spacing w:after="0" w:line="283" w:lineRule="auto"/>
        <w:rPr>
          <w:sz w:val="20"/>
          <w:szCs w:val="20"/>
          <w:color w:val="auto"/>
        </w:rPr>
      </w:pPr>
      <w:r>
        <w:rPr>
          <w:rFonts w:ascii="Arial" w:cs="Arial" w:eastAsia="Arial" w:hAnsi="Arial"/>
          <w:sz w:val="16"/>
          <w:szCs w:val="16"/>
          <w:color w:val="auto"/>
        </w:rPr>
        <w:t>Dr. Souverijns joined the Company in July 2021 with over 25 years of experience in pharmaceutical portfolio strategic and operational leadership at ObsEva, Celgene, and Amgen.</w:t>
      </w:r>
    </w:p>
    <w:p>
      <w:pPr>
        <w:spacing w:after="0" w:line="129"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Dr. Souverijns joined the Company from his most recent position as the Chief Commercial Officer at ObsEva where he was responsible for the commercialization of its women’s health product portfolio. Prior to joining ObsEva, he spent 11 years at Celgene where he contributed to the successful build out of the product portfolio in diverse strategic and operational leadership roles. He developed a broad pharmaceutical background through various international assignments at PwC Consulting and in different market access roles at Amgen, both at the European and global level. Dr. Souverijns holds a degree in bio-engineering from the KU Leuven, Belgium, and obtained a Ph.D. from the same institute.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Joan Schmidt, J.D.</w:t>
      </w:r>
    </w:p>
    <w:p>
      <w:pPr>
        <w:spacing w:after="0" w:line="176"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Ms. Schmidt joined Pharvaris in June 2022 and brings more than 20 years of leadership experience in compliance, intellectual property, litigation, governance, and people management within the biopharmaceutical industry. Most recently, she served as the Executive Vice President, General Counsel and Secretary at Arena Pharmaceuticals where, as a member of the executive team, she developed and implemented company strategy, and scaled and strengthened the legal, compliance, and intellectual property functions prior to the company’s acquisition by Pfizer in March 2022 for approximately $6.7 billion. Prior to Arena, Ms. Schmidt served as General Counsel at DBV Technologies and as U.S. General Counsel and Head of Human Resources at Biotronik. Earlier, Ms. Schmidt had positions of increasing responsibility at Novo Nordisk, both in the U.S. and Europe, most recently as Corporate Vice President responsible for global transactions, litigation, and trademarks. Ms. Schmidt earned her J.D. from Elizabeth Haub School of Law at Pace University and obtained a B.A. from the University of Connecticut.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Annick Deschoolmeester</w:t>
      </w:r>
    </w:p>
    <w:p>
      <w:pPr>
        <w:spacing w:after="0" w:line="17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Ms. Deschoolmeester joined Pharvaris in September 2021 and currently serves as the Chief Human Resources Officer with over 25 years of experience in human resources across various industries, including in management consulting and international talent management in the biotech and pharmaceutical industries. Before joining Pharvaris, she served as Global Head of Learning &amp; Talent and as HR Business Leader, Plasma Derived Therapies, with Takeda Pharmaceuticals. Prior to that, Ms. Deschoolmeester developed a broad human resources background, working in human resources leadership roles at European, international, and global levels with companies such as Shire Pharmaceuticals, Allergan, Yahoo, and PricewaterhouseCoopers. She holds a master’s degree in Interpreting from the Provincial Hogeschool voor Vertalers &amp; Tolken in Gent, Belgium.</w:t>
      </w:r>
    </w:p>
    <w:p>
      <w:pPr>
        <w:spacing w:after="0" w:line="141" w:lineRule="exact"/>
        <w:rPr>
          <w:sz w:val="20"/>
          <w:szCs w:val="20"/>
          <w:color w:val="auto"/>
        </w:rPr>
      </w:pPr>
    </w:p>
    <w:p>
      <w:pPr>
        <w:ind w:left="920" w:hanging="463"/>
        <w:spacing w:after="0"/>
        <w:tabs>
          <w:tab w:leader="none" w:pos="92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Other Benefits of Members of Our Board</w:t>
      </w:r>
    </w:p>
    <w:p>
      <w:pPr>
        <w:spacing w:after="0" w:line="178"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at our general meeting by a simple majority of votes cast. Such a proposal must set out at least the maximum number of shares or rights to subscribe for shares to be granted to the directors and the criteria for granting or amendment.</w:t>
      </w:r>
    </w:p>
    <w:p>
      <w:pPr>
        <w:spacing w:after="0" w:line="141" w:lineRule="exact"/>
        <w:rPr>
          <w:sz w:val="20"/>
          <w:szCs w:val="20"/>
          <w:color w:val="auto"/>
        </w:rPr>
      </w:pPr>
    </w:p>
    <w:p>
      <w:pPr>
        <w:ind w:right="300" w:firstLine="458"/>
        <w:spacing w:after="0" w:line="264" w:lineRule="auto"/>
        <w:rPr>
          <w:sz w:val="20"/>
          <w:szCs w:val="20"/>
          <w:color w:val="auto"/>
        </w:rPr>
      </w:pPr>
      <w:r>
        <w:rPr>
          <w:rFonts w:ascii="Arial" w:cs="Arial" w:eastAsia="Arial" w:hAnsi="Arial"/>
          <w:sz w:val="16"/>
          <w:szCs w:val="16"/>
          <w:color w:val="auto"/>
        </w:rPr>
        <w:t>Our compensation policy authorizes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of our Board and Senior Management</w:t>
      </w:r>
    </w:p>
    <w:p>
      <w:pPr>
        <w:spacing w:after="0" w:line="178" w:lineRule="exact"/>
        <w:rPr>
          <w:sz w:val="20"/>
          <w:szCs w:val="20"/>
          <w:color w:val="auto"/>
        </w:rPr>
      </w:pPr>
    </w:p>
    <w:p>
      <w:pPr>
        <w:ind w:right="360" w:firstLine="458"/>
        <w:spacing w:after="0" w:line="264" w:lineRule="auto"/>
        <w:rPr>
          <w:sz w:val="20"/>
          <w:szCs w:val="20"/>
          <w:color w:val="auto"/>
        </w:rPr>
      </w:pPr>
      <w:r>
        <w:rPr>
          <w:rFonts w:ascii="Arial" w:cs="Arial" w:eastAsia="Arial" w:hAnsi="Arial"/>
          <w:sz w:val="16"/>
          <w:szCs w:val="16"/>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The aggregate compensation, including benefits in kind, accrued or paid to members of our Board and Senior Management with respect to the year ended December 31, 2022 for services in all capacities was approximately €6,880,936. For the year ended December 31, 2022, we paid Mr. Modig, our Chief Executive Officer and Executive Director, €782,830 in compensation and benefits in kind.</w:t>
      </w:r>
    </w:p>
    <w:p>
      <w:pPr>
        <w:spacing w:after="0" w:line="144"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The table below shows the aggregate compensation, including benefits in kind, accrued or paid to individual members of the Board for the year ended December 31, 2022 in such capacity.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22"/>
              <w:spacing w:after="0"/>
              <w:rPr>
                <w:sz w:val="20"/>
                <w:szCs w:val="20"/>
                <w:color w:val="auto"/>
              </w:rPr>
            </w:pPr>
            <w:r>
              <w:rPr>
                <w:rFonts w:ascii="Arial" w:cs="Arial" w:eastAsia="Arial" w:hAnsi="Arial"/>
                <w:sz w:val="13"/>
                <w:szCs w:val="13"/>
                <w:b w:val="1"/>
                <w:bCs w:val="1"/>
                <w:color w:val="auto"/>
                <w:w w:val="99"/>
              </w:rPr>
              <w:t>Base salary</w:t>
            </w:r>
          </w:p>
        </w:tc>
        <w:tc>
          <w:tcPr>
            <w:tcW w:w="20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b w:val="1"/>
                <w:bCs w:val="1"/>
                <w:color w:val="auto"/>
                <w:w w:val="89"/>
              </w:rPr>
              <w:t>Total</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remuneration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Modig</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782,830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Dr. Glassman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Meeker</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Mr. Schikan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Monges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Dr. de Jonge Schuermans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50,839.00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Björk</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43,871.00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2022 in such capacity.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60" w:type="dxa"/>
            <w:vAlign w:val="bottom"/>
          </w:tcPr>
          <w:p>
            <w:pPr>
              <w:jc w:val="right"/>
              <w:ind w:right="143"/>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03"/>
              <w:spacing w:after="0"/>
              <w:rPr>
                <w:sz w:val="20"/>
                <w:szCs w:val="20"/>
                <w:color w:val="auto"/>
              </w:rPr>
            </w:pPr>
            <w:r>
              <w:rPr>
                <w:rFonts w:ascii="Arial" w:cs="Arial" w:eastAsia="Arial" w:hAnsi="Arial"/>
                <w:sz w:val="13"/>
                <w:szCs w:val="13"/>
                <w:b w:val="1"/>
                <w:bCs w:val="1"/>
                <w:color w:val="auto"/>
              </w:rPr>
              <w:t>Exercise</w:t>
            </w:r>
          </w:p>
        </w:tc>
        <w:tc>
          <w:tcPr>
            <w:tcW w:w="180" w:type="dxa"/>
            <w:vAlign w:val="bottom"/>
          </w:tcPr>
          <w:p>
            <w:pPr>
              <w:spacing w:after="0"/>
              <w:rPr>
                <w:sz w:val="13"/>
                <w:szCs w:val="13"/>
                <w:color w:val="auto"/>
              </w:rPr>
            </w:pPr>
          </w:p>
        </w:tc>
        <w:tc>
          <w:tcPr>
            <w:tcW w:w="1320" w:type="dxa"/>
            <w:vAlign w:val="bottom"/>
          </w:tcPr>
          <w:p>
            <w:pPr>
              <w:jc w:val="right"/>
              <w:ind w:right="283"/>
              <w:spacing w:after="0"/>
              <w:rPr>
                <w:sz w:val="20"/>
                <w:szCs w:val="20"/>
                <w:color w:val="auto"/>
              </w:rPr>
            </w:pPr>
            <w:r>
              <w:rPr>
                <w:rFonts w:ascii="Arial" w:cs="Arial" w:eastAsia="Arial" w:hAnsi="Arial"/>
                <w:sz w:val="13"/>
                <w:szCs w:val="13"/>
                <w:b w:val="1"/>
                <w:bCs w:val="1"/>
                <w:color w:val="auto"/>
              </w:rPr>
              <w:t>Expiration</w:t>
            </w:r>
          </w:p>
        </w:tc>
      </w:tr>
      <w:tr>
        <w:trPr>
          <w:trHeight w:val="165"/>
        </w:trPr>
        <w:tc>
          <w:tcPr>
            <w:tcW w:w="5080" w:type="dxa"/>
            <w:vAlign w:val="bottom"/>
          </w:tcPr>
          <w:p>
            <w:pPr>
              <w:spacing w:after="0"/>
              <w:rPr>
                <w:sz w:val="14"/>
                <w:szCs w:val="14"/>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Options</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Price</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Date</w:t>
            </w:r>
          </w:p>
        </w:tc>
      </w:tr>
      <w:tr>
        <w:trPr>
          <w:trHeight w:val="208"/>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5080" w:type="dxa"/>
            <w:vAlign w:val="bottom"/>
          </w:tcPr>
          <w:p>
            <w:pPr>
              <w:spacing w:after="0"/>
              <w:rPr>
                <w:sz w:val="20"/>
                <w:szCs w:val="20"/>
                <w:color w:val="auto"/>
              </w:rPr>
            </w:pPr>
            <w:r>
              <w:rPr>
                <w:rFonts w:ascii="Arial" w:cs="Arial" w:eastAsia="Arial" w:hAnsi="Arial"/>
                <w:sz w:val="16"/>
                <w:szCs w:val="16"/>
                <w:color w:val="auto"/>
              </w:rPr>
              <w:t>Dr. Glassman</w:t>
            </w:r>
          </w:p>
        </w:tc>
        <w:tc>
          <w:tcPr>
            <w:tcW w:w="1060" w:type="dxa"/>
            <w:vAlign w:val="bottom"/>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18.14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5080" w:type="dxa"/>
            <w:vAlign w:val="bottom"/>
          </w:tcPr>
          <w:p>
            <w:pPr>
              <w:spacing w:after="0"/>
              <w:rPr>
                <w:sz w:val="20"/>
                <w:szCs w:val="20"/>
                <w:color w:val="auto"/>
              </w:rPr>
            </w:pPr>
            <w:r>
              <w:rPr>
                <w:rFonts w:ascii="Arial" w:cs="Arial" w:eastAsia="Arial" w:hAnsi="Arial"/>
                <w:sz w:val="16"/>
                <w:szCs w:val="16"/>
                <w:color w:val="auto"/>
              </w:rPr>
              <w:t>Mr. Schikan</w:t>
            </w:r>
          </w:p>
        </w:tc>
        <w:tc>
          <w:tcPr>
            <w:tcW w:w="1060" w:type="dxa"/>
            <w:vAlign w:val="bottom"/>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18.14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5080" w:type="dxa"/>
            <w:vAlign w:val="bottom"/>
          </w:tcPr>
          <w:p>
            <w:pPr>
              <w:spacing w:after="0"/>
              <w:rPr>
                <w:sz w:val="20"/>
                <w:szCs w:val="20"/>
                <w:color w:val="auto"/>
              </w:rPr>
            </w:pPr>
            <w:r>
              <w:rPr>
                <w:rFonts w:ascii="Arial" w:cs="Arial" w:eastAsia="Arial" w:hAnsi="Arial"/>
                <w:sz w:val="16"/>
                <w:szCs w:val="16"/>
                <w:color w:val="auto"/>
              </w:rPr>
              <w:t>Ms. De Jonge Schuermans</w:t>
            </w:r>
          </w:p>
        </w:tc>
        <w:tc>
          <w:tcPr>
            <w:tcW w:w="1060" w:type="dxa"/>
            <w:vAlign w:val="bottom"/>
          </w:tcPr>
          <w:p>
            <w:pPr>
              <w:jc w:val="right"/>
              <w:spacing w:after="0"/>
              <w:rPr>
                <w:sz w:val="20"/>
                <w:szCs w:val="20"/>
                <w:color w:val="auto"/>
              </w:rPr>
            </w:pPr>
            <w:r>
              <w:rPr>
                <w:rFonts w:ascii="Arial" w:cs="Arial" w:eastAsia="Arial" w:hAnsi="Arial"/>
                <w:sz w:val="16"/>
                <w:szCs w:val="16"/>
                <w:color w:val="auto"/>
              </w:rPr>
              <w:t>35,000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14.39</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Jan 1, 2032</w:t>
            </w:r>
          </w:p>
        </w:tc>
      </w:tr>
      <w:tr>
        <w:trPr>
          <w:trHeight w:val="24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Ms. Bj</w:t>
            </w:r>
            <w:r>
              <w:rPr>
                <w:rFonts w:ascii="Calibri" w:cs="Calibri" w:eastAsia="Calibri" w:hAnsi="Calibri"/>
                <w:sz w:val="16"/>
                <w:szCs w:val="16"/>
                <w:color w:val="auto"/>
              </w:rPr>
              <w:t>ö</w:t>
            </w:r>
            <w:r>
              <w:rPr>
                <w:rFonts w:ascii="Arial" w:cs="Arial" w:eastAsia="Arial" w:hAnsi="Arial"/>
                <w:sz w:val="16"/>
                <w:szCs w:val="16"/>
                <w:color w:val="auto"/>
              </w:rPr>
              <w:t>rk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40"/>
        </w:trPr>
        <w:tc>
          <w:tcPr>
            <w:tcW w:w="5080" w:type="dxa"/>
            <w:vAlign w:val="bottom"/>
          </w:tcPr>
          <w:p>
            <w:pPr>
              <w:spacing w:after="0"/>
              <w:rPr>
                <w:sz w:val="20"/>
                <w:szCs w:val="20"/>
                <w:color w:val="auto"/>
              </w:rPr>
            </w:pPr>
            <w:r>
              <w:rPr>
                <w:rFonts w:ascii="Arial" w:cs="Arial" w:eastAsia="Arial" w:hAnsi="Arial"/>
                <w:sz w:val="16"/>
                <w:szCs w:val="16"/>
                <w:color w:val="auto"/>
              </w:rPr>
              <w:t>Ms. Bj</w:t>
            </w:r>
            <w:r>
              <w:rPr>
                <w:rFonts w:ascii="Calibri" w:cs="Calibri" w:eastAsia="Calibri" w:hAnsi="Calibri"/>
                <w:sz w:val="16"/>
                <w:szCs w:val="16"/>
                <w:color w:val="auto"/>
              </w:rPr>
              <w:t>ö</w:t>
            </w:r>
            <w:r>
              <w:rPr>
                <w:rFonts w:ascii="Arial" w:cs="Arial" w:eastAsia="Arial" w:hAnsi="Arial"/>
                <w:sz w:val="16"/>
                <w:szCs w:val="16"/>
                <w:color w:val="auto"/>
              </w:rPr>
              <w:t>rk</w:t>
            </w:r>
          </w:p>
        </w:tc>
        <w:tc>
          <w:tcPr>
            <w:tcW w:w="1060" w:type="dxa"/>
            <w:vAlign w:val="bottom"/>
          </w:tcPr>
          <w:p>
            <w:pPr>
              <w:jc w:val="right"/>
              <w:spacing w:after="0"/>
              <w:rPr>
                <w:sz w:val="20"/>
                <w:szCs w:val="20"/>
                <w:color w:val="auto"/>
              </w:rPr>
            </w:pPr>
            <w:r>
              <w:rPr>
                <w:rFonts w:ascii="Arial" w:cs="Arial" w:eastAsia="Arial" w:hAnsi="Arial"/>
                <w:sz w:val="16"/>
                <w:szCs w:val="16"/>
                <w:color w:val="auto"/>
              </w:rPr>
              <w:t>35,000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14.39</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Jan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1872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38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Share Ownership of our Board and Senior Management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share ownership of our Board and Senior Management as of March 10, 2023.</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8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Percentage</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5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Ordinary</w:t>
            </w:r>
          </w:p>
        </w:tc>
        <w:tc>
          <w:tcPr>
            <w:tcW w:w="18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of Shares</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Voting</w:t>
            </w:r>
          </w:p>
        </w:tc>
      </w:tr>
      <w:tr>
        <w:trPr>
          <w:trHeight w:val="165"/>
        </w:trPr>
        <w:tc>
          <w:tcPr>
            <w:tcW w:w="5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18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Outstanding</w:t>
            </w: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Rights</w:t>
            </w:r>
          </w:p>
        </w:tc>
      </w:tr>
      <w:tr>
        <w:trPr>
          <w:trHeight w:val="208"/>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Mr. Modig(1)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1,200,000</w:t>
            </w:r>
          </w:p>
        </w:tc>
        <w:tc>
          <w:tcPr>
            <w:tcW w:w="1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Dr. Knolle</w:t>
            </w:r>
          </w:p>
        </w:tc>
        <w:tc>
          <w:tcPr>
            <w:tcW w:w="1080" w:type="dxa"/>
            <w:vAlign w:val="bottom"/>
          </w:tcPr>
          <w:p>
            <w:pPr>
              <w:jc w:val="right"/>
              <w:spacing w:after="0"/>
              <w:rPr>
                <w:sz w:val="20"/>
                <w:szCs w:val="20"/>
                <w:color w:val="auto"/>
              </w:rPr>
            </w:pPr>
            <w:r>
              <w:rPr>
                <w:rFonts w:ascii="Arial" w:cs="Arial" w:eastAsia="Arial" w:hAnsi="Arial"/>
                <w:sz w:val="16"/>
                <w:szCs w:val="16"/>
                <w:color w:val="auto"/>
              </w:rPr>
              <w:t>1,200,000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3.55 %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Mr. Schikan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1.48 %</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Dr. Lesage(2)</w:t>
            </w:r>
          </w:p>
        </w:tc>
        <w:tc>
          <w:tcPr>
            <w:tcW w:w="1080" w:type="dxa"/>
            <w:vAlign w:val="bottom"/>
          </w:tcPr>
          <w:p>
            <w:pPr>
              <w:jc w:val="right"/>
              <w:spacing w:after="0"/>
              <w:rPr>
                <w:sz w:val="20"/>
                <w:szCs w:val="20"/>
                <w:color w:val="auto"/>
              </w:rPr>
            </w:pPr>
            <w:r>
              <w:rPr>
                <w:rFonts w:ascii="Arial" w:cs="Arial" w:eastAsia="Arial" w:hAnsi="Arial"/>
                <w:sz w:val="16"/>
                <w:szCs w:val="16"/>
                <w:color w:val="auto"/>
              </w:rPr>
              <w:t>250,000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0.74 %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0.15 %</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Dr. Glassman</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Dr. Björk</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Ms. Monges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Dr. de Jonge Schuermans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Dr. Lu</w:t>
            </w:r>
          </w:p>
        </w:tc>
        <w:tc>
          <w:tcPr>
            <w:tcW w:w="1080" w:type="dxa"/>
            <w:vAlign w:val="bottom"/>
          </w:tcPr>
          <w:p>
            <w:pPr>
              <w:jc w:val="right"/>
              <w:spacing w:after="0"/>
              <w:rPr>
                <w:sz w:val="20"/>
                <w:szCs w:val="20"/>
                <w:color w:val="auto"/>
              </w:rPr>
            </w:pPr>
            <w:r>
              <w:rPr>
                <w:rFonts w:ascii="Arial" w:cs="Arial" w:eastAsia="Arial" w:hAnsi="Arial"/>
                <w:sz w:val="16"/>
                <w:szCs w:val="16"/>
                <w:color w:val="auto"/>
              </w:rPr>
              <w:t>34,000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0.10 %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Dr. Conn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14,242</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0.04 %</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Ms. Nijdam</w:t>
            </w:r>
          </w:p>
        </w:tc>
        <w:tc>
          <w:tcPr>
            <w:tcW w:w="1080" w:type="dxa"/>
            <w:vAlign w:val="bottom"/>
          </w:tcPr>
          <w:p>
            <w:pPr>
              <w:jc w:val="right"/>
              <w:spacing w:after="0"/>
              <w:rPr>
                <w:sz w:val="20"/>
                <w:szCs w:val="20"/>
                <w:color w:val="auto"/>
              </w:rPr>
            </w:pPr>
            <w:r>
              <w:rPr>
                <w:rFonts w:ascii="Arial" w:cs="Arial" w:eastAsia="Arial" w:hAnsi="Arial"/>
                <w:sz w:val="16"/>
                <w:szCs w:val="16"/>
                <w:color w:val="auto"/>
              </w:rPr>
              <w:t>3,624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0.01 %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Ms. Schmidt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Ms. Deschoolmeester</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5,542</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0.02 %</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bl>
    <w:p>
      <w:pPr>
        <w:spacing w:after="0" w:line="200" w:lineRule="exact"/>
        <w:rPr>
          <w:sz w:val="20"/>
          <w:szCs w:val="20"/>
          <w:color w:val="auto"/>
        </w:rPr>
      </w:pPr>
    </w:p>
    <w:p>
      <w:pPr>
        <w:spacing w:after="0" w:line="228" w:lineRule="exact"/>
        <w:rPr>
          <w:sz w:val="20"/>
          <w:szCs w:val="20"/>
          <w:color w:val="auto"/>
        </w:rPr>
      </w:pPr>
    </w:p>
    <w:p>
      <w:pPr>
        <w:ind w:left="520" w:hanging="513"/>
        <w:spacing w:after="0"/>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ordinary shares held by Schoodic Management B.V., an entity controlled by Mr. Modig.</w:t>
      </w:r>
    </w:p>
    <w:p>
      <w:pPr>
        <w:spacing w:after="0" w:line="164" w:lineRule="exact"/>
        <w:rPr>
          <w:rFonts w:ascii="Arial" w:cs="Arial" w:eastAsia="Arial" w:hAnsi="Arial"/>
          <w:sz w:val="16"/>
          <w:szCs w:val="16"/>
          <w:color w:val="auto"/>
        </w:rPr>
      </w:pPr>
    </w:p>
    <w:p>
      <w:pPr>
        <w:ind w:left="520" w:hanging="513"/>
        <w:spacing w:after="0"/>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ordinary shares held by GrayMatters Consulting B.V., an entity controlled by Dr. Lesage.</w:t>
      </w:r>
    </w:p>
    <w:p>
      <w:pPr>
        <w:spacing w:after="0" w:line="164" w:lineRule="exact"/>
        <w:rPr>
          <w:rFonts w:ascii="Arial" w:cs="Arial" w:eastAsia="Arial" w:hAnsi="Arial"/>
          <w:sz w:val="16"/>
          <w:szCs w:val="16"/>
          <w:color w:val="auto"/>
        </w:rPr>
      </w:pPr>
    </w:p>
    <w:p>
      <w:pPr>
        <w:ind w:left="520" w:hanging="513"/>
        <w:spacing w:after="0"/>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ordinary share carries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-558165</wp:posOffset>
            </wp:positionV>
            <wp:extent cx="1872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 Ownership of our Board and Senior Management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option ownership of our Board and Senior Management as of March 10,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Percentage</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Percentage</w:t>
            </w:r>
          </w:p>
        </w:tc>
        <w:tc>
          <w:tcPr>
            <w:tcW w:w="2620" w:type="dxa"/>
            <w:vAlign w:val="bottom"/>
          </w:tcPr>
          <w:p>
            <w:pPr>
              <w:spacing w:after="0"/>
              <w:rPr>
                <w:sz w:val="13"/>
                <w:szCs w:val="13"/>
                <w:color w:val="auto"/>
              </w:rPr>
            </w:pPr>
          </w:p>
        </w:tc>
      </w:tr>
      <w:tr>
        <w:trPr>
          <w:trHeight w:val="161"/>
        </w:trPr>
        <w:tc>
          <w:tcPr>
            <w:tcW w:w="3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41"/>
              <w:spacing w:after="0"/>
              <w:rPr>
                <w:sz w:val="20"/>
                <w:szCs w:val="20"/>
                <w:color w:val="auto"/>
              </w:rPr>
            </w:pPr>
            <w:r>
              <w:rPr>
                <w:rFonts w:ascii="Arial" w:cs="Arial" w:eastAsia="Arial" w:hAnsi="Arial"/>
                <w:sz w:val="13"/>
                <w:szCs w:val="13"/>
                <w:b w:val="1"/>
                <w:bCs w:val="1"/>
                <w:color w:val="auto"/>
              </w:rPr>
              <w:t>Exercise</w:t>
            </w:r>
          </w:p>
        </w:tc>
        <w:tc>
          <w:tcPr>
            <w:tcW w:w="20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of Shares</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of Fully</w:t>
            </w:r>
          </w:p>
        </w:tc>
        <w:tc>
          <w:tcPr>
            <w:tcW w:w="2620" w:type="dxa"/>
            <w:vAlign w:val="bottom"/>
          </w:tcPr>
          <w:p>
            <w:pPr>
              <w:jc w:val="right"/>
              <w:ind w:right="921"/>
              <w:spacing w:after="0"/>
              <w:rPr>
                <w:sz w:val="20"/>
                <w:szCs w:val="20"/>
                <w:color w:val="auto"/>
              </w:rPr>
            </w:pPr>
            <w:r>
              <w:rPr>
                <w:rFonts w:ascii="Arial" w:cs="Arial" w:eastAsia="Arial" w:hAnsi="Arial"/>
                <w:sz w:val="13"/>
                <w:szCs w:val="13"/>
                <w:b w:val="1"/>
                <w:bCs w:val="1"/>
                <w:color w:val="auto"/>
              </w:rPr>
              <w:t>Expiration</w:t>
            </w:r>
          </w:p>
        </w:tc>
      </w:tr>
      <w:tr>
        <w:trPr>
          <w:trHeight w:val="165"/>
        </w:trPr>
        <w:tc>
          <w:tcPr>
            <w:tcW w:w="3580" w:type="dxa"/>
            <w:vAlign w:val="bottom"/>
          </w:tcPr>
          <w:p>
            <w:pPr>
              <w:spacing w:after="0"/>
              <w:rPr>
                <w:sz w:val="14"/>
                <w:szCs w:val="14"/>
                <w:color w:val="auto"/>
              </w:rPr>
            </w:pPr>
          </w:p>
        </w:tc>
        <w:tc>
          <w:tcPr>
            <w:tcW w:w="1060" w:type="dxa"/>
            <w:vAlign w:val="bottom"/>
          </w:tcPr>
          <w:p>
            <w:pPr>
              <w:jc w:val="right"/>
              <w:ind w:right="220"/>
              <w:spacing w:after="0"/>
              <w:rPr>
                <w:sz w:val="20"/>
                <w:szCs w:val="20"/>
                <w:color w:val="auto"/>
              </w:rPr>
            </w:pPr>
            <w:r>
              <w:rPr>
                <w:rFonts w:ascii="Arial" w:cs="Arial" w:eastAsia="Arial" w:hAnsi="Arial"/>
                <w:sz w:val="13"/>
                <w:szCs w:val="13"/>
                <w:b w:val="1"/>
                <w:bCs w:val="1"/>
                <w:color w:val="auto"/>
              </w:rPr>
              <w:t>Options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Diluted</w:t>
            </w:r>
          </w:p>
        </w:tc>
        <w:tc>
          <w:tcPr>
            <w:tcW w:w="2620" w:type="dxa"/>
            <w:vAlign w:val="bottom"/>
          </w:tcPr>
          <w:p>
            <w:pPr>
              <w:jc w:val="right"/>
              <w:ind w:right="1101"/>
              <w:spacing w:after="0"/>
              <w:rPr>
                <w:sz w:val="20"/>
                <w:szCs w:val="20"/>
                <w:color w:val="auto"/>
              </w:rPr>
            </w:pPr>
            <w:r>
              <w:rPr>
                <w:rFonts w:ascii="Arial" w:cs="Arial" w:eastAsia="Arial" w:hAnsi="Arial"/>
                <w:sz w:val="13"/>
                <w:szCs w:val="13"/>
                <w:b w:val="1"/>
                <w:bCs w:val="1"/>
                <w:color w:val="auto"/>
              </w:rPr>
              <w:t>Date</w:t>
            </w:r>
          </w:p>
        </w:tc>
      </w:tr>
      <w:tr>
        <w:trPr>
          <w:trHeight w:val="208"/>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Modig</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c>
          <w:tcPr>
            <w:tcW w:w="2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January 1, 2030</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Mr. Modig</w:t>
            </w:r>
          </w:p>
        </w:tc>
        <w:tc>
          <w:tcPr>
            <w:tcW w:w="1060" w:type="dxa"/>
            <w:vAlign w:val="bottom"/>
          </w:tcPr>
          <w:p>
            <w:pPr>
              <w:jc w:val="right"/>
              <w:spacing w:after="0"/>
              <w:rPr>
                <w:sz w:val="20"/>
                <w:szCs w:val="20"/>
                <w:color w:val="auto"/>
              </w:rPr>
            </w:pPr>
            <w:r>
              <w:rPr>
                <w:rFonts w:ascii="Arial" w:cs="Arial" w:eastAsia="Arial" w:hAnsi="Arial"/>
                <w:sz w:val="16"/>
                <w:szCs w:val="16"/>
                <w:color w:val="auto"/>
              </w:rPr>
              <w:t>250,000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0.74 %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0.67 %</w:t>
            </w:r>
          </w:p>
        </w:tc>
        <w:tc>
          <w:tcPr>
            <w:tcW w:w="262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Modig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0.41 %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0.38 %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Knolle</w:t>
            </w:r>
          </w:p>
        </w:tc>
        <w:tc>
          <w:tcPr>
            <w:tcW w:w="1060" w:type="dxa"/>
            <w:vAlign w:val="bottom"/>
          </w:tcPr>
          <w:p>
            <w:pPr>
              <w:jc w:val="right"/>
              <w:spacing w:after="0"/>
              <w:rPr>
                <w:sz w:val="20"/>
                <w:szCs w:val="20"/>
                <w:color w:val="auto"/>
              </w:rPr>
            </w:pPr>
            <w:r>
              <w:rPr>
                <w:rFonts w:ascii="Arial" w:cs="Arial" w:eastAsia="Arial" w:hAnsi="Arial"/>
                <w:sz w:val="16"/>
                <w:szCs w:val="16"/>
                <w:color w:val="auto"/>
              </w:rPr>
              <w:t>150,000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0.44 %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0.40 %</w:t>
            </w:r>
          </w:p>
        </w:tc>
        <w:tc>
          <w:tcPr>
            <w:tcW w:w="2620" w:type="dxa"/>
            <w:vAlign w:val="bottom"/>
          </w:tcPr>
          <w:p>
            <w:pPr>
              <w:jc w:val="right"/>
              <w:spacing w:after="0"/>
              <w:rPr>
                <w:sz w:val="20"/>
                <w:szCs w:val="20"/>
                <w:color w:val="auto"/>
              </w:rPr>
            </w:pPr>
            <w:r>
              <w:rPr>
                <w:rFonts w:ascii="Arial" w:cs="Arial" w:eastAsia="Arial" w:hAnsi="Arial"/>
                <w:sz w:val="16"/>
                <w:szCs w:val="16"/>
                <w:color w:val="auto"/>
              </w:rPr>
              <w:t>January 1, 2030</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Knolle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0.44 %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0.40 %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2031</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Knolle</w:t>
            </w:r>
          </w:p>
        </w:tc>
        <w:tc>
          <w:tcPr>
            <w:tcW w:w="1060" w:type="dxa"/>
            <w:vAlign w:val="bottom"/>
          </w:tcPr>
          <w:p>
            <w:pPr>
              <w:jc w:val="right"/>
              <w:spacing w:after="0"/>
              <w:rPr>
                <w:sz w:val="20"/>
                <w:szCs w:val="20"/>
                <w:color w:val="auto"/>
              </w:rPr>
            </w:pPr>
            <w:r>
              <w:rPr>
                <w:rFonts w:ascii="Arial" w:cs="Arial" w:eastAsia="Arial" w:hAnsi="Arial"/>
                <w:sz w:val="16"/>
                <w:szCs w:val="16"/>
                <w:color w:val="auto"/>
              </w:rPr>
              <w:t>65,000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0.19 %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0.18 %</w:t>
            </w:r>
          </w:p>
        </w:tc>
        <w:tc>
          <w:tcPr>
            <w:tcW w:w="26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0.44 %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0.40 %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2030</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Lesage</w:t>
            </w:r>
          </w:p>
        </w:tc>
        <w:tc>
          <w:tcPr>
            <w:tcW w:w="1060" w:type="dxa"/>
            <w:vAlign w:val="bottom"/>
          </w:tcPr>
          <w:p>
            <w:pPr>
              <w:jc w:val="right"/>
              <w:spacing w:after="0"/>
              <w:rPr>
                <w:sz w:val="20"/>
                <w:szCs w:val="20"/>
                <w:color w:val="auto"/>
              </w:rPr>
            </w:pPr>
            <w:r>
              <w:rPr>
                <w:rFonts w:ascii="Arial" w:cs="Arial" w:eastAsia="Arial" w:hAnsi="Arial"/>
                <w:sz w:val="16"/>
                <w:szCs w:val="16"/>
                <w:color w:val="auto"/>
              </w:rPr>
              <w:t>120,000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0.35 %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0.32 %</w:t>
            </w:r>
          </w:p>
        </w:tc>
        <w:tc>
          <w:tcPr>
            <w:tcW w:w="262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0.19 %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0.18 %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Conn</w:t>
            </w:r>
          </w:p>
        </w:tc>
        <w:tc>
          <w:tcPr>
            <w:tcW w:w="1060" w:type="dxa"/>
            <w:vAlign w:val="bottom"/>
          </w:tcPr>
          <w:p>
            <w:pPr>
              <w:jc w:val="right"/>
              <w:spacing w:after="0"/>
              <w:rPr>
                <w:sz w:val="20"/>
                <w:szCs w:val="20"/>
                <w:color w:val="auto"/>
              </w:rPr>
            </w:pPr>
            <w:r>
              <w:rPr>
                <w:rFonts w:ascii="Arial" w:cs="Arial" w:eastAsia="Arial" w:hAnsi="Arial"/>
                <w:sz w:val="16"/>
                <w:szCs w:val="16"/>
                <w:color w:val="auto"/>
              </w:rPr>
              <w:t>150,000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0.44 %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0.40 %</w:t>
            </w:r>
          </w:p>
        </w:tc>
        <w:tc>
          <w:tcPr>
            <w:tcW w:w="2620" w:type="dxa"/>
            <w:vAlign w:val="bottom"/>
          </w:tcPr>
          <w:p>
            <w:pPr>
              <w:jc w:val="right"/>
              <w:spacing w:after="0"/>
              <w:rPr>
                <w:sz w:val="20"/>
                <w:szCs w:val="20"/>
                <w:color w:val="auto"/>
              </w:rPr>
            </w:pPr>
            <w:r>
              <w:rPr>
                <w:rFonts w:ascii="Arial" w:cs="Arial" w:eastAsia="Arial" w:hAnsi="Arial"/>
                <w:sz w:val="16"/>
                <w:szCs w:val="16"/>
                <w:color w:val="auto"/>
              </w:rPr>
              <w:t>January 1, 2030</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Conn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0.33 %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0.30 %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2031</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Conn</w:t>
            </w:r>
          </w:p>
        </w:tc>
        <w:tc>
          <w:tcPr>
            <w:tcW w:w="1060" w:type="dxa"/>
            <w:vAlign w:val="bottom"/>
          </w:tcPr>
          <w:p>
            <w:pPr>
              <w:jc w:val="right"/>
              <w:spacing w:after="0"/>
              <w:rPr>
                <w:sz w:val="20"/>
                <w:szCs w:val="20"/>
                <w:color w:val="auto"/>
              </w:rPr>
            </w:pPr>
            <w:r>
              <w:rPr>
                <w:rFonts w:ascii="Arial" w:cs="Arial" w:eastAsia="Arial" w:hAnsi="Arial"/>
                <w:sz w:val="16"/>
                <w:szCs w:val="16"/>
                <w:color w:val="auto"/>
              </w:rPr>
              <w:t>65,000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0.19 %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0.18 %</w:t>
            </w:r>
          </w:p>
        </w:tc>
        <w:tc>
          <w:tcPr>
            <w:tcW w:w="26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1.20 %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3, 2030</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Lu</w:t>
            </w:r>
          </w:p>
        </w:tc>
        <w:tc>
          <w:tcPr>
            <w:tcW w:w="1060" w:type="dxa"/>
            <w:vAlign w:val="bottom"/>
          </w:tcPr>
          <w:p>
            <w:pPr>
              <w:jc w:val="right"/>
              <w:spacing w:after="0"/>
              <w:rPr>
                <w:sz w:val="20"/>
                <w:szCs w:val="20"/>
                <w:color w:val="auto"/>
              </w:rPr>
            </w:pPr>
            <w:r>
              <w:rPr>
                <w:rFonts w:ascii="Arial" w:cs="Arial" w:eastAsia="Arial" w:hAnsi="Arial"/>
                <w:sz w:val="16"/>
                <w:szCs w:val="16"/>
                <w:color w:val="auto"/>
              </w:rPr>
              <w:t>79,000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0.23 %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0.21 %</w:t>
            </w:r>
          </w:p>
        </w:tc>
        <w:tc>
          <w:tcPr>
            <w:tcW w:w="262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0.19 %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0.18 %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060" w:type="dxa"/>
            <w:vAlign w:val="bottom"/>
          </w:tcPr>
          <w:p>
            <w:pPr>
              <w:jc w:val="right"/>
              <w:spacing w:after="0"/>
              <w:rPr>
                <w:sz w:val="20"/>
                <w:szCs w:val="20"/>
                <w:color w:val="auto"/>
              </w:rPr>
            </w:pPr>
            <w:r>
              <w:rPr>
                <w:rFonts w:ascii="Arial" w:cs="Arial" w:eastAsia="Arial" w:hAnsi="Arial"/>
                <w:sz w:val="16"/>
                <w:szCs w:val="16"/>
                <w:color w:val="auto"/>
              </w:rPr>
              <w:t>27,000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7.25</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0.08 %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0.07 %</w:t>
            </w:r>
          </w:p>
        </w:tc>
        <w:tc>
          <w:tcPr>
            <w:tcW w:w="2620" w:type="dxa"/>
            <w:vAlign w:val="bottom"/>
          </w:tcPr>
          <w:p>
            <w:pPr>
              <w:jc w:val="right"/>
              <w:spacing w:after="0"/>
              <w:rPr>
                <w:sz w:val="20"/>
                <w:szCs w:val="20"/>
                <w:color w:val="auto"/>
              </w:rPr>
            </w:pPr>
            <w:r>
              <w:rPr>
                <w:rFonts w:ascii="Arial" w:cs="Arial" w:eastAsia="Arial" w:hAnsi="Arial"/>
                <w:sz w:val="16"/>
                <w:szCs w:val="16"/>
                <w:color w:val="auto"/>
              </w:rPr>
              <w:t>January 1,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Glassman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0.02 %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0.02 %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2031</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060" w:type="dxa"/>
            <w:vAlign w:val="bottom"/>
          </w:tcPr>
          <w:p>
            <w:pPr>
              <w:jc w:val="right"/>
              <w:spacing w:after="0"/>
              <w:rPr>
                <w:sz w:val="20"/>
                <w:szCs w:val="20"/>
                <w:color w:val="auto"/>
              </w:rPr>
            </w:pPr>
            <w:r>
              <w:rPr>
                <w:rFonts w:ascii="Arial" w:cs="Arial" w:eastAsia="Arial" w:hAnsi="Arial"/>
                <w:sz w:val="16"/>
                <w:szCs w:val="16"/>
                <w:color w:val="auto"/>
              </w:rPr>
              <w:t>17,500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0.05 %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0.05 %</w:t>
            </w:r>
          </w:p>
        </w:tc>
        <w:tc>
          <w:tcPr>
            <w:tcW w:w="26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0.24 %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0.22 %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2031</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Meeker</w:t>
            </w:r>
          </w:p>
        </w:tc>
        <w:tc>
          <w:tcPr>
            <w:tcW w:w="1060" w:type="dxa"/>
            <w:vAlign w:val="bottom"/>
          </w:tcPr>
          <w:p>
            <w:pPr>
              <w:jc w:val="right"/>
              <w:spacing w:after="0"/>
              <w:rPr>
                <w:sz w:val="20"/>
                <w:szCs w:val="20"/>
                <w:color w:val="auto"/>
              </w:rPr>
            </w:pPr>
            <w:r>
              <w:rPr>
                <w:rFonts w:ascii="Arial" w:cs="Arial" w:eastAsia="Arial" w:hAnsi="Arial"/>
                <w:sz w:val="16"/>
                <w:szCs w:val="16"/>
                <w:color w:val="auto"/>
              </w:rPr>
              <w:t>17,500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0.05 %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0.05 %</w:t>
            </w:r>
          </w:p>
        </w:tc>
        <w:tc>
          <w:tcPr>
            <w:tcW w:w="26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Monges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0.10 %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0.09 %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July 1, 2031</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Ms. Monges</w:t>
            </w:r>
          </w:p>
        </w:tc>
        <w:tc>
          <w:tcPr>
            <w:tcW w:w="1060" w:type="dxa"/>
            <w:vAlign w:val="bottom"/>
          </w:tcPr>
          <w:p>
            <w:pPr>
              <w:jc w:val="right"/>
              <w:spacing w:after="0"/>
              <w:rPr>
                <w:sz w:val="20"/>
                <w:szCs w:val="20"/>
                <w:color w:val="auto"/>
              </w:rPr>
            </w:pPr>
            <w:r>
              <w:rPr>
                <w:rFonts w:ascii="Arial" w:cs="Arial" w:eastAsia="Arial" w:hAnsi="Arial"/>
                <w:sz w:val="16"/>
                <w:szCs w:val="16"/>
                <w:color w:val="auto"/>
              </w:rPr>
              <w:t>17,500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0.05 %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0.05 %</w:t>
            </w:r>
          </w:p>
        </w:tc>
        <w:tc>
          <w:tcPr>
            <w:tcW w:w="26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0.10 %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0.09 %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060" w:type="dxa"/>
            <w:vAlign w:val="bottom"/>
          </w:tcPr>
          <w:p>
            <w:pPr>
              <w:jc w:val="right"/>
              <w:spacing w:after="0"/>
              <w:rPr>
                <w:sz w:val="20"/>
                <w:szCs w:val="20"/>
                <w:color w:val="auto"/>
              </w:rPr>
            </w:pPr>
            <w:r>
              <w:rPr>
                <w:rFonts w:ascii="Arial" w:cs="Arial" w:eastAsia="Arial" w:hAnsi="Arial"/>
                <w:sz w:val="16"/>
                <w:szCs w:val="16"/>
                <w:color w:val="auto"/>
              </w:rPr>
              <w:t>17,500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0.05 %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0.05 %</w:t>
            </w:r>
          </w:p>
        </w:tc>
        <w:tc>
          <w:tcPr>
            <w:tcW w:w="262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de Jonge Schuermans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0.10 %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0.09 %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060" w:type="dxa"/>
            <w:vAlign w:val="bottom"/>
          </w:tcPr>
          <w:p>
            <w:pPr>
              <w:jc w:val="right"/>
              <w:spacing w:after="0"/>
              <w:rPr>
                <w:sz w:val="20"/>
                <w:szCs w:val="20"/>
                <w:color w:val="auto"/>
              </w:rPr>
            </w:pPr>
            <w:r>
              <w:rPr>
                <w:rFonts w:ascii="Arial" w:cs="Arial" w:eastAsia="Arial" w:hAnsi="Arial"/>
                <w:sz w:val="16"/>
                <w:szCs w:val="16"/>
                <w:color w:val="auto"/>
              </w:rPr>
              <w:t>115,000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17.43</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0.34 %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0.31 %</w:t>
            </w:r>
          </w:p>
        </w:tc>
        <w:tc>
          <w:tcPr>
            <w:tcW w:w="2620" w:type="dxa"/>
            <w:vAlign w:val="bottom"/>
          </w:tcPr>
          <w:p>
            <w:pPr>
              <w:jc w:val="right"/>
              <w:spacing w:after="0"/>
              <w:rPr>
                <w:sz w:val="20"/>
                <w:szCs w:val="20"/>
                <w:color w:val="auto"/>
              </w:rPr>
            </w:pPr>
            <w:r>
              <w:rPr>
                <w:rFonts w:ascii="Arial" w:cs="Arial" w:eastAsia="Arial" w:hAnsi="Arial"/>
                <w:sz w:val="16"/>
                <w:szCs w:val="16"/>
                <w:color w:val="auto"/>
              </w:rPr>
              <w:t>July 1,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Souverijns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0.19 %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0.18 %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Mr. Schikan</w:t>
            </w:r>
          </w:p>
        </w:tc>
        <w:tc>
          <w:tcPr>
            <w:tcW w:w="1060" w:type="dxa"/>
            <w:vAlign w:val="bottom"/>
          </w:tcPr>
          <w:p>
            <w:pPr>
              <w:jc w:val="right"/>
              <w:spacing w:after="0"/>
              <w:rPr>
                <w:sz w:val="20"/>
                <w:szCs w:val="20"/>
                <w:color w:val="auto"/>
              </w:rPr>
            </w:pPr>
            <w:r>
              <w:rPr>
                <w:rFonts w:ascii="Arial" w:cs="Arial" w:eastAsia="Arial" w:hAnsi="Arial"/>
                <w:sz w:val="16"/>
                <w:szCs w:val="16"/>
                <w:color w:val="auto"/>
              </w:rPr>
              <w:t>35,000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0.10 %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0.09 %</w:t>
            </w:r>
          </w:p>
        </w:tc>
        <w:tc>
          <w:tcPr>
            <w:tcW w:w="262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Schikan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0.05 %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0.05 %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580" w:type="dxa"/>
            <w:vAlign w:val="bottom"/>
          </w:tcPr>
          <w:p>
            <w:pPr>
              <w:ind w:left="20"/>
              <w:spacing w:after="0"/>
              <w:rPr>
                <w:sz w:val="20"/>
                <w:szCs w:val="20"/>
                <w:color w:val="auto"/>
              </w:rPr>
            </w:pPr>
            <w:r>
              <w:rPr>
                <w:rFonts w:ascii="Arial" w:cs="Arial" w:eastAsia="Arial" w:hAnsi="Arial"/>
                <w:sz w:val="16"/>
                <w:szCs w:val="16"/>
                <w:color w:val="auto"/>
              </w:rPr>
              <w:t>Ms. Nijdam</w:t>
            </w:r>
          </w:p>
        </w:tc>
        <w:tc>
          <w:tcPr>
            <w:tcW w:w="1060" w:type="dxa"/>
            <w:vAlign w:val="bottom"/>
          </w:tcPr>
          <w:p>
            <w:pPr>
              <w:jc w:val="right"/>
              <w:spacing w:after="0"/>
              <w:rPr>
                <w:sz w:val="20"/>
                <w:szCs w:val="20"/>
                <w:color w:val="auto"/>
              </w:rPr>
            </w:pPr>
            <w:r>
              <w:rPr>
                <w:rFonts w:ascii="Arial" w:cs="Arial" w:eastAsia="Arial" w:hAnsi="Arial"/>
                <w:sz w:val="16"/>
                <w:szCs w:val="16"/>
                <w:color w:val="auto"/>
              </w:rPr>
              <w:t>30,000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0.09 %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0.08 %</w:t>
            </w:r>
          </w:p>
        </w:tc>
        <w:tc>
          <w:tcPr>
            <w:tcW w:w="262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Schmidt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0.35 %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0.32 %</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June 1, 2032</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17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2016, the Company adopted the Pharvaris B.V. 2016 Equity Incentive Plan, or the 2016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2016 Plan was amended and restated in connection with our initial public offering. As of March 10, 2023, there were no shares available for issuance under the 2016 Plan.</w:t>
      </w:r>
    </w:p>
    <w:p>
      <w:pPr>
        <w:spacing w:after="0" w:line="152"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The 2016 Plan provided for the grant of options, stock appreciation rights, restricted stock, restricted stock units, or RSUs, performance stock awards, performance cash awards, and other stock-based awards.</w:t>
      </w:r>
    </w:p>
    <w:p>
      <w:pPr>
        <w:spacing w:after="0" w:line="116" w:lineRule="exact"/>
        <w:rPr>
          <w:sz w:val="20"/>
          <w:szCs w:val="20"/>
          <w:color w:val="auto"/>
        </w:rPr>
      </w:pPr>
    </w:p>
    <w:p>
      <w:pPr>
        <w:ind w:right="380" w:firstLine="458"/>
        <w:spacing w:after="0" w:line="264" w:lineRule="auto"/>
        <w:rPr>
          <w:sz w:val="20"/>
          <w:szCs w:val="20"/>
          <w:color w:val="auto"/>
        </w:rPr>
      </w:pPr>
      <w:r>
        <w:rPr>
          <w:rFonts w:ascii="Arial" w:cs="Arial" w:eastAsia="Arial" w:hAnsi="Arial"/>
          <w:sz w:val="16"/>
          <w:szCs w:val="16"/>
          <w:color w:val="auto"/>
        </w:rPr>
        <w:t>In connection with the consummation of our initial public offering, we granted our executive officers and directors stock options to purchase an aggregate of 873,000 ordinary shares in accordance with the terms of the 2016 Plan and the terms and conditions of award agreements evidencing such grants. The exercise price per share was the initial public offering price per share.</w:t>
      </w:r>
    </w:p>
    <w:p>
      <w:pPr>
        <w:spacing w:after="0" w:line="144" w:lineRule="exact"/>
        <w:rPr>
          <w:sz w:val="20"/>
          <w:szCs w:val="20"/>
          <w:color w:val="auto"/>
        </w:rPr>
      </w:pPr>
    </w:p>
    <w:p>
      <w:pPr>
        <w:ind w:left="140" w:right="400" w:firstLine="458"/>
        <w:spacing w:after="0" w:line="283" w:lineRule="auto"/>
        <w:rPr>
          <w:sz w:val="20"/>
          <w:szCs w:val="20"/>
          <w:color w:val="auto"/>
        </w:rPr>
      </w:pPr>
      <w:r>
        <w:rPr>
          <w:rFonts w:ascii="Arial" w:cs="Arial" w:eastAsia="Arial" w:hAnsi="Arial"/>
          <w:sz w:val="16"/>
          <w:szCs w:val="16"/>
          <w:color w:val="auto"/>
        </w:rPr>
        <w:t>As of March 10, 2023, the total number of options held by the Board and Senior Management and other employees is 2,769,000 with a weighted average exercise price of €15,62 per share.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10, 2023, the total number of RSUs held by Senior Management and other employees is 115,618.</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176"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 The 2021 Plan is intended to help us secure and retain the services of eligible award</w:t>
      </w:r>
    </w:p>
    <w:p>
      <w:pPr>
        <w:sectPr>
          <w:pgSz w:w="11900" w:h="16838" w:orient="portrait"/>
          <w:cols w:equalWidth="0" w:num="1">
            <w:col w:w="11240"/>
          </w:cols>
          <w:pgMar w:left="320" w:top="125"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recipients, provide incentives for such persons to exert maximum efforts for our success and provide a means by which eligible recipients may benefit from increases in the value of our ordinary shares. Subject to adjustment in the event of certain transactions or changes of capitalization in accordance with the 2021 Plan, ordinary shares equal to 9% of the Company’s issued share capital as of the date of the consummation of the IPO were initially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Senior Management</w:t>
      </w:r>
    </w:p>
    <w:p>
      <w:pPr>
        <w:spacing w:after="0" w:line="178"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We have entered into written employment or service agreements with each member of our Senior Management. See “ITEM 7. MAJOR SHAREHOLDERS AND RELATED PARTY TRANSACTIONS—B. Related party transactions —Agreements and Arrangements with Senior Management”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 Contracts</w:t>
      </w:r>
    </w:p>
    <w:p>
      <w:pPr>
        <w:spacing w:after="0" w:line="191" w:lineRule="exact"/>
        <w:rPr>
          <w:sz w:val="20"/>
          <w:szCs w:val="20"/>
          <w:color w:val="auto"/>
        </w:rPr>
      </w:pPr>
    </w:p>
    <w:p>
      <w:pPr>
        <w:ind w:right="480" w:firstLine="458"/>
        <w:spacing w:after="0" w:line="264" w:lineRule="auto"/>
        <w:rPr>
          <w:sz w:val="20"/>
          <w:szCs w:val="20"/>
          <w:color w:val="auto"/>
        </w:rPr>
      </w:pPr>
      <w:r>
        <w:rPr>
          <w:rFonts w:ascii="Arial" w:cs="Arial" w:eastAsia="Arial" w:hAnsi="Arial"/>
          <w:sz w:val="16"/>
          <w:szCs w:val="16"/>
          <w:color w:val="auto"/>
        </w:rPr>
        <w:t>We have entered into service contracts with Dr. Björk, Dr.de Jonge Schuermans, Dr. Glassman, Dr. Meeker, Ms. Monges, and Mr. Schikan that memorialize the terms of their compensation, duties and obligations to the Company. See “ITEM 7. MAJOR SHAREHOLDERS AND RELATED PARTY TRANSACTIONS—B. Related party transactions —Agreements and Arrangements with our Directors”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178" w:lineRule="exact"/>
        <w:rPr>
          <w:sz w:val="20"/>
          <w:szCs w:val="20"/>
          <w:color w:val="auto"/>
        </w:rPr>
      </w:pPr>
    </w:p>
    <w:p>
      <w:pPr>
        <w:jc w:val="both"/>
        <w:ind w:right="20" w:firstLine="458"/>
        <w:spacing w:after="0" w:line="264" w:lineRule="auto"/>
        <w:rPr>
          <w:sz w:val="20"/>
          <w:szCs w:val="20"/>
          <w:color w:val="auto"/>
        </w:rPr>
      </w:pPr>
      <w:r>
        <w:rPr>
          <w:rFonts w:ascii="Arial" w:cs="Arial" w:eastAsia="Arial" w:hAnsi="Arial"/>
          <w:sz w:val="16"/>
          <w:szCs w:val="16"/>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w:t>
      </w:r>
    </w:p>
    <w:p>
      <w:pPr>
        <w:spacing w:after="0" w:line="144" w:lineRule="exact"/>
        <w:rPr>
          <w:sz w:val="20"/>
          <w:szCs w:val="20"/>
          <w:color w:val="auto"/>
        </w:rPr>
      </w:pPr>
    </w:p>
    <w:p>
      <w:pPr>
        <w:ind w:right="600" w:firstLine="458"/>
        <w:spacing w:after="0" w:line="283" w:lineRule="auto"/>
        <w:rPr>
          <w:sz w:val="20"/>
          <w:szCs w:val="20"/>
          <w:color w:val="auto"/>
        </w:rPr>
      </w:pPr>
      <w:r>
        <w:rPr>
          <w:rFonts w:ascii="Arial" w:cs="Arial" w:eastAsia="Arial" w:hAnsi="Arial"/>
          <w:sz w:val="16"/>
          <w:szCs w:val="16"/>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16" w:lineRule="exact"/>
        <w:rPr>
          <w:sz w:val="20"/>
          <w:szCs w:val="20"/>
          <w:color w:val="auto"/>
        </w:rPr>
      </w:pPr>
    </w:p>
    <w:p>
      <w:pPr>
        <w:ind w:right="20" w:firstLine="458"/>
        <w:spacing w:after="0" w:line="247"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Dutch Corporate Governance</w:t>
      </w:r>
    </w:p>
    <w:p>
      <w:pPr>
        <w:spacing w:after="0" w:line="19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As a listed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annual reports whether they comply with the provisions of the DCGC. If a company subject to the DCGC does not comply with these provisions, that company would be required to give reason for such non-compliance. We do not comply with all best practice provisions of the DCGC. As of the date of this prospectus, our main from the DCGC are summarized below, but we cannot exclude the possibility of deviating from additional provisions of the DCGC after the date hereof and including in order to follow market practice or governance practices in the United States.</w:t>
      </w:r>
    </w:p>
    <w:p>
      <w:pPr>
        <w:spacing w:after="0" w:line="14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39" w:lineRule="exact"/>
        <w:rPr>
          <w:sz w:val="20"/>
          <w:szCs w:val="20"/>
          <w:color w:val="auto"/>
        </w:rPr>
      </w:pPr>
    </w:p>
    <w:p>
      <w:pPr>
        <w:ind w:right="360" w:firstLine="458"/>
        <w:spacing w:after="0" w:line="283" w:lineRule="auto"/>
        <w:rPr>
          <w:sz w:val="20"/>
          <w:szCs w:val="20"/>
          <w:color w:val="auto"/>
        </w:rPr>
      </w:pPr>
      <w:r>
        <w:rPr>
          <w:rFonts w:ascii="Arial" w:cs="Arial" w:eastAsia="Arial" w:hAnsi="Arial"/>
          <w:sz w:val="16"/>
          <w:szCs w:val="16"/>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half of the issued share capital. The DCGC recommends that the general meeting can pass a resolution to dismiss a director by simple majority, representing no more than one-third of the issued share capital.</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 practice, we have granted equity awards to our non-executive directors.</w:t>
      </w:r>
    </w:p>
    <w:p>
      <w:pPr>
        <w:spacing w:after="0" w:line="162" w:lineRule="exact"/>
        <w:rPr>
          <w:sz w:val="20"/>
          <w:szCs w:val="20"/>
          <w:color w:val="auto"/>
        </w:rPr>
      </w:pPr>
    </w:p>
    <w:p>
      <w:pPr>
        <w:ind w:right="160" w:firstLine="458"/>
        <w:spacing w:after="0" w:line="264" w:lineRule="auto"/>
        <w:rPr>
          <w:sz w:val="20"/>
          <w:szCs w:val="20"/>
          <w:color w:val="auto"/>
        </w:rPr>
      </w:pPr>
      <w:r>
        <w:rPr>
          <w:rFonts w:ascii="Arial" w:cs="Arial" w:eastAsia="Arial" w:hAnsi="Arial"/>
          <w:sz w:val="16"/>
          <w:szCs w:val="16"/>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30" w:lineRule="exact"/>
        <w:rPr>
          <w:sz w:val="20"/>
          <w:szCs w:val="20"/>
          <w:color w:val="auto"/>
        </w:rPr>
      </w:pPr>
    </w:p>
    <w:p>
      <w:pPr>
        <w:ind w:left="920" w:hanging="463"/>
        <w:spacing w:after="0"/>
        <w:tabs>
          <w:tab w:leader="none" w:pos="92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w:t>
      </w:r>
    </w:p>
    <w:p>
      <w:pPr>
        <w:spacing w:after="0" w:line="19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Board Structure</w:t>
      </w:r>
    </w:p>
    <w:p>
      <w:pPr>
        <w:spacing w:after="0" w:line="178"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The Board is charged with the management of the Company, which includes setting the Company's strategy, subject to the restrictions contained in our Articles of Association. The executive director manages our day-to-day business and operations and implement our strategy. The non-executive directors focus on the supervision of the policy and functioning of the performance of the duties of all directors and our general state of affairs. The directors may divide their tasks among themselves in or pursuant to internal rules.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Our Board is entitled to represent the Company. The power to represent the Company also vests in our chief executive officer, as well as in any other two executive directors acting jointly. Any resolution of the Board regarding a material change in our identity or character, as defined under Dutch law, requires approval of our general meeting. The absence of the approval of the general meeting shall result in the relevant resolution being null and void but shall not affect the powers of representation of the Board or of the executive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may consist of one or more executive directors and one or more non-executive directors. The Board shall be composed of individuals.</w:t>
      </w:r>
    </w:p>
    <w:p>
      <w:pPr>
        <w:spacing w:after="0" w:line="19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based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37"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30"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52"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The Board may also suspend, but may not remove, an executive director. The Articles of Association do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17" w:lineRule="exact"/>
        <w:rPr>
          <w:sz w:val="20"/>
          <w:szCs w:val="20"/>
          <w:color w:val="auto"/>
        </w:rPr>
      </w:pPr>
    </w:p>
    <w:p>
      <w:pPr>
        <w:ind w:left="900" w:right="280" w:hanging="443"/>
        <w:spacing w:after="0" w:line="282" w:lineRule="auto"/>
        <w:tabs>
          <w:tab w:leader="none" w:pos="90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they may serve; and</w:t>
      </w:r>
    </w:p>
    <w:p>
      <w:pPr>
        <w:spacing w:after="0" w:line="103" w:lineRule="exact"/>
        <w:rPr>
          <w:rFonts w:ascii="Times New Roman" w:cs="Times New Roman" w:eastAsia="Times New Roman" w:hAnsi="Times New Roman"/>
          <w:sz w:val="16"/>
          <w:szCs w:val="16"/>
          <w:color w:val="auto"/>
        </w:rPr>
      </w:pPr>
    </w:p>
    <w:p>
      <w:pPr>
        <w:ind w:left="900" w:right="120" w:hanging="443"/>
        <w:spacing w:after="0" w:line="263" w:lineRule="auto"/>
        <w:tabs>
          <w:tab w:leader="none" w:pos="90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of the reasons for any reappointment after an eight-year term of office should be disclosed in the Company’s statutory annual Board report.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Diversity and Election of Directors</w:t>
      </w:r>
    </w:p>
    <w:p>
      <w:pPr>
        <w:spacing w:after="0" w:line="178"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Our Board is comprised of seven members, one of whom is an executive director. The members of our Board do not have a retirement age requirement under our Articles of Association. No family relationships or other arrangements exist among any member of our Board or Senior Management.</w:t>
      </w:r>
    </w:p>
    <w:p>
      <w:pPr>
        <w:spacing w:after="0" w:line="129" w:lineRule="exact"/>
        <w:rPr>
          <w:sz w:val="20"/>
          <w:szCs w:val="20"/>
          <w:color w:val="auto"/>
        </w:rPr>
      </w:pPr>
    </w:p>
    <w:p>
      <w:pPr>
        <w:ind w:right="340" w:firstLine="458"/>
        <w:spacing w:after="0" w:line="254" w:lineRule="auto"/>
        <w:rPr>
          <w:sz w:val="20"/>
          <w:szCs w:val="20"/>
          <w:color w:val="auto"/>
        </w:rPr>
      </w:pPr>
      <w:r>
        <w:rPr>
          <w:rFonts w:ascii="Arial" w:cs="Arial" w:eastAsia="Arial" w:hAnsi="Arial"/>
          <w:sz w:val="16"/>
          <w:szCs w:val="16"/>
          <w:color w:val="auto"/>
        </w:rPr>
        <w:t>Our diversity policy is that we will balance our Board in terms of gender, age, background and nationality as much as reasonably possible while still having our board composed of the best possible candidates overall. It has been and will remain our priority to have the best available specialists on our Board, irrespective of age, background, nationality and gender, who make a balanced panel of directors able to advise and guide our Company to further growth and success for all its stakeholders. This means we require a number of specialties and character traits to be present. Taking into account the aforementioned and the specialist nature of our business, we will actively seek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further improve diversity on our board if and when proposing new appointments to our Board, whilst acknowledging that age, gender and nationality are important, but not the only factors relevant for the ultimate decision to select a board member. The table below provides information as to the gender diversity of our Board. Dutch law prohibits us from gathering and disclosing demographic background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225425</wp:posOffset>
            </wp:positionV>
            <wp:extent cx="6405245" cy="1746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05245" cy="174625"/>
                    </a:xfrm>
                    <a:prstGeom prst="rect">
                      <a:avLst/>
                    </a:prstGeom>
                    <a:noFill/>
                  </pic:spPr>
                </pic:pic>
              </a:graphicData>
            </a:graphic>
          </wp:anchor>
        </w:drawing>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Board Diversity Matrix (As of April 5,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Country of Principal Executive Offices:</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 Netherlands</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Foreign Private Issuer</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Yes</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Disclosure Prohibited under Home Country Law</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Yes</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Number of Directors</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shd w:val="clear" w:color="auto" w:fill="D9D9D9"/>
          </w:tcPr>
          <w:p>
            <w:pPr>
              <w:spacing w:after="0"/>
              <w:rPr>
                <w:sz w:val="16"/>
                <w:szCs w:val="16"/>
                <w:color w:val="auto"/>
              </w:rPr>
            </w:pPr>
          </w:p>
        </w:tc>
        <w:tc>
          <w:tcPr>
            <w:tcW w:w="1380" w:type="dxa"/>
            <w:vAlign w:val="bottom"/>
            <w:tcBorders>
              <w:right w:val="single" w:sz="8" w:color="auto"/>
            </w:tcBorders>
            <w:vMerge w:val="restart"/>
            <w:shd w:val="clear" w:color="auto" w:fill="D9D9D9"/>
          </w:tcPr>
          <w:p>
            <w:pPr>
              <w:ind w:left="400"/>
              <w:spacing w:after="0"/>
              <w:rPr>
                <w:sz w:val="20"/>
                <w:szCs w:val="20"/>
                <w:color w:val="auto"/>
              </w:rPr>
            </w:pPr>
            <w:r>
              <w:rPr>
                <w:rFonts w:ascii="Arial" w:cs="Arial" w:eastAsia="Arial" w:hAnsi="Arial"/>
                <w:sz w:val="16"/>
                <w:szCs w:val="16"/>
                <w:b w:val="1"/>
                <w:bCs w:val="1"/>
                <w:color w:val="auto"/>
              </w:rPr>
              <w:t>Female</w:t>
            </w:r>
          </w:p>
        </w:tc>
        <w:tc>
          <w:tcPr>
            <w:tcW w:w="1060" w:type="dxa"/>
            <w:vAlign w:val="bottom"/>
            <w:vMerge w:val="restart"/>
            <w:shd w:val="clear" w:color="auto" w:fill="D9D9D9"/>
          </w:tcPr>
          <w:p>
            <w:pPr>
              <w:jc w:val="center"/>
              <w:ind w:left="180"/>
              <w:spacing w:after="0"/>
              <w:rPr>
                <w:sz w:val="20"/>
                <w:szCs w:val="20"/>
                <w:color w:val="auto"/>
              </w:rPr>
            </w:pPr>
            <w:r>
              <w:rPr>
                <w:rFonts w:ascii="Arial" w:cs="Arial" w:eastAsia="Arial" w:hAnsi="Arial"/>
                <w:sz w:val="16"/>
                <w:szCs w:val="16"/>
                <w:b w:val="1"/>
                <w:bCs w:val="1"/>
                <w:color w:val="auto"/>
              </w:rPr>
              <w:t>Male</w:t>
            </w:r>
          </w:p>
        </w:tc>
        <w:tc>
          <w:tcPr>
            <w:tcW w:w="280" w:type="dxa"/>
            <w:vAlign w:val="bottom"/>
            <w:tcBorders>
              <w:right w:val="single" w:sz="8" w:color="auto"/>
            </w:tcBorders>
            <w:shd w:val="clear" w:color="auto" w:fill="D9D9D9"/>
          </w:tcPr>
          <w:p>
            <w:pPr>
              <w:spacing w:after="0"/>
              <w:rPr>
                <w:sz w:val="16"/>
                <w:szCs w:val="16"/>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Non-Binary</w:t>
            </w:r>
          </w:p>
        </w:tc>
        <w:tc>
          <w:tcPr>
            <w:tcW w:w="13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Did Not Disclose</w:t>
            </w:r>
          </w:p>
        </w:tc>
        <w:tc>
          <w:tcPr>
            <w:tcW w:w="0" w:type="dxa"/>
            <w:vAlign w:val="bottom"/>
          </w:tcPr>
          <w:p>
            <w:pPr>
              <w:spacing w:after="0"/>
              <w:rPr>
                <w:sz w:val="1"/>
                <w:szCs w:val="1"/>
                <w:color w:val="auto"/>
              </w:rPr>
            </w:pPr>
          </w:p>
        </w:tc>
      </w:tr>
      <w:tr>
        <w:trPr>
          <w:trHeight w:val="128"/>
        </w:trPr>
        <w:tc>
          <w:tcPr>
            <w:tcW w:w="620" w:type="dxa"/>
            <w:vAlign w:val="bottom"/>
            <w:tcBorders>
              <w:right w:val="single" w:sz="8" w:color="auto"/>
            </w:tcBorders>
          </w:tcPr>
          <w:p>
            <w:pPr>
              <w:spacing w:after="0"/>
              <w:rPr>
                <w:sz w:val="11"/>
                <w:szCs w:val="11"/>
                <w:color w:val="auto"/>
              </w:rPr>
            </w:pPr>
          </w:p>
        </w:tc>
        <w:tc>
          <w:tcPr>
            <w:tcW w:w="4620" w:type="dxa"/>
            <w:vAlign w:val="bottom"/>
            <w:tcBorders>
              <w:right w:val="single" w:sz="8" w:color="auto"/>
            </w:tcBorders>
            <w:shd w:val="clear" w:color="auto" w:fill="D9D9D9"/>
          </w:tcPr>
          <w:p>
            <w:pPr>
              <w:spacing w:after="0"/>
              <w:rPr>
                <w:sz w:val="11"/>
                <w:szCs w:val="11"/>
                <w:color w:val="auto"/>
              </w:rPr>
            </w:pPr>
          </w:p>
        </w:tc>
        <w:tc>
          <w:tcPr>
            <w:tcW w:w="1380" w:type="dxa"/>
            <w:vAlign w:val="bottom"/>
            <w:tcBorders>
              <w:right w:val="single" w:sz="8" w:color="auto"/>
            </w:tcBorders>
            <w:vMerge w:val="continue"/>
            <w:shd w:val="clear" w:color="auto" w:fill="D9D9D9"/>
          </w:tcPr>
          <w:p>
            <w:pPr>
              <w:spacing w:after="0"/>
              <w:rPr>
                <w:sz w:val="11"/>
                <w:szCs w:val="11"/>
                <w:color w:val="auto"/>
              </w:rPr>
            </w:pPr>
          </w:p>
        </w:tc>
        <w:tc>
          <w:tcPr>
            <w:tcW w:w="1060" w:type="dxa"/>
            <w:vAlign w:val="bottom"/>
            <w:vMerge w:val="continue"/>
            <w:shd w:val="clear" w:color="auto" w:fill="D9D9D9"/>
          </w:tcPr>
          <w:p>
            <w:pPr>
              <w:spacing w:after="0"/>
              <w:rPr>
                <w:sz w:val="11"/>
                <w:szCs w:val="11"/>
                <w:color w:val="auto"/>
              </w:rPr>
            </w:pPr>
          </w:p>
        </w:tc>
        <w:tc>
          <w:tcPr>
            <w:tcW w:w="280" w:type="dxa"/>
            <w:vAlign w:val="bottom"/>
            <w:tcBorders>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Gender</w:t>
            </w: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4620" w:type="dxa"/>
            <w:vAlign w:val="bottom"/>
            <w:tcBorders>
              <w:right w:val="single" w:sz="8" w:color="auto"/>
            </w:tcBorders>
            <w:shd w:val="clear" w:color="auto" w:fill="D9D9D9"/>
          </w:tcPr>
          <w:p>
            <w:pPr>
              <w:spacing w:after="0"/>
              <w:rPr>
                <w:sz w:val="8"/>
                <w:szCs w:val="8"/>
                <w:color w:val="auto"/>
              </w:rPr>
            </w:pPr>
          </w:p>
        </w:tc>
        <w:tc>
          <w:tcPr>
            <w:tcW w:w="1380" w:type="dxa"/>
            <w:vAlign w:val="bottom"/>
            <w:tcBorders>
              <w:right w:val="single" w:sz="8" w:color="auto"/>
            </w:tcBorders>
            <w:shd w:val="clear" w:color="auto" w:fill="D9D9D9"/>
          </w:tcPr>
          <w:p>
            <w:pPr>
              <w:spacing w:after="0"/>
              <w:rPr>
                <w:sz w:val="8"/>
                <w:szCs w:val="8"/>
                <w:color w:val="auto"/>
              </w:rPr>
            </w:pPr>
          </w:p>
        </w:tc>
        <w:tc>
          <w:tcPr>
            <w:tcW w:w="1060" w:type="dxa"/>
            <w:vAlign w:val="bottom"/>
            <w:shd w:val="clear" w:color="auto" w:fill="D9D9D9"/>
          </w:tcPr>
          <w:p>
            <w:pPr>
              <w:spacing w:after="0"/>
              <w:rPr>
                <w:sz w:val="8"/>
                <w:szCs w:val="8"/>
                <w:color w:val="auto"/>
              </w:rPr>
            </w:pPr>
          </w:p>
        </w:tc>
        <w:tc>
          <w:tcPr>
            <w:tcW w:w="280" w:type="dxa"/>
            <w:vAlign w:val="bottom"/>
            <w:tcBorders>
              <w:right w:val="single" w:sz="8" w:color="auto"/>
            </w:tcBorders>
            <w:shd w:val="clear" w:color="auto" w:fill="D9D9D9"/>
          </w:tcPr>
          <w:p>
            <w:pPr>
              <w:spacing w:after="0"/>
              <w:rPr>
                <w:sz w:val="8"/>
                <w:szCs w:val="8"/>
                <w:color w:val="auto"/>
              </w:rPr>
            </w:pPr>
          </w:p>
        </w:tc>
        <w:tc>
          <w:tcPr>
            <w:tcW w:w="1360" w:type="dxa"/>
            <w:vAlign w:val="bottom"/>
            <w:tcBorders>
              <w:right w:val="single" w:sz="8" w:color="auto"/>
            </w:tcBorders>
            <w:shd w:val="clear" w:color="auto" w:fill="D9D9D9"/>
          </w:tcPr>
          <w:p>
            <w:pPr>
              <w:spacing w:after="0"/>
              <w:rPr>
                <w:sz w:val="8"/>
                <w:szCs w:val="8"/>
                <w:color w:val="auto"/>
              </w:rPr>
            </w:pPr>
          </w:p>
        </w:tc>
        <w:tc>
          <w:tcPr>
            <w:tcW w:w="13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20" w:type="dxa"/>
            <w:vAlign w:val="bottom"/>
            <w:tcBorders>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shd w:val="clear" w:color="auto" w:fill="D9D9D9"/>
          </w:tcPr>
          <w:p>
            <w:pPr>
              <w:spacing w:after="0"/>
              <w:rPr>
                <w:sz w:val="19"/>
                <w:szCs w:val="19"/>
                <w:color w:val="auto"/>
              </w:rPr>
            </w:pPr>
          </w:p>
        </w:tc>
        <w:tc>
          <w:tcPr>
            <w:tcW w:w="1380" w:type="dxa"/>
            <w:vAlign w:val="bottom"/>
            <w:tcBorders>
              <w:bottom w:val="single" w:sz="8" w:color="auto"/>
              <w:right w:val="single" w:sz="8" w:color="auto"/>
            </w:tcBorders>
            <w:shd w:val="clear" w:color="auto" w:fill="D9D9D9"/>
          </w:tcPr>
          <w:p>
            <w:pPr>
              <w:spacing w:after="0"/>
              <w:rPr>
                <w:sz w:val="19"/>
                <w:szCs w:val="19"/>
                <w:color w:val="auto"/>
              </w:rPr>
            </w:pPr>
          </w:p>
        </w:tc>
        <w:tc>
          <w:tcPr>
            <w:tcW w:w="1060" w:type="dxa"/>
            <w:vAlign w:val="bottom"/>
            <w:tcBorders>
              <w:bottom w:val="single" w:sz="8" w:color="auto"/>
            </w:tcBorders>
            <w:shd w:val="clear" w:color="auto" w:fill="D9D9D9"/>
          </w:tcPr>
          <w:p>
            <w:pPr>
              <w:spacing w:after="0"/>
              <w:rPr>
                <w:sz w:val="19"/>
                <w:szCs w:val="19"/>
                <w:color w:val="auto"/>
              </w:rPr>
            </w:pPr>
          </w:p>
        </w:tc>
        <w:tc>
          <w:tcPr>
            <w:tcW w:w="280" w:type="dxa"/>
            <w:vAlign w:val="bottom"/>
            <w:tcBorders>
              <w:bottom w:val="single" w:sz="8" w:color="auto"/>
              <w:right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Part I: Gender Identity</w:t>
            </w:r>
          </w:p>
        </w:tc>
        <w:tc>
          <w:tcPr>
            <w:tcW w:w="1380" w:type="dxa"/>
            <w:vAlign w:val="bottom"/>
            <w:tcBorders>
              <w:bottom w:val="single" w:sz="8" w:color="auto"/>
              <w:right w:val="single" w:sz="8" w:color="D9D9D9"/>
            </w:tcBorders>
            <w:shd w:val="clear" w:color="auto" w:fill="D9D9D9"/>
          </w:tcPr>
          <w:p>
            <w:pPr>
              <w:spacing w:after="0"/>
              <w:rPr>
                <w:sz w:val="20"/>
                <w:szCs w:val="20"/>
                <w:color w:val="auto"/>
              </w:rPr>
            </w:pPr>
          </w:p>
        </w:tc>
        <w:tc>
          <w:tcPr>
            <w:tcW w:w="1060" w:type="dxa"/>
            <w:vAlign w:val="bottom"/>
            <w:tcBorders>
              <w:bottom w:val="single" w:sz="8" w:color="auto"/>
            </w:tcBorders>
            <w:shd w:val="clear" w:color="auto" w:fill="D9D9D9"/>
          </w:tcPr>
          <w:p>
            <w:pPr>
              <w:spacing w:after="0"/>
              <w:rPr>
                <w:sz w:val="20"/>
                <w:szCs w:val="20"/>
                <w:color w:val="auto"/>
              </w:rPr>
            </w:pPr>
          </w:p>
        </w:tc>
        <w:tc>
          <w:tcPr>
            <w:tcW w:w="28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Directors</w:t>
            </w:r>
          </w:p>
        </w:tc>
        <w:tc>
          <w:tcPr>
            <w:tcW w:w="13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6"/>
                <w:szCs w:val="16"/>
                <w:b w:val="1"/>
                <w:bCs w:val="1"/>
                <w:color w:val="auto"/>
              </w:rPr>
              <w:t>Part II: Demographic Background</w:t>
            </w:r>
          </w:p>
        </w:tc>
        <w:tc>
          <w:tcPr>
            <w:tcW w:w="1380" w:type="dxa"/>
            <w:vAlign w:val="bottom"/>
            <w:tcBorders>
              <w:bottom w:val="single" w:sz="8" w:color="auto"/>
              <w:right w:val="single" w:sz="8" w:color="D9D9D9"/>
            </w:tcBorders>
            <w:shd w:val="clear" w:color="auto" w:fill="D9D9D9"/>
          </w:tcPr>
          <w:p>
            <w:pPr>
              <w:spacing w:after="0"/>
              <w:rPr>
                <w:sz w:val="20"/>
                <w:szCs w:val="20"/>
                <w:color w:val="auto"/>
              </w:rPr>
            </w:pPr>
          </w:p>
        </w:tc>
        <w:tc>
          <w:tcPr>
            <w:tcW w:w="1060" w:type="dxa"/>
            <w:vAlign w:val="bottom"/>
            <w:tcBorders>
              <w:bottom w:val="single" w:sz="8" w:color="auto"/>
            </w:tcBorders>
            <w:shd w:val="clear" w:color="auto" w:fill="D9D9D9"/>
          </w:tcPr>
          <w:p>
            <w:pPr>
              <w:spacing w:after="0"/>
              <w:rPr>
                <w:sz w:val="20"/>
                <w:szCs w:val="20"/>
                <w:color w:val="auto"/>
              </w:rPr>
            </w:pPr>
          </w:p>
        </w:tc>
        <w:tc>
          <w:tcPr>
            <w:tcW w:w="28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Underrepresented Individual in Home Country Jurisdiction</w:t>
            </w: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LGBTQ+</w:t>
            </w: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Did Not Disclose Demographic Background</w:t>
            </w: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Corporate Governance Practices</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102" w:lineRule="exact"/>
        <w:rPr>
          <w:sz w:val="20"/>
          <w:szCs w:val="20"/>
          <w:color w:val="auto"/>
        </w:rPr>
      </w:pPr>
    </w:p>
    <w:p>
      <w:pPr>
        <w:ind w:left="900" w:right="480" w:hanging="443"/>
        <w:spacing w:after="0" w:line="282"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filing quarterly reports on Form 10-Q and current reports on Form 8-K disclosing significant events within four days of their occurrence.</w:t>
      </w:r>
    </w:p>
    <w:p>
      <w:pPr>
        <w:spacing w:after="0" w:line="103" w:lineRule="exact"/>
        <w:rPr>
          <w:rFonts w:ascii="Times New Roman" w:cs="Times New Roman" w:eastAsia="Times New Roman" w:hAnsi="Times New Roman"/>
          <w:sz w:val="16"/>
          <w:szCs w:val="16"/>
          <w:color w:val="auto"/>
        </w:rPr>
      </w:pPr>
    </w:p>
    <w:p>
      <w:pPr>
        <w:ind w:left="900" w:hanging="443"/>
        <w:spacing w:after="0" w:line="282"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Section 16 rules regarding sales of ordinary shares by insiders, which will provide less data in this regard than to shareholders of U.S. companies that are subject to the Exchange Act.</w:t>
      </w:r>
    </w:p>
    <w:p>
      <w:pPr>
        <w:spacing w:after="0" w:line="103" w:lineRule="exact"/>
        <w:rPr>
          <w:rFonts w:ascii="Times New Roman" w:cs="Times New Roman" w:eastAsia="Times New Roman" w:hAnsi="Times New Roman"/>
          <w:sz w:val="16"/>
          <w:szCs w:val="16"/>
          <w:color w:val="auto"/>
        </w:rPr>
      </w:pPr>
    </w:p>
    <w:p>
      <w:pPr>
        <w:ind w:left="900" w:right="220" w:hanging="443"/>
        <w:spacing w:after="0" w:line="282"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03" w:lineRule="exact"/>
        <w:rPr>
          <w:rFonts w:ascii="Times New Roman" w:cs="Times New Roman" w:eastAsia="Times New Roman" w:hAnsi="Times New Roman"/>
          <w:sz w:val="16"/>
          <w:szCs w:val="16"/>
          <w:color w:val="auto"/>
        </w:rPr>
      </w:pPr>
    </w:p>
    <w:p>
      <w:pPr>
        <w:ind w:left="900" w:hanging="443"/>
        <w:spacing w:after="0" w:line="282"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provide in our bylaws for a generally applicable quorum and that such quorum not be less than one-third of the outstanding voting stock.</w:t>
      </w:r>
    </w:p>
    <w:p>
      <w:pPr>
        <w:spacing w:after="0" w:line="103" w:lineRule="exact"/>
        <w:rPr>
          <w:rFonts w:ascii="Times New Roman" w:cs="Times New Roman" w:eastAsia="Times New Roman" w:hAnsi="Times New Roman"/>
          <w:sz w:val="16"/>
          <w:szCs w:val="16"/>
          <w:color w:val="auto"/>
        </w:rPr>
      </w:pPr>
    </w:p>
    <w:p>
      <w:pPr>
        <w:ind w:left="900" w:right="20" w:hanging="443"/>
        <w:spacing w:after="0" w:line="282"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solicit proxies and provide proxy statements for all meetings of Shareholders and shall provide copies of such proxy solicitation to Nasdaq.</w:t>
      </w:r>
    </w:p>
    <w:p>
      <w:pPr>
        <w:spacing w:after="0" w:line="103" w:lineRule="exact"/>
        <w:rPr>
          <w:rFonts w:ascii="Times New Roman" w:cs="Times New Roman" w:eastAsia="Times New Roman" w:hAnsi="Times New Roman"/>
          <w:sz w:val="16"/>
          <w:szCs w:val="16"/>
          <w:color w:val="auto"/>
        </w:rPr>
      </w:pPr>
    </w:p>
    <w:p>
      <w:pPr>
        <w:ind w:left="900" w:right="100" w:hanging="443"/>
        <w:spacing w:after="0" w:line="263"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45"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Nasdaq Rule 5615(a)(3) provides that a foreign private issuer may rely on home country corporate governance practices in lieu of certain of the rules in the Nasdaq Rule 5600 Series, Rule 5250(b)(3) and Rule 5250(d).</w:t>
      </w:r>
    </w:p>
    <w:p>
      <w:pPr>
        <w:spacing w:after="0" w:line="116"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16"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3" w:lineRule="exact"/>
        <w:rPr>
          <w:sz w:val="20"/>
          <w:szCs w:val="20"/>
          <w:color w:val="auto"/>
        </w:rPr>
      </w:pPr>
    </w:p>
    <w:p>
      <w:pPr>
        <w:ind w:right="40" w:firstLine="458"/>
        <w:spacing w:after="0" w:line="244" w:lineRule="auto"/>
        <w:rPr>
          <w:sz w:val="20"/>
          <w:szCs w:val="20"/>
          <w:color w:val="auto"/>
        </w:rPr>
      </w:pPr>
      <w:r>
        <w:rPr>
          <w:rFonts w:ascii="Arial" w:cs="Arial" w:eastAsia="Arial" w:hAnsi="Arial"/>
          <w:sz w:val="16"/>
          <w:szCs w:val="16"/>
          <w:color w:val="auto"/>
        </w:rPr>
        <w:t>The audit committee, which consists of Dr. de Jonge Schuermans, Mr. Schikan, and Ms. Monges, assists the Board in overseeing our accounting and financial reporting processes and the audits of our financial statements. Ms. Monges serves as Chair of the Audit Committee. In addition, the audit committee is responsible for the appointment, compensation, retention and oversight of the work of our independent registered public accounting firm. Our Board has determined that Dr. de Jonge Schuermans</w:t>
      </w:r>
      <w:r>
        <w:rPr>
          <w:rFonts w:ascii="Arial" w:cs="Arial" w:eastAsia="Arial" w:hAnsi="Arial"/>
          <w:sz w:val="21"/>
          <w:szCs w:val="21"/>
          <w:color w:val="auto"/>
          <w:vertAlign w:val="superscript"/>
        </w:rPr>
        <w:t>[1]</w:t>
      </w:r>
      <w:r>
        <w:rPr>
          <w:rFonts w:ascii="Arial" w:cs="Arial" w:eastAsia="Arial" w:hAnsi="Arial"/>
          <w:sz w:val="16"/>
          <w:szCs w:val="16"/>
          <w:color w:val="auto"/>
        </w:rPr>
        <w:t>, Mr. Schikan and Ms. Monges satisfy the “independence” requirements set forth in the Nasdaq listing standards and Rule 10A-3 under the Exchange Act. Our Board has determined that Mr. Schikan and Ms. Monges qualify as “audit committee financial experts,” as such term is defined in the rules of the SEC.</w:t>
      </w:r>
    </w:p>
    <w:p>
      <w:pPr>
        <w:sectPr>
          <w:pgSz w:w="11900" w:h="16838" w:orient="portrait"/>
          <w:cols w:equalWidth="0" w:num="1">
            <w:col w:w="11200"/>
          </w:cols>
          <w:pgMar w:left="320" w:top="125" w:right="37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89" w:lineRule="exact"/>
        <w:rPr>
          <w:sz w:val="20"/>
          <w:szCs w:val="20"/>
          <w:color w:val="auto"/>
        </w:rPr>
      </w:pPr>
    </w:p>
    <w:p>
      <w:pPr>
        <w:jc w:val="both"/>
        <w:ind w:right="300" w:firstLine="458"/>
        <w:spacing w:after="0" w:line="264" w:lineRule="auto"/>
        <w:rPr>
          <w:sz w:val="20"/>
          <w:szCs w:val="20"/>
          <w:color w:val="auto"/>
        </w:rPr>
      </w:pPr>
      <w:r>
        <w:rPr>
          <w:rFonts w:ascii="Arial" w:cs="Arial" w:eastAsia="Arial" w:hAnsi="Arial"/>
          <w:sz w:val="16"/>
          <w:szCs w:val="16"/>
          <w:color w:val="auto"/>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the “independence” requirements under the Exchange Act and the Nasdaq listing standards.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Nomination and corporate governance committee</w:t>
      </w:r>
    </w:p>
    <w:p>
      <w:pPr>
        <w:spacing w:after="0" w:line="176" w:lineRule="exact"/>
        <w:rPr>
          <w:sz w:val="20"/>
          <w:szCs w:val="20"/>
          <w:color w:val="auto"/>
        </w:rPr>
      </w:pPr>
    </w:p>
    <w:p>
      <w:pPr>
        <w:jc w:val="both"/>
        <w:ind w:right="340" w:firstLine="458"/>
        <w:spacing w:after="0" w:line="283" w:lineRule="auto"/>
        <w:rPr>
          <w:sz w:val="20"/>
          <w:szCs w:val="20"/>
          <w:color w:val="auto"/>
        </w:rPr>
      </w:pPr>
      <w:r>
        <w:rPr>
          <w:rFonts w:ascii="Arial" w:cs="Arial" w:eastAsia="Arial" w:hAnsi="Arial"/>
          <w:sz w:val="16"/>
          <w:szCs w:val="16"/>
          <w:color w:val="auto"/>
        </w:rPr>
        <w:t>The nomination and corporate governance committee, which consists of Dr. de Jonge Schuermans, Dr. Björk, and Dr. Meeker, assists our Board in identifying individuals qualified to become members of our Board consistent with criteria established by our Board and in developing our code of conduct.</w:t>
      </w:r>
    </w:p>
    <w:p>
      <w:pPr>
        <w:spacing w:after="0" w:line="156" w:lineRule="exact"/>
        <w:rPr>
          <w:sz w:val="20"/>
          <w:szCs w:val="20"/>
          <w:color w:val="auto"/>
        </w:rPr>
      </w:pPr>
    </w:p>
    <w:p>
      <w:pPr>
        <w:ind w:right="440" w:firstLine="458"/>
        <w:spacing w:after="0" w:line="300" w:lineRule="auto"/>
        <w:rPr>
          <w:sz w:val="20"/>
          <w:szCs w:val="20"/>
          <w:color w:val="auto"/>
        </w:rPr>
      </w:pPr>
      <w:r>
        <w:rPr>
          <w:rFonts w:ascii="Arial" w:cs="Arial" w:eastAsia="Arial" w:hAnsi="Arial"/>
          <w:sz w:val="16"/>
          <w:szCs w:val="16"/>
          <w:color w:val="auto"/>
        </w:rPr>
        <w:t>Dr. Meeker serves as Chairman of the committee. Our Board has determined that Dr. de Jonge Schuermans, Dr. Björk and Dr. Meeker satisfy the “independence” requirements under the Exchange Act and the Nasdaq listing standards.</w:t>
      </w:r>
    </w:p>
    <w:p>
      <w:pPr>
        <w:spacing w:after="0" w:line="103" w:lineRule="exact"/>
        <w:rPr>
          <w:sz w:val="20"/>
          <w:szCs w:val="20"/>
          <w:color w:val="auto"/>
        </w:rPr>
      </w:pPr>
    </w:p>
    <w:p>
      <w:pPr>
        <w:ind w:left="920" w:hanging="463"/>
        <w:spacing w:after="0"/>
        <w:tabs>
          <w:tab w:leader="none" w:pos="92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178" w:lineRule="exact"/>
        <w:rPr>
          <w:sz w:val="20"/>
          <w:szCs w:val="20"/>
          <w:color w:val="auto"/>
        </w:rPr>
      </w:pPr>
    </w:p>
    <w:p>
      <w:pPr>
        <w:ind w:right="680" w:firstLine="458"/>
        <w:spacing w:after="0" w:line="283" w:lineRule="auto"/>
        <w:rPr>
          <w:sz w:val="20"/>
          <w:szCs w:val="20"/>
          <w:color w:val="auto"/>
        </w:rPr>
      </w:pPr>
      <w:r>
        <w:rPr>
          <w:rFonts w:ascii="Arial" w:cs="Arial" w:eastAsia="Arial" w:hAnsi="Arial"/>
          <w:sz w:val="16"/>
          <w:szCs w:val="16"/>
          <w:color w:val="auto"/>
        </w:rPr>
        <w:t>As of December 31, 2022, we had 65 employees. None of our employees are represented by labor unions or covered by collective bargaining agreements. We believe our relations with our employees are good.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out the number of employees by main category of activity and geographical location as of December 31, 2022:</w:t>
      </w:r>
    </w:p>
    <w:p>
      <w:pPr>
        <w:spacing w:after="0" w:line="346" w:lineRule="exact"/>
        <w:rPr>
          <w:sz w:val="20"/>
          <w:szCs w:val="20"/>
          <w:color w:val="auto"/>
        </w:rPr>
      </w:pPr>
    </w:p>
    <w:tbl>
      <w:tblPr>
        <w:tblLayout w:type="fixed"/>
        <w:tblInd w:w="2820" w:type="dxa"/>
        <w:tblCellMar>
          <w:top w:w="0" w:type="dxa"/>
          <w:left w:w="0" w:type="dxa"/>
          <w:bottom w:w="0" w:type="dxa"/>
          <w:right w:w="0" w:type="dxa"/>
        </w:tblCellMar>
      </w:tblPr>
      <w:tr>
        <w:trPr>
          <w:trHeight w:val="149"/>
        </w:trPr>
        <w:tc>
          <w:tcPr>
            <w:tcW w:w="2020" w:type="dxa"/>
            <w:vAlign w:val="bottom"/>
            <w:vMerge w:val="restart"/>
          </w:tcPr>
          <w:p>
            <w:pPr>
              <w:spacing w:after="0"/>
              <w:rPr>
                <w:sz w:val="20"/>
                <w:szCs w:val="20"/>
                <w:color w:val="auto"/>
              </w:rPr>
            </w:pPr>
            <w:r>
              <w:rPr>
                <w:rFonts w:ascii="Arial" w:cs="Arial" w:eastAsia="Arial" w:hAnsi="Arial"/>
                <w:sz w:val="13"/>
                <w:szCs w:val="13"/>
                <w:b w:val="1"/>
                <w:bCs w:val="1"/>
                <w:color w:val="auto"/>
              </w:rPr>
              <w:t>Geography</w:t>
            </w:r>
          </w:p>
        </w:tc>
        <w:tc>
          <w:tcPr>
            <w:tcW w:w="120" w:type="dxa"/>
            <w:vAlign w:val="bottom"/>
          </w:tcPr>
          <w:p>
            <w:pPr>
              <w:spacing w:after="0"/>
              <w:rPr>
                <w:sz w:val="13"/>
                <w:szCs w:val="13"/>
                <w:color w:val="auto"/>
              </w:rPr>
            </w:pPr>
          </w:p>
        </w:tc>
        <w:tc>
          <w:tcPr>
            <w:tcW w:w="114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Research and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ind w:right="169"/>
              <w:spacing w:after="0"/>
              <w:rPr>
                <w:sz w:val="20"/>
                <w:szCs w:val="20"/>
                <w:color w:val="auto"/>
              </w:rPr>
            </w:pPr>
            <w:r>
              <w:rPr>
                <w:rFonts w:ascii="Arial" w:cs="Arial" w:eastAsia="Arial" w:hAnsi="Arial"/>
                <w:sz w:val="13"/>
                <w:szCs w:val="13"/>
                <w:b w:val="1"/>
                <w:bCs w:val="1"/>
                <w:color w:val="auto"/>
              </w:rPr>
              <w:t>General and</w:t>
            </w:r>
          </w:p>
        </w:tc>
        <w:tc>
          <w:tcPr>
            <w:tcW w:w="40" w:type="dxa"/>
            <w:vAlign w:val="bottom"/>
          </w:tcPr>
          <w:p>
            <w:pPr>
              <w:spacing w:after="0"/>
              <w:rPr>
                <w:sz w:val="13"/>
                <w:szCs w:val="13"/>
                <w:color w:val="auto"/>
              </w:rPr>
            </w:pPr>
          </w:p>
        </w:tc>
        <w:tc>
          <w:tcPr>
            <w:tcW w:w="780" w:type="dxa"/>
            <w:vAlign w:val="bottom"/>
            <w:vMerge w:val="restart"/>
          </w:tcPr>
          <w:p>
            <w:pPr>
              <w:jc w:val="right"/>
              <w:ind w:right="16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4"/>
              </w:rPr>
              <w:t>development</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administrative</w:t>
            </w:r>
          </w:p>
        </w:tc>
        <w:tc>
          <w:tcPr>
            <w:tcW w:w="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Switzerland</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color w:val="auto"/>
              </w:rPr>
              <w:t>The Netherlands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2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-169545</wp:posOffset>
            </wp:positionV>
            <wp:extent cx="34290" cy="170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170180"/>
                    </a:xfrm>
                    <a:prstGeom prst="rect">
                      <a:avLst/>
                    </a:prstGeom>
                    <a:noFill/>
                  </pic:spPr>
                </pic:pic>
              </a:graphicData>
            </a:graphic>
          </wp:anchor>
        </w:drawing>
      </w:r>
    </w:p>
    <w:p>
      <w:pPr>
        <w:spacing w:after="0" w:line="167" w:lineRule="exact"/>
        <w:rPr>
          <w:sz w:val="20"/>
          <w:szCs w:val="20"/>
          <w:color w:val="auto"/>
        </w:rPr>
      </w:pPr>
    </w:p>
    <w:p>
      <w:pPr>
        <w:ind w:left="920" w:hanging="463"/>
        <w:spacing w:after="0"/>
        <w:tabs>
          <w:tab w:leader="none" w:pos="9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78"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See “ITEM 6. DIRECTORS, SENIOR MANAGEMENT AND EMPLOYEES—B. Compensation—Disclosure of Compensation of our Board and Senior Management” and “ITEM 7. MAJOR SHAREHOLDERS AND RELATED PARTY TRANSACTIONS—A. Major shareholders.</w:t>
      </w:r>
    </w:p>
    <w:p>
      <w:pPr>
        <w:spacing w:after="0" w:line="129" w:lineRule="exact"/>
        <w:rPr>
          <w:sz w:val="20"/>
          <w:szCs w:val="20"/>
          <w:color w:val="auto"/>
        </w:rPr>
      </w:pPr>
    </w:p>
    <w:p>
      <w:pPr>
        <w:ind w:left="920" w:hanging="463"/>
        <w:spacing w:after="0"/>
        <w:tabs>
          <w:tab w:leader="none" w:pos="92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a registrant’s action to recover erroneously awarded compensation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178" w:lineRule="exact"/>
        <w:rPr>
          <w:sz w:val="20"/>
          <w:szCs w:val="20"/>
          <w:color w:val="auto"/>
        </w:rPr>
      </w:pPr>
    </w:p>
    <w:p>
      <w:pPr>
        <w:ind w:left="840" w:hanging="369"/>
        <w:spacing w:after="0"/>
        <w:tabs>
          <w:tab w:leader="none" w:pos="84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Major shareholders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relating to the beneficial ownership of Pharvaris’ ordinary shares as of March 10, 2023, by:</w:t>
      </w:r>
    </w:p>
    <w:p>
      <w:pPr>
        <w:spacing w:after="0" w:line="165" w:lineRule="exact"/>
        <w:rPr>
          <w:sz w:val="20"/>
          <w:szCs w:val="20"/>
          <w:color w:val="auto"/>
        </w:rPr>
      </w:pPr>
    </w:p>
    <w:p>
      <w:pPr>
        <w:ind w:left="900" w:hanging="443"/>
        <w:spacing w:after="0"/>
        <w:tabs>
          <w:tab w:leader="none" w:pos="9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or group of affiliated persons, known by us to own beneficially 5% or more of our outstanding ordinary shares;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each member of our Board and Senior Management; and</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all members of our Board and Senior Management as a group.</w:t>
      </w:r>
    </w:p>
    <w:p>
      <w:pPr>
        <w:spacing w:after="0" w:line="36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10, 2023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table is based upon information supplied by our named Senior Management, directors, and principal shareholder, and Schedules 13D, and 13G filed with the SEC. The percentage of outstanding ordinary shares is computed on the basis of 33,816,459 ordinary shares outstanding as of March 10, 2023. Ordinary shares that a person has the right to acquire within 60 days of March 10, 2023 are deemed outstanding for purposes of computing the percentage ownership of the person holding such rights, but are not deemed outstanding for purposes of computing the percentage ownership of any other person, except with respect to the percentage ownership of all members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the Board and Senior Management as a group. Unless otherwise indicated below, the address for each beneficial owner is c/o Pharvaris N.V., Emmy Noetherweg 2, 2333 BK Leiden, The Netherlands.</w:t>
      </w:r>
    </w:p>
    <w:tbl>
      <w:tblPr>
        <w:tblLayout w:type="fixed"/>
        <w:tblInd w:w="1580" w:type="dxa"/>
        <w:tblCellMar>
          <w:top w:w="0" w:type="dxa"/>
          <w:left w:w="0" w:type="dxa"/>
          <w:bottom w:w="0" w:type="dxa"/>
          <w:right w:w="0" w:type="dxa"/>
        </w:tblCellMar>
      </w:tblPr>
      <w:tr>
        <w:trPr>
          <w:trHeight w:val="123"/>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60" w:type="dxa"/>
            <w:vAlign w:val="bottom"/>
            <w:gridSpan w:val="5"/>
          </w:tcPr>
          <w:p>
            <w:pPr>
              <w:jc w:val="right"/>
              <w:ind w:right="560"/>
              <w:spacing w:after="0" w:line="124" w:lineRule="exact"/>
              <w:rPr>
                <w:sz w:val="20"/>
                <w:szCs w:val="20"/>
                <w:color w:val="auto"/>
              </w:rPr>
            </w:pPr>
            <w:r>
              <w:rPr>
                <w:rFonts w:ascii="Arial" w:cs="Arial" w:eastAsia="Arial" w:hAnsi="Arial"/>
                <w:sz w:val="13"/>
                <w:szCs w:val="13"/>
                <w:b w:val="1"/>
                <w:bCs w:val="1"/>
                <w:color w:val="auto"/>
              </w:rPr>
              <w:t>Ordinary Shares Beneficially</w:t>
            </w:r>
          </w:p>
        </w:tc>
      </w:tr>
      <w:tr>
        <w:trPr>
          <w:trHeight w:val="165"/>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rPr>
              <w:t>Owned</w:t>
            </w:r>
          </w:p>
        </w:tc>
      </w:tr>
      <w:tr>
        <w:trPr>
          <w:trHeight w:val="150"/>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Percentage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55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140" w:type="dxa"/>
            <w:vAlign w:val="bottom"/>
          </w:tcPr>
          <w:p>
            <w:pPr>
              <w:jc w:val="right"/>
              <w:ind w:right="282"/>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Class</w:t>
            </w:r>
          </w:p>
        </w:tc>
      </w:tr>
      <w:tr>
        <w:trPr>
          <w:trHeight w:val="208"/>
        </w:trPr>
        <w:tc>
          <w:tcPr>
            <w:tcW w:w="5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5% Beneficial Owner:</w:t>
            </w:r>
          </w:p>
        </w:tc>
        <w:tc>
          <w:tcPr>
            <w:tcW w:w="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EQT Life Sciences (Formerly LSP V Coöperatieve U.A.) (1)</w:t>
            </w:r>
          </w:p>
        </w:tc>
        <w:tc>
          <w:tcPr>
            <w:tcW w:w="1140" w:type="dxa"/>
            <w:vAlign w:val="bottom"/>
          </w:tcPr>
          <w:p>
            <w:pPr>
              <w:jc w:val="right"/>
              <w:spacing w:after="0"/>
              <w:rPr>
                <w:sz w:val="20"/>
                <w:szCs w:val="20"/>
                <w:color w:val="auto"/>
              </w:rPr>
            </w:pPr>
            <w:r>
              <w:rPr>
                <w:rFonts w:ascii="Arial" w:cs="Arial" w:eastAsia="Arial" w:hAnsi="Arial"/>
                <w:sz w:val="16"/>
                <w:szCs w:val="16"/>
                <w:color w:val="auto"/>
              </w:rPr>
              <w:t>3,607,566</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10.67 %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FMR LLC (2)</w:t>
            </w:r>
          </w:p>
        </w:tc>
        <w:tc>
          <w:tcPr>
            <w:tcW w:w="1140" w:type="dxa"/>
            <w:vAlign w:val="bottom"/>
          </w:tcPr>
          <w:p>
            <w:pPr>
              <w:jc w:val="right"/>
              <w:spacing w:after="0"/>
              <w:rPr>
                <w:sz w:val="20"/>
                <w:szCs w:val="20"/>
                <w:color w:val="auto"/>
              </w:rPr>
            </w:pPr>
            <w:r>
              <w:rPr>
                <w:rFonts w:ascii="Arial" w:cs="Arial" w:eastAsia="Arial" w:hAnsi="Arial"/>
                <w:sz w:val="16"/>
                <w:szCs w:val="16"/>
                <w:color w:val="auto"/>
              </w:rPr>
              <w:t>3,315,238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9.80 %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Foresite Capital (3)</w:t>
            </w:r>
          </w:p>
        </w:tc>
        <w:tc>
          <w:tcPr>
            <w:tcW w:w="1140" w:type="dxa"/>
            <w:vAlign w:val="bottom"/>
          </w:tcPr>
          <w:p>
            <w:pPr>
              <w:jc w:val="right"/>
              <w:spacing w:after="0"/>
              <w:rPr>
                <w:sz w:val="20"/>
                <w:szCs w:val="20"/>
                <w:color w:val="auto"/>
              </w:rPr>
            </w:pPr>
            <w:r>
              <w:rPr>
                <w:rFonts w:ascii="Arial" w:cs="Arial" w:eastAsia="Arial" w:hAnsi="Arial"/>
                <w:sz w:val="16"/>
                <w:szCs w:val="16"/>
                <w:color w:val="auto"/>
              </w:rPr>
              <w:t>3,281,068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9.70 %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Viking Global Opportunities Illiquid Investments Sub-Master LP (4)</w:t>
            </w:r>
          </w:p>
        </w:tc>
        <w:tc>
          <w:tcPr>
            <w:tcW w:w="1140" w:type="dxa"/>
            <w:vAlign w:val="bottom"/>
          </w:tcPr>
          <w:p>
            <w:pPr>
              <w:jc w:val="right"/>
              <w:spacing w:after="0"/>
              <w:rPr>
                <w:sz w:val="20"/>
                <w:szCs w:val="20"/>
                <w:color w:val="auto"/>
              </w:rPr>
            </w:pPr>
            <w:r>
              <w:rPr>
                <w:rFonts w:ascii="Arial" w:cs="Arial" w:eastAsia="Arial" w:hAnsi="Arial"/>
                <w:sz w:val="16"/>
                <w:szCs w:val="16"/>
                <w:color w:val="auto"/>
              </w:rPr>
              <w:t>3,231,923</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9.56 %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Bain Capital Life Sciences Investors, LLC (5)</w:t>
            </w:r>
          </w:p>
        </w:tc>
        <w:tc>
          <w:tcPr>
            <w:tcW w:w="1140" w:type="dxa"/>
            <w:vAlign w:val="bottom"/>
          </w:tcPr>
          <w:p>
            <w:pPr>
              <w:jc w:val="right"/>
              <w:spacing w:after="0"/>
              <w:rPr>
                <w:sz w:val="20"/>
                <w:szCs w:val="20"/>
                <w:color w:val="auto"/>
              </w:rPr>
            </w:pPr>
            <w:r>
              <w:rPr>
                <w:rFonts w:ascii="Arial" w:cs="Arial" w:eastAsia="Arial" w:hAnsi="Arial"/>
                <w:sz w:val="16"/>
                <w:szCs w:val="16"/>
                <w:color w:val="auto"/>
              </w:rPr>
              <w:t>3,180,601</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9.41 %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General Atlantic PH B.V.(6)</w:t>
            </w:r>
          </w:p>
        </w:tc>
        <w:tc>
          <w:tcPr>
            <w:tcW w:w="1140" w:type="dxa"/>
            <w:vAlign w:val="bottom"/>
          </w:tcPr>
          <w:p>
            <w:pPr>
              <w:jc w:val="right"/>
              <w:spacing w:after="0"/>
              <w:rPr>
                <w:sz w:val="20"/>
                <w:szCs w:val="20"/>
                <w:color w:val="auto"/>
              </w:rPr>
            </w:pPr>
            <w:r>
              <w:rPr>
                <w:rFonts w:ascii="Arial" w:cs="Arial" w:eastAsia="Arial" w:hAnsi="Arial"/>
                <w:sz w:val="16"/>
                <w:szCs w:val="16"/>
                <w:color w:val="auto"/>
              </w:rPr>
              <w:t>2,420,155</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7.16 %</w:t>
            </w:r>
          </w:p>
        </w:tc>
      </w:tr>
      <w:tr>
        <w:trPr>
          <w:trHeight w:val="215"/>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venBio Global Strategic Fund III, L.P. (7)</w:t>
            </w:r>
          </w:p>
        </w:tc>
        <w:tc>
          <w:tcPr>
            <w:tcW w:w="1140" w:type="dxa"/>
            <w:vAlign w:val="bottom"/>
          </w:tcPr>
          <w:p>
            <w:pPr>
              <w:jc w:val="right"/>
              <w:spacing w:after="0"/>
              <w:rPr>
                <w:sz w:val="20"/>
                <w:szCs w:val="20"/>
                <w:color w:val="auto"/>
              </w:rPr>
            </w:pPr>
            <w:r>
              <w:rPr>
                <w:rFonts w:ascii="Arial" w:cs="Arial" w:eastAsia="Arial" w:hAnsi="Arial"/>
                <w:sz w:val="16"/>
                <w:szCs w:val="16"/>
                <w:color w:val="auto"/>
              </w:rPr>
              <w:t>2,296,710</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6.79 %</w:t>
            </w: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Board and Senior Management:</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Mr. Modig (8)</w:t>
            </w:r>
          </w:p>
        </w:tc>
        <w:tc>
          <w:tcPr>
            <w:tcW w:w="1140" w:type="dxa"/>
            <w:vAlign w:val="bottom"/>
          </w:tcPr>
          <w:p>
            <w:pPr>
              <w:jc w:val="right"/>
              <w:spacing w:after="0"/>
              <w:rPr>
                <w:sz w:val="20"/>
                <w:szCs w:val="20"/>
                <w:color w:val="auto"/>
              </w:rPr>
            </w:pPr>
            <w:r>
              <w:rPr>
                <w:rFonts w:ascii="Arial" w:cs="Arial" w:eastAsia="Arial" w:hAnsi="Arial"/>
                <w:sz w:val="16"/>
                <w:szCs w:val="16"/>
                <w:color w:val="auto"/>
              </w:rPr>
              <w:t>1,495,208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4.38 %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Dr. Knolle (12)</w:t>
            </w:r>
          </w:p>
        </w:tc>
        <w:tc>
          <w:tcPr>
            <w:tcW w:w="1140" w:type="dxa"/>
            <w:vAlign w:val="bottom"/>
          </w:tcPr>
          <w:p>
            <w:pPr>
              <w:jc w:val="right"/>
              <w:spacing w:after="0"/>
              <w:rPr>
                <w:sz w:val="20"/>
                <w:szCs w:val="20"/>
                <w:color w:val="auto"/>
              </w:rPr>
            </w:pPr>
            <w:r>
              <w:rPr>
                <w:rFonts w:ascii="Arial" w:cs="Arial" w:eastAsia="Arial" w:hAnsi="Arial"/>
                <w:sz w:val="16"/>
                <w:szCs w:val="16"/>
                <w:color w:val="auto"/>
              </w:rPr>
              <w:t>1,420,729</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4.17 %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Mr. Schikan (11)</w:t>
            </w:r>
          </w:p>
        </w:tc>
        <w:tc>
          <w:tcPr>
            <w:tcW w:w="1140" w:type="dxa"/>
            <w:vAlign w:val="bottom"/>
          </w:tcPr>
          <w:p>
            <w:pPr>
              <w:jc w:val="right"/>
              <w:spacing w:after="0"/>
              <w:rPr>
                <w:sz w:val="20"/>
                <w:szCs w:val="20"/>
                <w:color w:val="auto"/>
              </w:rPr>
            </w:pPr>
            <w:r>
              <w:rPr>
                <w:rFonts w:ascii="Arial" w:cs="Arial" w:eastAsia="Arial" w:hAnsi="Arial"/>
                <w:sz w:val="16"/>
                <w:szCs w:val="16"/>
                <w:color w:val="auto"/>
              </w:rPr>
              <w:t>523,698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1.55 %</w:t>
            </w: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Dr. Lu (13)</w:t>
            </w:r>
          </w:p>
        </w:tc>
        <w:tc>
          <w:tcPr>
            <w:tcW w:w="1140" w:type="dxa"/>
            <w:vAlign w:val="bottom"/>
          </w:tcPr>
          <w:p>
            <w:pPr>
              <w:jc w:val="right"/>
              <w:spacing w:after="0"/>
              <w:rPr>
                <w:sz w:val="20"/>
                <w:szCs w:val="20"/>
                <w:color w:val="auto"/>
              </w:rPr>
            </w:pPr>
            <w:r>
              <w:rPr>
                <w:rFonts w:ascii="Arial" w:cs="Arial" w:eastAsia="Arial" w:hAnsi="Arial"/>
                <w:sz w:val="16"/>
                <w:szCs w:val="16"/>
                <w:color w:val="auto"/>
              </w:rPr>
              <w:t>463,125</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1.35 %</w:t>
            </w:r>
          </w:p>
        </w:tc>
      </w:tr>
      <w:tr>
        <w:trPr>
          <w:trHeight w:val="215"/>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Dr. Lesage (14)</w:t>
            </w:r>
          </w:p>
        </w:tc>
        <w:tc>
          <w:tcPr>
            <w:tcW w:w="1140" w:type="dxa"/>
            <w:vAlign w:val="bottom"/>
          </w:tcPr>
          <w:p>
            <w:pPr>
              <w:jc w:val="right"/>
              <w:spacing w:after="0"/>
              <w:rPr>
                <w:sz w:val="20"/>
                <w:szCs w:val="20"/>
                <w:color w:val="auto"/>
              </w:rPr>
            </w:pPr>
            <w:r>
              <w:rPr>
                <w:rFonts w:ascii="Arial" w:cs="Arial" w:eastAsia="Arial" w:hAnsi="Arial"/>
                <w:sz w:val="16"/>
                <w:szCs w:val="16"/>
                <w:color w:val="auto"/>
              </w:rPr>
              <w:t>436,875</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1.28 %</w:t>
            </w: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Dr. Conn (15)</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213,305</w:t>
            </w:r>
          </w:p>
        </w:tc>
        <w:tc>
          <w:tcPr>
            <w:tcW w:w="1380" w:type="dxa"/>
            <w:vAlign w:val="bottom"/>
            <w:gridSpan w:val="2"/>
            <w:shd w:val="clear" w:color="auto" w:fill="CFF0FC"/>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Dr. Meeker (9)</w:t>
            </w:r>
          </w:p>
        </w:tc>
        <w:tc>
          <w:tcPr>
            <w:tcW w:w="1140" w:type="dxa"/>
            <w:vAlign w:val="bottom"/>
          </w:tcPr>
          <w:p>
            <w:pPr>
              <w:jc w:val="right"/>
              <w:spacing w:after="0"/>
              <w:rPr>
                <w:sz w:val="20"/>
                <w:szCs w:val="20"/>
                <w:color w:val="auto"/>
              </w:rPr>
            </w:pPr>
            <w:r>
              <w:rPr>
                <w:rFonts w:ascii="Arial" w:cs="Arial" w:eastAsia="Arial" w:hAnsi="Arial"/>
                <w:sz w:val="16"/>
                <w:szCs w:val="16"/>
                <w:color w:val="auto"/>
              </w:rPr>
              <w:t>99,740</w:t>
            </w:r>
          </w:p>
        </w:tc>
        <w:tc>
          <w:tcPr>
            <w:tcW w:w="1380" w:type="dxa"/>
            <w:vAlign w:val="bottom"/>
            <w:gridSpan w:val="2"/>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Dr. Glassman (10)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24,260</w:t>
            </w:r>
          </w:p>
        </w:tc>
        <w:tc>
          <w:tcPr>
            <w:tcW w:w="1380" w:type="dxa"/>
            <w:vAlign w:val="bottom"/>
            <w:gridSpan w:val="2"/>
            <w:shd w:val="clear" w:color="auto" w:fill="CFF0FC"/>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Ms. Nijdam (16)</w:t>
            </w:r>
          </w:p>
        </w:tc>
        <w:tc>
          <w:tcPr>
            <w:tcW w:w="1140" w:type="dxa"/>
            <w:vAlign w:val="bottom"/>
          </w:tcPr>
          <w:p>
            <w:pPr>
              <w:jc w:val="right"/>
              <w:spacing w:after="0"/>
              <w:rPr>
                <w:sz w:val="20"/>
                <w:szCs w:val="20"/>
                <w:color w:val="auto"/>
              </w:rPr>
            </w:pPr>
            <w:r>
              <w:rPr>
                <w:rFonts w:ascii="Arial" w:cs="Arial" w:eastAsia="Arial" w:hAnsi="Arial"/>
                <w:sz w:val="16"/>
                <w:szCs w:val="16"/>
                <w:color w:val="auto"/>
              </w:rPr>
              <w:t>18,228</w:t>
            </w:r>
          </w:p>
        </w:tc>
        <w:tc>
          <w:tcPr>
            <w:tcW w:w="1380" w:type="dxa"/>
            <w:vAlign w:val="bottom"/>
            <w:gridSpan w:val="2"/>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Dr. Björk (17)</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16,406</w:t>
            </w:r>
          </w:p>
        </w:tc>
        <w:tc>
          <w:tcPr>
            <w:tcW w:w="1380" w:type="dxa"/>
            <w:vAlign w:val="bottom"/>
            <w:gridSpan w:val="2"/>
            <w:shd w:val="clear" w:color="auto" w:fill="CFF0FC"/>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Ms. de Jonge Schuermans (18)</w:t>
            </w:r>
          </w:p>
        </w:tc>
        <w:tc>
          <w:tcPr>
            <w:tcW w:w="1140" w:type="dxa"/>
            <w:vAlign w:val="bottom"/>
          </w:tcPr>
          <w:p>
            <w:pPr>
              <w:jc w:val="right"/>
              <w:spacing w:after="0"/>
              <w:rPr>
                <w:sz w:val="20"/>
                <w:szCs w:val="20"/>
                <w:color w:val="auto"/>
              </w:rPr>
            </w:pPr>
            <w:r>
              <w:rPr>
                <w:rFonts w:ascii="Arial" w:cs="Arial" w:eastAsia="Arial" w:hAnsi="Arial"/>
                <w:sz w:val="16"/>
                <w:szCs w:val="16"/>
                <w:color w:val="auto"/>
              </w:rPr>
              <w:t>11,667</w:t>
            </w:r>
          </w:p>
        </w:tc>
        <w:tc>
          <w:tcPr>
            <w:tcW w:w="1380" w:type="dxa"/>
            <w:vAlign w:val="bottom"/>
            <w:gridSpan w:val="2"/>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Ms. Monges (19)</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20,052</w:t>
            </w:r>
          </w:p>
        </w:tc>
        <w:tc>
          <w:tcPr>
            <w:tcW w:w="1380" w:type="dxa"/>
            <w:vAlign w:val="bottom"/>
            <w:gridSpan w:val="2"/>
            <w:shd w:val="clear" w:color="auto" w:fill="CFF0FC"/>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Dr. Souverijns (20)</w:t>
            </w:r>
          </w:p>
        </w:tc>
        <w:tc>
          <w:tcPr>
            <w:tcW w:w="1140" w:type="dxa"/>
            <w:vAlign w:val="bottom"/>
          </w:tcPr>
          <w:p>
            <w:pPr>
              <w:jc w:val="right"/>
              <w:spacing w:after="0"/>
              <w:rPr>
                <w:sz w:val="20"/>
                <w:szCs w:val="20"/>
                <w:color w:val="auto"/>
              </w:rPr>
            </w:pPr>
            <w:r>
              <w:rPr>
                <w:rFonts w:ascii="Arial" w:cs="Arial" w:eastAsia="Arial" w:hAnsi="Arial"/>
                <w:sz w:val="16"/>
                <w:szCs w:val="16"/>
                <w:color w:val="auto"/>
              </w:rPr>
              <w:t>103,125</w:t>
            </w:r>
          </w:p>
        </w:tc>
        <w:tc>
          <w:tcPr>
            <w:tcW w:w="1380" w:type="dxa"/>
            <w:vAlign w:val="bottom"/>
            <w:gridSpan w:val="2"/>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Joan Schmidt, J.D. (21)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CFF0FC"/>
          </w:tcPr>
          <w:p>
            <w:pPr>
              <w:jc w:val="right"/>
              <w:ind w:right="93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Annick Deschoolmeester</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5"/>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All executive officers and board members as a group</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(15 persons)</w:t>
            </w:r>
          </w:p>
        </w:tc>
        <w:tc>
          <w:tcPr>
            <w:tcW w:w="1140" w:type="dxa"/>
            <w:vAlign w:val="bottom"/>
          </w:tcPr>
          <w:p>
            <w:pPr>
              <w:jc w:val="right"/>
              <w:spacing w:after="0"/>
              <w:rPr>
                <w:sz w:val="20"/>
                <w:szCs w:val="20"/>
                <w:color w:val="auto"/>
              </w:rPr>
            </w:pPr>
            <w:r>
              <w:rPr>
                <w:rFonts w:ascii="Arial" w:cs="Arial" w:eastAsia="Arial" w:hAnsi="Arial"/>
                <w:sz w:val="16"/>
                <w:szCs w:val="16"/>
                <w:color w:val="auto"/>
              </w:rPr>
              <w:t>4,876,418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13.76 %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-3267710</wp:posOffset>
            </wp:positionV>
            <wp:extent cx="5132705" cy="135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-2995295</wp:posOffset>
            </wp:positionV>
            <wp:extent cx="5132705" cy="135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-2722880</wp:posOffset>
            </wp:positionV>
            <wp:extent cx="5132705" cy="135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-2178050</wp:posOffset>
            </wp:positionV>
            <wp:extent cx="5132705" cy="135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-1905635</wp:posOffset>
            </wp:positionV>
            <wp:extent cx="5132705" cy="135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32705" cy="135890"/>
                    </a:xfrm>
                    <a:prstGeom prst="rect">
                      <a:avLst/>
                    </a:prstGeom>
                    <a:noFill/>
                  </pic:spPr>
                </pic:pic>
              </a:graphicData>
            </a:graphic>
          </wp:anchor>
        </w:drawing>
      </w:r>
    </w:p>
    <w:p>
      <w:pPr>
        <w:spacing w:after="0" w:line="195" w:lineRule="exact"/>
        <w:rPr>
          <w:sz w:val="20"/>
          <w:szCs w:val="20"/>
          <w:color w:val="auto"/>
        </w:rPr>
      </w:pPr>
    </w:p>
    <w:p>
      <w:pPr>
        <w:ind w:left="580" w:hanging="439"/>
        <w:spacing w:after="0"/>
        <w:tabs>
          <w:tab w:leader="none" w:pos="58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Indicates beneficial ownership of less than 1% of total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8726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305" w:lineRule="exact"/>
        <w:rPr>
          <w:sz w:val="20"/>
          <w:szCs w:val="20"/>
          <w:color w:val="auto"/>
        </w:rPr>
      </w:pPr>
    </w:p>
    <w:p>
      <w:pPr>
        <w:ind w:left="580" w:right="420" w:hanging="439"/>
        <w:spacing w:after="0" w:line="257"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managing director of LSP V Coöperatieve U.A. is LSP V Management B.V. The managing directors of LSP V Management B.V. are Martijn Kleijwegt, Rene Kuijten and Joachim Rothe, each of whom may be deemed to have voting and investment power over the shares held by LSP V Coöperatieve U.A. Each of Mr. Kleijwegt, Mr. Kuijten and Mr. Rothe disclaims beneficial ownership of such shares except to the extent of their pecuniary interest therein. The address of LSP V Coöperatieve U.A. is Johannes Vermeerplein 9, 1071 DV Amsterdam, the Netherlands.</w:t>
      </w:r>
    </w:p>
    <w:p>
      <w:pPr>
        <w:spacing w:after="0" w:line="257" w:lineRule="exact"/>
        <w:rPr>
          <w:rFonts w:ascii="Arial" w:cs="Arial" w:eastAsia="Arial" w:hAnsi="Arial"/>
          <w:sz w:val="16"/>
          <w:szCs w:val="16"/>
          <w:color w:val="auto"/>
        </w:rPr>
      </w:pPr>
    </w:p>
    <w:p>
      <w:pPr>
        <w:ind w:left="580" w:right="100" w:hanging="439"/>
        <w:spacing w:after="0" w:line="249"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3,315,238 ordinary shares held by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Fidelity Funds, advised by Fidelity Management &amp; Research Company LLC, or FMR Co. LLC, a wholly owned subsidiary of FMR LLC, which power resides with the Fidelity Funds' Boards of Trustees. FMR Co. LLC carries out the voting of the shares under written guidelines established by the Fidelity Funds' Boards of Trustees. The address of FMR LLC is 245 Summer Street, Boston, MA 02210.</w:t>
      </w:r>
    </w:p>
    <w:p>
      <w:pPr>
        <w:spacing w:after="0" w:line="155" w:lineRule="exact"/>
        <w:rPr>
          <w:rFonts w:ascii="Arial" w:cs="Arial" w:eastAsia="Arial" w:hAnsi="Arial"/>
          <w:sz w:val="16"/>
          <w:szCs w:val="16"/>
          <w:color w:val="auto"/>
        </w:rPr>
      </w:pPr>
    </w:p>
    <w:p>
      <w:pPr>
        <w:ind w:left="580" w:hanging="439"/>
        <w:spacing w:after="0" w:line="251"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(i) 3,246,926 ordinary shares held by Foresite Capital Fund IV, L.P., or Foresite IV; and (ii) 34,142 ordinary shares held by Foresite Capital Fund V, L.P., or Foresite V and, together with Foresite IV, Foresite. Foresite Capital Management IV, LLC, or FCM IV, is the general partner of Foresite IV and may be deemed to have sole voting and dispositive power over shares held by Foresite IV. Foresite Capital Management V, LLC, or FCM V, is the general partner of Foresite V and may be deemed to have sole voting and dispositive power over shares held by Foresite V. James Tananbaum is the sole managing member of FCM IV and FCM V and may be deemed to have sole voting and dispositive power over share held by Foresite. Each of FCM IV, FCM V and Dr. Tananbaum disclaims beneficial ownership of shares held by Foresite except to the extent of any pecuniary interest therein. The address of Foresite, FCM IV, FCM V and Dr. Tananbaum is 600 Montgomery Street, Suite 4500, San Francisco, CA 94111.</w:t>
      </w:r>
    </w:p>
    <w:p>
      <w:pPr>
        <w:spacing w:after="0" w:line="342" w:lineRule="exact"/>
        <w:rPr>
          <w:rFonts w:ascii="Arial" w:cs="Arial" w:eastAsia="Arial" w:hAnsi="Arial"/>
          <w:sz w:val="16"/>
          <w:szCs w:val="16"/>
          <w:color w:val="auto"/>
        </w:rPr>
      </w:pPr>
    </w:p>
    <w:p>
      <w:pPr>
        <w:ind w:left="580" w:right="40" w:hanging="439"/>
        <w:spacing w:after="0" w:line="250"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Viking Global Opportunities Illiquid Investments Sub-Master LP, or the Opportunities Fund, has the authority to dispose of and vote the shares directly owned by it, which power may be exercised by its general partner, Viking Global Opportunities Portfolio GP LLC, or Opportunities Portfolio GP, and by Viking Global Investors LP, or VGI, which provides managerial services to the Opportunities Fund. Viking Global Opportunities Parent GP LLC, or Opportunities Parent, is the general partner of Viking Global Opportunities GP LLC, or Opportunities GP, which serves as the sole member of Opportunities Portfolio GP and has the authority to dispose of and vote the ordinary shares controlled by Opportunities Portfolio GP, which consists of the ordinary shares directly held by the Opportunities Fund. O. Andreas Halvorsen, David C. Ott and Rose Shabet, as Executive Committee members of Viking Global Partners LLC (the general partner of VGI and Opportunities GP), have shared authority to direct the voting and disposition of</w:t>
      </w:r>
    </w:p>
    <w:p>
      <w:pPr>
        <w:sectPr>
          <w:pgSz w:w="11900" w:h="16838" w:orient="portrait"/>
          <w:cols w:equalWidth="0" w:num="1">
            <w:col w:w="11240"/>
          </w:cols>
          <w:pgMar w:left="320" w:top="125"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580" w:right="340"/>
        <w:spacing w:after="0" w:line="264" w:lineRule="auto"/>
        <w:rPr>
          <w:sz w:val="20"/>
          <w:szCs w:val="20"/>
          <w:color w:val="auto"/>
        </w:rPr>
      </w:pPr>
      <w:r>
        <w:rPr>
          <w:rFonts w:ascii="Arial" w:cs="Arial" w:eastAsia="Arial" w:hAnsi="Arial"/>
          <w:sz w:val="16"/>
          <w:szCs w:val="16"/>
          <w:color w:val="auto"/>
        </w:rPr>
        <w:t>investments beneficially owned by VGI and the Opportunities GP. The business address of the Opportunities Fund, Opportunities Portfolio GP, Opportunities GP, VGI, O. Andreas Halvorsen, David C. Ott and Rose Shabet is c/o Viking Global Investors LP, 55 Railroad Avenue, Greenwich, Connecticut 06830.</w:t>
      </w:r>
    </w:p>
    <w:p>
      <w:pPr>
        <w:spacing w:after="0" w:line="144" w:lineRule="exact"/>
        <w:rPr>
          <w:sz w:val="20"/>
          <w:szCs w:val="20"/>
          <w:color w:val="auto"/>
        </w:rPr>
      </w:pPr>
    </w:p>
    <w:p>
      <w:pPr>
        <w:ind w:left="580" w:right="60" w:hanging="439"/>
        <w:spacing w:after="0" w:line="251"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(i) 2,885,246 ordinary shares held by Bain Capital Life Sciences Fund, L.P., or BCLS; and (ii) 295,355 ordinary shares held by BCIP Life Sciences Associates, LP, or BCIP LS and, together with BCLS, the Bain Capital Life Sciences Entities. Bain Capital Life Sciences Investors, LLC, or BCLSI, whose managers are Jeffrey Schwartz and Adam Koppel, is the general partner of Bain Capital Life Sciences, LP, which is the general partner of BCLS. BCLSI governs the investment strategy and decision-making process with respect to investments held by BCIP LS. As a result, each of BCLSI, Mr. Schwartz and Dr. Koppel may be deemed to share voting and dispositive power over the shares held by the Bain Capital Life Sciences Entities. The address of the Bain Capital Life Sciences Entities, BCLSI, Mr. Schwartz and Dr. Koppel is c/o Bain Capital Life Sciences, LP 200 Clarendon Street, Boston, MA 02116.</w:t>
      </w:r>
    </w:p>
    <w:p>
      <w:pPr>
        <w:spacing w:after="0" w:line="342" w:lineRule="exact"/>
        <w:rPr>
          <w:rFonts w:ascii="Arial" w:cs="Arial" w:eastAsia="Arial" w:hAnsi="Arial"/>
          <w:sz w:val="16"/>
          <w:szCs w:val="16"/>
          <w:color w:val="auto"/>
        </w:rPr>
      </w:pPr>
    </w:p>
    <w:p>
      <w:pPr>
        <w:ind w:left="580" w:right="1560" w:hanging="439"/>
        <w:spacing w:after="0" w:line="247"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General Atlantic PH B.V., or GA PH, is a wholly owned subsidiary of General Atlantic Coöperatief U.A., or GA Coop UA. The members that share beneficial ownership of the shares held by GA PH through GA Coop UA are the following General Atlantic investment funds, or the GA Funds:, General Atlantic Partners (Bermuda) IV, L.P., or GAP Bermuda IV, General Atlantic Partners (Bermuda) EU, L.P., or GAP Bermuda EU, General Atlantic Partners (Lux) SCSp, or GAP Lux, and General Atlantic Cooperatief, L.P., or GA Coop LP. The general partner of GAP Lux is General Atlantic GenPar, (Lux) SCSp, or GA GenPar Lux, and the general partner of GA GenPar Lux is General Atlantic (Lux) S.à r.l., or GA Lux. The general partner of GAP Bermuda IV and GAP Bermuda EU and the sole shareholder of GA Lux is General Atlantic GenPar (Bermuda), L.P., or GenPar Bermuda. GAP (Bermuda) Limited, or GAP (Bermuda) Limited, is the general partner of GenPar Bermuda and GA Coop LP. There are nine members of the management committee of GAP (Bermuda) Limited, or the GA Management Committee. GAP (Bermuda) Limited, GenPar Bermuda, GA Lux, GA GenPar Lux, and the GA Funds, (collectively, the “GA Group”) are a “group” within the meaning of Rule 13d-5 of the Exchange Act. The address of GA Coop LP, GAP Bermuda IV, GAP Bermuda EU, GenPar Bermuda, and GAP (Bermuda) Limited is Clarendon House, 2 Church Street, Hamilton HM 11, Bermuda. The address of GA Coop UA is Raamplein 1, 1016 XK, Amsterdam, The Netherlands. The address of GAP Lux, GA GenPar Lux and GA Lux is Luxembourg is 412F, Route d’Esch, L-2086 Luxembourg. Each of the members of the GA Management Committee disclaims ownership of the shares except to the extent that he has a pecuniary interest therein.</w:t>
      </w:r>
    </w:p>
    <w:p>
      <w:pPr>
        <w:spacing w:after="0" w:line="162" w:lineRule="exact"/>
        <w:rPr>
          <w:rFonts w:ascii="Arial" w:cs="Arial" w:eastAsia="Arial" w:hAnsi="Arial"/>
          <w:sz w:val="16"/>
          <w:szCs w:val="16"/>
          <w:color w:val="auto"/>
        </w:rPr>
      </w:pPr>
    </w:p>
    <w:p>
      <w:pPr>
        <w:ind w:left="580" w:right="80" w:hanging="439"/>
        <w:spacing w:after="0" w:line="252"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2,296,710 ordinary shares that are directly held by venBio Global Strategic Fund III, L.P., or venBio. As the sole general partner of venBio, venBio Global Strategic GP III, L.P., or the General Partner III, may be deemed to beneficially own the shares held by venBio and as the sole general partner of the General Partner III, venBio Global Strategic GP III, Ltd., or the GP Ltd. III, may be deemed to beneficially own the share held by venBio. As directors of the GP Ltd. III, each of the Aaron Royston, Robert Adelman and Corey Goodman may be deemed to beneficially own the shares held by venBio. The address of venBio, General Partner III, GP Ltd. III. Aaron Royston, Robert Adelman and Corey Goodman is c/o venBio Partners, LLC, 1700 Owens Street Suite 595 San Francisco, CA 94158.</w:t>
      </w:r>
    </w:p>
    <w:p>
      <w:pPr>
        <w:spacing w:after="0" w:line="154" w:lineRule="exact"/>
        <w:rPr>
          <w:rFonts w:ascii="Arial" w:cs="Arial" w:eastAsia="Arial" w:hAnsi="Arial"/>
          <w:sz w:val="16"/>
          <w:szCs w:val="16"/>
          <w:color w:val="auto"/>
        </w:rPr>
      </w:pPr>
    </w:p>
    <w:p>
      <w:pPr>
        <w:ind w:left="58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ordinary shares held by Schoodic Management B.V., an entity controlled by Mr. Modig. Includes 295,208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40" w:right="1520" w:hanging="399"/>
        <w:spacing w:after="0" w:line="283"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49,740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40" w:right="1520" w:hanging="399"/>
        <w:spacing w:after="0" w:line="283"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24,260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1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23,698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6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220,729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6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429,125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12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ordinary shares held by GrayMatters Consulting BVBA, an entity controlled by Dr. Lesage. Includes 186,875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6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199,063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1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16,250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1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16,406 options that vest within 60 days of March 10, 2023. See “ITEM 6. DIRECTORS, SENIOR MANAGEMENT AND EMPLOYEES—B. Compensation—Equity Incentive Plan.”</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580" w:right="260" w:hanging="439"/>
        <w:spacing w:after="0" w:line="283"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11,667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240" w:hanging="439"/>
        <w:spacing w:after="0" w:line="283"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20,052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160" w:hanging="439"/>
        <w:spacing w:after="0" w:line="283"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103,125 options that vest within 60 days of March 10, 2023.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240" w:hanging="439"/>
        <w:spacing w:after="0" w:line="283"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24,439 options that vest within 60 days of March 10, 2023. See “ITEM 6. DIRECTORS, SENIOR MANAGEMENT AND EMPLOYEES—B. Compensation—Equity Incentive Plan.”</w:t>
      </w:r>
    </w:p>
    <w:p>
      <w:pPr>
        <w:spacing w:after="0" w:line="317"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As of March 10, 2023, approximately 29.3 million of our outstanding ordinary shares are held by two record holders in the United States, including Cede and Company which is the record holder for 29.2 million ordinary shares. Cede and Company is a specialist United States financial institution that processes transfers of stock certificates on behalf of the Depository Trust Company, or DTC. Cede and Company therefore is the technical shareholder of record for all of our shares that were issued in our initial public offering and are held by DTC participants, as such shareholders do not themselves hold direct property rights in our ordinary shares, but rather have contractual rights in such shares that are part of a chain of contractual rights involving Cede and Company. All ordinary shares carry one voting right. We are not aware of any arrangement that may, at a subsequent date, result in a change of control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Changes in Ownership by Major Shareholders</w:t>
      </w:r>
    </w:p>
    <w:p>
      <w:pPr>
        <w:spacing w:after="0" w:line="178"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Immediately prior to our initial public offering in February 2021, our principal shareholders were LSP V Coöperatieve U.A. (15.31% ownership), KURMA BIOFUND II (5.68% ownership), entities affiliated with Foresite Capital (15.38% ownership), entities affiliated with Bain Capital Life Sciences Investors, LLC (12.43% ownership), venBio Global Strategic Fund III, L.P (8.50% ownership), entities affiliated with Idinvest Partners S.A. (6.17% ownership), Jens Schneider-Mergener (5.09% ownership), Viking Global Opportunities Illiquid Investments Sub-Master LP (6.03% ownership) and General Atlantic PH B.V.</w:t>
      </w:r>
    </w:p>
    <w:p>
      <w:pPr>
        <w:spacing w:after="0"/>
        <w:rPr>
          <w:sz w:val="20"/>
          <w:szCs w:val="20"/>
          <w:color w:val="auto"/>
        </w:rPr>
      </w:pPr>
      <w:r>
        <w:rPr>
          <w:rFonts w:ascii="Arial" w:cs="Arial" w:eastAsia="Arial" w:hAnsi="Arial"/>
          <w:sz w:val="16"/>
          <w:szCs w:val="16"/>
          <w:color w:val="auto"/>
        </w:rPr>
        <w:t>(6.03% ownership).</w:t>
      </w:r>
    </w:p>
    <w:p>
      <w:pPr>
        <w:spacing w:after="0" w:line="162"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On February 9, 2021, we completed our initial public offering and listed our ordinary shares on the Nasdaq Global Select Market. In the initial public offering, we sold 9,511,075 ordinary shares, which includes 1,240,575 ordinary shares sold pursuant to the full exercise of the over-allotment option we granted to the underwriters for the offering.</w:t>
      </w:r>
    </w:p>
    <w:p>
      <w:pPr>
        <w:spacing w:after="0" w:line="144" w:lineRule="exact"/>
        <w:rPr>
          <w:sz w:val="20"/>
          <w:szCs w:val="20"/>
          <w:color w:val="auto"/>
        </w:rPr>
      </w:pPr>
    </w:p>
    <w:p>
      <w:pPr>
        <w:ind w:left="920" w:hanging="463"/>
        <w:spacing w:after="0"/>
        <w:tabs>
          <w:tab w:leader="none" w:pos="9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178"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The following is a description of related-party transactions we have entered into since January 1, 2020 with any of the members of the Board, our Senior Management and the holders of more than 5% of our ordinary shares.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Our Principal Shareholders</w:t>
      </w:r>
    </w:p>
    <w:p>
      <w:pPr>
        <w:spacing w:after="0" w:line="191"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In August 2019 and July 2020, pursuant to that certain Share Subscription Agreement dated July 26, 2019 as amended on July 29, 2019, or the 2019 Share Subscription Agreement, we issued to investors in two tranches a total of 7,650,147 Series B preferred shares for an aggregate investment amount of $66,000,000. Under the 2019 Share Subscription Agreement, we issued to Foresite IV a total of 2,897,783 Series B preferred shares for an aggregate investment amount of $25,000,000, to BCLS a total of 1,997,820 Series B preferred shares for an aggregate investment amount of $17,235,757, to BCIP LS a total of 204,496 Series B preferred shares for an aggregate investment amount of $1,764,243, to venBio a total of 1,275,025 Series B preferred shares for an aggregate investment amount of $11,000,000, to Venrock Healthcare Capital Partners III, L.P., or Venrock I, a total of 105,374 Series B preferred shares for an aggregate investment amount of $909,090.91, to VHCP Co-Investment Holdings III, LLC, or Venrock II, a total of 10,537 Series B preferred shares for an aggregate investment amount of $90,909.09, to LSP V Coöperatieve U.A. a total of 811,379 Series B preferred shares for an aggregate investment amount of $7,000,000, to KURMA BIOFUND II a total of 115,911 Series B preferred shares for an aggregate investment amount of $1,000,000, to Idinvest V a total of 49,328 Series B preferred shares for an aggregate investment amount of $410,602.55, to Idinvest VI a total of 41,684 Series B preferred shares for an aggregate investment amount of $346,974.47, to Idinvest VII 76,460 Series B preferred shares for an aggregate investment amount of $674,632.61 and to Idinvest VIII 64,350 Series B preferred shares for an aggregate investment amount of $567,784.72.</w:t>
      </w:r>
    </w:p>
    <w:p>
      <w:pPr>
        <w:spacing w:after="0" w:line="145"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In November 2020, pursuant to the Share Subscription Agreement dated November 3, 2020, or the 2020 Share Subscription Agreement, we issued to investors a total of 5,826,279 Series C preferred shares for an aggregate investment amount of approximately $80 million. Under the 2020 Share Subscription Agreement, we issued to Foresite IV a total of 364,143 Series C preferred shares for an aggregate investment amount of $5,000,011.12, to Foresite V, a total of 364,142 Series C preferred shares for an aggregate investment amount of $4,999,997.39, to BCLS a total of 660,660 Series C preferred shares for an aggregate investment amount of $9,071,456.39, to BCIP LS a total of 67,625 Series C preferred shares for an aggregate investment amount of $928,552.11, to venBio a total of 728,285 Series C preferred shares for an aggregate investment amount of $10,000,008.51, to Venrock I a total of 197,118 Series C preferred shares for an aggregate investment amount of $ 2,706,607.55, to Venrock II a total of 19,707 Series C preferred shares for an aggregate investment amount of $270,594.85, to Venrock Healthcare Capital Partners Eg, L.P., a total of 220,146 Series C preferred shares for an aggregate investment amount of $3,022,802.71, to Opportunities Fund a total of 1,420,155 Series C preferred shares for an aggregate investment amount of $19,500,006.29, to General Atlantic PH B.V. a total of 1,420,155 Series C preferred shares for an aggregate investment amount of $19,500,006.29, to Cormorant Global Healthcare Master Fund, LP a total of 67,840 Series C preferred shares for an aggregate investment amount of $931,504.26, to Cormorant Private Healthcare Fund III, LP a total of 291,460 Series C Shares for an aggregate investment amount of $4,002,008.11, and to CRMA SPV, L.P. a total of 4,843 Series C Shares for an aggregate investment amount of $66,498.75.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our Directors</w:t>
      </w:r>
    </w:p>
    <w:p>
      <w:pPr>
        <w:spacing w:after="0" w:line="178" w:lineRule="exact"/>
        <w:rPr>
          <w:sz w:val="20"/>
          <w:szCs w:val="20"/>
          <w:color w:val="auto"/>
        </w:rPr>
      </w:pPr>
    </w:p>
    <w:p>
      <w:pPr>
        <w:ind w:right="100" w:firstLine="503"/>
        <w:spacing w:after="0" w:line="250" w:lineRule="auto"/>
        <w:rPr>
          <w:sz w:val="20"/>
          <w:szCs w:val="20"/>
          <w:color w:val="auto"/>
        </w:rPr>
      </w:pPr>
      <w:r>
        <w:rPr>
          <w:rFonts w:ascii="Arial" w:cs="Arial" w:eastAsia="Arial" w:hAnsi="Arial"/>
          <w:sz w:val="16"/>
          <w:szCs w:val="16"/>
          <w:color w:val="auto"/>
        </w:rPr>
        <w:t>We have entered into services agreements with Dr. Meeker, Mr. Schikan, Dr. Glassman, Ms. Monges, Dr. Björk and Dr. de Jonge Schuermans. The services agreements will be terminated, without prior notice, when the non-executive director ceases to be a non-executive director. The Company can also terminate the services agreement with immediate effect for “urgent cause” as defined in Section 7:678 of the Dutch Civil Code. Additionally, both the non-executive director and the Company may terminate the services agreement at any time, subject to a one-month notice period. Each services agreement provides for compensation, including a base compensation, an increase in the base compensation for membership on a committee of the board of directors, and, if considered appropriate by the board of directors and subject to applicable law and the Company’s compensation policy, eligibility to participate in the Company’s equity incentive plans. The services agreements also provide for the reimbursement of reasonable and necessary expenses incurred by our non-executives in the performance of their duties. The services agreements also contain confidentiality, non-competition and non-solicitation provisions.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Senior Management</w:t>
      </w:r>
    </w:p>
    <w:p>
      <w:pPr>
        <w:spacing w:after="0" w:line="178"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Dr. Knolle, who has served as Chief Scientific Officer and Chief Operating Officer since our inception, was a member of the board of Charité Research Organisation GmbH, or Charité CRO until February 28, 2022. The Company has entered into a service contract with Charité CRO according to which Charité CRO provides services supporting research for the Company. In fiscal years 2022, 2021 and 2020, payments to Charité CRO with respect to this service contract amounted to €372,858, €608 and €1,025,795, respectively.</w:t>
      </w:r>
    </w:p>
    <w:p>
      <w:pPr>
        <w:spacing w:after="0" w:line="137"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The Company engages several management entities for the purpose of providing key management services to the Company. These management entities are considered related parties, as they provide key management services and the key management personnel exercise key management functions within these entities. Certain key management personnel are also shareholders of the Company</w:t>
      </w:r>
      <w:r>
        <w:rPr>
          <w:rFonts w:ascii="Arial" w:cs="Arial" w:eastAsia="Arial" w:hAnsi="Arial"/>
          <w:sz w:val="15"/>
          <w:szCs w:val="15"/>
          <w:color w:val="auto"/>
        </w:rPr>
        <w:t>.</w:t>
      </w:r>
      <w:r>
        <w:rPr>
          <w:rFonts w:ascii="Arial" w:cs="Arial" w:eastAsia="Arial" w:hAnsi="Arial"/>
          <w:sz w:val="16"/>
          <w:szCs w:val="16"/>
          <w:color w:val="auto"/>
        </w:rPr>
        <w:t xml:space="preserve"> In fiscal year 2022 and 2021 the aggregate amounts payable to these related parties was €1,162,963 (2021: €1,586,157).</w:t>
      </w:r>
    </w:p>
    <w:p>
      <w:pPr>
        <w:spacing w:after="0" w:line="150"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have entered into Management Service Agreements with JCK-Consult/Dr. Knolle and GrayMatters Consulting B.V. dated August 1, 2020, or the Consulting Agreements. The Consulting Agreements provide for daily fixed fees up to a maximum amount per annum and an additional discretionary annual fee with a target based on a percentage of the maximum annual fee amount, determined at the discretion of the Company. The Consulting Agreements are for a term of four years but may be terminated earlier by either party without notice. Upon a termination of the agreement by the Company without cause, the consultant is entitled to (i) an amount equal to the expected sum of the services fee for the remaining period until the termination date, up to a specified amount, (ii) any unpaid discretionary fee for the prior year, and (iii) pro rata discretionary fee for the then-current year, subject to approval of the Company. The Consulting Agreements also contain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42" w:lineRule="exact"/>
        <w:rPr>
          <w:sz w:val="20"/>
          <w:szCs w:val="20"/>
          <w:color w:val="auto"/>
        </w:rPr>
      </w:pPr>
    </w:p>
    <w:p>
      <w:pPr>
        <w:ind w:right="120" w:firstLine="458"/>
        <w:spacing w:after="0" w:line="248" w:lineRule="auto"/>
        <w:rPr>
          <w:sz w:val="20"/>
          <w:szCs w:val="20"/>
          <w:color w:val="auto"/>
        </w:rPr>
      </w:pPr>
      <w:r>
        <w:rPr>
          <w:rFonts w:ascii="Arial" w:cs="Arial" w:eastAsia="Arial" w:hAnsi="Arial"/>
          <w:sz w:val="16"/>
          <w:szCs w:val="16"/>
          <w:color w:val="auto"/>
        </w:rPr>
        <w:t>We have also entered into employment agreements with Mr. Modig (Chief Executive Officer), Dr. Lu (Chief Medical Officer), Ms. Nijdam (Head of Finance and Principal Accounting Officer), Dr. Conn (Chief Business Officer), Dr. Souverijns (Chief Community Engagement and Commercial Officer), Ms. Joan Schmidt (Chief Legal Officer) and Ms. Deschoolmeester (Chief Human Resources Officer) (collectively, the “Employment Agreements”). The Employment Agreements generally provide for base salary, discretionary annual bonuses based on a percentage of base salary and eligibility to receive equity awards and to participate in the Company’s benefits plans. The Employment Agreements for Mr. Modig, Dr. Lu, Dr. Conn, Dr. Souverijns, Ms. Schmidt and Ms. Deschoolmeester also provide that upon a termination by the Company without cause or by the member of senior management for good reason, outside of any Change of Control event, or as a result of the individual’s death or disability, the member of senior management is entitled to the following (subject to execution of a general release of claims in favor of the Company): (i) 12 months of base salary (ii) with respect to Dr. Lu, Dr. Conn and Ms. Schmidt, for one year after termination, the right to continue health care benefits under COBRA at active employee rates, (iii) any unpaid discretionary bonus for the prior year and (iv) pro rata discretionary bonus for the current year, subject to Board approval. In the case of Mr. Modig, Dr. Souverijns and Ms. Deschoolmeester, the severance amount is reduced by (i) any base salary paid during a notice period during which the member of senior management is released from an obligation to work, and/or (ii) the amount of any survivor’s or disability annuity payment received for the 12 subsequent months.</w:t>
      </w:r>
    </w:p>
    <w:p>
      <w:pPr>
        <w:spacing w:after="0" w:line="145"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The Employment agreements with Mr. Modig, Dr. Lu, Dr. Conn, Dr. Souverijns, Ms. Schmidt and Ms. Deschoolmeester also provide that in the event that a notice of termination is served by the Company without Cause, or by the Employee for Good Reason, in each case (i) within one month prior to the consummation of a Change of Control or (ii) within 12 months following the consummation of a Change of Control, the member of senior management shall be entitled to receive (subject to execution of a general release of claims in favor of the Company): (i) (x) 1.5 times the sum of base salary and bonus target with respect to Mr. Modig, and (y) the sum of the annual base salary and bonus target with respect to Dr. Lu, Dr. Conn, Dr. Souverijns, Ms. Schmidt and Ms. Deschoolmeester; (ii) with respect to Dr. Lu, Dr. Conn and Ms. Schmidt, for one year after termination, the right to continue health care benefits under COBRA at active employee rates, (iii) any unpaid discretionary bonus for the prior year and (iv) a pro rata discretionary bonus for the current year, subject to Board approval. In the case of Mr. Modig, Dr. Souverijns and Ms. Deschoolmeester, the severance amount is reduced by any base salary paid during a notice period during which the member of senior management is released from an obligation to work.</w:t>
      </w:r>
    </w:p>
    <w:p>
      <w:pPr>
        <w:spacing w:after="0" w:line="159"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Ms. Schmidt's employment agreement also provides for a grant of new hire stock options. In the event of a Change in Control and if Ms. Schmidt has remained continuously employed by the Company as of immediately prior to such Change in Control, 25% of the new hire stock options that remain outstanding and unvested as of such Change in Control shall vest as of such Change in Control. Additionally, in the event that Ms. Schmidt's employment is terminated by the Company without Cause or by Ms. Schmidt for Good Reason within one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auto"/>
        </w:rPr>
        <w:t>month prior to or within 12 months following such Change in Control, 100% of the new hire stock options that remain outstanding and unvested as of such termination shall vest as of such termination.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78" w:lineRule="exact"/>
        <w:rPr>
          <w:sz w:val="20"/>
          <w:szCs w:val="20"/>
          <w:color w:val="auto"/>
        </w:rPr>
      </w:pPr>
    </w:p>
    <w:p>
      <w:pPr>
        <w:jc w:val="both"/>
        <w:ind w:right="300" w:firstLine="458"/>
        <w:spacing w:after="0" w:line="264" w:lineRule="auto"/>
        <w:rPr>
          <w:sz w:val="20"/>
          <w:szCs w:val="20"/>
          <w:color w:val="auto"/>
        </w:rPr>
      </w:pPr>
      <w:r>
        <w:rPr>
          <w:rFonts w:ascii="Arial" w:cs="Arial" w:eastAsia="Arial" w:hAnsi="Arial"/>
          <w:sz w:val="16"/>
          <w:szCs w:val="16"/>
          <w:color w:val="auto"/>
        </w:rPr>
        <w:t>We have entered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Directed Share Program</w:t>
      </w:r>
    </w:p>
    <w:p>
      <w:pPr>
        <w:spacing w:after="0" w:line="191" w:lineRule="exact"/>
        <w:rPr>
          <w:sz w:val="20"/>
          <w:szCs w:val="20"/>
          <w:color w:val="auto"/>
        </w:rPr>
      </w:pPr>
    </w:p>
    <w:p>
      <w:pPr>
        <w:ind w:right="420" w:firstLine="458"/>
        <w:spacing w:after="0" w:line="264" w:lineRule="auto"/>
        <w:rPr>
          <w:sz w:val="20"/>
          <w:szCs w:val="20"/>
          <w:color w:val="auto"/>
        </w:rPr>
      </w:pPr>
      <w:r>
        <w:rPr>
          <w:rFonts w:ascii="Arial" w:cs="Arial" w:eastAsia="Arial" w:hAnsi="Arial"/>
          <w:sz w:val="16"/>
          <w:szCs w:val="16"/>
          <w:color w:val="auto"/>
        </w:rPr>
        <w:t>At our request, the underwriters reserved up to 5% of the ordinary shares offered by our prospectus dated February 4, 2021 filed with the SEC on February 8, 2021, for sale at the initial public offering price through a directed share program to certain individuals, including our directors, officers, employees, and certain friends and family members of these persons.</w:t>
      </w:r>
    </w:p>
    <w:p>
      <w:pPr>
        <w:spacing w:after="0" w:line="318" w:lineRule="exact"/>
        <w:rPr>
          <w:sz w:val="20"/>
          <w:szCs w:val="20"/>
          <w:color w:val="auto"/>
        </w:rPr>
      </w:pPr>
    </w:p>
    <w:p>
      <w:pPr>
        <w:ind w:left="920" w:hanging="463"/>
        <w:spacing w:after="0"/>
        <w:tabs>
          <w:tab w:leader="none" w:pos="92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Interests of Experts and Counsel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8. FINANCIAL INFORMATION</w:t>
      </w:r>
    </w:p>
    <w:p>
      <w:pPr>
        <w:spacing w:after="0" w:line="178" w:lineRule="exact"/>
        <w:rPr>
          <w:sz w:val="20"/>
          <w:szCs w:val="20"/>
          <w:color w:val="auto"/>
        </w:rPr>
      </w:pPr>
    </w:p>
    <w:p>
      <w:pPr>
        <w:ind w:left="920" w:hanging="463"/>
        <w:spacing w:after="0"/>
        <w:tabs>
          <w:tab w:leader="none" w:pos="9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and other financial information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Financial statements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18. Financial statements,” which contains our audited financial statements prepared in accordance with IFRS.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From time to time we are involved in legal proceedings that arise in the ordinary course of business. We believe that the outcome of these proceedings, if determined adversely, will not have a material adverse effect on our financial position. During the period covered by the audited and approved financial statements contained herein, we have not been a party to or paid any damages in connection with litigation that has had a material adverse effect on our financial position. Any future litigation may result in substantial costs and be a distraction to management and our employees. No assurance can be given that future litigation will not have a material adverse effect on our financial position. See “ITEM 3. KEY INFORMATION—D. Risk factors.”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Dividends and dividend policy</w:t>
      </w:r>
    </w:p>
    <w:p>
      <w:pPr>
        <w:spacing w:after="0" w:line="176"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42"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Under our Articles of Association, if any preferred shares are or have been outstanding, the preferred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56" w:lineRule="exact"/>
        <w:rPr>
          <w:sz w:val="20"/>
          <w:szCs w:val="20"/>
          <w:color w:val="auto"/>
        </w:rPr>
      </w:pPr>
    </w:p>
    <w:p>
      <w:pPr>
        <w:ind w:left="920" w:hanging="463"/>
        <w:spacing w:after="0"/>
        <w:tabs>
          <w:tab w:leader="none" w:pos="9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changes</w:t>
      </w:r>
    </w:p>
    <w:p>
      <w:pPr>
        <w:spacing w:after="0" w:line="178" w:lineRule="exact"/>
        <w:rPr>
          <w:sz w:val="20"/>
          <w:szCs w:val="20"/>
          <w:color w:val="auto"/>
        </w:rPr>
      </w:pPr>
    </w:p>
    <w:p>
      <w:pPr>
        <w:ind w:right="940" w:firstLine="458"/>
        <w:spacing w:after="0" w:line="283" w:lineRule="auto"/>
        <w:rPr>
          <w:sz w:val="20"/>
          <w:szCs w:val="20"/>
          <w:color w:val="auto"/>
        </w:rPr>
      </w:pPr>
      <w:r>
        <w:rPr>
          <w:rFonts w:ascii="Arial" w:cs="Arial" w:eastAsia="Arial" w:hAnsi="Arial"/>
          <w:sz w:val="16"/>
          <w:szCs w:val="16"/>
          <w:color w:val="auto"/>
        </w:rPr>
        <w:t>A discussion of the significant changes in our business can be found under “ITEM 4. INFORMATION ON THE COMPANY—A. History and development of the company.”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9. THE OFFER AND LISTING</w:t>
      </w:r>
    </w:p>
    <w:p>
      <w:pPr>
        <w:spacing w:after="0" w:line="191" w:lineRule="exact"/>
        <w:rPr>
          <w:sz w:val="20"/>
          <w:szCs w:val="20"/>
          <w:color w:val="auto"/>
        </w:rPr>
      </w:pPr>
    </w:p>
    <w:p>
      <w:pPr>
        <w:ind w:left="920" w:hanging="463"/>
        <w:spacing w:after="0"/>
        <w:tabs>
          <w:tab w:leader="none" w:pos="9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Offering and listing details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Plan of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ordinary shares began trading on the Nasdaq Global Select Market under the symbol “PHVS” since February 5, 2021.</w:t>
      </w:r>
    </w:p>
    <w:p>
      <w:pPr>
        <w:spacing w:after="0" w:line="191" w:lineRule="exact"/>
        <w:rPr>
          <w:sz w:val="20"/>
          <w:szCs w:val="20"/>
          <w:color w:val="auto"/>
        </w:rPr>
      </w:pPr>
    </w:p>
    <w:p>
      <w:pPr>
        <w:ind w:left="920" w:hanging="463"/>
        <w:spacing w:after="0"/>
        <w:tabs>
          <w:tab w:leader="none" w:pos="92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Selling shareholders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10. ADDITIONAL INFORMATION</w:t>
      </w:r>
    </w:p>
    <w:p>
      <w:pPr>
        <w:spacing w:after="0" w:line="178" w:lineRule="exact"/>
        <w:rPr>
          <w:sz w:val="20"/>
          <w:szCs w:val="20"/>
          <w:color w:val="auto"/>
        </w:rPr>
      </w:pPr>
    </w:p>
    <w:p>
      <w:pPr>
        <w:ind w:left="920" w:hanging="463"/>
        <w:spacing w:after="0"/>
        <w:tabs>
          <w:tab w:leader="none" w:pos="9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920" w:hanging="463"/>
        <w:spacing w:after="0"/>
        <w:tabs>
          <w:tab w:leader="none" w:pos="9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17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We incorporate by reference into this Annual Report the description of our Articles of Association effective upon the closing of our initial public offering contained in our F-1 registration statement (File No. 333-252157) originally filed with the SEC on January 15, 2021, as amended. Such description sets forth a summary of certain provisions of our Articles of Association as currently in effect.</w:t>
      </w:r>
    </w:p>
    <w:p>
      <w:pPr>
        <w:spacing w:after="0" w:line="130" w:lineRule="exact"/>
        <w:rPr>
          <w:sz w:val="20"/>
          <w:szCs w:val="20"/>
          <w:color w:val="auto"/>
        </w:rPr>
      </w:pPr>
    </w:p>
    <w:p>
      <w:pPr>
        <w:ind w:left="920" w:hanging="463"/>
        <w:spacing w:after="0"/>
        <w:tabs>
          <w:tab w:leader="none" w:pos="9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191"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116" w:lineRule="exact"/>
        <w:rPr>
          <w:sz w:val="20"/>
          <w:szCs w:val="20"/>
          <w:color w:val="auto"/>
        </w:rPr>
      </w:pPr>
    </w:p>
    <w:p>
      <w:pPr>
        <w:ind w:left="920" w:hanging="463"/>
        <w:spacing w:after="0"/>
        <w:tabs>
          <w:tab w:leader="none" w:pos="92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178"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Cash dividends payable on our ordinary shares may be remitted from the Netherlands to non-residents without legal restrictions imposed by the laws of the Netherlands, except that (i) such payments must be reported, if requested, to the Dutch Central Bank for statistical purposes only and (ii) the transfer of funds to jurisdictions subject to general economic sanctions adopted in connection with policies of the United Nations, European Commission or similar measures imposed directly by the Government of the Netherlands may be restricted.</w:t>
      </w:r>
    </w:p>
    <w:p>
      <w:pPr>
        <w:spacing w:after="0" w:line="150" w:lineRule="exact"/>
        <w:rPr>
          <w:sz w:val="20"/>
          <w:szCs w:val="20"/>
          <w:color w:val="auto"/>
        </w:rPr>
      </w:pPr>
    </w:p>
    <w:p>
      <w:pPr>
        <w:ind w:left="920" w:hanging="463"/>
        <w:spacing w:after="0"/>
        <w:tabs>
          <w:tab w:leader="none" w:pos="92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MATERIAL UNITED STATES FEDERAL INCOME TAX AND DUTCH TAX CONSIDERATIONS</w:t>
      </w:r>
    </w:p>
    <w:p>
      <w:pPr>
        <w:spacing w:after="0" w:line="178"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44"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Material U.S. Federal Income Tax Considerations to U.S. Holders</w:t>
      </w:r>
    </w:p>
    <w:p>
      <w:pPr>
        <w:spacing w:after="0" w:line="176"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02" w:lineRule="exact"/>
        <w:rPr>
          <w:sz w:val="20"/>
          <w:szCs w:val="20"/>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certain financial institutions;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corporations that accumulate earnings to avoid U.S. federal income tax, or expatriated entities subject to Section 7874 of the Code;</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177" w:lineRule="exact"/>
        <w:rPr>
          <w:rFonts w:ascii="Times New Roman" w:cs="Times New Roman" w:eastAsia="Times New Roman" w:hAnsi="Times New Roman"/>
          <w:sz w:val="16"/>
          <w:szCs w:val="16"/>
          <w:color w:val="auto"/>
        </w:rPr>
      </w:pPr>
    </w:p>
    <w:p>
      <w:pPr>
        <w:ind w:left="900" w:right="200" w:hanging="443"/>
        <w:spacing w:after="0" w:line="282" w:lineRule="auto"/>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103"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entities or arrangements classified as partnerships for U.S. federal income tax purposes;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tax-exempt entities;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 retirement accounts” or “Roth IRAs” or other tax-deferred accounts;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persons that acquire ordinary shares directly or indirectly in connection with the performance of services;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 are subject to Section 451(b) of the Code;</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that own or are deemed to own ten percent or more of our shares (by vote or value);</w:t>
      </w:r>
    </w:p>
    <w:p>
      <w:pPr>
        <w:spacing w:after="0" w:line="177" w:lineRule="exact"/>
        <w:rPr>
          <w:rFonts w:ascii="Times New Roman" w:cs="Times New Roman" w:eastAsia="Times New Roman" w:hAnsi="Times New Roman"/>
          <w:sz w:val="16"/>
          <w:szCs w:val="16"/>
          <w:color w:val="auto"/>
        </w:rPr>
      </w:pPr>
    </w:p>
    <w:p>
      <w:pPr>
        <w:ind w:left="900" w:right="560" w:hanging="443"/>
        <w:spacing w:after="0" w:line="282" w:lineRule="auto"/>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S corporations and any investors therein, regulated investment companies, real estate investment trusts, real estate mortgage investment conduits; or</w:t>
      </w:r>
    </w:p>
    <w:p>
      <w:pPr>
        <w:spacing w:after="0" w:line="103"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in connection with a trade or business conducted outside of the United States.</w:t>
      </w:r>
    </w:p>
    <w:p>
      <w:pPr>
        <w:spacing w:after="0" w:line="204"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37"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Treaty and who is:</w:t>
      </w:r>
    </w:p>
    <w:p>
      <w:pPr>
        <w:spacing w:after="0" w:line="149" w:lineRule="exact"/>
        <w:rPr>
          <w:sz w:val="20"/>
          <w:szCs w:val="20"/>
          <w:color w:val="auto"/>
        </w:rPr>
      </w:pPr>
    </w:p>
    <w:p>
      <w:pPr>
        <w:ind w:left="900" w:hanging="443"/>
        <w:spacing w:after="0"/>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an individual who is a citizen or resident in the US;</w:t>
      </w:r>
    </w:p>
    <w:p>
      <w:pPr>
        <w:spacing w:after="0" w:line="177" w:lineRule="exact"/>
        <w:rPr>
          <w:rFonts w:ascii="Times New Roman" w:cs="Times New Roman" w:eastAsia="Times New Roman" w:hAnsi="Times New Roman"/>
          <w:sz w:val="16"/>
          <w:szCs w:val="16"/>
          <w:color w:val="auto"/>
        </w:rPr>
      </w:pPr>
    </w:p>
    <w:p>
      <w:pPr>
        <w:ind w:left="900" w:right="480" w:hanging="443"/>
        <w:spacing w:after="0" w:line="282" w:lineRule="auto"/>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therein or the District of Columbia;</w:t>
      </w:r>
    </w:p>
    <w:p>
      <w:pPr>
        <w:spacing w:after="0" w:line="103"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77" w:lineRule="exact"/>
        <w:rPr>
          <w:rFonts w:ascii="Times New Roman" w:cs="Times New Roman" w:eastAsia="Times New Roman" w:hAnsi="Times New Roman"/>
          <w:sz w:val="16"/>
          <w:szCs w:val="16"/>
          <w:color w:val="auto"/>
        </w:rPr>
      </w:pPr>
    </w:p>
    <w:p>
      <w:pPr>
        <w:ind w:left="900" w:right="60" w:hanging="443"/>
        <w:spacing w:after="0" w:line="263" w:lineRule="auto"/>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45"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76" w:lineRule="exact"/>
        <w:rPr>
          <w:sz w:val="20"/>
          <w:szCs w:val="20"/>
          <w:color w:val="auto"/>
        </w:rPr>
      </w:pPr>
    </w:p>
    <w:p>
      <w:pPr>
        <w:ind w:right="360" w:firstLine="458"/>
        <w:spacing w:after="0" w:line="283" w:lineRule="auto"/>
        <w:rPr>
          <w:sz w:val="20"/>
          <w:szCs w:val="20"/>
          <w:color w:val="auto"/>
        </w:rPr>
      </w:pPr>
      <w:r>
        <w:rPr>
          <w:rFonts w:ascii="Arial" w:cs="Arial" w:eastAsia="Arial" w:hAnsi="Arial"/>
          <w:sz w:val="16"/>
          <w:szCs w:val="16"/>
          <w:color w:val="auto"/>
        </w:rPr>
        <w:t>As discussed above under “Dividends and dividend policy”, we do not expect to make distributions on our ordinary shares in the near future. In the event that we do make distributions of cash or other property, subject to the PFIC rules described below, distributions paid 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 received deduction generally available to U.S. corporations under the United States Internal Revenue Code.</w:t>
      </w:r>
    </w:p>
    <w:p>
      <w:pPr>
        <w:spacing w:after="0" w:line="16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39"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 or Other Disposition of Ordinary Shares</w:t>
      </w:r>
    </w:p>
    <w:p>
      <w:pPr>
        <w:spacing w:after="0" w:line="189"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 through” rules with respect to subsidiaries, either</w:t>
      </w:r>
    </w:p>
    <w:p>
      <w:pPr>
        <w:spacing w:after="0" w:line="20" w:lineRule="exact"/>
        <w:rPr>
          <w:sz w:val="20"/>
          <w:szCs w:val="20"/>
          <w:color w:val="auto"/>
        </w:rPr>
      </w:pPr>
    </w:p>
    <w:p>
      <w:pPr>
        <w:ind w:firstLine="7"/>
        <w:spacing w:after="0" w:line="246" w:lineRule="auto"/>
        <w:tabs>
          <w:tab w:leader="none" w:pos="18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2021 and we do not expect to be a PFIC for our current taxable year or in the foreseeable future. In addition, we may, directly or indirectly, hold equity interests in other PFICs, or Lower-tier PFICs. Whether we or any of our subsidiaries will be a PFIC in 2022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2022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58"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37"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50"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 xml:space="preserve">A U.S. Holder can avoid certain of the adverse rules described above by making a mark-to-market election with respect to its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42" w:lineRule="exact"/>
        <w:rPr>
          <w:sz w:val="20"/>
          <w:szCs w:val="20"/>
          <w:color w:val="auto"/>
        </w:rPr>
      </w:pPr>
    </w:p>
    <w:p>
      <w:pPr>
        <w:ind w:firstLine="458"/>
        <w:spacing w:after="0" w:line="246"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57"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9"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0"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With respect to Foreign Financial Assets</w:t>
      </w:r>
    </w:p>
    <w:p>
      <w:pPr>
        <w:spacing w:after="0" w:line="189"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0" w:lineRule="exact"/>
        <w:rPr>
          <w:sz w:val="20"/>
          <w:szCs w:val="20"/>
          <w:color w:val="auto"/>
        </w:rPr>
      </w:pPr>
    </w:p>
    <w:p>
      <w:pPr>
        <w:ind w:right="260" w:firstLine="458"/>
        <w:spacing w:after="0" w:line="283" w:lineRule="auto"/>
        <w:rPr>
          <w:sz w:val="20"/>
          <w:szCs w:val="20"/>
          <w:color w:val="auto"/>
        </w:rPr>
      </w:pPr>
      <w:r>
        <w:rPr>
          <w:rFonts w:ascii="Arial" w:cs="Arial" w:eastAsia="Arial" w:hAnsi="Arial"/>
          <w:sz w:val="16"/>
          <w:szCs w:val="16"/>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89"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Material Dutch Tax Considerations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Scope of Discussion</w:t>
      </w:r>
    </w:p>
    <w:p>
      <w:pPr>
        <w:spacing w:after="0" w:line="189"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37"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37"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this section does not describe the Dutch tax consequences for:</w:t>
      </w:r>
    </w:p>
    <w:p>
      <w:pPr>
        <w:spacing w:after="0" w:line="165" w:lineRule="exact"/>
        <w:rPr>
          <w:sz w:val="20"/>
          <w:szCs w:val="20"/>
          <w:color w:val="auto"/>
        </w:rPr>
      </w:pPr>
    </w:p>
    <w:p>
      <w:pPr>
        <w:ind w:left="1020" w:hanging="504"/>
        <w:spacing w:after="0" w:line="249" w:lineRule="auto"/>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holder of our ordinary shares if such holder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w:t>
      </w:r>
      <w:r>
        <w:rPr>
          <w:rFonts w:ascii="Arial" w:cs="Arial" w:eastAsia="Arial" w:hAnsi="Arial"/>
          <w:sz w:val="16"/>
          <w:szCs w:val="16"/>
          <w:color w:val="auto"/>
        </w:rPr>
        <w:t xml:space="preserve"> </w:t>
      </w:r>
      <w:r>
        <w:rPr>
          <w:rFonts w:ascii="Arial" w:cs="Arial" w:eastAsia="Arial" w:hAnsi="Arial"/>
          <w:sz w:val="16"/>
          <w:szCs w:val="16"/>
          <w:i w:val="1"/>
          <w:iCs w:val="1"/>
          <w:color w:val="auto"/>
        </w:rPr>
        <w:t>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a holder of securities in a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31" w:lineRule="exact"/>
        <w:rPr>
          <w:rFonts w:ascii="Arial" w:cs="Arial" w:eastAsia="Arial" w:hAnsi="Arial"/>
          <w:sz w:val="16"/>
          <w:szCs w:val="16"/>
          <w:color w:val="auto"/>
        </w:rPr>
      </w:pPr>
    </w:p>
    <w:p>
      <w:pPr>
        <w:ind w:left="1020" w:right="20" w:hanging="504"/>
        <w:spacing w:after="0" w:line="254" w:lineRule="auto"/>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holder of our ordinary shares, if the ordinary shares held by such holder qualify or qualified as a participation (</w:t>
      </w:r>
      <w:r>
        <w:rPr>
          <w:rFonts w:ascii="Arial" w:cs="Arial" w:eastAsia="Arial" w:hAnsi="Arial"/>
          <w:sz w:val="16"/>
          <w:szCs w:val="16"/>
          <w:i w:val="1"/>
          <w:iCs w:val="1"/>
          <w:color w:val="auto"/>
        </w:rPr>
        <w:t>deelneming</w:t>
      </w:r>
      <w:r>
        <w:rPr>
          <w:rFonts w:ascii="Arial" w:cs="Arial" w:eastAsia="Arial" w:hAnsi="Arial"/>
          <w:sz w:val="16"/>
          <w:szCs w:val="16"/>
          <w:color w:val="auto"/>
        </w:rPr>
        <w:t>) for purposes of the Dutch Corporate Income Tax Act 1969 (</w:t>
      </w:r>
      <w:r>
        <w:rPr>
          <w:rFonts w:ascii="Arial" w:cs="Arial" w:eastAsia="Arial" w:hAnsi="Arial"/>
          <w:sz w:val="16"/>
          <w:szCs w:val="16"/>
          <w:i w:val="1"/>
          <w:iCs w:val="1"/>
          <w:color w:val="auto"/>
        </w:rPr>
        <w:t>Wet op de vennootschapsbelasting 1969</w:t>
      </w:r>
      <w:r>
        <w:rPr>
          <w:rFonts w:ascii="Arial" w:cs="Arial" w:eastAsia="Arial" w:hAnsi="Arial"/>
          <w:sz w:val="16"/>
          <w:szCs w:val="16"/>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125" w:lineRule="exact"/>
        <w:rPr>
          <w:rFonts w:ascii="Arial" w:cs="Arial" w:eastAsia="Arial" w:hAnsi="Arial"/>
          <w:sz w:val="16"/>
          <w:szCs w:val="16"/>
          <w:color w:val="auto"/>
        </w:rPr>
      </w:pPr>
    </w:p>
    <w:p>
      <w:pPr>
        <w:ind w:left="1020" w:right="140" w:hanging="504"/>
        <w:spacing w:after="0" w:line="257" w:lineRule="auto"/>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holder of our ordinary shares which is or who is entitled to the dividend withholding tax exemption (</w:t>
      </w:r>
      <w:r>
        <w:rPr>
          <w:rFonts w:ascii="Arial" w:cs="Arial" w:eastAsia="Arial" w:hAnsi="Arial"/>
          <w:sz w:val="16"/>
          <w:szCs w:val="16"/>
          <w:i w:val="1"/>
          <w:iCs w:val="1"/>
          <w:color w:val="auto"/>
        </w:rPr>
        <w:t>inhoudingsvrijstelling</w:t>
      </w:r>
      <w:r>
        <w:rPr>
          <w:rFonts w:ascii="Arial" w:cs="Arial" w:eastAsia="Arial" w:hAnsi="Arial"/>
          <w:sz w:val="16"/>
          <w:szCs w:val="16"/>
          <w:color w:val="auto"/>
        </w:rPr>
        <w:t>) with respect to any income (</w:t>
      </w:r>
      <w:r>
        <w:rPr>
          <w:rFonts w:ascii="Arial" w:cs="Arial" w:eastAsia="Arial" w:hAnsi="Arial"/>
          <w:sz w:val="16"/>
          <w:szCs w:val="16"/>
          <w:i w:val="1"/>
          <w:iCs w:val="1"/>
          <w:color w:val="auto"/>
        </w:rPr>
        <w:t>opbrengst</w:t>
      </w:r>
      <w:r>
        <w:rPr>
          <w:rFonts w:ascii="Arial" w:cs="Arial" w:eastAsia="Arial" w:hAnsi="Arial"/>
          <w:sz w:val="16"/>
          <w:szCs w:val="16"/>
          <w:color w:val="auto"/>
        </w:rPr>
        <w:t>) derived from the ordinary shares (as defined in Article 4 of the Dutch Dividend Withholding Tax Act 1965 (</w:t>
      </w:r>
      <w:r>
        <w:rPr>
          <w:rFonts w:ascii="Arial" w:cs="Arial" w:eastAsia="Arial" w:hAnsi="Arial"/>
          <w:sz w:val="16"/>
          <w:szCs w:val="16"/>
          <w:i w:val="1"/>
          <w:iCs w:val="1"/>
          <w:color w:val="auto"/>
        </w:rPr>
        <w:t>Wet op de</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dividendbelasting</w:t>
      </w:r>
      <w:r>
        <w:rPr>
          <w:rFonts w:ascii="Arial" w:cs="Arial" w:eastAsia="Arial" w:hAnsi="Arial"/>
          <w:sz w:val="16"/>
          <w:szCs w:val="16"/>
          <w:color w:val="auto"/>
        </w:rPr>
        <w:t>). Generally, a holder of our ordinary shares may be entitled or required to apply, subject to certain other requirements,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withholding tax exemption if it is an entity and holds an interest of 5% or more in our nominal paid-up shares capital;</w:t>
      </w:r>
    </w:p>
    <w:p>
      <w:pPr>
        <w:spacing w:after="0" w:line="123" w:lineRule="exact"/>
        <w:rPr>
          <w:rFonts w:ascii="Arial" w:cs="Arial" w:eastAsia="Arial" w:hAnsi="Arial"/>
          <w:sz w:val="16"/>
          <w:szCs w:val="16"/>
          <w:color w:val="auto"/>
        </w:rPr>
      </w:pPr>
    </w:p>
    <w:p>
      <w:pPr>
        <w:ind w:left="1020" w:hanging="504"/>
        <w:spacing w:after="0" w:line="252" w:lineRule="auto"/>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pension funds, investment institutions (</w:t>
      </w:r>
      <w:r>
        <w:rPr>
          <w:rFonts w:ascii="Arial" w:cs="Arial" w:eastAsia="Arial" w:hAnsi="Arial"/>
          <w:sz w:val="16"/>
          <w:szCs w:val="16"/>
          <w:i w:val="1"/>
          <w:iCs w:val="1"/>
          <w:color w:val="auto"/>
        </w:rPr>
        <w:t>fiscale beleggingsinstellingen</w:t>
      </w:r>
      <w:r>
        <w:rPr>
          <w:rFonts w:ascii="Arial" w:cs="Arial" w:eastAsia="Arial" w:hAnsi="Arial"/>
          <w:sz w:val="16"/>
          <w:szCs w:val="16"/>
          <w:color w:val="auto"/>
        </w:rPr>
        <w:t>), tax exempt investment institutions (</w:t>
      </w:r>
      <w:r>
        <w:rPr>
          <w:rFonts w:ascii="Arial" w:cs="Arial" w:eastAsia="Arial" w:hAnsi="Arial"/>
          <w:sz w:val="16"/>
          <w:szCs w:val="16"/>
          <w:i w:val="1"/>
          <w:iCs w:val="1"/>
          <w:color w:val="auto"/>
        </w:rPr>
        <w:t>vrijgestelde beleggingsinstellingen</w:t>
      </w:r>
      <w:r>
        <w:rPr>
          <w:rFonts w:ascii="Arial" w:cs="Arial" w:eastAsia="Arial" w:hAnsi="Arial"/>
          <w:sz w:val="16"/>
          <w:szCs w:val="16"/>
          <w:color w:val="auto"/>
        </w:rPr>
        <w:t>)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27" w:lineRule="exact"/>
        <w:rPr>
          <w:rFonts w:ascii="Arial" w:cs="Arial" w:eastAsia="Arial" w:hAnsi="Arial"/>
          <w:sz w:val="16"/>
          <w:szCs w:val="16"/>
          <w:color w:val="auto"/>
        </w:rPr>
      </w:pPr>
    </w:p>
    <w:p>
      <w:pPr>
        <w:ind w:left="1020" w:right="140" w:hanging="504"/>
        <w:spacing w:after="0" w:line="264" w:lineRule="auto"/>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 Withholding Tax</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w:t>
      </w:r>
    </w:p>
    <w:p>
      <w:pPr>
        <w:spacing w:after="0" w:line="176"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expression “dividends distributed” includes, among other things:</w:t>
      </w:r>
    </w:p>
    <w:p>
      <w:pPr>
        <w:spacing w:after="0" w:line="165" w:lineRule="exact"/>
        <w:rPr>
          <w:sz w:val="20"/>
          <w:szCs w:val="20"/>
          <w:color w:val="auto"/>
        </w:rPr>
      </w:pPr>
    </w:p>
    <w:p>
      <w:pPr>
        <w:ind w:left="900" w:right="580" w:hanging="443"/>
        <w:spacing w:after="0" w:line="282" w:lineRule="auto"/>
        <w:tabs>
          <w:tab w:leader="none" w:pos="900"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in cash or in kind, deemed and constructive distributions and repayments of paid-in capital not recognized for Dutch dividend withholding tax purposes;</w:t>
      </w:r>
    </w:p>
    <w:p>
      <w:pPr>
        <w:spacing w:after="0" w:line="103" w:lineRule="exact"/>
        <w:rPr>
          <w:rFonts w:ascii="Times New Roman" w:cs="Times New Roman" w:eastAsia="Times New Roman" w:hAnsi="Times New Roman"/>
          <w:sz w:val="16"/>
          <w:szCs w:val="16"/>
          <w:color w:val="auto"/>
        </w:rPr>
      </w:pPr>
    </w:p>
    <w:p>
      <w:pPr>
        <w:ind w:left="900" w:right="140" w:hanging="443"/>
        <w:spacing w:after="0" w:line="263" w:lineRule="auto"/>
        <w:tabs>
          <w:tab w:leader="none" w:pos="900"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6"/>
          <w:szCs w:val="16"/>
          <w:i w:val="1"/>
          <w:iCs w:val="1"/>
          <w:color w:val="auto"/>
        </w:rPr>
        <w:t>tijdelijke</w:t>
      </w:r>
      <w:r>
        <w:rPr>
          <w:rFonts w:ascii="Arial" w:cs="Arial" w:eastAsia="Arial" w:hAnsi="Arial"/>
          <w:sz w:val="16"/>
          <w:szCs w:val="16"/>
          <w:color w:val="auto"/>
        </w:rPr>
        <w:t xml:space="preserve"> belegging) by us or one of our subsidiaries or other affiliated entities, in each case to the extent such proceeds exceed the average paid-in capital of those ordinary shares as recognized for Dutch dividend withholding tax purposes;</w:t>
      </w:r>
    </w:p>
    <w:p>
      <w:pPr>
        <w:spacing w:after="0" w:line="118" w:lineRule="exact"/>
        <w:rPr>
          <w:rFonts w:ascii="Times New Roman" w:cs="Times New Roman" w:eastAsia="Times New Roman" w:hAnsi="Times New Roman"/>
          <w:sz w:val="16"/>
          <w:szCs w:val="16"/>
          <w:color w:val="auto"/>
        </w:rPr>
      </w:pPr>
    </w:p>
    <w:p>
      <w:pPr>
        <w:ind w:left="900" w:right="240" w:hanging="443"/>
        <w:spacing w:after="0" w:line="282" w:lineRule="auto"/>
        <w:tabs>
          <w:tab w:leader="none" w:pos="900"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103" w:lineRule="exact"/>
        <w:rPr>
          <w:rFonts w:ascii="Times New Roman" w:cs="Times New Roman" w:eastAsia="Times New Roman" w:hAnsi="Times New Roman"/>
          <w:sz w:val="16"/>
          <w:szCs w:val="16"/>
          <w:color w:val="auto"/>
        </w:rPr>
      </w:pPr>
    </w:p>
    <w:p>
      <w:pPr>
        <w:ind w:left="900" w:right="380" w:hanging="443"/>
        <w:spacing w:after="0" w:line="257" w:lineRule="auto"/>
        <w:tabs>
          <w:tab w:leader="none" w:pos="900"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color w:val="auto"/>
        </w:rPr>
        <w:t>partial repayment of the paid-in capital, recognized for Dutch dividend withholding tax purposes, if and to the extent that we have net profits (</w:t>
      </w:r>
      <w:r>
        <w:rPr>
          <w:rFonts w:ascii="Arial" w:cs="Arial" w:eastAsia="Arial" w:hAnsi="Arial"/>
          <w:sz w:val="16"/>
          <w:szCs w:val="16"/>
          <w:i w:val="1"/>
          <w:iCs w:val="1"/>
          <w:color w:val="auto"/>
        </w:rPr>
        <w:t>zuivere winst</w:t>
      </w:r>
      <w:r>
        <w:rPr>
          <w:rFonts w:ascii="Arial" w:cs="Arial" w:eastAsia="Arial" w:hAnsi="Arial"/>
          <w:sz w:val="16"/>
          <w:szCs w:val="16"/>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50"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41"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 stripping</w:t>
      </w:r>
    </w:p>
    <w:p>
      <w:pPr>
        <w:spacing w:after="0" w:line="189"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6"/>
          <w:szCs w:val="16"/>
          <w:i w:val="1"/>
          <w:iCs w:val="1"/>
          <w:color w:val="auto"/>
        </w:rPr>
        <w:t>uiteindelijk gerechtigde</w:t>
      </w:r>
      <w:r>
        <w:rPr>
          <w:rFonts w:ascii="Arial" w:cs="Arial" w:eastAsia="Arial" w:hAnsi="Arial"/>
          <w:sz w:val="16"/>
          <w:szCs w:val="16"/>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Conditional withholding tax on dividends (as of January 1, 2024)</w:t>
      </w:r>
    </w:p>
    <w:p>
      <w:pPr>
        <w:spacing w:after="0" w:line="109"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As of January 1, 2024, a Dutch conditional withholding tax will be imposed on dividends distributed by us to entities related (</w:t>
      </w:r>
      <w:r>
        <w:rPr>
          <w:rFonts w:ascii="Arial" w:cs="Arial" w:eastAsia="Arial" w:hAnsi="Arial"/>
          <w:sz w:val="16"/>
          <w:szCs w:val="16"/>
          <w:i w:val="1"/>
          <w:iCs w:val="1"/>
          <w:color w:val="auto"/>
        </w:rPr>
        <w:t>gelieerd</w:t>
      </w:r>
      <w:r>
        <w:rPr>
          <w:rFonts w:ascii="Arial" w:cs="Arial" w:eastAsia="Arial" w:hAnsi="Arial"/>
          <w:sz w:val="16"/>
          <w:szCs w:val="16"/>
          <w:color w:val="auto"/>
        </w:rPr>
        <w:t xml:space="preserve">) to us (within the meaning of the Dutch Withholding Tax Act 2021; </w:t>
      </w:r>
      <w:r>
        <w:rPr>
          <w:rFonts w:ascii="Arial" w:cs="Arial" w:eastAsia="Arial" w:hAnsi="Arial"/>
          <w:sz w:val="16"/>
          <w:szCs w:val="16"/>
          <w:i w:val="1"/>
          <w:iCs w:val="1"/>
          <w:color w:val="auto"/>
        </w:rPr>
        <w:t>Wet bronbelasting 2021</w:t>
      </w:r>
      <w:r>
        <w:rPr>
          <w:rFonts w:ascii="Arial" w:cs="Arial" w:eastAsia="Arial" w:hAnsi="Arial"/>
          <w:sz w:val="16"/>
          <w:szCs w:val="16"/>
          <w:color w:val="auto"/>
        </w:rPr>
        <w:t>), if such related entity:</w:t>
      </w:r>
    </w:p>
    <w:p>
      <w:pPr>
        <w:spacing w:after="0" w:line="143" w:lineRule="exact"/>
        <w:rPr>
          <w:sz w:val="20"/>
          <w:szCs w:val="20"/>
          <w:color w:val="auto"/>
        </w:rPr>
      </w:pPr>
    </w:p>
    <w:p>
      <w:pPr>
        <w:jc w:val="both"/>
        <w:ind w:left="480" w:right="100" w:hanging="459"/>
        <w:spacing w:after="0" w:line="256" w:lineRule="auto"/>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is considered to be resident (</w:t>
      </w:r>
      <w:r>
        <w:rPr>
          <w:rFonts w:ascii="Arial" w:cs="Arial" w:eastAsia="Arial" w:hAnsi="Arial"/>
          <w:sz w:val="16"/>
          <w:szCs w:val="16"/>
          <w:i w:val="1"/>
          <w:iCs w:val="1"/>
          <w:color w:val="auto"/>
        </w:rPr>
        <w:t>gevestigd)</w:t>
      </w:r>
      <w:r>
        <w:rPr>
          <w:rFonts w:ascii="Arial" w:cs="Arial" w:eastAsia="Arial" w:hAnsi="Arial"/>
          <w:sz w:val="16"/>
          <w:szCs w:val="16"/>
          <w:color w:val="auto"/>
        </w:rPr>
        <w:t xml:space="preserve"> in a jurisdiction that is listed in the yearly updated Dutch Regulation on low-taxing states and non-cooperative jurisdictions for tax purposes (</w:t>
      </w:r>
      <w:r>
        <w:rPr>
          <w:rFonts w:ascii="Arial" w:cs="Arial" w:eastAsia="Arial" w:hAnsi="Arial"/>
          <w:sz w:val="16"/>
          <w:szCs w:val="16"/>
          <w:i w:val="1"/>
          <w:iCs w:val="1"/>
          <w:color w:val="auto"/>
        </w:rPr>
        <w:t>Regeling laagbelastende staten en niet-coöperatieve rechtsgebieden voor belastingdoeleinden</w:t>
      </w:r>
      <w:r>
        <w:rPr>
          <w:rFonts w:ascii="Arial" w:cs="Arial" w:eastAsia="Arial" w:hAnsi="Arial"/>
          <w:sz w:val="16"/>
          <w:szCs w:val="16"/>
          <w:color w:val="auto"/>
        </w:rPr>
        <w:t>) (a "Listed Jurisdiction"); or</w:t>
      </w:r>
    </w:p>
    <w:p>
      <w:pPr>
        <w:spacing w:after="0" w:line="1" w:lineRule="exact"/>
        <w:rPr>
          <w:rFonts w:ascii="Arial" w:cs="Arial" w:eastAsia="Arial" w:hAnsi="Arial"/>
          <w:sz w:val="16"/>
          <w:szCs w:val="16"/>
          <w:color w:val="auto"/>
        </w:rPr>
      </w:pPr>
    </w:p>
    <w:p>
      <w:pPr>
        <w:ind w:left="480" w:hanging="459"/>
        <w:spacing w:after="0"/>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has a permanent establishment located in a Listed Jurisdiction to which the ordinary shares are attributable; or</w:t>
      </w:r>
    </w:p>
    <w:p>
      <w:pPr>
        <w:spacing w:after="0" w:line="30" w:lineRule="exact"/>
        <w:rPr>
          <w:rFonts w:ascii="Arial" w:cs="Arial" w:eastAsia="Arial" w:hAnsi="Arial"/>
          <w:sz w:val="16"/>
          <w:szCs w:val="16"/>
          <w:color w:val="auto"/>
        </w:rPr>
      </w:pPr>
    </w:p>
    <w:p>
      <w:pPr>
        <w:ind w:left="480" w:right="160" w:hanging="459"/>
        <w:spacing w:after="0" w:line="262" w:lineRule="auto"/>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holds the ordinary shares with the main purpose or one of the main purposes of avoiding taxation for another person or entity and there is an artificial arrangement or transaction or a series of artificial arrangements or transactions; or</w:t>
      </w:r>
    </w:p>
    <w:p>
      <w:pPr>
        <w:ind w:left="480" w:right="160" w:hanging="459"/>
        <w:spacing w:after="0" w:line="262" w:lineRule="auto"/>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is not considered to be the beneficial owner of the ordinary shares in its jurisdiction of residence because such jurisdiction treats another entity as the beneficial owner of the ordinary shares (a hybrid mismatch); or</w:t>
      </w:r>
    </w:p>
    <w:p>
      <w:pPr>
        <w:ind w:left="480" w:hanging="459"/>
        <w:spacing w:after="0"/>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is not resident in any jurisdiction (also a hybrid mismatch); or</w:t>
      </w:r>
    </w:p>
    <w:p>
      <w:pPr>
        <w:spacing w:after="0" w:line="30" w:lineRule="exact"/>
        <w:rPr>
          <w:rFonts w:ascii="Arial" w:cs="Arial" w:eastAsia="Arial" w:hAnsi="Arial"/>
          <w:sz w:val="16"/>
          <w:szCs w:val="16"/>
          <w:color w:val="auto"/>
        </w:rPr>
      </w:pPr>
    </w:p>
    <w:p>
      <w:pPr>
        <w:ind w:left="480" w:right="40" w:hanging="459"/>
        <w:spacing w:after="0" w:line="257" w:lineRule="auto"/>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6"/>
          <w:szCs w:val="16"/>
          <w:i w:val="1"/>
          <w:iCs w:val="1"/>
          <w:color w:val="auto"/>
        </w:rPr>
        <w:t>gelieerd</w:t>
      </w:r>
      <w:r>
        <w:rPr>
          <w:rFonts w:ascii="Arial" w:cs="Arial" w:eastAsia="Arial" w:hAnsi="Arial"/>
          <w:sz w:val="16"/>
          <w:szCs w:val="16"/>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within the meaning of the Dutch Withholding Tax Act 2021.</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Taxes on Income and Capital Gains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Entities</w:t>
      </w:r>
    </w:p>
    <w:p>
      <w:pPr>
        <w:spacing w:after="0" w:line="176" w:lineRule="exact"/>
        <w:rPr>
          <w:sz w:val="20"/>
          <w:szCs w:val="20"/>
          <w:color w:val="auto"/>
        </w:rPr>
      </w:pPr>
    </w:p>
    <w:p>
      <w:pPr>
        <w:jc w:val="both"/>
        <w:ind w:right="380" w:firstLine="458"/>
        <w:spacing w:after="0" w:line="264" w:lineRule="auto"/>
        <w:rPr>
          <w:sz w:val="20"/>
          <w:szCs w:val="20"/>
          <w:color w:val="auto"/>
        </w:rPr>
      </w:pPr>
      <w:r>
        <w:rPr>
          <w:rFonts w:ascii="Arial" w:cs="Arial" w:eastAsia="Arial" w:hAnsi="Arial"/>
          <w:sz w:val="16"/>
          <w:szCs w:val="16"/>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Individuals</w:t>
      </w:r>
    </w:p>
    <w:p>
      <w:pPr>
        <w:spacing w:after="0" w:line="189"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6"/>
          <w:szCs w:val="16"/>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2023), if:</w:t>
      </w:r>
    </w:p>
    <w:p>
      <w:pPr>
        <w:spacing w:after="0" w:line="117" w:lineRule="exact"/>
        <w:rPr>
          <w:sz w:val="20"/>
          <w:szCs w:val="20"/>
          <w:color w:val="auto"/>
        </w:rPr>
      </w:pPr>
    </w:p>
    <w:p>
      <w:pPr>
        <w:ind w:left="1020" w:right="340" w:hanging="504"/>
        <w:spacing w:after="0" w:line="264"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ordinary shares are attributable to an enterprise from which the holder of ordinary shares derives a share of the profit,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as a person who has a co-entitlement to the net worth (</w:t>
      </w:r>
      <w:r>
        <w:rPr>
          <w:rFonts w:ascii="Arial" w:cs="Arial" w:eastAsia="Arial" w:hAnsi="Arial"/>
          <w:sz w:val="16"/>
          <w:szCs w:val="16"/>
          <w:i w:val="1"/>
          <w:iCs w:val="1"/>
          <w:color w:val="auto"/>
        </w:rPr>
        <w:t>medegerechtigd tot het vermogen</w:t>
      </w:r>
      <w:r>
        <w:rPr>
          <w:rFonts w:ascii="Arial" w:cs="Arial" w:eastAsia="Arial" w:hAnsi="Arial"/>
          <w:sz w:val="16"/>
          <w:szCs w:val="16"/>
          <w:color w:val="auto"/>
        </w:rPr>
        <w:t>) of such enterprise without being a shareholder (as defined in the Dutch Income Tax Act 2001); or</w:t>
      </w:r>
    </w:p>
    <w:p>
      <w:pPr>
        <w:spacing w:after="0" w:line="116" w:lineRule="exact"/>
        <w:rPr>
          <w:rFonts w:ascii="Arial" w:cs="Arial" w:eastAsia="Arial" w:hAnsi="Arial"/>
          <w:sz w:val="16"/>
          <w:szCs w:val="16"/>
          <w:color w:val="auto"/>
        </w:rPr>
      </w:pPr>
    </w:p>
    <w:p>
      <w:pPr>
        <w:ind w:left="1020" w:right="80" w:hanging="504"/>
        <w:spacing w:after="0" w:line="264"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holder of ordinary shares is considered to perform activities with respect to the ordinary shares that go beyond ordinary asset management (</w:t>
      </w:r>
      <w:r>
        <w:rPr>
          <w:rFonts w:ascii="Arial" w:cs="Arial" w:eastAsia="Arial" w:hAnsi="Arial"/>
          <w:sz w:val="16"/>
          <w:szCs w:val="16"/>
          <w:i w:val="1"/>
          <w:iCs w:val="1"/>
          <w:color w:val="auto"/>
        </w:rPr>
        <w:t>normaal, actief vermogensbeheer</w:t>
      </w:r>
      <w:r>
        <w:rPr>
          <w:rFonts w:ascii="Arial" w:cs="Arial" w:eastAsia="Arial" w:hAnsi="Arial"/>
          <w:sz w:val="16"/>
          <w:szCs w:val="16"/>
          <w:color w:val="auto"/>
        </w:rPr>
        <w:t>) or otherwise derives benefits from the ordinary shares that are taxable as benefits from miscellaneous activities (</w:t>
      </w:r>
      <w:r>
        <w:rPr>
          <w:rFonts w:ascii="Arial" w:cs="Arial" w:eastAsia="Arial" w:hAnsi="Arial"/>
          <w:sz w:val="16"/>
          <w:szCs w:val="16"/>
          <w:i w:val="1"/>
          <w:iCs w:val="1"/>
          <w:color w:val="auto"/>
        </w:rPr>
        <w:t>resultaat uit overige werkzaamheden</w:t>
      </w:r>
      <w:r>
        <w:rPr>
          <w:rFonts w:ascii="Arial" w:cs="Arial" w:eastAsia="Arial" w:hAnsi="Arial"/>
          <w:sz w:val="16"/>
          <w:szCs w:val="16"/>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Taxation of savings and investments</w:t>
      </w:r>
    </w:p>
    <w:p>
      <w:pPr>
        <w:spacing w:after="0" w:line="297" w:lineRule="exact"/>
        <w:rPr>
          <w:sz w:val="20"/>
          <w:szCs w:val="20"/>
          <w:color w:val="auto"/>
        </w:rPr>
      </w:pPr>
    </w:p>
    <w:p>
      <w:pPr>
        <w:ind w:left="1020" w:right="300" w:hanging="504"/>
        <w:spacing w:after="0" w:line="283" w:lineRule="auto"/>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Dutch Resident Individual's assets and liabilities taxed under this regime, including the ordinary shares, are allocated over the following three categories: (a) bank savings, (b) other investments, including the ordinary shares, and (c) liabilities.</w:t>
      </w:r>
    </w:p>
    <w:p>
      <w:pPr>
        <w:spacing w:after="0" w:line="48" w:lineRule="exact"/>
        <w:rPr>
          <w:rFonts w:ascii="Arial" w:cs="Arial" w:eastAsia="Arial" w:hAnsi="Arial"/>
          <w:sz w:val="16"/>
          <w:szCs w:val="16"/>
          <w:color w:val="auto"/>
        </w:rPr>
      </w:pPr>
    </w:p>
    <w:p>
      <w:pPr>
        <w:ind w:left="1020" w:hanging="504"/>
        <w:spacing w:after="0"/>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return (</w:t>
      </w:r>
      <w:r>
        <w:rPr>
          <w:rFonts w:ascii="Arial" w:cs="Arial" w:eastAsia="Arial" w:hAnsi="Arial"/>
          <w:sz w:val="16"/>
          <w:szCs w:val="16"/>
          <w:i w:val="1"/>
          <w:iCs w:val="1"/>
          <w:color w:val="auto"/>
        </w:rPr>
        <w:t>rendement</w:t>
      </w:r>
      <w:r>
        <w:rPr>
          <w:rFonts w:ascii="Arial" w:cs="Arial" w:eastAsia="Arial" w:hAnsi="Arial"/>
          <w:sz w:val="16"/>
          <w:szCs w:val="16"/>
          <w:color w:val="auto"/>
        </w:rPr>
        <w:t>) in respect of these assets and liabilities is calculated as follows (the return is at a minimum nil):</w:t>
      </w:r>
    </w:p>
    <w:p>
      <w:pPr>
        <w:spacing w:after="0" w:line="191" w:lineRule="exact"/>
        <w:rPr>
          <w:rFonts w:ascii="Arial" w:cs="Arial" w:eastAsia="Arial" w:hAnsi="Arial"/>
          <w:sz w:val="16"/>
          <w:szCs w:val="16"/>
          <w:color w:val="auto"/>
        </w:rPr>
      </w:pPr>
    </w:p>
    <w:p>
      <w:pPr>
        <w:ind w:left="1260" w:hanging="234"/>
        <w:spacing w:after="0"/>
        <w:tabs>
          <w:tab w:leader="none" w:pos="1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a deemed return on the fair market value of the actual amount of bank savings and cash on January 1 of the relevant calendar year; </w:t>
      </w:r>
      <w:r>
        <w:rPr>
          <w:rFonts w:ascii="Arial" w:cs="Arial" w:eastAsia="Arial" w:hAnsi="Arial"/>
          <w:sz w:val="16"/>
          <w:szCs w:val="16"/>
          <w:i w:val="1"/>
          <w:iCs w:val="1"/>
          <w:color w:val="auto"/>
        </w:rPr>
        <w:t>plus</w:t>
      </w:r>
    </w:p>
    <w:p>
      <w:pPr>
        <w:spacing w:after="0" w:line="19" w:lineRule="exact"/>
        <w:rPr>
          <w:rFonts w:ascii="Arial" w:cs="Arial" w:eastAsia="Arial" w:hAnsi="Arial"/>
          <w:sz w:val="16"/>
          <w:szCs w:val="16"/>
          <w:color w:val="auto"/>
        </w:rPr>
      </w:pPr>
    </w:p>
    <w:p>
      <w:pPr>
        <w:ind w:left="1020" w:right="460" w:firstLine="6"/>
        <w:spacing w:after="0" w:line="244" w:lineRule="auto"/>
        <w:tabs>
          <w:tab w:leader="none" w:pos="125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a deemed return on the fair market value of the actual amount of other investments, including the ordinary shares, on January 1 of the relevant calendar year; </w:t>
      </w:r>
      <w:r>
        <w:rPr>
          <w:rFonts w:ascii="Arial" w:cs="Arial" w:eastAsia="Arial" w:hAnsi="Arial"/>
          <w:sz w:val="16"/>
          <w:szCs w:val="16"/>
          <w:i w:val="1"/>
          <w:iCs w:val="1"/>
          <w:color w:val="auto"/>
        </w:rPr>
        <w:t>minus</w:t>
      </w:r>
    </w:p>
    <w:p>
      <w:pPr>
        <w:spacing w:after="0" w:line="1" w:lineRule="exact"/>
        <w:rPr>
          <w:rFonts w:ascii="Arial" w:cs="Arial" w:eastAsia="Arial" w:hAnsi="Arial"/>
          <w:sz w:val="16"/>
          <w:szCs w:val="16"/>
          <w:color w:val="auto"/>
        </w:rPr>
      </w:pPr>
    </w:p>
    <w:p>
      <w:pPr>
        <w:ind w:left="1020" w:right="260" w:firstLine="6"/>
        <w:spacing w:after="0" w:line="262" w:lineRule="auto"/>
        <w:tabs>
          <w:tab w:leader="none" w:pos="128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deemed return on the sum of the fair market value of the actual amount of liabilities on January 1 of the relevant calendar year less the statutory threshold for liabilities (</w:t>
      </w:r>
      <w:r>
        <w:rPr>
          <w:rFonts w:ascii="Arial" w:cs="Arial" w:eastAsia="Arial" w:hAnsi="Arial"/>
          <w:sz w:val="16"/>
          <w:szCs w:val="16"/>
          <w:i w:val="1"/>
          <w:iCs w:val="1"/>
          <w:color w:val="auto"/>
        </w:rPr>
        <w:t>drempel</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1020" w:hanging="504"/>
        <w:spacing w:after="0"/>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return percentage (%) (r</w:t>
      </w:r>
      <w:r>
        <w:rPr>
          <w:rFonts w:ascii="Arial" w:cs="Arial" w:eastAsia="Arial" w:hAnsi="Arial"/>
          <w:sz w:val="16"/>
          <w:szCs w:val="16"/>
          <w:i w:val="1"/>
          <w:iCs w:val="1"/>
          <w:color w:val="auto"/>
        </w:rPr>
        <w:t>endementspercentage</w:t>
      </w:r>
      <w:r>
        <w:rPr>
          <w:rFonts w:ascii="Arial" w:cs="Arial" w:eastAsia="Arial" w:hAnsi="Arial"/>
          <w:sz w:val="16"/>
          <w:szCs w:val="16"/>
          <w:color w:val="auto"/>
        </w:rPr>
        <w:t>) is calculated as follows:</w:t>
      </w:r>
    </w:p>
    <w:p>
      <w:pPr>
        <w:spacing w:after="0" w:line="191" w:lineRule="exact"/>
        <w:rPr>
          <w:rFonts w:ascii="Arial" w:cs="Arial" w:eastAsia="Arial" w:hAnsi="Arial"/>
          <w:sz w:val="16"/>
          <w:szCs w:val="16"/>
          <w:color w:val="auto"/>
        </w:rPr>
      </w:pPr>
    </w:p>
    <w:p>
      <w:pPr>
        <w:ind w:left="1260" w:hanging="234"/>
        <w:spacing w:after="0"/>
        <w:tabs>
          <w:tab w:leader="none" w:pos="1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by dividing the return calculated under (ii) above by the net investment assets for the year of the Dutch Resident Individual; </w:t>
      </w:r>
      <w:r>
        <w:rPr>
          <w:rFonts w:ascii="Arial" w:cs="Arial" w:eastAsia="Arial" w:hAnsi="Arial"/>
          <w:sz w:val="16"/>
          <w:szCs w:val="16"/>
          <w:i w:val="1"/>
          <w:iCs w:val="1"/>
          <w:color w:val="auto"/>
        </w:rPr>
        <w:t>multiplied by</w:t>
      </w:r>
    </w:p>
    <w:p>
      <w:pPr>
        <w:spacing w:after="0" w:line="19" w:lineRule="exact"/>
        <w:rPr>
          <w:rFonts w:ascii="Arial" w:cs="Arial" w:eastAsia="Arial" w:hAnsi="Arial"/>
          <w:sz w:val="16"/>
          <w:szCs w:val="16"/>
          <w:color w:val="auto"/>
        </w:rPr>
      </w:pPr>
    </w:p>
    <w:p>
      <w:pPr>
        <w:ind w:left="1260" w:hanging="234"/>
        <w:spacing w:after="0"/>
        <w:tabs>
          <w:tab w:leader="none" w:pos="1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100.</w:t>
      </w:r>
    </w:p>
    <w:p>
      <w:pPr>
        <w:spacing w:after="0" w:line="94" w:lineRule="exact"/>
        <w:rPr>
          <w:rFonts w:ascii="Arial" w:cs="Arial" w:eastAsia="Arial" w:hAnsi="Arial"/>
          <w:sz w:val="16"/>
          <w:szCs w:val="16"/>
          <w:color w:val="auto"/>
        </w:rPr>
      </w:pPr>
    </w:p>
    <w:p>
      <w:pPr>
        <w:ind w:left="1020" w:hanging="504"/>
        <w:spacing w:after="0"/>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taxable base (</w:t>
      </w:r>
      <w:r>
        <w:rPr>
          <w:rFonts w:ascii="Arial" w:cs="Arial" w:eastAsia="Arial" w:hAnsi="Arial"/>
          <w:sz w:val="16"/>
          <w:szCs w:val="16"/>
          <w:i w:val="1"/>
          <w:iCs w:val="1"/>
          <w:color w:val="auto"/>
        </w:rPr>
        <w:t>grondslag sparen en beleggen</w:t>
      </w:r>
      <w:r>
        <w:rPr>
          <w:rFonts w:ascii="Arial" w:cs="Arial" w:eastAsia="Arial" w:hAnsi="Arial"/>
          <w:sz w:val="16"/>
          <w:szCs w:val="16"/>
          <w:color w:val="auto"/>
        </w:rPr>
        <w:t>) is calculated as follows:</w:t>
      </w:r>
    </w:p>
    <w:p>
      <w:pPr>
        <w:spacing w:after="0" w:line="191" w:lineRule="exact"/>
        <w:rPr>
          <w:rFonts w:ascii="Arial" w:cs="Arial" w:eastAsia="Arial" w:hAnsi="Arial"/>
          <w:sz w:val="16"/>
          <w:szCs w:val="16"/>
          <w:color w:val="auto"/>
        </w:rPr>
      </w:pPr>
    </w:p>
    <w:p>
      <w:pPr>
        <w:ind w:left="1260" w:hanging="234"/>
        <w:spacing w:after="0"/>
        <w:tabs>
          <w:tab w:leader="none" w:pos="1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the net investment assets for the year of the Dutch Resident Individual; </w:t>
      </w:r>
      <w:r>
        <w:rPr>
          <w:rFonts w:ascii="Arial" w:cs="Arial" w:eastAsia="Arial" w:hAnsi="Arial"/>
          <w:sz w:val="16"/>
          <w:szCs w:val="16"/>
          <w:i w:val="1"/>
          <w:iCs w:val="1"/>
          <w:color w:val="auto"/>
        </w:rPr>
        <w:t>minus</w:t>
      </w:r>
    </w:p>
    <w:p>
      <w:pPr>
        <w:spacing w:after="0" w:line="19" w:lineRule="exact"/>
        <w:rPr>
          <w:rFonts w:ascii="Arial" w:cs="Arial" w:eastAsia="Arial" w:hAnsi="Arial"/>
          <w:sz w:val="16"/>
          <w:szCs w:val="16"/>
          <w:color w:val="auto"/>
        </w:rPr>
      </w:pPr>
    </w:p>
    <w:p>
      <w:pPr>
        <w:ind w:left="1260" w:hanging="234"/>
        <w:spacing w:after="0"/>
        <w:tabs>
          <w:tab w:leader="none" w:pos="1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applicable statutory threshold.</w:t>
      </w:r>
    </w:p>
    <w:p>
      <w:pPr>
        <w:spacing w:after="0" w:line="94" w:lineRule="exact"/>
        <w:rPr>
          <w:rFonts w:ascii="Arial" w:cs="Arial" w:eastAsia="Arial" w:hAnsi="Arial"/>
          <w:sz w:val="16"/>
          <w:szCs w:val="16"/>
          <w:color w:val="auto"/>
        </w:rPr>
      </w:pPr>
    </w:p>
    <w:p>
      <w:pPr>
        <w:ind w:left="1020" w:hanging="504"/>
        <w:spacing w:after="0" w:line="283" w:lineRule="auto"/>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taxable benefit for the year is equal to the taxable base calculated under (iv) above multiplied by the return percentage calculated under (iii) above.</w:t>
      </w:r>
    </w:p>
    <w:p>
      <w:pPr>
        <w:spacing w:after="0" w:line="129"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For the calendar year 2023, the deemed returns for the investment categories mentioned under (ii) a) and c) above have been temporarily set at 0.36% and 2.57%, respectively. The definitive percentages for these investment categories for the year 2023 will be published in the first months of 2024 and will have retroactive effect to January 1, 2023. The deemed return applicable to the other investments (mentioned under (ii) b) above), including the ordinary shares is set at 6.17% for the calendar year 2023.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89" w:lineRule="exact"/>
        <w:rPr>
          <w:sz w:val="20"/>
          <w:szCs w:val="20"/>
          <w:color w:val="auto"/>
        </w:rPr>
      </w:pPr>
    </w:p>
    <w:p>
      <w:pPr>
        <w:jc w:val="both"/>
        <w:ind w:right="20" w:firstLine="458"/>
        <w:spacing w:after="0" w:line="264" w:lineRule="auto"/>
        <w:rPr>
          <w:sz w:val="20"/>
          <w:szCs w:val="20"/>
          <w:color w:val="auto"/>
        </w:rPr>
      </w:pPr>
      <w:r>
        <w:rPr>
          <w:rFonts w:ascii="Arial" w:cs="Arial" w:eastAsia="Arial" w:hAnsi="Arial"/>
          <w:sz w:val="16"/>
          <w:szCs w:val="16"/>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45" w:lineRule="exact"/>
        <w:rPr>
          <w:sz w:val="20"/>
          <w:szCs w:val="20"/>
          <w:color w:val="auto"/>
        </w:rPr>
      </w:pPr>
    </w:p>
    <w:p>
      <w:pPr>
        <w:ind w:left="1020" w:right="100" w:hanging="504"/>
        <w:spacing w:after="0" w:line="257" w:lineRule="auto"/>
        <w:tabs>
          <w:tab w:leader="none" w:pos="10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23" w:lineRule="exact"/>
        <w:rPr>
          <w:rFonts w:ascii="Arial" w:cs="Arial" w:eastAsia="Arial" w:hAnsi="Arial"/>
          <w:sz w:val="16"/>
          <w:szCs w:val="16"/>
          <w:color w:val="auto"/>
        </w:rPr>
      </w:pPr>
    </w:p>
    <w:p>
      <w:pPr>
        <w:jc w:val="both"/>
        <w:ind w:left="1020" w:right="120" w:hanging="504"/>
        <w:spacing w:after="0" w:line="264" w:lineRule="auto"/>
        <w:tabs>
          <w:tab w:leader="none" w:pos="10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Gift and Inheritance Taxes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Residents of the Netherlands</w:t>
      </w:r>
    </w:p>
    <w:p>
      <w:pPr>
        <w:spacing w:after="0" w:line="176"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6"/>
          <w:szCs w:val="16"/>
          <w:i w:val="1"/>
          <w:iCs w:val="1"/>
          <w:color w:val="auto"/>
        </w:rPr>
        <w:t>’</w:t>
      </w:r>
      <w:r>
        <w:rPr>
          <w:rFonts w:ascii="Arial" w:cs="Arial" w:eastAsia="Arial" w:hAnsi="Arial"/>
          <w:sz w:val="16"/>
          <w:szCs w:val="16"/>
          <w:color w:val="auto"/>
        </w:rPr>
        <w:t>s death.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89"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102" w:lineRule="exact"/>
        <w:rPr>
          <w:sz w:val="20"/>
          <w:szCs w:val="20"/>
          <w:color w:val="auto"/>
        </w:rPr>
      </w:pPr>
    </w:p>
    <w:p>
      <w:pPr>
        <w:ind w:left="1020" w:right="240" w:hanging="504"/>
        <w:spacing w:after="0" w:line="283"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02" w:lineRule="exact"/>
        <w:rPr>
          <w:rFonts w:ascii="Arial" w:cs="Arial" w:eastAsia="Arial" w:hAnsi="Arial"/>
          <w:sz w:val="16"/>
          <w:szCs w:val="16"/>
          <w:color w:val="auto"/>
        </w:rPr>
      </w:pPr>
    </w:p>
    <w:p>
      <w:pPr>
        <w:ind w:left="1020" w:hanging="504"/>
        <w:spacing w:after="0" w:line="283"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case of a gift of our ordinary shares made under a condition precedent, the holder of ordinary shares is resident or deemed to be resident of the Netherlands at the time the condition is fulfilled; or</w:t>
      </w:r>
    </w:p>
    <w:p>
      <w:pPr>
        <w:spacing w:after="0" w:line="102" w:lineRule="exact"/>
        <w:rPr>
          <w:rFonts w:ascii="Arial" w:cs="Arial" w:eastAsia="Arial" w:hAnsi="Arial"/>
          <w:sz w:val="16"/>
          <w:szCs w:val="16"/>
          <w:color w:val="auto"/>
        </w:rPr>
      </w:pPr>
    </w:p>
    <w:p>
      <w:pPr>
        <w:ind w:left="1020" w:right="540" w:hanging="504"/>
        <w:spacing w:after="0" w:line="283"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transfer is otherwise construed as a gift or inheritance made by, or on behalf of, a person who, at the time of the gift or death, is or is deemed to be resident of the Netherlands.</w:t>
      </w:r>
    </w:p>
    <w:p>
      <w:pPr>
        <w:spacing w:after="0" w:line="11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Value Added Tax (VAT)</w:t>
      </w:r>
    </w:p>
    <w:p>
      <w:pPr>
        <w:spacing w:after="0" w:line="189" w:lineRule="exact"/>
        <w:rPr>
          <w:sz w:val="20"/>
          <w:szCs w:val="20"/>
          <w:color w:val="auto"/>
        </w:rPr>
      </w:pPr>
    </w:p>
    <w:p>
      <w:pPr>
        <w:ind w:right="240" w:firstLine="458"/>
        <w:spacing w:after="0" w:line="283" w:lineRule="auto"/>
        <w:rPr>
          <w:sz w:val="20"/>
          <w:szCs w:val="20"/>
          <w:color w:val="auto"/>
        </w:rPr>
      </w:pPr>
      <w:r>
        <w:rPr>
          <w:rFonts w:ascii="Arial" w:cs="Arial" w:eastAsia="Arial" w:hAnsi="Arial"/>
          <w:sz w:val="16"/>
          <w:szCs w:val="16"/>
          <w:color w:val="auto"/>
        </w:rPr>
        <w:t>No Dutch value added tax will be payable by a holder of our ordinary shares in respect of any payment in consideration for the holding or disposal of our ordinary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Taxes and Duties</w:t>
      </w:r>
    </w:p>
    <w:p>
      <w:pPr>
        <w:spacing w:after="0" w:line="176"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No Dutch documentation taxes (commonly referred to as stamp duties) will be payable by a holder of our ordinary shares in respect of any payment in consideration for the holding or disposal of our ordinary shares.</w:t>
      </w:r>
    </w:p>
    <w:p>
      <w:pPr>
        <w:spacing w:after="0" w:line="129" w:lineRule="exact"/>
        <w:rPr>
          <w:sz w:val="20"/>
          <w:szCs w:val="20"/>
          <w:color w:val="auto"/>
        </w:rPr>
      </w:pPr>
    </w:p>
    <w:p>
      <w:pPr>
        <w:ind w:left="1020" w:hanging="549"/>
        <w:spacing w:after="0"/>
        <w:tabs>
          <w:tab w:leader="none" w:pos="102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by experts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111" w:lineRule="exact"/>
        <w:rPr>
          <w:sz w:val="20"/>
          <w:szCs w:val="20"/>
          <w:color w:val="auto"/>
        </w:rPr>
      </w:pPr>
    </w:p>
    <w:p>
      <w:pPr>
        <w:jc w:val="both"/>
        <w:ind w:right="100" w:firstLine="458"/>
        <w:spacing w:after="0" w:line="264" w:lineRule="auto"/>
        <w:rPr>
          <w:sz w:val="20"/>
          <w:szCs w:val="20"/>
          <w:color w:val="auto"/>
        </w:rPr>
      </w:pPr>
      <w:r>
        <w:rPr>
          <w:rFonts w:ascii="Arial" w:cs="Arial" w:eastAsia="Arial" w:hAnsi="Arial"/>
          <w:sz w:val="16"/>
          <w:szCs w:val="16"/>
          <w:color w:val="auto"/>
        </w:rPr>
        <w:t xml:space="preserve">We are subject to the informational requirements of the Exchange Act. Accordingly, we are required to file reports and other information with the SEC, including Annual Reports and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30" w:lineRule="exact"/>
        <w:rPr>
          <w:sz w:val="20"/>
          <w:szCs w:val="20"/>
          <w:color w:val="auto"/>
        </w:rPr>
      </w:pPr>
    </w:p>
    <w:p>
      <w:pPr>
        <w:ind w:left="1020" w:hanging="549"/>
        <w:spacing w:after="0"/>
        <w:tabs>
          <w:tab w:leader="none" w:pos="102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color w:val="auto"/>
        </w:rPr>
        <w:t>Annual Report to Security Holders</w:t>
      </w:r>
    </w:p>
    <w:p>
      <w:pPr>
        <w:spacing w:after="0" w:line="111" w:lineRule="exact"/>
        <w:rPr>
          <w:sz w:val="20"/>
          <w:szCs w:val="20"/>
          <w:color w:val="auto"/>
        </w:rPr>
      </w:pPr>
    </w:p>
    <w:p>
      <w:pPr>
        <w:ind w:right="460" w:firstLine="458"/>
        <w:spacing w:after="0" w:line="283" w:lineRule="auto"/>
        <w:rPr>
          <w:sz w:val="20"/>
          <w:szCs w:val="20"/>
          <w:color w:val="auto"/>
        </w:rPr>
      </w:pPr>
      <w:r>
        <w:rPr>
          <w:rFonts w:ascii="Arial" w:cs="Arial" w:eastAsia="Arial" w:hAnsi="Arial"/>
          <w:sz w:val="16"/>
          <w:szCs w:val="16"/>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11"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78" w:lineRule="exact"/>
        <w:rPr>
          <w:sz w:val="20"/>
          <w:szCs w:val="20"/>
          <w:color w:val="auto"/>
        </w:rPr>
      </w:pPr>
    </w:p>
    <w:p>
      <w:pPr>
        <w:ind w:left="1020" w:hanging="549"/>
        <w:spacing w:after="0"/>
        <w:tabs>
          <w:tab w:leader="none" w:pos="102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Debt securities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1020" w:hanging="549"/>
        <w:spacing w:after="0"/>
        <w:tabs>
          <w:tab w:leader="none" w:pos="102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 rights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Other securities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II</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Defaults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Arrears and delinquencies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5" w:lineRule="exact"/>
        <w:rPr>
          <w:sz w:val="20"/>
          <w:szCs w:val="20"/>
          <w:color w:val="auto"/>
        </w:rPr>
      </w:pPr>
    </w:p>
    <w:p>
      <w:pPr>
        <w:ind w:left="460" w:right="1520" w:firstLine="1128"/>
        <w:spacing w:after="0" w:line="454" w:lineRule="auto"/>
        <w:rPr>
          <w:sz w:val="20"/>
          <w:szCs w:val="20"/>
          <w:color w:val="auto"/>
        </w:rPr>
      </w:pPr>
      <w:r>
        <w:rPr>
          <w:rFonts w:ascii="Arial" w:cs="Arial" w:eastAsia="Arial" w:hAnsi="Arial"/>
          <w:sz w:val="16"/>
          <w:szCs w:val="16"/>
          <w:b w:val="1"/>
          <w:bCs w:val="1"/>
          <w:color w:val="auto"/>
        </w:rPr>
        <w:t>ITEM 14. MATERIAL MODIFICATIONS TO THE RIGHTS OF SECURITY HOLDERS AND USE OF PROCEEDS A Material modifications to instruments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Material modifications to rights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Withdrawal or substitution of assets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 in trustees or paying agents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Use of Proceeds</w:t>
      </w:r>
    </w:p>
    <w:p>
      <w:pPr>
        <w:spacing w:after="0" w:line="111"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On February 4, 2021, our registration statement on Form F-1 (File No. 333-252157), as amended, was declared effective by the SEC for our initial public offering of our ordinary shares, pursuant to which we offered and sold a total of 9,511,075 of our ordinary shares, par value €0.12 per share, at a public offering price of $20.00 per share. Morgan Stanley, BofA Securities and SVB Leerink acted as joint book-running managers for the offering. The offering began on February 4, 2021 and was completed on February 9, 2021.</w:t>
      </w:r>
    </w:p>
    <w:p>
      <w:pPr>
        <w:spacing w:after="0" w:line="177"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There has been no significant change in the planned use of proceeds from our initial public offering as described in our prospectus dated February 4, 2021 and filed with the SEC on February 8, 2021.</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15. CONTROLS AND PROCEDURES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Disclosure Controls and Procedures</w:t>
      </w:r>
    </w:p>
    <w:p>
      <w:pPr>
        <w:sectPr>
          <w:pgSz w:w="11900" w:h="16838" w:orient="portrait"/>
          <w:cols w:equalWidth="0" w:num="1">
            <w:col w:w="11180"/>
          </w:cols>
          <w:pgMar w:left="320" w:top="126" w:right="399" w:bottom="144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380" w:firstLine="458"/>
        <w:spacing w:after="0" w:line="257" w:lineRule="auto"/>
        <w:rPr>
          <w:sz w:val="20"/>
          <w:szCs w:val="20"/>
          <w:color w:val="auto"/>
        </w:rPr>
      </w:pPr>
      <w:r>
        <w:rPr>
          <w:rFonts w:ascii="Arial" w:cs="Arial" w:eastAsia="Arial" w:hAnsi="Arial"/>
          <w:sz w:val="16"/>
          <w:szCs w:val="16"/>
          <w:color w:val="auto"/>
        </w:rPr>
        <w:t>As of December 31, 2022, our management, including our Chief Executive Officer and Principal Accounting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77" w:lineRule="exact"/>
        <w:rPr>
          <w:sz w:val="20"/>
          <w:szCs w:val="20"/>
          <w:color w:val="auto"/>
        </w:rPr>
      </w:pPr>
    </w:p>
    <w:p>
      <w:pPr>
        <w:ind w:right="20" w:firstLine="458"/>
        <w:spacing w:after="0" w:line="283" w:lineRule="auto"/>
        <w:rPr>
          <w:sz w:val="20"/>
          <w:szCs w:val="20"/>
          <w:color w:val="auto"/>
        </w:rPr>
      </w:pPr>
      <w:r>
        <w:rPr>
          <w:rFonts w:ascii="Arial" w:cs="Arial" w:eastAsia="Arial" w:hAnsi="Arial"/>
          <w:sz w:val="16"/>
          <w:szCs w:val="16"/>
          <w:color w:val="auto"/>
        </w:rPr>
        <w:t>Based on such evaluation, our Chief Executive Officer and Principal Accounting Officer concluded that our disclosure controls and procedures were not effective due to material weaknesses in the design of our internal control over financial reporting.</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11"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We are relying on certain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We have taken advantage of these reduced reporting requirements in this Annual Report.</w:t>
      </w:r>
    </w:p>
    <w:p>
      <w:pPr>
        <w:spacing w:after="0" w:line="177"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In connection with the preparation of our consolidated financial statements as of and for the year ended December 31, 2021,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0" w:lineRule="exact"/>
        <w:rPr>
          <w:sz w:val="20"/>
          <w:szCs w:val="20"/>
          <w:color w:val="auto"/>
        </w:rPr>
      </w:pPr>
    </w:p>
    <w:p>
      <w:pPr>
        <w:ind w:left="900" w:right="140" w:hanging="429"/>
        <w:spacing w:after="0" w:line="263" w:lineRule="auto"/>
        <w:tabs>
          <w:tab w:leader="none" w:pos="90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4" w:lineRule="exact"/>
        <w:rPr>
          <w:rFonts w:ascii="Times New Roman" w:cs="Times New Roman" w:eastAsia="Times New Roman" w:hAnsi="Times New Roman"/>
          <w:sz w:val="16"/>
          <w:szCs w:val="16"/>
          <w:color w:val="auto"/>
        </w:rPr>
      </w:pPr>
    </w:p>
    <w:p>
      <w:pPr>
        <w:ind w:left="900" w:right="60" w:hanging="429"/>
        <w:spacing w:after="0" w:line="254" w:lineRule="auto"/>
        <w:tabs>
          <w:tab w:leader="none" w:pos="90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179"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remediate the identified material weaknesses we have taken, and continue to take, various actions including, among other things:</w:t>
      </w:r>
    </w:p>
    <w:p>
      <w:pPr>
        <w:spacing w:after="0" w:line="218" w:lineRule="exact"/>
        <w:rPr>
          <w:sz w:val="20"/>
          <w:szCs w:val="20"/>
          <w:color w:val="auto"/>
        </w:rPr>
      </w:pPr>
    </w:p>
    <w:p>
      <w:pPr>
        <w:ind w:left="840" w:hanging="369"/>
        <w:spacing w:after="0"/>
        <w:tabs>
          <w:tab w:leader="none" w:pos="840"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hiring additional qualified accounting and financial reporting personnel;</w:t>
      </w:r>
    </w:p>
    <w:p>
      <w:pPr>
        <w:spacing w:after="0" w:line="230" w:lineRule="exact"/>
        <w:rPr>
          <w:rFonts w:ascii="Times New Roman" w:cs="Times New Roman" w:eastAsia="Times New Roman" w:hAnsi="Times New Roman"/>
          <w:sz w:val="16"/>
          <w:szCs w:val="16"/>
          <w:color w:val="auto"/>
        </w:rPr>
      </w:pPr>
    </w:p>
    <w:p>
      <w:pPr>
        <w:ind w:left="840" w:hanging="369"/>
        <w:spacing w:after="0"/>
        <w:tabs>
          <w:tab w:leader="none" w:pos="840"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developing and documenting our risk assessment matrix and scoping, to identify key processes and controls;</w:t>
      </w:r>
    </w:p>
    <w:p>
      <w:pPr>
        <w:spacing w:after="0" w:line="230" w:lineRule="exact"/>
        <w:rPr>
          <w:rFonts w:ascii="Times New Roman" w:cs="Times New Roman" w:eastAsia="Times New Roman" w:hAnsi="Times New Roman"/>
          <w:sz w:val="16"/>
          <w:szCs w:val="16"/>
          <w:color w:val="auto"/>
        </w:rPr>
      </w:pPr>
    </w:p>
    <w:p>
      <w:pPr>
        <w:ind w:left="840" w:right="560" w:hanging="369"/>
        <w:spacing w:after="0" w:line="282" w:lineRule="auto"/>
        <w:tabs>
          <w:tab w:leader="none" w:pos="840"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developing and implementing our formal policies, processes, and internal controls, relating to our key processes, including financial reporting; and</w:t>
      </w:r>
    </w:p>
    <w:p>
      <w:pPr>
        <w:spacing w:after="0" w:line="156" w:lineRule="exact"/>
        <w:rPr>
          <w:rFonts w:ascii="Times New Roman" w:cs="Times New Roman" w:eastAsia="Times New Roman" w:hAnsi="Times New Roman"/>
          <w:sz w:val="16"/>
          <w:szCs w:val="16"/>
          <w:color w:val="auto"/>
        </w:rPr>
      </w:pPr>
    </w:p>
    <w:p>
      <w:pPr>
        <w:ind w:left="840" w:right="20" w:hanging="369"/>
        <w:spacing w:after="0" w:line="282" w:lineRule="auto"/>
        <w:tabs>
          <w:tab w:leader="none" w:pos="840"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selecting a new accounting system that will be implemented in 2023 and that will improve the application controls over information technology and reduce the manual nature of execution of key controls throughout significant business processes.</w:t>
      </w:r>
    </w:p>
    <w:p>
      <w:pPr>
        <w:spacing w:after="0" w:line="49" w:lineRule="exact"/>
        <w:rPr>
          <w:sz w:val="20"/>
          <w:szCs w:val="20"/>
          <w:color w:val="auto"/>
        </w:rPr>
      </w:pPr>
    </w:p>
    <w:p>
      <w:pPr>
        <w:ind w:firstLine="374"/>
        <w:spacing w:after="0" w:line="257"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Management’s Annual Report on Internal Control over Financial Reporting</w:t>
      </w:r>
    </w:p>
    <w:p>
      <w:pPr>
        <w:spacing w:after="0" w:line="111"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Head of Finance and Principal Accounting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by the Committee of Sponsoring Organizations of the Treadway Commission. Based on that evaluation, due to the material weaknesses described above, our management concluded that our internal control over financial reporting was not effective as of December 31, 2022.</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111"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This Annual Report does not include an attestation report of our registered public accounting firm due to a transition period established by rules of the SEC for emerging growth companies.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21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Other than the changes to address our material weaknesses described above there have been no changes in internal control over financial reporting that occurred during the period covered by this annual report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16. RESERVED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has determined that Ms. Monges, and Mr. Schikan qualify as “audit committee financial experts,” as such term is defined in the rules of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16B. CODE OF ETHICS</w:t>
      </w:r>
    </w:p>
    <w:p>
      <w:pPr>
        <w:spacing w:after="0" w:line="218"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We have adopted a code of ethics applicable to the board of directors and all employees. We have posted a copy of our code of business conduct and ethics on our website at: https://ir.pharvaris.com/corporate-governance/governance-documents. The information on our website is not incorporated by reference into this Annual Report, and you should not consider information contained on our website to be a part of this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Audit Fees</w:t>
      </w:r>
    </w:p>
    <w:p>
      <w:pPr>
        <w:spacing w:after="0" w:line="111" w:lineRule="exact"/>
        <w:rPr>
          <w:sz w:val="20"/>
          <w:szCs w:val="20"/>
          <w:color w:val="auto"/>
        </w:rPr>
      </w:pPr>
    </w:p>
    <w:p>
      <w:pPr>
        <w:ind w:right="240" w:firstLine="458"/>
        <w:spacing w:after="0" w:line="264" w:lineRule="auto"/>
        <w:rPr>
          <w:sz w:val="20"/>
          <w:szCs w:val="20"/>
          <w:color w:val="auto"/>
        </w:rPr>
      </w:pPr>
      <w:r>
        <w:rPr>
          <w:rFonts w:ascii="Arial" w:cs="Arial" w:eastAsia="Arial" w:hAnsi="Arial"/>
          <w:sz w:val="16"/>
          <w:szCs w:val="16"/>
          <w:color w:val="auto"/>
        </w:rPr>
        <w:t>Audit fees in 2022 and 2021 amounted to €811,876 and €480,000, respectively, and relate to audit services provided by our principal accountants in 2022 and 2021, respectively, PricewaterhouseCoopers Accountants N.V., in connection with our annual audit, quarterly review, review of registration statements and comfort letters for the Company.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Audit-Related Fees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Tax Fees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All Other Fees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Audit Committee’s Pre-Approval Policies and Procedures</w:t>
      </w:r>
    </w:p>
    <w:p>
      <w:pPr>
        <w:spacing w:after="0" w:line="111"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The Audit Committee is responsible for the appointment, replacement, compensation, evaluation and oversight of the work of the independent auditors. As part of this responsibility, the Audit Committee pre-approves all audit and non-audit services performed by the independent auditors in order to assure that they do not impair the auditor’s independence from the Company in accordance with the Audit Committee’s pre-approval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Audit Work Performed by Other Than Principal Accountant if Greater than 50%</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16G. CORPORATE GOVERNANCE</w:t>
      </w:r>
    </w:p>
    <w:p>
      <w:pPr>
        <w:spacing w:after="0" w:line="218"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For a description of the significant ways in which our corporate governance practices differ from those required for U.S. companies listed on Nasdaq, see “ITEM 6. DIRECTORS, SENIOR MANAGEMENT AND EMPLOYEES—C. Board Practices—Corporate Governance Practices.”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16H. MINE SAFETY DISCLOSURE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III</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17.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responded to Item 18 in lieu of this item.</w:t>
      </w:r>
    </w:p>
    <w:p>
      <w:pPr>
        <w:spacing w:after="0" w:line="32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ITEM 18.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Statements are filed as part of this Annual Report, see pages F-1 to F-26 to this Annual Report.</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19. EXHIBITS</w:t>
      </w:r>
    </w:p>
    <w:p>
      <w:pPr>
        <w:spacing w:after="0" w:line="218"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19685</wp:posOffset>
            </wp:positionV>
            <wp:extent cx="646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61125" cy="8255"/>
                    </a:xfrm>
                    <a:prstGeom prst="rect">
                      <a:avLst/>
                    </a:prstGeom>
                    <a:noFill/>
                  </pic:spPr>
                </pic:pic>
              </a:graphicData>
            </a:graphic>
          </wp:anchor>
        </w:drawing>
      </w:r>
    </w:p>
    <w:p>
      <w:pPr>
        <w:spacing w:after="0" w:line="185" w:lineRule="exact"/>
        <w:rPr>
          <w:sz w:val="20"/>
          <w:szCs w:val="20"/>
          <w:color w:val="auto"/>
        </w:rPr>
      </w:pPr>
    </w:p>
    <w:p>
      <w:pPr>
        <w:ind w:left="1060" w:hanging="694"/>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1.1</w:t>
      </w:r>
      <w:r>
        <w:rPr>
          <w:sz w:val="20"/>
          <w:szCs w:val="20"/>
          <w:color w:val="auto"/>
        </w:rPr>
        <w:tab/>
      </w:r>
      <w:hyperlink r:id="rId285">
        <w:r>
          <w:rPr>
            <w:rFonts w:ascii="Arial" w:cs="Arial" w:eastAsia="Arial" w:hAnsi="Arial"/>
            <w:sz w:val="16"/>
            <w:szCs w:val="16"/>
            <w:u w:val="single" w:color="auto"/>
            <w:color w:val="0000FF"/>
          </w:rPr>
          <w:t>Articles of Association of Pharvaris N.V. (incorporated herein by reference to Exhibit 3.1 to the Company’s Registration Statement on Form S-8</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(File No. 333- 252897) filed with the SEC on February 09,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-163830</wp:posOffset>
            </wp:positionV>
            <wp:extent cx="646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46112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-44450</wp:posOffset>
            </wp:positionV>
            <wp:extent cx="29241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924175" cy="8255"/>
                    </a:xfrm>
                    <a:prstGeom prst="rect">
                      <a:avLst/>
                    </a:prstGeom>
                    <a:noFill/>
                  </pic:spPr>
                </pic:pic>
              </a:graphicData>
            </a:graphic>
          </wp:anchor>
        </w:drawing>
      </w:r>
    </w:p>
    <w:p>
      <w:pPr>
        <w:spacing w:after="0" w:line="9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0000FF"/>
        </w:rPr>
        <w:t>Description of Ordinary Shares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21742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58" w:lineRule="exact"/>
        <w:rPr>
          <w:sz w:val="20"/>
          <w:szCs w:val="20"/>
          <w:color w:val="auto"/>
        </w:rPr>
      </w:pPr>
    </w:p>
    <w:p>
      <w:pPr>
        <w:ind w:left="1060" w:right="220" w:hanging="694"/>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289">
        <w:r>
          <w:rPr>
            <w:rFonts w:ascii="Arial" w:cs="Arial" w:eastAsia="Arial" w:hAnsi="Arial"/>
            <w:sz w:val="16"/>
            <w:szCs w:val="16"/>
            <w:u w:val="single" w:color="auto"/>
            <w:color w:val="0000FF"/>
          </w:rPr>
          <w:t>Form of Indemnification Agreement (incorporated herein by reference to Exhibit 10.1 to the Company’s Registration Statement on Form F-1</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(File No. 333-252157)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-163830</wp:posOffset>
            </wp:positionV>
            <wp:extent cx="6316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631698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-44450</wp:posOffset>
            </wp:positionV>
            <wp:extent cx="28505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line="96" w:lineRule="exact"/>
        <w:rPr>
          <w:sz w:val="20"/>
          <w:szCs w:val="20"/>
          <w:color w:val="auto"/>
        </w:rPr>
      </w:pPr>
    </w:p>
    <w:p>
      <w:pPr>
        <w:ind w:left="1060" w:right="60" w:hanging="694"/>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292">
        <w:r>
          <w:rPr>
            <w:rFonts w:ascii="Arial" w:cs="Arial" w:eastAsia="Arial" w:hAnsi="Arial"/>
            <w:sz w:val="16"/>
            <w:szCs w:val="16"/>
            <w:u w:val="single" w:color="auto"/>
            <w:color w:val="0000FF"/>
          </w:rPr>
          <w:t>Share Subscription Agreement, dated July 26, 2019, between Pharvaris B.V. and certain of its shareholders (incorporated herein by reference</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to Exhibit 10.2 to the Company’s Registration Statement on Form F-1 (File No. 333-252157), as amended, initially filed with the SEC on</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-273685</wp:posOffset>
            </wp:positionV>
            <wp:extent cx="64179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641794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-154305</wp:posOffset>
            </wp:positionV>
            <wp:extent cx="61353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613537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-35560</wp:posOffset>
            </wp:positionV>
            <wp:extent cx="8515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80" w:hanging="694"/>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296">
        <w:r>
          <w:rPr>
            <w:rFonts w:ascii="Arial" w:cs="Arial" w:eastAsia="Arial" w:hAnsi="Arial"/>
            <w:sz w:val="16"/>
            <w:szCs w:val="16"/>
            <w:u w:val="single" w:color="auto"/>
            <w:color w:val="0000FF"/>
          </w:rPr>
          <w:t>Amendment Agreement, dated July 29, 2020, between Pharvaris B.V. and certain of its shareholders (incorporated herein by reference to</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Exhibit 10.3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-273685</wp:posOffset>
            </wp:positionV>
            <wp:extent cx="62191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621919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-154305</wp:posOffset>
            </wp:positionV>
            <wp:extent cx="64141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-35560</wp:posOffset>
            </wp:positionV>
            <wp:extent cx="4597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hanging="694"/>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4.4</w:t>
      </w:r>
      <w:r>
        <w:rPr>
          <w:sz w:val="20"/>
          <w:szCs w:val="20"/>
          <w:color w:val="auto"/>
        </w:rPr>
        <w:tab/>
      </w:r>
      <w:hyperlink r:id="rId300">
        <w:r>
          <w:rPr>
            <w:rFonts w:ascii="Arial" w:cs="Arial" w:eastAsia="Arial" w:hAnsi="Arial"/>
            <w:sz w:val="16"/>
            <w:szCs w:val="16"/>
            <w:u w:val="single" w:color="auto"/>
            <w:color w:val="0000FF"/>
          </w:rPr>
          <w:t>Share Subscription Agreement, dated November 3, 2020, between Pharvaris B.V. and certain of its shareholders (incorporated herein by</w:t>
        </w:r>
      </w:hyperlink>
      <w:r>
        <w:rPr>
          <w:rFonts w:ascii="Arial" w:cs="Arial" w:eastAsia="Arial" w:hAnsi="Arial"/>
          <w:sz w:val="16"/>
          <w:szCs w:val="16"/>
          <w:u w:val="single" w:color="auto"/>
          <w:color w:val="0000FF"/>
        </w:rPr>
        <w:t xml:space="preserve"> </w:t>
      </w:r>
      <w:hyperlink r:id="rId300">
        <w:r>
          <w:rPr>
            <w:rFonts w:ascii="Arial" w:cs="Arial" w:eastAsia="Arial" w:hAnsi="Arial"/>
            <w:sz w:val="16"/>
            <w:szCs w:val="16"/>
            <w:u w:val="single" w:color="auto"/>
            <w:color w:val="0000FF"/>
          </w:rPr>
          <w:t>reference to Exhibit 10.4 to the Company’s Registration Statement on Form F-1 (File No. 333-252157), as amended, initially filed with the SEC</w:t>
        </w:r>
      </w:hyperlink>
      <w:r>
        <w:rPr>
          <w:rFonts w:ascii="Arial" w:cs="Arial" w:eastAsia="Arial" w:hAnsi="Arial"/>
          <w:sz w:val="16"/>
          <w:szCs w:val="16"/>
          <w:u w:val="single" w:color="auto"/>
          <w:color w:val="0000FF"/>
        </w:rPr>
        <w:t xml:space="preserve"> </w:t>
      </w:r>
      <w:hyperlink r:id="rId300">
        <w:r>
          <w:rPr>
            <w:rFonts w:ascii="Arial" w:cs="Arial" w:eastAsia="Arial" w:hAnsi="Arial"/>
            <w:sz w:val="16"/>
            <w:szCs w:val="16"/>
            <w:u w:val="single" w:color="auto"/>
            <w:color w:val="0000FF"/>
          </w:rPr>
          <w:t>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-273685</wp:posOffset>
            </wp:positionV>
            <wp:extent cx="61912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619125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-154305</wp:posOffset>
            </wp:positionV>
            <wp:extent cx="64535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645350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-35560</wp:posOffset>
            </wp:positionV>
            <wp:extent cx="9652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160" w:hanging="694"/>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4.5</w:t>
      </w:r>
      <w:r>
        <w:rPr>
          <w:sz w:val="20"/>
          <w:szCs w:val="20"/>
          <w:color w:val="auto"/>
        </w:rPr>
        <w:tab/>
      </w:r>
      <w:hyperlink r:id="rId304">
        <w:r>
          <w:rPr>
            <w:rFonts w:ascii="Arial" w:cs="Arial" w:eastAsia="Arial" w:hAnsi="Arial"/>
            <w:sz w:val="16"/>
            <w:szCs w:val="16"/>
            <w:u w:val="single" w:color="auto"/>
            <w:color w:val="0000FF"/>
          </w:rPr>
          <w:t>Second Amended and Restated Shareholders Agreement, dated November 5, 2020, between Pharvaris B.V. and its shareholders</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(incorporated herein by reference to Exhibit 10.5 to the Company’s Registration Statement on Form F-1 (File No. 333-252157), as amended,</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-273685</wp:posOffset>
            </wp:positionV>
            <wp:extent cx="58845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588454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-154305</wp:posOffset>
            </wp:positionV>
            <wp:extent cx="6362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636270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-35560</wp:posOffset>
            </wp:positionV>
            <wp:extent cx="21634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2163445"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jc w:val="both"/>
        <w:ind w:left="1060" w:right="20" w:hanging="694"/>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308">
        <w:r>
          <w:rPr>
            <w:rFonts w:ascii="Arial" w:cs="Arial" w:eastAsia="Arial" w:hAnsi="Arial"/>
            <w:sz w:val="16"/>
            <w:szCs w:val="16"/>
            <w:u w:val="single" w:color="auto"/>
            <w:color w:val="0000FF"/>
          </w:rPr>
          <w:t>License Agreement between Pharvaris B.V. and AnalytiCon Discovery GmbH dated as of March 31, 2016 (incorporated herein by reference to</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Exhibit 10.6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15, 2021) †</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-273685</wp:posOffset>
            </wp:positionV>
            <wp:extent cx="64408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644080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-154305</wp:posOffset>
            </wp:positionV>
            <wp:extent cx="64141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-35560</wp:posOffset>
            </wp:positionV>
            <wp:extent cx="516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jc w:val="both"/>
        <w:ind w:left="1060" w:right="100" w:hanging="694"/>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4.7</w:t>
      </w:r>
      <w:r>
        <w:rPr>
          <w:sz w:val="20"/>
          <w:szCs w:val="20"/>
          <w:color w:val="auto"/>
        </w:rPr>
        <w:tab/>
      </w:r>
      <w:hyperlink r:id="rId312">
        <w:r>
          <w:rPr>
            <w:rFonts w:ascii="Arial" w:cs="Arial" w:eastAsia="Arial" w:hAnsi="Arial"/>
            <w:sz w:val="16"/>
            <w:szCs w:val="16"/>
            <w:u w:val="single" w:color="auto"/>
            <w:color w:val="0000FF"/>
          </w:rPr>
          <w:t>Amendment 1, between Pharvaris Netherlands B.V. and AnalytiCon Discovery GmbH dated as of January 8, 2021, to the License Agreement</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between Pharvaris B.V. and AnalytiCon Discovery GmbH dated as of March 31, 2016 (incorporated herein by reference to Exhibit 10.7 to the</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Company’s Draft Registration Statement on Form F-1 (File No. 333-252157), as amended, 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-273685</wp:posOffset>
            </wp:positionV>
            <wp:extent cx="63950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-154305</wp:posOffset>
            </wp:positionV>
            <wp:extent cx="63779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-35560</wp:posOffset>
            </wp:positionV>
            <wp:extent cx="63341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6334125"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40" w:hanging="694"/>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316">
        <w:r>
          <w:rPr>
            <w:rFonts w:ascii="Arial" w:cs="Arial" w:eastAsia="Arial" w:hAnsi="Arial"/>
            <w:sz w:val="16"/>
            <w:szCs w:val="16"/>
            <w:u w:val="single" w:color="auto"/>
            <w:color w:val="0000FF"/>
          </w:rPr>
          <w:t>Pharvaris N.V. 2021 Equity Incentive Plan (incorporated herein by reference to Exhibit 10.1 to the Company’s Registration Statement on Form</w:t>
        </w:r>
      </w:hyperlink>
      <w:r>
        <w:rPr>
          <w:rFonts w:ascii="Arial" w:cs="Arial" w:eastAsia="Arial" w:hAnsi="Arial"/>
          <w:sz w:val="16"/>
          <w:szCs w:val="16"/>
          <w:u w:val="single" w:color="auto"/>
          <w:color w:val="0000FF"/>
        </w:rPr>
        <w:t xml:space="preserve"> </w:t>
      </w:r>
      <w:hyperlink r:id="rId316">
        <w:r>
          <w:rPr>
            <w:rFonts w:ascii="Arial" w:cs="Arial" w:eastAsia="Arial" w:hAnsi="Arial"/>
            <w:sz w:val="16"/>
            <w:szCs w:val="16"/>
            <w:u w:val="single" w:color="auto"/>
            <w:color w:val="0000FF"/>
          </w:rPr>
          <w:t>S-8 (File No. 333-252897) filed with the SEC on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-163830</wp:posOffset>
            </wp:positionV>
            <wp:extent cx="642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642747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-44450</wp:posOffset>
            </wp:positionV>
            <wp:extent cx="30264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pacing w:after="0" w:line="96" w:lineRule="exact"/>
        <w:rPr>
          <w:sz w:val="20"/>
          <w:szCs w:val="20"/>
          <w:color w:val="auto"/>
        </w:rPr>
      </w:pPr>
    </w:p>
    <w:p>
      <w:pPr>
        <w:ind w:left="1060" w:right="460" w:hanging="694"/>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4.9</w:t>
      </w:r>
      <w:r>
        <w:rPr>
          <w:sz w:val="20"/>
          <w:szCs w:val="20"/>
          <w:color w:val="auto"/>
        </w:rPr>
        <w:tab/>
      </w:r>
      <w:hyperlink r:id="rId319">
        <w:r>
          <w:rPr>
            <w:rFonts w:ascii="Arial" w:cs="Arial" w:eastAsia="Arial" w:hAnsi="Arial"/>
            <w:sz w:val="16"/>
            <w:szCs w:val="16"/>
            <w:u w:val="single" w:color="auto"/>
            <w:color w:val="0000FF"/>
          </w:rPr>
          <w:t>Amended and Restated 2016 Equity Incentive Plan of Pharvaris B.V. (incorporated herein by reference to Exhibit 10.8 to the Company’s</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Registration Statement on Form F-1 (Registration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-163830</wp:posOffset>
            </wp:positionV>
            <wp:extent cx="61607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616077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-44450</wp:posOffset>
            </wp:positionV>
            <wp:extent cx="58705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5870575" cy="8255"/>
                    </a:xfrm>
                    <a:prstGeom prst="rect">
                      <a:avLst/>
                    </a:prstGeom>
                    <a:noFill/>
                  </pic:spPr>
                </pic:pic>
              </a:graphicData>
            </a:graphic>
          </wp:anchor>
        </w:drawing>
      </w:r>
    </w:p>
    <w:p>
      <w:pPr>
        <w:spacing w:after="0" w:line="96" w:lineRule="exact"/>
        <w:rPr>
          <w:sz w:val="20"/>
          <w:szCs w:val="20"/>
          <w:color w:val="auto"/>
        </w:rPr>
      </w:pPr>
    </w:p>
    <w:p>
      <w:pPr>
        <w:ind w:left="1060" w:right="180" w:hanging="739"/>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4.10</w:t>
      </w:r>
      <w:r>
        <w:rPr>
          <w:sz w:val="20"/>
          <w:szCs w:val="20"/>
          <w:color w:val="auto"/>
        </w:rPr>
        <w:tab/>
      </w:r>
      <w:hyperlink r:id="rId322">
        <w:r>
          <w:rPr>
            <w:rFonts w:ascii="Arial" w:cs="Arial" w:eastAsia="Arial" w:hAnsi="Arial"/>
            <w:sz w:val="16"/>
            <w:szCs w:val="16"/>
            <w:u w:val="single" w:color="auto"/>
            <w:color w:val="0000FF"/>
          </w:rPr>
          <w:t>Form of Participation Side Letter (incorporated herein by reference to Exhibit 10.10 to the Company’s Registration Statement on Form F-1/A</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-163830</wp:posOffset>
            </wp:positionV>
            <wp:extent cx="63398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633984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-44450</wp:posOffset>
            </wp:positionV>
            <wp:extent cx="38328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3832860" cy="8255"/>
                    </a:xfrm>
                    <a:prstGeom prst="rect">
                      <a:avLst/>
                    </a:prstGeom>
                    <a:noFill/>
                  </pic:spPr>
                </pic:pic>
              </a:graphicData>
            </a:graphic>
          </wp:anchor>
        </w:drawing>
      </w:r>
    </w:p>
    <w:p>
      <w:pPr>
        <w:spacing w:after="0" w:line="96" w:lineRule="exact"/>
        <w:rPr>
          <w:sz w:val="20"/>
          <w:szCs w:val="20"/>
          <w:color w:val="auto"/>
        </w:rPr>
      </w:pPr>
    </w:p>
    <w:p>
      <w:pPr>
        <w:ind w:left="1060" w:right="340" w:hanging="733"/>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4.11</w:t>
      </w:r>
      <w:r>
        <w:rPr>
          <w:sz w:val="20"/>
          <w:szCs w:val="20"/>
          <w:color w:val="auto"/>
        </w:rPr>
        <w:tab/>
      </w:r>
      <w:hyperlink r:id="rId325">
        <w:r>
          <w:rPr>
            <w:rFonts w:ascii="Arial" w:cs="Arial" w:eastAsia="Arial" w:hAnsi="Arial"/>
            <w:sz w:val="16"/>
            <w:szCs w:val="16"/>
            <w:u w:val="single" w:color="auto"/>
            <w:color w:val="0000FF"/>
          </w:rPr>
          <w:t>Form of Waiver to Participation Side Letter (incorporated herein by reference to Exhibit 10.11 to the Company’s Registration Statement on</w:t>
        </w:r>
      </w:hyperlink>
      <w:r>
        <w:rPr>
          <w:rFonts w:ascii="Arial" w:cs="Arial" w:eastAsia="Arial" w:hAnsi="Arial"/>
          <w:sz w:val="16"/>
          <w:szCs w:val="16"/>
          <w:u w:val="single" w:color="auto"/>
          <w:color w:val="0000FF"/>
        </w:rPr>
        <w:t xml:space="preserve"> </w:t>
      </w:r>
      <w:hyperlink r:id="rId325">
        <w:r>
          <w:rPr>
            <w:rFonts w:ascii="Arial" w:cs="Arial" w:eastAsia="Arial" w:hAnsi="Arial"/>
            <w:sz w:val="16"/>
            <w:szCs w:val="16"/>
            <w:u w:val="single" w:color="auto"/>
            <w:color w:val="0000FF"/>
          </w:rPr>
          <w:t>Form F-1/A (File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-163830</wp:posOffset>
            </wp:positionV>
            <wp:extent cx="6243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624332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-44450</wp:posOffset>
            </wp:positionV>
            <wp:extent cx="4377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4377690" cy="8255"/>
                    </a:xfrm>
                    <a:prstGeom prst="rect">
                      <a:avLst/>
                    </a:prstGeom>
                    <a:noFill/>
                  </pic:spPr>
                </pic:pic>
              </a:graphicData>
            </a:graphic>
          </wp:anchor>
        </w:drawing>
      </w:r>
    </w:p>
    <w:p>
      <w:pPr>
        <w:spacing w:after="0" w:line="9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5"/>
          <w:szCs w:val="15"/>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8858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158"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u w:val="single" w:color="auto"/>
          <w:color w:val="0000FF"/>
        </w:rPr>
        <w:t>Certification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32480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3248025" cy="8255"/>
                    </a:xfrm>
                    <a:prstGeom prst="rect">
                      <a:avLst/>
                    </a:prstGeom>
                    <a:noFill/>
                  </pic:spPr>
                </pic:pic>
              </a:graphicData>
            </a:graphic>
          </wp:anchor>
        </w:drawing>
      </w:r>
    </w:p>
    <w:p>
      <w:pPr>
        <w:spacing w:after="0" w:line="158"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u w:val="single" w:color="auto"/>
          <w:color w:val="0000FF"/>
        </w:rPr>
        <w:t>Certification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32480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3248025" cy="8255"/>
                    </a:xfrm>
                    <a:prstGeom prst="rect">
                      <a:avLst/>
                    </a:prstGeom>
                    <a:noFill/>
                  </pic:spPr>
                </pic:pic>
              </a:graphicData>
            </a:graphic>
          </wp:anchor>
        </w:drawing>
      </w:r>
    </w:p>
    <w:p>
      <w:pPr>
        <w:spacing w:after="0" w:line="158"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u w:val="single" w:color="auto"/>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54286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5428615" cy="8255"/>
                    </a:xfrm>
                    <a:prstGeom prst="rect">
                      <a:avLst/>
                    </a:prstGeom>
                    <a:noFill/>
                  </pic:spPr>
                </pic:pic>
              </a:graphicData>
            </a:graphic>
          </wp:anchor>
        </w:drawing>
      </w:r>
    </w:p>
    <w:p>
      <w:pPr>
        <w:spacing w:after="0" w:line="158"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u w:val="single" w:color="auto"/>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5428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5428615" cy="8255"/>
                    </a:xfrm>
                    <a:prstGeom prst="rect">
                      <a:avLst/>
                    </a:prstGeom>
                    <a:noFill/>
                  </pic:spPr>
                </pic:pic>
              </a:graphicData>
            </a:graphic>
          </wp:anchor>
        </w:drawing>
      </w:r>
    </w:p>
    <w:p>
      <w:pPr>
        <w:spacing w:after="0" w:line="158"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u w:val="single" w:color="auto"/>
          <w:color w:val="0000FF"/>
        </w:rPr>
        <w:t>Consent of PricewaterhouseCoopers Accountants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24777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247777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04" w:lineRule="exact"/>
        <w:rPr>
          <w:sz w:val="20"/>
          <w:szCs w:val="20"/>
          <w:color w:val="auto"/>
        </w:rPr>
      </w:pPr>
    </w:p>
    <w:p>
      <w:pPr>
        <w:ind w:left="1060" w:right="80" w:hanging="725"/>
        <w:spacing w:after="0" w:line="283" w:lineRule="auto"/>
        <w:tabs>
          <w:tab w:leader="none" w:pos="10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Inline XBRL Instance Document-the instance document does not appear in the Interactive Data File because its XBRL tags are embedded within the Inline XBRL document.</w:t>
      </w:r>
    </w:p>
    <w:p>
      <w:pPr>
        <w:spacing w:after="0" w:line="116" w:lineRule="exact"/>
        <w:rPr>
          <w:sz w:val="20"/>
          <w:szCs w:val="20"/>
          <w:color w:val="auto"/>
        </w:rPr>
      </w:pPr>
    </w:p>
    <w:p>
      <w:pPr>
        <w:ind w:left="1060" w:hanging="725"/>
        <w:spacing w:after="0"/>
        <w:tabs>
          <w:tab w:leader="none" w:pos="10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Inline XBRL Calculation Linkbase Document.</w:t>
      </w:r>
    </w:p>
    <w:p>
      <w:pPr>
        <w:spacing w:after="0" w:line="177" w:lineRule="exact"/>
        <w:rPr>
          <w:rFonts w:ascii="Arial" w:cs="Arial" w:eastAsia="Arial" w:hAnsi="Arial"/>
          <w:sz w:val="16"/>
          <w:szCs w:val="16"/>
          <w:color w:val="auto"/>
        </w:rPr>
      </w:pPr>
    </w:p>
    <w:p>
      <w:pPr>
        <w:ind w:left="1060" w:hanging="725"/>
        <w:spacing w:after="0"/>
        <w:tabs>
          <w:tab w:leader="none" w:pos="10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Inline XBRL Definition Linkbase Document.</w:t>
      </w:r>
    </w:p>
    <w:p>
      <w:pPr>
        <w:spacing w:after="0" w:line="177" w:lineRule="exact"/>
        <w:rPr>
          <w:rFonts w:ascii="Arial" w:cs="Arial" w:eastAsia="Arial" w:hAnsi="Arial"/>
          <w:sz w:val="16"/>
          <w:szCs w:val="16"/>
          <w:color w:val="auto"/>
        </w:rPr>
      </w:pPr>
    </w:p>
    <w:p>
      <w:pPr>
        <w:ind w:left="1060" w:hanging="725"/>
        <w:spacing w:after="0"/>
        <w:tabs>
          <w:tab w:leader="none" w:pos="106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Inline XBRL Labels Linkbase Document.</w:t>
      </w:r>
    </w:p>
    <w:p>
      <w:pPr>
        <w:spacing w:after="0" w:line="177" w:lineRule="exact"/>
        <w:rPr>
          <w:rFonts w:ascii="Arial" w:cs="Arial" w:eastAsia="Arial" w:hAnsi="Arial"/>
          <w:sz w:val="16"/>
          <w:szCs w:val="16"/>
          <w:color w:val="auto"/>
        </w:rPr>
      </w:pPr>
    </w:p>
    <w:p>
      <w:pPr>
        <w:ind w:left="1060" w:hanging="725"/>
        <w:spacing w:after="0"/>
        <w:tabs>
          <w:tab w:leader="none" w:pos="10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Inline XBRL Presentation Linkbase Document.</w:t>
      </w:r>
    </w:p>
    <w:p>
      <w:pPr>
        <w:spacing w:after="0" w:line="177" w:lineRule="exact"/>
        <w:rPr>
          <w:rFonts w:ascii="Arial" w:cs="Arial" w:eastAsia="Arial" w:hAnsi="Arial"/>
          <w:sz w:val="16"/>
          <w:szCs w:val="16"/>
          <w:color w:val="auto"/>
        </w:rPr>
      </w:pPr>
    </w:p>
    <w:p>
      <w:pPr>
        <w:ind w:left="1060" w:hanging="725"/>
        <w:spacing w:after="0"/>
        <w:tabs>
          <w:tab w:leader="none" w:pos="1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Inline XBRL Schema Document.</w:t>
      </w:r>
    </w:p>
    <w:p>
      <w:pPr>
        <w:spacing w:after="0" w:line="177" w:lineRule="exact"/>
        <w:rPr>
          <w:rFonts w:ascii="Arial" w:cs="Arial" w:eastAsia="Arial" w:hAnsi="Arial"/>
          <w:sz w:val="16"/>
          <w:szCs w:val="16"/>
          <w:color w:val="auto"/>
        </w:rPr>
      </w:pPr>
    </w:p>
    <w:p>
      <w:pPr>
        <w:ind w:firstLine="335"/>
        <w:spacing w:after="0" w:line="386" w:lineRule="auto"/>
        <w:tabs>
          <w:tab w:leader="none" w:pos="104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cover page for the Company’s Annual Report on Form 20-F for the year ended December 31, 2021, has been formatted in Inline XBRL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15830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ind w:right="100" w:firstLine="7"/>
        <w:spacing w:after="0" w:line="262" w:lineRule="auto"/>
        <w:tabs>
          <w:tab w:leader="none" w:pos="13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Certain information has been excluded from the exhibit because it both (i) is not material and (ii) would likely cause competitive harm to the Company if publicly disclosed.</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SIGNATURES</w:t>
      </w:r>
    </w:p>
    <w:p>
      <w:pPr>
        <w:spacing w:after="0" w:line="218"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Form 20-F on its behalf.</w:t>
      </w:r>
    </w:p>
    <w:p>
      <w:pPr>
        <w:spacing w:after="0" w:line="15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Pharvaris N.V.</w:t>
      </w:r>
    </w:p>
    <w:p>
      <w:pPr>
        <w:spacing w:after="0" w:line="218"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By: /s/ Berndt Modig</w:t>
      </w:r>
    </w:p>
    <w:p>
      <w:pPr>
        <w:spacing w:after="0" w:line="212" w:lineRule="exact"/>
        <w:rPr>
          <w:sz w:val="20"/>
          <w:szCs w:val="20"/>
          <w:color w:val="auto"/>
        </w:rPr>
      </w:pPr>
    </w:p>
    <w:tbl>
      <w:tblPr>
        <w:tblLayout w:type="fixed"/>
        <w:tblInd w:w="7400" w:type="dxa"/>
        <w:tblCellMar>
          <w:top w:w="0" w:type="dxa"/>
          <w:left w:w="0" w:type="dxa"/>
          <w:bottom w:w="0" w:type="dxa"/>
          <w:right w:w="0" w:type="dxa"/>
        </w:tblCellMar>
      </w:tblPr>
      <w:tr>
        <w:trPr>
          <w:trHeight w:val="227"/>
        </w:trPr>
        <w:tc>
          <w:tcPr>
            <w:tcW w:w="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Berndt Modig</w:t>
            </w:r>
          </w:p>
        </w:tc>
      </w:tr>
      <w:tr>
        <w:trPr>
          <w:trHeight w:val="214"/>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3360" w:type="dxa"/>
            <w:vAlign w:val="bottom"/>
          </w:tcPr>
          <w:p>
            <w:pPr>
              <w:ind w:left="120"/>
              <w:spacing w:after="0"/>
              <w:rPr>
                <w:sz w:val="20"/>
                <w:szCs w:val="20"/>
                <w:color w:val="auto"/>
              </w:rPr>
            </w:pPr>
            <w:r>
              <w:rPr>
                <w:rFonts w:ascii="Arial" w:cs="Arial" w:eastAsia="Arial" w:hAnsi="Arial"/>
                <w:sz w:val="16"/>
                <w:szCs w:val="16"/>
                <w:color w:val="auto"/>
              </w:rPr>
              <w:t>Chief Executive Officer</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Date: April 5, 2023</w:t>
      </w: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540" w:type="dxa"/>
            <w:vAlign w:val="bottom"/>
            <w:gridSpan w:val="6"/>
          </w:tcPr>
          <w:p>
            <w:pPr>
              <w:ind w:left="160"/>
              <w:spacing w:after="0"/>
              <w:rPr>
                <w:sz w:val="20"/>
                <w:szCs w:val="20"/>
                <w:color w:val="auto"/>
              </w:rPr>
            </w:pPr>
            <w:r>
              <w:rPr>
                <w:rFonts w:ascii="Arial" w:cs="Arial" w:eastAsia="Arial" w:hAnsi="Arial"/>
                <w:sz w:val="16"/>
                <w:szCs w:val="16"/>
                <w:b w:val="1"/>
                <w:bCs w:val="1"/>
                <w:color w:val="auto"/>
              </w:rPr>
              <w:t>INDEX TO CONSOLIDATED FINANCIAL STATEMENTS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96"/>
        </w:trPr>
        <w:tc>
          <w:tcPr>
            <w:tcW w:w="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Audited Annual Consolidated Financial Statements</w:t>
            </w:r>
          </w:p>
        </w:tc>
        <w:tc>
          <w:tcPr>
            <w:tcW w:w="200" w:type="dxa"/>
            <w:vAlign w:val="bottom"/>
          </w:tcPr>
          <w:p>
            <w:pPr>
              <w:spacing w:after="0"/>
              <w:rPr>
                <w:sz w:val="24"/>
                <w:szCs w:val="24"/>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Page</w:t>
            </w:r>
          </w:p>
        </w:tc>
      </w:tr>
      <w:tr>
        <w:trPr>
          <w:trHeight w:val="154"/>
        </w:trPr>
        <w:tc>
          <w:tcPr>
            <w:tcW w:w="20" w:type="dxa"/>
            <w:vAlign w:val="bottom"/>
          </w:tcPr>
          <w:p>
            <w:pPr>
              <w:spacing w:after="0"/>
              <w:rPr>
                <w:sz w:val="13"/>
                <w:szCs w:val="13"/>
                <w:color w:val="auto"/>
              </w:rPr>
            </w:pPr>
          </w:p>
        </w:tc>
        <w:tc>
          <w:tcPr>
            <w:tcW w:w="9940" w:type="dxa"/>
            <w:vAlign w:val="bottom"/>
            <w:gridSpan w:val="7"/>
          </w:tcPr>
          <w:p>
            <w:pPr>
              <w:spacing w:after="0" w:line="155" w:lineRule="exact"/>
              <w:rPr>
                <w:sz w:val="20"/>
                <w:szCs w:val="20"/>
                <w:color w:val="auto"/>
              </w:rPr>
            </w:pPr>
            <w:r>
              <w:rPr>
                <w:rFonts w:ascii="Arial" w:cs="Arial" w:eastAsia="Arial" w:hAnsi="Arial"/>
                <w:sz w:val="16"/>
                <w:szCs w:val="16"/>
                <w:color w:val="0000FF"/>
              </w:rPr>
              <w:t>Report of Independent Registered Public Accounting Firm (PCAOB ID: 1395)</w:t>
            </w:r>
          </w:p>
        </w:tc>
        <w:tc>
          <w:tcPr>
            <w:tcW w:w="200" w:type="dxa"/>
            <w:vAlign w:val="bottom"/>
          </w:tcPr>
          <w:p>
            <w:pPr>
              <w:spacing w:after="0"/>
              <w:rPr>
                <w:sz w:val="13"/>
                <w:szCs w:val="13"/>
                <w:color w:val="auto"/>
              </w:rPr>
            </w:pPr>
          </w:p>
        </w:tc>
        <w:tc>
          <w:tcPr>
            <w:tcW w:w="1080" w:type="dxa"/>
            <w:vAlign w:val="bottom"/>
          </w:tcPr>
          <w:p>
            <w:pPr>
              <w:ind w:left="780"/>
              <w:spacing w:after="0" w:line="155" w:lineRule="exact"/>
              <w:rPr>
                <w:sz w:val="20"/>
                <w:szCs w:val="20"/>
                <w:color w:val="auto"/>
              </w:rPr>
            </w:pPr>
            <w:r>
              <w:rPr>
                <w:rFonts w:ascii="Arial" w:cs="Arial" w:eastAsia="Arial" w:hAnsi="Arial"/>
                <w:sz w:val="16"/>
                <w:szCs w:val="16"/>
                <w:color w:val="auto"/>
                <w:w w:val="98"/>
              </w:rPr>
              <w:t>F- 2</w:t>
            </w: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940" w:type="dxa"/>
            <w:vAlign w:val="bottom"/>
            <w:gridSpan w:val="7"/>
          </w:tcPr>
          <w:p>
            <w:pPr>
              <w:spacing w:after="0" w:line="181" w:lineRule="exact"/>
              <w:rPr>
                <w:sz w:val="20"/>
                <w:szCs w:val="20"/>
                <w:color w:val="auto"/>
              </w:rPr>
            </w:pPr>
            <w:r>
              <w:rPr>
                <w:rFonts w:ascii="Arial" w:cs="Arial" w:eastAsia="Arial" w:hAnsi="Arial"/>
                <w:sz w:val="16"/>
                <w:szCs w:val="16"/>
                <w:color w:val="0000FF"/>
              </w:rPr>
              <w:t>Consolidated Statements of Loss and Comprehensive Loss for the Years Ended December 31, 2022 2021 and 2020</w:t>
            </w: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F- 3</w:t>
            </w:r>
          </w:p>
        </w:tc>
      </w:tr>
      <w:tr>
        <w:trPr>
          <w:trHeight w:val="181"/>
        </w:trPr>
        <w:tc>
          <w:tcPr>
            <w:tcW w:w="20" w:type="dxa"/>
            <w:vAlign w:val="bottom"/>
            <w:tcBorders>
              <w:top w:val="single" w:sz="8" w:color="0000EE"/>
            </w:tcBorders>
          </w:tcPr>
          <w:p>
            <w:pPr>
              <w:spacing w:after="0"/>
              <w:rPr>
                <w:sz w:val="15"/>
                <w:szCs w:val="15"/>
                <w:color w:val="auto"/>
              </w:rPr>
            </w:pPr>
          </w:p>
        </w:tc>
        <w:tc>
          <w:tcPr>
            <w:tcW w:w="8260" w:type="dxa"/>
            <w:vAlign w:val="bottom"/>
            <w:tcBorders>
              <w:top w:val="single" w:sz="8" w:color="0000FF"/>
            </w:tcBorders>
            <w:gridSpan w:val="5"/>
          </w:tcPr>
          <w:p>
            <w:pPr>
              <w:spacing w:after="0" w:line="181" w:lineRule="exact"/>
              <w:rPr>
                <w:sz w:val="20"/>
                <w:szCs w:val="20"/>
                <w:color w:val="auto"/>
              </w:rPr>
            </w:pPr>
            <w:r>
              <w:rPr>
                <w:rFonts w:ascii="Arial" w:cs="Arial" w:eastAsia="Arial" w:hAnsi="Arial"/>
                <w:sz w:val="16"/>
                <w:szCs w:val="16"/>
                <w:color w:val="0000FF"/>
              </w:rPr>
              <w:t>Consolidated Statements of Financial Position as of December 31, 2022 and 2021</w:t>
            </w:r>
          </w:p>
        </w:tc>
        <w:tc>
          <w:tcPr>
            <w:tcW w:w="16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F- 4</w:t>
            </w:r>
          </w:p>
        </w:tc>
      </w:tr>
      <w:tr>
        <w:trPr>
          <w:trHeight w:val="20"/>
        </w:trPr>
        <w:tc>
          <w:tcPr>
            <w:tcW w:w="20" w:type="dxa"/>
            <w:vAlign w:val="bottom"/>
            <w:shd w:val="clear" w:color="auto" w:fill="0000EE"/>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940" w:type="dxa"/>
            <w:vAlign w:val="bottom"/>
            <w:gridSpan w:val="7"/>
          </w:tcPr>
          <w:p>
            <w:pPr>
              <w:spacing w:after="0" w:line="181" w:lineRule="exact"/>
              <w:rPr>
                <w:sz w:val="20"/>
                <w:szCs w:val="20"/>
                <w:color w:val="auto"/>
              </w:rPr>
            </w:pPr>
            <w:r>
              <w:rPr>
                <w:rFonts w:ascii="Arial" w:cs="Arial" w:eastAsia="Arial" w:hAnsi="Arial"/>
                <w:sz w:val="16"/>
                <w:szCs w:val="16"/>
                <w:color w:val="0000FF"/>
              </w:rPr>
              <w:t>Consolidated Statements of Changes in Shareholders’ Equity for the Years Ended December 31, 2022, 2021 and 2020</w:t>
            </w: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F- 5</w:t>
            </w:r>
          </w:p>
        </w:tc>
      </w:tr>
      <w:tr>
        <w:trPr>
          <w:trHeight w:val="181"/>
        </w:trPr>
        <w:tc>
          <w:tcPr>
            <w:tcW w:w="20" w:type="dxa"/>
            <w:vAlign w:val="bottom"/>
            <w:tcBorders>
              <w:top w:val="single" w:sz="8" w:color="0000EE"/>
            </w:tcBorders>
          </w:tcPr>
          <w:p>
            <w:pPr>
              <w:spacing w:after="0"/>
              <w:rPr>
                <w:sz w:val="15"/>
                <w:szCs w:val="15"/>
                <w:color w:val="auto"/>
              </w:rPr>
            </w:pPr>
          </w:p>
        </w:tc>
        <w:tc>
          <w:tcPr>
            <w:tcW w:w="8440" w:type="dxa"/>
            <w:vAlign w:val="bottom"/>
            <w:tcBorders>
              <w:top w:val="single" w:sz="8" w:color="0000FF"/>
            </w:tcBorders>
            <w:gridSpan w:val="6"/>
          </w:tcPr>
          <w:p>
            <w:pPr>
              <w:spacing w:after="0" w:line="181" w:lineRule="exact"/>
              <w:rPr>
                <w:sz w:val="20"/>
                <w:szCs w:val="20"/>
                <w:color w:val="auto"/>
              </w:rPr>
            </w:pPr>
            <w:r>
              <w:rPr>
                <w:rFonts w:ascii="Arial" w:cs="Arial" w:eastAsia="Arial" w:hAnsi="Arial"/>
                <w:sz w:val="16"/>
                <w:szCs w:val="16"/>
                <w:color w:val="0000FF"/>
              </w:rPr>
              <w:t>Consolidated Statements of Cash Flows for the Years ended December 31, 2022, 2021 and 2020</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F- 6</w:t>
            </w:r>
          </w:p>
        </w:tc>
      </w:tr>
      <w:tr>
        <w:trPr>
          <w:trHeight w:val="181"/>
        </w:trPr>
        <w:tc>
          <w:tcPr>
            <w:tcW w:w="20" w:type="dxa"/>
            <w:vAlign w:val="bottom"/>
            <w:tcBorders>
              <w:top w:val="single" w:sz="8" w:color="0000EE"/>
              <w:bottom w:val="single" w:sz="8" w:color="0000EE"/>
            </w:tcBorders>
          </w:tcPr>
          <w:p>
            <w:pPr>
              <w:spacing w:after="0"/>
              <w:rPr>
                <w:sz w:val="15"/>
                <w:szCs w:val="15"/>
                <w:color w:val="auto"/>
              </w:rPr>
            </w:pPr>
          </w:p>
        </w:tc>
        <w:tc>
          <w:tcPr>
            <w:tcW w:w="3400" w:type="dxa"/>
            <w:vAlign w:val="bottom"/>
            <w:tcBorders>
              <w:top w:val="single" w:sz="8" w:color="0000FF"/>
              <w:bottom w:val="single" w:sz="8" w:color="0000FF"/>
            </w:tcBorders>
          </w:tcPr>
          <w:p>
            <w:pPr>
              <w:spacing w:after="0" w:line="181" w:lineRule="exact"/>
              <w:rPr>
                <w:sz w:val="20"/>
                <w:szCs w:val="20"/>
                <w:color w:val="auto"/>
              </w:rPr>
            </w:pPr>
            <w:r>
              <w:rPr>
                <w:rFonts w:ascii="Arial" w:cs="Arial" w:eastAsia="Arial" w:hAnsi="Arial"/>
                <w:sz w:val="16"/>
                <w:szCs w:val="16"/>
                <w:color w:val="0000FF"/>
              </w:rPr>
              <w:t>Notes to the Consolidated Financial Statements</w:t>
            </w:r>
          </w:p>
        </w:tc>
        <w:tc>
          <w:tcPr>
            <w:tcW w:w="3520" w:type="dxa"/>
            <w:vAlign w:val="bottom"/>
            <w:tcBorders>
              <w:top w:val="single" w:sz="8" w:color="0000FF"/>
            </w:tcBorders>
            <w:gridSpan w:val="3"/>
          </w:tcPr>
          <w:p>
            <w:pPr>
              <w:spacing w:after="0"/>
              <w:rPr>
                <w:sz w:val="15"/>
                <w:szCs w:val="15"/>
                <w:color w:val="auto"/>
              </w:rPr>
            </w:pPr>
          </w:p>
        </w:tc>
        <w:tc>
          <w:tcPr>
            <w:tcW w:w="302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Pharvaris N.V.</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audited the accompanying consolidated statements of financial position of Pharvaris N.V. and its subsidiaries (the ‘Company’) as of December 31, 2022 and 2021, and the related consolidated statements of loss and comprehensive loss, of changes in shareholders’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16"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jc w:val="both"/>
        <w:ind w:right="220"/>
        <w:spacing w:after="0" w:line="254"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 W. Voorthuijsen RA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Accountants N.V.</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Amsterdam, The Netherlands, April 5, 2023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Loss and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Years ended December 31,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54"/>
        </w:trPr>
        <w:tc>
          <w:tcPr>
            <w:tcW w:w="610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Note</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(57,375,574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(35,789,166</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(19,508,101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61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78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(29,339,034 )</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(18,349,460 )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(5,498,491 )</w:t>
            </w:r>
          </w:p>
        </w:tc>
      </w:tr>
      <w:tr>
        <w:trPr>
          <w:trHeight w:val="208"/>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(86,714,608</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(54,138,626</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(25,006,592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8"/>
        </w:trPr>
        <w:tc>
          <w:tcPr>
            <w:tcW w:w="6100" w:type="dxa"/>
            <w:vAlign w:val="bottom"/>
          </w:tcPr>
          <w:p>
            <w:pPr>
              <w:ind w:left="20"/>
              <w:spacing w:after="0"/>
              <w:rPr>
                <w:sz w:val="20"/>
                <w:szCs w:val="20"/>
                <w:color w:val="auto"/>
              </w:rPr>
            </w:pPr>
            <w:r>
              <w:rPr>
                <w:rFonts w:ascii="Arial" w:cs="Arial" w:eastAsia="Arial" w:hAnsi="Arial"/>
                <w:sz w:val="16"/>
                <w:szCs w:val="16"/>
                <w:color w:val="auto"/>
              </w:rPr>
              <w:t>Finance income / (expenses)</w:t>
            </w:r>
          </w:p>
        </w:tc>
        <w:tc>
          <w:tcPr>
            <w:tcW w:w="780" w:type="dxa"/>
            <w:vAlign w:val="bottom"/>
          </w:tcPr>
          <w:p>
            <w:pPr>
              <w:jc w:val="center"/>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11,477,964</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(1,062,363 )</w:t>
            </w:r>
          </w:p>
        </w:tc>
      </w:tr>
      <w:tr>
        <w:trPr>
          <w:trHeight w:val="208"/>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(75,653,470</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(42,660,662</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(26,068,955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8"/>
        </w:trPr>
        <w:tc>
          <w:tcPr>
            <w:tcW w:w="6100" w:type="dxa"/>
            <w:vAlign w:val="bottom"/>
          </w:tcPr>
          <w:p>
            <w:pPr>
              <w:ind w:left="20"/>
              <w:spacing w:after="0"/>
              <w:rPr>
                <w:sz w:val="20"/>
                <w:szCs w:val="20"/>
                <w:color w:val="auto"/>
              </w:rPr>
            </w:pPr>
            <w:r>
              <w:rPr>
                <w:rFonts w:ascii="Arial" w:cs="Arial" w:eastAsia="Arial" w:hAnsi="Arial"/>
                <w:sz w:val="16"/>
                <w:szCs w:val="16"/>
                <w:color w:val="auto"/>
              </w:rPr>
              <w:t>Income tax (expense) / benefit</w:t>
            </w:r>
          </w:p>
        </w:tc>
        <w:tc>
          <w:tcPr>
            <w:tcW w:w="780" w:type="dxa"/>
            <w:vAlign w:val="bottom"/>
          </w:tcPr>
          <w:p>
            <w:pPr>
              <w:jc w:val="center"/>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(679,087 )</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(70,117 )</w:t>
            </w:r>
          </w:p>
        </w:tc>
        <w:tc>
          <w:tcPr>
            <w:tcW w:w="1100" w:type="dxa"/>
            <w:vAlign w:val="bottom"/>
          </w:tcPr>
          <w:p>
            <w:pPr>
              <w:jc w:val="right"/>
              <w:spacing w:after="0"/>
              <w:rPr>
                <w:sz w:val="20"/>
                <w:szCs w:val="20"/>
                <w:color w:val="auto"/>
              </w:rPr>
            </w:pPr>
            <w:r>
              <w:rPr>
                <w:rFonts w:ascii="Arial" w:cs="Arial" w:eastAsia="Arial" w:hAnsi="Arial"/>
                <w:sz w:val="16"/>
                <w:szCs w:val="16"/>
                <w:color w:val="auto"/>
              </w:rPr>
              <w:t>83,251</w:t>
            </w:r>
          </w:p>
        </w:tc>
        <w:tc>
          <w:tcPr>
            <w:tcW w:w="100" w:type="dxa"/>
            <w:vAlign w:val="bottom"/>
          </w:tcPr>
          <w:p>
            <w:pPr>
              <w:spacing w:after="0"/>
              <w:rPr>
                <w:sz w:val="18"/>
                <w:szCs w:val="18"/>
                <w:color w:val="auto"/>
              </w:rPr>
            </w:pPr>
          </w:p>
        </w:tc>
      </w:tr>
      <w:tr>
        <w:trPr>
          <w:trHeight w:val="208"/>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(76,332,557</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(42,730,779</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(25,985,704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8"/>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Exchange gain / (loss) arising on translation of foreign operations</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(4,365 )</w:t>
            </w:r>
          </w:p>
        </w:tc>
      </w:tr>
      <w:tr>
        <w:trPr>
          <w:trHeight w:val="208"/>
        </w:trPr>
        <w:tc>
          <w:tcPr>
            <w:tcW w:w="61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comprehensive loss attributable to:</w:t>
            </w:r>
          </w:p>
        </w:tc>
        <w:tc>
          <w:tcPr>
            <w:tcW w:w="7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4"/>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holders of the Company</w:t>
            </w: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(76,332,557 )</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(42,700,486 )</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(25,990,069 )</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780" w:type="dxa"/>
            <w:vAlign w:val="bottom"/>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(2.27 )</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(1.40 )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5384165</wp:posOffset>
            </wp:positionH>
            <wp:positionV relativeFrom="paragraph">
              <wp:posOffset>-1306195</wp:posOffset>
            </wp:positionV>
            <wp:extent cx="76835" cy="153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6835" cy="15303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-1306195</wp:posOffset>
            </wp:positionV>
            <wp:extent cx="67945" cy="153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-1306195</wp:posOffset>
            </wp:positionV>
            <wp:extent cx="67945" cy="153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-1016635</wp:posOffset>
            </wp:positionV>
            <wp:extent cx="76835" cy="153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6835" cy="15303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-1016635</wp:posOffset>
            </wp:positionV>
            <wp:extent cx="67945" cy="153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-1016635</wp:posOffset>
            </wp:positionV>
            <wp:extent cx="67945" cy="153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-727710</wp:posOffset>
            </wp:positionV>
            <wp:extent cx="76835" cy="1447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6835" cy="144780"/>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-727710</wp:posOffset>
            </wp:positionV>
            <wp:extent cx="67945" cy="1447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67945" cy="1447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-727710</wp:posOffset>
            </wp:positionV>
            <wp:extent cx="67945" cy="1447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67945" cy="144780"/>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-446405</wp:posOffset>
            </wp:positionV>
            <wp:extent cx="76835" cy="1447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6835" cy="144780"/>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-446405</wp:posOffset>
            </wp:positionV>
            <wp:extent cx="67945" cy="1447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67945" cy="1447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-446405</wp:posOffset>
            </wp:positionV>
            <wp:extent cx="67945" cy="1447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67945" cy="144780"/>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-165735</wp:posOffset>
            </wp:positionV>
            <wp:extent cx="1753235" cy="1619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1753235" cy="16192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As at</w:t>
            </w:r>
          </w:p>
        </w:tc>
        <w:tc>
          <w:tcPr>
            <w:tcW w:w="15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at</w:t>
            </w:r>
          </w:p>
        </w:tc>
      </w:tr>
      <w:tr>
        <w:trPr>
          <w:trHeight w:val="161"/>
        </w:trPr>
        <w:tc>
          <w:tcPr>
            <w:tcW w:w="6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5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6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4"/>
        </w:trPr>
        <w:tc>
          <w:tcPr>
            <w:tcW w:w="6960" w:type="dxa"/>
            <w:vAlign w:val="bottom"/>
          </w:tcPr>
          <w:p>
            <w:pPr>
              <w:spacing w:after="0"/>
              <w:rPr>
                <w:sz w:val="13"/>
                <w:szCs w:val="13"/>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Notes</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100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432,965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243,251</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259,803</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172,053</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Receivables</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382,468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700,079</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4,626,844</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1,513,452</w:t>
            </w:r>
          </w:p>
        </w:tc>
        <w:tc>
          <w:tcPr>
            <w:tcW w:w="100" w:type="dxa"/>
            <w:vAlign w:val="bottom"/>
          </w:tcPr>
          <w:p>
            <w:pPr>
              <w:spacing w:after="0"/>
              <w:rPr>
                <w:sz w:val="18"/>
                <w:szCs w:val="18"/>
                <w:color w:val="auto"/>
              </w:rPr>
            </w:pPr>
          </w:p>
        </w:tc>
      </w:tr>
      <w:tr>
        <w:trPr>
          <w:trHeight w:val="215"/>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167,732,983</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212,090,065</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000" w:type="dxa"/>
            <w:vAlign w:val="bottom"/>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capital</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3,978,227</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Share premium</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289,177,197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278,742,900</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reserves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9,774,416</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Currency translation reserve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43,290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25,928</w:t>
            </w: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loss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(164,188,892 )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(87,568,401 )</w:t>
            </w:r>
          </w:p>
        </w:tc>
      </w:tr>
      <w:tr>
        <w:trPr>
          <w:trHeight w:val="208"/>
        </w:trPr>
        <w:tc>
          <w:tcPr>
            <w:tcW w:w="69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149,259,030</w:t>
            </w:r>
          </w:p>
        </w:tc>
        <w:tc>
          <w:tcPr>
            <w:tcW w:w="220" w:type="dxa"/>
            <w:vAlign w:val="bottom"/>
            <w:tcBorders>
              <w:top w:val="single" w:sz="8" w:color="CFF0FC"/>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204,953,070</w:t>
            </w:r>
          </w:p>
        </w:tc>
        <w:tc>
          <w:tcPr>
            <w:tcW w:w="100" w:type="dxa"/>
            <w:vAlign w:val="bottom"/>
            <w:tcBorders>
              <w:top w:val="single" w:sz="8" w:color="CFF0FC"/>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Long term liabilities</w:t>
            </w: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Non-current lease liability</w:t>
            </w:r>
          </w:p>
        </w:tc>
        <w:tc>
          <w:tcPr>
            <w:tcW w:w="100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249,418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150,752</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000" w:type="dxa"/>
            <w:vAlign w:val="bottom"/>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6,685,080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2,490,572</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100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187,404</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99,432</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payable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461,302</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126,157</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18,473,953</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7,136,995</w:t>
            </w:r>
          </w:p>
        </w:tc>
        <w:tc>
          <w:tcPr>
            <w:tcW w:w="100" w:type="dxa"/>
            <w:vAlign w:val="bottom"/>
          </w:tcPr>
          <w:p>
            <w:pPr>
              <w:spacing w:after="0"/>
              <w:rPr>
                <w:sz w:val="18"/>
                <w:szCs w:val="18"/>
                <w:color w:val="auto"/>
              </w:rPr>
            </w:pPr>
          </w:p>
        </w:tc>
      </w:tr>
      <w:tr>
        <w:trPr>
          <w:trHeight w:val="248"/>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167,732,983</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212,090,065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-2553335</wp:posOffset>
            </wp:positionV>
            <wp:extent cx="67945" cy="1701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-2553335</wp:posOffset>
            </wp:positionV>
            <wp:extent cx="67945" cy="1701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-1429385</wp:posOffset>
            </wp:positionV>
            <wp:extent cx="67945" cy="1701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-1429385</wp:posOffset>
            </wp:positionV>
            <wp:extent cx="67945" cy="1701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79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79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2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Share</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Other</w:t>
            </w:r>
          </w:p>
        </w:tc>
        <w:tc>
          <w:tcPr>
            <w:tcW w:w="11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translation</w:t>
            </w:r>
          </w:p>
        </w:tc>
        <w:tc>
          <w:tcPr>
            <w:tcW w:w="11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Accumulated</w:t>
            </w: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165"/>
        </w:trPr>
        <w:tc>
          <w:tcPr>
            <w:tcW w:w="29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Notes</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premium</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reserve</w:t>
            </w:r>
          </w:p>
        </w:tc>
        <w:tc>
          <w:tcPr>
            <w:tcW w:w="11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losses</w:t>
            </w: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154"/>
        </w:trPr>
        <w:tc>
          <w:tcPr>
            <w:tcW w:w="29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72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r>
      <w:tr>
        <w:trPr>
          <w:trHeight w:val="181"/>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5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130,962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36,624,697</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392,139</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(18,474,250 )</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18,673,548</w:t>
            </w:r>
          </w:p>
        </w:tc>
        <w:tc>
          <w:tcPr>
            <w:tcW w:w="100" w:type="dxa"/>
            <w:vAlign w:val="bottom"/>
            <w:shd w:val="clear" w:color="auto" w:fill="CFF0FC"/>
          </w:tcPr>
          <w:p>
            <w:pPr>
              <w:spacing w:after="0"/>
              <w:rPr>
                <w:sz w:val="15"/>
                <w:szCs w:val="15"/>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(25,985,704 )</w:t>
            </w: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(25,985,704 )</w:t>
            </w: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104,731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102,410,148</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102,514,879</w:t>
            </w:r>
          </w:p>
        </w:tc>
        <w:tc>
          <w:tcPr>
            <w:tcW w:w="100" w:type="dxa"/>
            <w:vAlign w:val="bottom"/>
            <w:shd w:val="clear" w:color="auto" w:fill="CFF0FC"/>
          </w:tcPr>
          <w:p>
            <w:pPr>
              <w:spacing w:after="0"/>
              <w:rPr>
                <w:sz w:val="16"/>
                <w:szCs w:val="16"/>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(1,000,265 )</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(1,000,265 )</w:t>
            </w: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(4,365 )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(4,365 )</w:t>
            </w: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1,587,736</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1,587,736</w:t>
            </w:r>
          </w:p>
        </w:tc>
        <w:tc>
          <w:tcPr>
            <w:tcW w:w="100" w:type="dxa"/>
            <w:vAlign w:val="bottom"/>
          </w:tcPr>
          <w:p>
            <w:pPr>
              <w:spacing w:after="0"/>
              <w:rPr>
                <w:sz w:val="16"/>
                <w:szCs w:val="16"/>
                <w:color w:val="auto"/>
              </w:rPr>
            </w:pPr>
          </w:p>
        </w:tc>
      </w:tr>
      <w:tr>
        <w:trPr>
          <w:trHeight w:val="181"/>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235,693</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138,034,580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1,979,875</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(4,365 )</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(44,459,954 )</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95,785,829</w:t>
            </w:r>
          </w:p>
        </w:tc>
        <w:tc>
          <w:tcPr>
            <w:tcW w:w="100" w:type="dxa"/>
            <w:vAlign w:val="bottom"/>
            <w:shd w:val="clear" w:color="auto" w:fill="CFF0FC"/>
          </w:tcPr>
          <w:p>
            <w:pPr>
              <w:spacing w:after="0"/>
              <w:rPr>
                <w:sz w:val="15"/>
                <w:szCs w:val="15"/>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235,693</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138,034,580</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1,979,875</w:t>
            </w:r>
          </w:p>
        </w:tc>
        <w:tc>
          <w:tcPr>
            <w:tcW w:w="10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(4,365 )</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(44,459,954 )</w:t>
            </w:r>
          </w:p>
        </w:tc>
        <w:tc>
          <w:tcPr>
            <w:tcW w:w="1720" w:type="dxa"/>
            <w:vAlign w:val="bottom"/>
          </w:tcPr>
          <w:p>
            <w:pPr>
              <w:jc w:val="right"/>
              <w:spacing w:after="0"/>
              <w:rPr>
                <w:sz w:val="20"/>
                <w:szCs w:val="20"/>
                <w:color w:val="auto"/>
              </w:rPr>
            </w:pPr>
            <w:r>
              <w:rPr>
                <w:rFonts w:ascii="Arial" w:cs="Arial" w:eastAsia="Arial" w:hAnsi="Arial"/>
                <w:sz w:val="14"/>
                <w:szCs w:val="14"/>
                <w:color w:val="auto"/>
              </w:rPr>
              <w:t>95,785,829</w:t>
            </w:r>
          </w:p>
        </w:tc>
        <w:tc>
          <w:tcPr>
            <w:tcW w:w="100" w:type="dxa"/>
            <w:vAlign w:val="bottom"/>
          </w:tcPr>
          <w:p>
            <w:pPr>
              <w:spacing w:after="0"/>
              <w:rPr>
                <w:sz w:val="15"/>
                <w:szCs w:val="15"/>
                <w:color w:val="auto"/>
              </w:rPr>
            </w:pP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(42,730,779 )</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(42,730,779 )</w:t>
            </w: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Increase in par value</w:t>
            </w:r>
          </w:p>
        </w:tc>
        <w:tc>
          <w:tcPr>
            <w:tcW w:w="5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2,592,621</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(2,592,621 )</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1,141,329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156,014,570</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157,155,899</w:t>
            </w:r>
          </w:p>
        </w:tc>
        <w:tc>
          <w:tcPr>
            <w:tcW w:w="100" w:type="dxa"/>
            <w:vAlign w:val="bottom"/>
            <w:shd w:val="clear" w:color="auto" w:fill="CFF0FC"/>
          </w:tcPr>
          <w:p>
            <w:pPr>
              <w:spacing w:after="0"/>
              <w:rPr>
                <w:sz w:val="16"/>
                <w:szCs w:val="16"/>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(13,154,360 )</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(13,154,360 )</w:t>
            </w: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30,293</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30,293</w:t>
            </w:r>
          </w:p>
        </w:tc>
        <w:tc>
          <w:tcPr>
            <w:tcW w:w="100" w:type="dxa"/>
            <w:vAlign w:val="bottom"/>
            <w:shd w:val="clear" w:color="auto" w:fill="CFF0FC"/>
          </w:tcPr>
          <w:p>
            <w:pPr>
              <w:spacing w:after="0"/>
              <w:rPr>
                <w:sz w:val="16"/>
                <w:szCs w:val="16"/>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8,584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440,731</w:t>
            </w:r>
          </w:p>
        </w:tc>
        <w:tc>
          <w:tcPr>
            <w:tcW w:w="1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(401,846 )</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(377,668 )</w:t>
            </w: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(330,199 )</w:t>
            </w:r>
          </w:p>
        </w:tc>
      </w:tr>
      <w:tr>
        <w:trPr>
          <w:trHeight w:val="188"/>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8,196,387</w:t>
            </w:r>
          </w:p>
        </w:tc>
        <w:tc>
          <w:tcPr>
            <w:tcW w:w="1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8,196,387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3,978,227</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9,774,416</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(87,568,401 )</w:t>
            </w:r>
          </w:p>
        </w:tc>
        <w:tc>
          <w:tcPr>
            <w:tcW w:w="1720" w:type="dxa"/>
            <w:vAlign w:val="bottom"/>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tcPr>
          <w:p>
            <w:pPr>
              <w:spacing w:after="0"/>
              <w:rPr>
                <w:sz w:val="15"/>
                <w:szCs w:val="15"/>
                <w:color w:val="auto"/>
              </w:rPr>
            </w:pPr>
          </w:p>
        </w:tc>
      </w:tr>
      <w:tr>
        <w:trPr>
          <w:trHeight w:val="20"/>
        </w:trPr>
        <w:tc>
          <w:tcPr>
            <w:tcW w:w="2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3,978,227</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9,774,416</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(87,568,401 )</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shd w:val="clear" w:color="auto" w:fill="CFF0FC"/>
          </w:tcPr>
          <w:p>
            <w:pPr>
              <w:spacing w:after="0"/>
              <w:rPr>
                <w:sz w:val="15"/>
                <w:szCs w:val="15"/>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(76,332,557 )</w:t>
            </w: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(76,332,557 )</w:t>
            </w: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70,572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9,464,901</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9,535,473</w:t>
            </w:r>
          </w:p>
        </w:tc>
        <w:tc>
          <w:tcPr>
            <w:tcW w:w="100" w:type="dxa"/>
            <w:vAlign w:val="bottom"/>
            <w:shd w:val="clear" w:color="auto" w:fill="CFF0FC"/>
          </w:tcPr>
          <w:p>
            <w:pPr>
              <w:spacing w:after="0"/>
              <w:rPr>
                <w:sz w:val="16"/>
                <w:szCs w:val="16"/>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(307,710 )</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(307,710 )</w:t>
            </w: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effect on transaction costs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00" w:type="dxa"/>
            <w:vAlign w:val="bottom"/>
            <w:shd w:val="clear" w:color="auto" w:fill="CFF0FC"/>
          </w:tcPr>
          <w:p>
            <w:pPr>
              <w:spacing w:after="0"/>
              <w:rPr>
                <w:sz w:val="16"/>
                <w:szCs w:val="16"/>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17,362</w:t>
            </w:r>
          </w:p>
        </w:tc>
        <w:tc>
          <w:tcPr>
            <w:tcW w:w="1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tcPr>
          <w:p>
            <w:pPr>
              <w:spacing w:after="0"/>
              <w:rPr>
                <w:sz w:val="16"/>
                <w:szCs w:val="16"/>
                <w:color w:val="auto"/>
              </w:rPr>
            </w:pPr>
          </w:p>
        </w:tc>
      </w:tr>
      <w:tr>
        <w:trPr>
          <w:trHeight w:val="18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9,177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1,019,372</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(954,157 )</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(287,934 )</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(213,542 )</w:t>
            </w: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Pr>
          <w:p>
            <w:pPr>
              <w:spacing w:after="0"/>
              <w:rPr>
                <w:sz w:val="16"/>
                <w:szCs w:val="16"/>
                <w:color w:val="auto"/>
              </w:rPr>
            </w:pPr>
          </w:p>
        </w:tc>
      </w:tr>
      <w:tr>
        <w:trPr>
          <w:trHeight w:val="158"/>
        </w:trPr>
        <w:tc>
          <w:tcPr>
            <w:tcW w:w="2920" w:type="dxa"/>
            <w:vAlign w:val="bottom"/>
            <w:shd w:val="clear" w:color="auto" w:fill="CFF0FC"/>
          </w:tcPr>
          <w:p>
            <w:pPr>
              <w:ind w:left="20"/>
              <w:spacing w:after="0" w:line="159" w:lineRule="exact"/>
              <w:rPr>
                <w:sz w:val="20"/>
                <w:szCs w:val="20"/>
                <w:color w:val="auto"/>
              </w:rPr>
            </w:pPr>
            <w:r>
              <w:rPr>
                <w:rFonts w:ascii="Arial" w:cs="Arial" w:eastAsia="Arial" w:hAnsi="Arial"/>
                <w:sz w:val="14"/>
                <w:szCs w:val="14"/>
                <w:b w:val="1"/>
                <w:bCs w:val="1"/>
                <w:color w:val="auto"/>
              </w:rPr>
              <w:t>Balance at December 31, 2022</w:t>
            </w: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(164,188,89</w:t>
            </w:r>
          </w:p>
        </w:tc>
        <w:tc>
          <w:tcPr>
            <w:tcW w:w="100" w:type="dxa"/>
            <w:vAlign w:val="bottom"/>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04"/>
        </w:trPr>
        <w:tc>
          <w:tcPr>
            <w:tcW w:w="2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7"/>
                <w:szCs w:val="17"/>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-2306320</wp:posOffset>
            </wp:positionV>
            <wp:extent cx="76835" cy="1276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6835" cy="12763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-2306320</wp:posOffset>
            </wp:positionV>
            <wp:extent cx="76835" cy="1276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6835" cy="12763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-2306320</wp:posOffset>
            </wp:positionV>
            <wp:extent cx="67945" cy="1276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67945" cy="127635"/>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-2306320</wp:posOffset>
            </wp:positionV>
            <wp:extent cx="67945" cy="1276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67945" cy="12763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-2306320</wp:posOffset>
            </wp:positionV>
            <wp:extent cx="67945" cy="1276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67945" cy="12763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-2306320</wp:posOffset>
            </wp:positionV>
            <wp:extent cx="67945" cy="1276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67945" cy="12763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-1344295</wp:posOffset>
            </wp:positionV>
            <wp:extent cx="76835" cy="135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6835" cy="135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-1344295</wp:posOffset>
            </wp:positionV>
            <wp:extent cx="76835" cy="135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76835" cy="13589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-1344295</wp:posOffset>
            </wp:positionV>
            <wp:extent cx="67945" cy="135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67945" cy="135890"/>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-1344295</wp:posOffset>
            </wp:positionV>
            <wp:extent cx="67945" cy="135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67945" cy="135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-1344295</wp:posOffset>
            </wp:positionV>
            <wp:extent cx="67945" cy="135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67945" cy="13589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-1344295</wp:posOffset>
            </wp:positionV>
            <wp:extent cx="67945" cy="135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67945" cy="13589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-7620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-24765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-7620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-24765</wp:posOffset>
            </wp:positionV>
            <wp:extent cx="679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-7620</wp:posOffset>
            </wp:positionV>
            <wp:extent cx="6794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-24765</wp:posOffset>
            </wp:positionV>
            <wp:extent cx="679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-7620</wp:posOffset>
            </wp:positionV>
            <wp:extent cx="679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-24765</wp:posOffset>
            </wp:positionV>
            <wp:extent cx="679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-7620</wp:posOffset>
            </wp:positionV>
            <wp:extent cx="679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4"/>
        </w:trPr>
        <w:tc>
          <w:tcPr>
            <w:tcW w:w="6160" w:type="dxa"/>
            <w:vAlign w:val="bottom"/>
          </w:tcPr>
          <w:p>
            <w:pPr>
              <w:spacing w:after="0"/>
              <w:rPr>
                <w:sz w:val="13"/>
                <w:szCs w:val="13"/>
                <w:color w:val="auto"/>
              </w:rPr>
            </w:pP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Notes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Loss before tax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(75,653,470 )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(42,660,662 )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(26,068,955 )</w:t>
            </w:r>
          </w:p>
        </w:tc>
      </w:tr>
      <w:tr>
        <w:trPr>
          <w:trHeight w:val="189"/>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adjustments to reconcile loss before tax to net cash flows/used</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3"/>
        </w:trPr>
        <w:tc>
          <w:tcPr>
            <w:tcW w:w="6160" w:type="dxa"/>
            <w:vAlign w:val="bottom"/>
            <w:shd w:val="clear" w:color="auto" w:fill="CFF0FC"/>
          </w:tcPr>
          <w:p>
            <w:pPr>
              <w:ind w:left="160"/>
              <w:spacing w:after="0"/>
              <w:rPr>
                <w:sz w:val="20"/>
                <w:szCs w:val="20"/>
                <w:color w:val="auto"/>
              </w:rPr>
            </w:pPr>
            <w:r>
              <w:rPr>
                <w:rFonts w:ascii="Arial" w:cs="Arial" w:eastAsia="Arial" w:hAnsi="Arial"/>
                <w:sz w:val="16"/>
                <w:szCs w:val="16"/>
                <w:i w:val="1"/>
                <w:iCs w:val="1"/>
                <w:color w:val="auto"/>
              </w:rPr>
              <w:t>in operations :</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Share-based payment expense</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11,349,200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8,196,387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1,587,736</w:t>
            </w: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 &amp; 9</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152,941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77,370</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7,401</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Net foreign exchange (gain) / loss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(11,100,392 )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(11,760,469 )</w:t>
            </w:r>
          </w:p>
        </w:tc>
        <w:tc>
          <w:tcPr>
            <w:tcW w:w="1140" w:type="dxa"/>
            <w:vAlign w:val="bottom"/>
          </w:tcPr>
          <w:p>
            <w:pPr>
              <w:jc w:val="right"/>
              <w:spacing w:after="0"/>
              <w:rPr>
                <w:sz w:val="20"/>
                <w:szCs w:val="20"/>
                <w:color w:val="auto"/>
              </w:rPr>
            </w:pPr>
            <w:r>
              <w:rPr>
                <w:rFonts w:ascii="Arial" w:cs="Arial" w:eastAsia="Arial" w:hAnsi="Arial"/>
                <w:sz w:val="16"/>
                <w:szCs w:val="16"/>
                <w:color w:val="auto"/>
              </w:rPr>
              <w:t>1,350,592</w:t>
            </w: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costs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39,254</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267,700</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98,678</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i w:val="1"/>
                <w:iCs w:val="1"/>
                <w:color w:val="auto"/>
              </w:rPr>
              <w:t>Changes in working capital: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receivables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317,612</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(130,501 )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(358,735 )</w:t>
            </w: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(Increase) decrease in other current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(2,511,076 )</w:t>
            </w:r>
          </w:p>
        </w:tc>
        <w:tc>
          <w:tcPr>
            <w:tcW w:w="1160" w:type="dxa"/>
            <w:vAlign w:val="bottom"/>
          </w:tcPr>
          <w:p>
            <w:pPr>
              <w:jc w:val="right"/>
              <w:spacing w:after="0"/>
              <w:rPr>
                <w:sz w:val="20"/>
                <w:szCs w:val="20"/>
                <w:color w:val="auto"/>
              </w:rPr>
            </w:pPr>
            <w:r>
              <w:rPr>
                <w:rFonts w:ascii="Arial" w:cs="Arial" w:eastAsia="Arial" w:hAnsi="Arial"/>
                <w:sz w:val="16"/>
                <w:szCs w:val="16"/>
                <w:color w:val="auto"/>
              </w:rPr>
              <w:t>239,875</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(493,165 )</w:t>
            </w: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trade and other payables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3,905,486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1,662,686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329,181</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Increase (decrease) in accrued liabilities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6,664,878</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(196,755 )</w:t>
            </w:r>
          </w:p>
        </w:tc>
        <w:tc>
          <w:tcPr>
            <w:tcW w:w="1140" w:type="dxa"/>
            <w:vAlign w:val="bottom"/>
          </w:tcPr>
          <w:p>
            <w:pPr>
              <w:jc w:val="right"/>
              <w:spacing w:after="0"/>
              <w:rPr>
                <w:sz w:val="20"/>
                <w:szCs w:val="20"/>
                <w:color w:val="auto"/>
              </w:rPr>
            </w:pPr>
            <w:r>
              <w:rPr>
                <w:rFonts w:ascii="Arial" w:cs="Arial" w:eastAsia="Arial" w:hAnsi="Arial"/>
                <w:sz w:val="16"/>
                <w:szCs w:val="16"/>
                <w:color w:val="auto"/>
              </w:rPr>
              <w:t>2,094,322</w:t>
            </w: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paid</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(182,824 )</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(27,615 )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Paid interest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(144,243 )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(267,700 )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(46,648 )</w:t>
            </w:r>
          </w:p>
        </w:tc>
      </w:tr>
      <w:tr>
        <w:trPr>
          <w:trHeight w:val="248"/>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operating activities</w:t>
            </w:r>
          </w:p>
        </w:tc>
        <w:tc>
          <w:tcPr>
            <w:tcW w:w="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(67,162,634</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(44,599,684</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(21,499,593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5"/>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(124,296 )</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(130,032 )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(42,977 )</w:t>
            </w:r>
          </w:p>
        </w:tc>
      </w:tr>
      <w:tr>
        <w:trPr>
          <w:trHeight w:val="20"/>
        </w:trPr>
        <w:tc>
          <w:tcPr>
            <w:tcW w:w="61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Net cash flows used in investing activities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(124,296 )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(130,032 )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(42,977 )</w:t>
            </w:r>
          </w:p>
        </w:tc>
      </w:tr>
      <w:tr>
        <w:trPr>
          <w:trHeight w:val="214"/>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Proceeds from issue of shares</w:t>
            </w:r>
          </w:p>
        </w:tc>
        <w:tc>
          <w:tcPr>
            <w:tcW w:w="880" w:type="dxa"/>
            <w:vAlign w:val="bottom"/>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9,609,865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156,825,699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102,514,879</w:t>
            </w: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 costs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(839,970 )</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(13,154,360 )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(1,314,078 )</w:t>
            </w: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Payment of principal portion of lease liabilities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(119,527 )</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48"/>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8,650,368</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143,671,339</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101,200,801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4"/>
        </w:trPr>
        <w:tc>
          <w:tcPr>
            <w:tcW w:w="61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(58,636,562 )</w:t>
            </w:r>
          </w:p>
        </w:tc>
        <w:tc>
          <w:tcPr>
            <w:tcW w:w="1160" w:type="dxa"/>
            <w:vAlign w:val="bottom"/>
          </w:tcPr>
          <w:p>
            <w:pPr>
              <w:jc w:val="right"/>
              <w:spacing w:after="0"/>
              <w:rPr>
                <w:sz w:val="20"/>
                <w:szCs w:val="20"/>
                <w:color w:val="auto"/>
              </w:rPr>
            </w:pPr>
            <w:r>
              <w:rPr>
                <w:rFonts w:ascii="Arial" w:cs="Arial" w:eastAsia="Arial" w:hAnsi="Arial"/>
                <w:sz w:val="16"/>
                <w:szCs w:val="16"/>
                <w:color w:val="auto"/>
              </w:rPr>
              <w:t>98,941,623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79,658,231</w:t>
            </w:r>
          </w:p>
        </w:tc>
        <w:tc>
          <w:tcPr>
            <w:tcW w:w="100" w:type="dxa"/>
            <w:vAlign w:val="bottom"/>
          </w:tcPr>
          <w:p>
            <w:pPr>
              <w:spacing w:after="0"/>
              <w:rPr>
                <w:sz w:val="16"/>
                <w:szCs w:val="16"/>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at the beginning of the year</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98,628,871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20,326,372</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11,120,859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11,782,638</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(1,355,732 )</w:t>
            </w:r>
          </w:p>
        </w:tc>
      </w:tr>
      <w:tr>
        <w:trPr>
          <w:trHeight w:val="248"/>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98,628,871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-4149090</wp:posOffset>
            </wp:positionV>
            <wp:extent cx="3239135" cy="2425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3239135" cy="24257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-1736090</wp:posOffset>
            </wp:positionV>
            <wp:extent cx="1804670" cy="1619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1804670" cy="16192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-1437640</wp:posOffset>
            </wp:positionV>
            <wp:extent cx="76835" cy="1447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6835" cy="144780"/>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-1437640</wp:posOffset>
            </wp:positionV>
            <wp:extent cx="67945" cy="1447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67945" cy="1447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-1437640</wp:posOffset>
            </wp:positionV>
            <wp:extent cx="67945" cy="1447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67945" cy="14478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-603885</wp:posOffset>
            </wp:positionV>
            <wp:extent cx="1804670" cy="1619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1804670" cy="16192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-24765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-7620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-24765</wp:posOffset>
            </wp:positionV>
            <wp:extent cx="679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-7620</wp:posOffset>
            </wp:positionV>
            <wp:extent cx="679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1"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2022 were authorized for issue in accordance with a resolution of the directors on April 5, 2023.</w:t>
      </w:r>
    </w:p>
    <w:p>
      <w:pPr>
        <w:spacing w:after="0" w:line="156" w:lineRule="exact"/>
        <w:rPr>
          <w:sz w:val="20"/>
          <w:szCs w:val="20"/>
          <w:color w:val="auto"/>
        </w:rPr>
      </w:pPr>
    </w:p>
    <w:p>
      <w:pPr>
        <w:ind w:right="600"/>
        <w:spacing w:after="0" w:line="283"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 of equity interest</w:t>
            </w:r>
          </w:p>
        </w:tc>
      </w:tr>
      <w:tr>
        <w:trPr>
          <w:trHeight w:val="154"/>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Legal seat</w:t>
            </w:r>
          </w:p>
        </w:tc>
        <w:tc>
          <w:tcPr>
            <w:tcW w:w="160" w:type="dxa"/>
            <w:vAlign w:val="bottom"/>
          </w:tcPr>
          <w:p>
            <w:pPr>
              <w:spacing w:after="0"/>
              <w:rPr>
                <w:sz w:val="13"/>
                <w:szCs w:val="13"/>
                <w:color w:val="auto"/>
              </w:rPr>
            </w:pPr>
          </w:p>
        </w:tc>
        <w:tc>
          <w:tcPr>
            <w:tcW w:w="252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3"/>
                <w:szCs w:val="13"/>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Pharvaris Holdings B.V.</w:t>
            </w:r>
          </w:p>
        </w:tc>
        <w:tc>
          <w:tcPr>
            <w:tcW w:w="1560" w:type="dxa"/>
            <w:vAlign w:val="bottom"/>
          </w:tcPr>
          <w:p>
            <w:pPr>
              <w:ind w:left="20"/>
              <w:spacing w:after="0"/>
              <w:rPr>
                <w:sz w:val="20"/>
                <w:szCs w:val="20"/>
                <w:color w:val="auto"/>
              </w:rPr>
            </w:pPr>
            <w:r>
              <w:rPr>
                <w:rFonts w:ascii="Arial" w:cs="Arial" w:eastAsia="Arial" w:hAnsi="Arial"/>
                <w:sz w:val="16"/>
                <w:szCs w:val="16"/>
                <w:color w:val="auto"/>
              </w:rPr>
              <w:t>Leiden</w:t>
            </w:r>
          </w:p>
        </w:tc>
        <w:tc>
          <w:tcPr>
            <w:tcW w:w="16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The Netherlands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4"/>
        </w:trPr>
        <w:tc>
          <w:tcPr>
            <w:tcW w:w="418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1560" w:type="dxa"/>
            <w:vAlign w:val="bottom"/>
          </w:tcPr>
          <w:p>
            <w:pPr>
              <w:ind w:left="20"/>
              <w:spacing w:after="0"/>
              <w:rPr>
                <w:sz w:val="20"/>
                <w:szCs w:val="20"/>
                <w:color w:val="auto"/>
              </w:rPr>
            </w:pPr>
            <w:r>
              <w:rPr>
                <w:rFonts w:ascii="Arial" w:cs="Arial" w:eastAsia="Arial" w:hAnsi="Arial"/>
                <w:sz w:val="16"/>
                <w:szCs w:val="16"/>
                <w:color w:val="auto"/>
              </w:rPr>
              <w:t>Leiden</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The Netherlands</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100 %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418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1560" w:type="dxa"/>
            <w:vAlign w:val="bottom"/>
          </w:tcPr>
          <w:p>
            <w:pPr>
              <w:ind w:left="20"/>
              <w:spacing w:after="0"/>
              <w:rPr>
                <w:sz w:val="20"/>
                <w:szCs w:val="20"/>
                <w:color w:val="auto"/>
              </w:rPr>
            </w:pPr>
            <w:r>
              <w:rPr>
                <w:rFonts w:ascii="Arial" w:cs="Arial" w:eastAsia="Arial" w:hAnsi="Arial"/>
                <w:sz w:val="16"/>
                <w:szCs w:val="16"/>
                <w:color w:val="auto"/>
              </w:rPr>
              <w:t>Delaware</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100 %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418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1560" w:type="dxa"/>
            <w:vAlign w:val="bottom"/>
          </w:tcPr>
          <w:p>
            <w:pPr>
              <w:ind w:left="20"/>
              <w:spacing w:after="0"/>
              <w:rPr>
                <w:sz w:val="20"/>
                <w:szCs w:val="20"/>
                <w:color w:val="auto"/>
              </w:rPr>
            </w:pPr>
            <w:r>
              <w:rPr>
                <w:rFonts w:ascii="Arial" w:cs="Arial" w:eastAsia="Arial" w:hAnsi="Arial"/>
                <w:sz w:val="16"/>
                <w:szCs w:val="16"/>
                <w:color w:val="auto"/>
              </w:rPr>
              <w:t>Zug</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Switzerland</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100 %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-675005</wp:posOffset>
            </wp:positionV>
            <wp:extent cx="7146290" cy="2679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146290" cy="267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135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78" w:lineRule="exact"/>
        <w:rPr>
          <w:sz w:val="20"/>
          <w:szCs w:val="20"/>
          <w:color w:val="auto"/>
        </w:rPr>
      </w:pPr>
    </w:p>
    <w:p>
      <w:pPr>
        <w:ind w:left="180" w:hanging="173"/>
        <w:spacing w:after="0"/>
        <w:tabs>
          <w:tab w:leader="none" w:pos="18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78"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consolidated financial statements of the Group have been prepared in accordance with International Financial Reporting Standards (IFRS) as issued by the International Accounting Standards Board (IASB).</w:t>
      </w:r>
    </w:p>
    <w:p>
      <w:pPr>
        <w:spacing w:after="0" w:line="116" w:lineRule="exact"/>
        <w:rPr>
          <w:sz w:val="20"/>
          <w:szCs w:val="20"/>
          <w:color w:val="auto"/>
        </w:rPr>
      </w:pPr>
    </w:p>
    <w:p>
      <w:pPr>
        <w:ind w:right="520"/>
        <w:spacing w:after="0" w:line="283"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78"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such, Pharvaris anticipates on-going negative operating cash flows for the foreseeable future before the company has a product candidate ready for commercialization, if at all. This makes the Group dependent on external capital sources, debt capital and equity capital. Historically, the Group has obtained financing primary through the offering of equity securities.</w:t>
      </w:r>
    </w:p>
    <w:p>
      <w:pPr>
        <w:spacing w:after="0" w:line="141"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As of December 31, 2022 and 2021, the Group had cash and cash equivalents of €161.8 million and €209.4 million, respectively. The Group incurred net losses of €76.3 million, €42.7 million and €26.0 million in 2022, 2021 and 2020, respectively, and negative operating cash flows of €67.2 million, €44.6 million and €21.5 million in 2022, 2021 and 2020 respectively.</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for at least twelve months from the issuance date of these consolidated financial statements. Accordingly, the consolidated financial statements have been prepared on a going concern basis.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4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future viability of the Group is dependent on its ability to successfully develop and commercialize its products and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or CODM. By these criteria, the activities of Pharvaris are considered to be one segment which comprises the discovery, development and commercialization of oral bradykinin B2 receptor antagonists and the segmental analysis is the same as the analysis for Pharvaris as a whole. The Board of directors is identified as the CODM and reviews the consolidated operating results regularly to make decisions about the resources and to assess overall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7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7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78"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16"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78"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9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78" w:lineRule="exact"/>
        <w:rPr>
          <w:sz w:val="20"/>
          <w:szCs w:val="20"/>
          <w:color w:val="auto"/>
        </w:rPr>
      </w:pPr>
    </w:p>
    <w:p>
      <w:pPr>
        <w:ind w:left="1140" w:hanging="444"/>
        <w:spacing w:after="0"/>
        <w:tabs>
          <w:tab w:leader="none" w:pos="114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2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8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Financial assets are initially measured at fair value. After the initial measurement, the gains and losses are either recognized in profit and loss, or recognized in other comprehensive income.</w:t>
      </w:r>
    </w:p>
    <w:p>
      <w:pPr>
        <w:spacing w:after="0" w:line="116" w:lineRule="exact"/>
        <w:rPr>
          <w:sz w:val="20"/>
          <w:szCs w:val="20"/>
          <w:color w:val="auto"/>
        </w:rPr>
      </w:pPr>
    </w:p>
    <w:p>
      <w:pPr>
        <w:jc w:val="both"/>
        <w:ind w:right="340"/>
        <w:spacing w:after="0" w:line="264"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3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76" w:lineRule="exact"/>
        <w:rPr>
          <w:sz w:val="20"/>
          <w:szCs w:val="20"/>
          <w:color w:val="auto"/>
        </w:rPr>
      </w:pPr>
    </w:p>
    <w:p>
      <w:pPr>
        <w:jc w:val="both"/>
        <w:ind w:right="200"/>
        <w:spacing w:after="0" w:line="264"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2022, the Group had the following financial assets to be measured at amortized cost:</w:t>
      </w:r>
    </w:p>
    <w:p>
      <w:pPr>
        <w:spacing w:after="0" w:line="191" w:lineRule="exact"/>
        <w:rPr>
          <w:sz w:val="20"/>
          <w:szCs w:val="20"/>
          <w:color w:val="auto"/>
        </w:rPr>
      </w:pPr>
    </w:p>
    <w:p>
      <w:pPr>
        <w:ind w:left="1140" w:hanging="444"/>
        <w:spacing w:after="0"/>
        <w:tabs>
          <w:tab w:leader="none" w:pos="1140" w:val="left"/>
        </w:tabs>
        <w:numPr>
          <w:ilvl w:val="0"/>
          <w:numId w:val="139"/>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pacing w:after="0" w:line="190"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39"/>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8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78"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9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78"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1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are equity classified as result of:</w:t>
      </w:r>
    </w:p>
    <w:p>
      <w:pPr>
        <w:spacing w:after="0" w:line="178" w:lineRule="exact"/>
        <w:rPr>
          <w:sz w:val="20"/>
          <w:szCs w:val="20"/>
          <w:color w:val="auto"/>
        </w:rPr>
      </w:pPr>
    </w:p>
    <w:p>
      <w:pPr>
        <w:ind w:left="1140" w:right="480" w:hanging="444"/>
        <w:spacing w:after="0" w:line="282" w:lineRule="auto"/>
        <w:tabs>
          <w:tab w:leader="none" w:pos="1140" w:val="left"/>
        </w:tabs>
        <w:numPr>
          <w:ilvl w:val="0"/>
          <w:numId w:val="140"/>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contractual obligation to deliver cash or another financial asset to another entity, or to exchange financial assets or financial liabilities with another entity under conditions that are potentially unfavorable to the Group.</w:t>
      </w:r>
    </w:p>
    <w:p>
      <w:pPr>
        <w:spacing w:after="0" w:line="116"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40"/>
        </w:numPr>
        <w:rPr>
          <w:rFonts w:ascii="Times New Roman" w:cs="Times New Roman" w:eastAsia="Times New Roman" w:hAnsi="Times New Roman"/>
          <w:sz w:val="16"/>
          <w:szCs w:val="16"/>
          <w:color w:val="auto"/>
        </w:rPr>
      </w:pPr>
      <w:r>
        <w:rPr>
          <w:rFonts w:ascii="Arial" w:cs="Arial" w:eastAsia="Arial" w:hAnsi="Arial"/>
          <w:sz w:val="16"/>
          <w:szCs w:val="16"/>
          <w:color w:val="auto"/>
        </w:rPr>
        <w:t>No contractual obligation to transfer an amount (dividend) independent of the entity’s available economic resources.</w:t>
      </w:r>
    </w:p>
    <w:p>
      <w:pPr>
        <w:spacing w:after="0" w:line="204"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Pursuant to the shareholders’ agreement, all of the outstanding preferred shares were automatically converted into ordinary shares upon the consummation of the IPO. The conversion rate for the preferred shares is calculated by reference to the original issue price of relevant preferred shares, adjusted for certain anti-dilution protections.</w:t>
      </w:r>
    </w:p>
    <w:p>
      <w:pPr>
        <w:spacing w:after="0" w:line="1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Group issued three classes of preferred shares, convertible preferred shares A, the convertible preferred shares B and the convertible preferred shares C. The dividend preference is noncumulative and is only applicable when the general meeting of shareholder’s decides to make a profit distribution (Note 12).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Preferred shares A, convertible preferred shares B and convertible preferred shares C</w:t>
      </w:r>
    </w:p>
    <w:p>
      <w:pPr>
        <w:spacing w:after="0" w:line="18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Preferred shares A, preferred shares B and preferred shares C have a dividend preference over ordinary shares. In addition, preferred shares A, preferred shares B and preferred shares C have an anti-dilution protection that is not applicable for ordinary shares. The anti-dilution protection is under the full control of the Group and does not affect the equity classification of the preferred shares A, preferred shares B and preferred shares C. Per December 31, 2022 there were no outstanding preferred shares.</w:t>
      </w:r>
    </w:p>
    <w:p>
      <w:pPr>
        <w:spacing w:after="0"/>
        <w:rPr>
          <w:sz w:val="20"/>
          <w:szCs w:val="20"/>
          <w:color w:val="auto"/>
        </w:rPr>
      </w:pPr>
      <w:r>
        <w:rPr>
          <w:rFonts w:ascii="Arial" w:cs="Arial" w:eastAsia="Arial" w:hAnsi="Arial"/>
          <w:sz w:val="16"/>
          <w:szCs w:val="16"/>
          <w:color w:val="auto"/>
        </w:rPr>
        <w:t>Preferred shares A, preferred shares B and preferred shares C qualify as equity. Dividends paid on the preference shares are treated as profit appropriation.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1" w:lineRule="exact"/>
        <w:rPr>
          <w:sz w:val="20"/>
          <w:szCs w:val="20"/>
          <w:color w:val="auto"/>
        </w:rPr>
      </w:pPr>
    </w:p>
    <w:p>
      <w:pPr>
        <w:ind w:left="1020" w:hanging="504"/>
        <w:spacing w:after="0"/>
        <w:tabs>
          <w:tab w:leader="none" w:pos="1020" w:val="left"/>
        </w:tabs>
        <w:numPr>
          <w:ilvl w:val="0"/>
          <w:numId w:val="141"/>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41"/>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4" w:lineRule="exact"/>
        <w:rPr>
          <w:sz w:val="20"/>
          <w:szCs w:val="20"/>
          <w:color w:val="auto"/>
        </w:rPr>
      </w:pPr>
    </w:p>
    <w:p>
      <w:pPr>
        <w:ind w:right="700"/>
        <w:spacing w:after="0" w:line="283"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1" w:lineRule="exact"/>
        <w:rPr>
          <w:sz w:val="20"/>
          <w:szCs w:val="20"/>
          <w:color w:val="auto"/>
        </w:rPr>
      </w:pPr>
    </w:p>
    <w:p>
      <w:pPr>
        <w:ind w:left="1020" w:hanging="504"/>
        <w:spacing w:after="0"/>
        <w:tabs>
          <w:tab w:leader="none" w:pos="102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1" w:lineRule="exact"/>
        <w:rPr>
          <w:sz w:val="20"/>
          <w:szCs w:val="20"/>
          <w:color w:val="auto"/>
        </w:rPr>
      </w:pPr>
    </w:p>
    <w:p>
      <w:pPr>
        <w:ind w:left="1020" w:hanging="504"/>
        <w:spacing w:after="0"/>
        <w:tabs>
          <w:tab w:leader="none" w:pos="102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7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6"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78"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 except to the extent that it relates to items recognized in other comprehensive income or directly in equity.</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against which the temporary differences and/or tax losses carried forward can be utilized.</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 The fair value is measured at the date of grant using the Black-Scholes formula.</w:t>
      </w:r>
    </w:p>
    <w:p>
      <w:pPr>
        <w:spacing w:after="0" w:line="137"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Service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w:t>
      </w:r>
    </w:p>
    <w:p>
      <w:pPr>
        <w:spacing w:after="0" w:line="150"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When options are exercised, the Company issues new shares. The proceeds received net of any directly attributable transaction costs are credited to share capital (nominal value) and share premium when the options are exercised.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2022 or 2021. See Note 3 for information relating to research and development expenses incurred in the reporting period.</w:t>
      </w:r>
    </w:p>
    <w:p>
      <w:pPr>
        <w:spacing w:after="0" w:line="141" w:lineRule="exact"/>
        <w:rPr>
          <w:sz w:val="20"/>
          <w:szCs w:val="20"/>
          <w:color w:val="auto"/>
        </w:rPr>
      </w:pPr>
    </w:p>
    <w:p>
      <w:pPr>
        <w:ind w:right="100"/>
        <w:spacing w:after="0" w:line="480" w:lineRule="auto"/>
        <w:rPr>
          <w:sz w:val="20"/>
          <w:szCs w:val="20"/>
          <w:color w:val="auto"/>
        </w:rPr>
      </w:pPr>
      <w:r>
        <w:rPr>
          <w:rFonts w:ascii="Arial" w:cs="Arial" w:eastAsia="Arial" w:hAnsi="Arial"/>
          <w:sz w:val="16"/>
          <w:szCs w:val="16"/>
          <w:color w:val="auto"/>
        </w:rPr>
        <w:t xml:space="preserve">At each balance sheet date, the Group estimates the level of services performed by the vendors and the associated cost incurred for the services performed. </w:t>
      </w:r>
      <w:r>
        <w:rPr>
          <w:rFonts w:ascii="Arial" w:cs="Arial" w:eastAsia="Arial" w:hAnsi="Arial"/>
          <w:sz w:val="16"/>
          <w:szCs w:val="16"/>
          <w:b w:val="1"/>
          <w:bCs w:val="1"/>
          <w:i w:val="1"/>
          <w:iCs w:val="1"/>
          <w:color w:val="auto"/>
        </w:rPr>
        <w:t>General and administrative expenses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Group’s consolidated statements of loss and comprehensive loss as expenses when incurred.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76"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income statement in the period in which they are incurred, and outstanding contributions are included in other payables.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Reference to the Conceptual Framework – Amendments to IFRS 3</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May 2020, the IASB issued Amendments to IFRS 3 Business Combinations - Reference to the Conceptual Framework. The amendments are intended to replace a reference to a previous version of the IASB’s Conceptual Framework (the 1989 Framework) with a reference to the current version issued in March 2018 (the Conceptual Framework) without significantly changing its requirements. The amendments add an exception to the recognition principle of IFRS 3 to avoid the issue of potential ‘day 2’ gains or losses arising for liabilities and contingent liabilities that would be within the scope of IAS 37 Provisions, Contingent Liabilities and Contingent Assets or IFRIC 21 Levies, if incurred separately. The exception requires entities to apply the criteria in IAS 37 or IFRIC 21, respectively, instead of the Conceptual Framework, to determine whether a present obligation exists at the acquisition date. At the same time, the amendments add a new paragraph to IFRS 3 to clarify that contingent assets do not qualify for recognition at the acquisition date. Effective for annual periods beginning on or after January 1, 2022. The Group assessed the amendment and found no material impact for the year ended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 Proceeds before Intended Use – Amendments to IAS 16</w:t>
      </w:r>
    </w:p>
    <w:p>
      <w:pPr>
        <w:spacing w:after="0" w:line="17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amendment prohibits entities from deducting from the cost of an item of property, plant and equipment (PP&amp;E), any proceeds of the sale of items produced while bringing that asset to the location and condition necessary for it to be capable of operating in the manner intended by management. Instead, an entity recognizes the proceeds from selling such items, and the costs of producing those items, in profit or loss. Effective for annual periods beginning on or after January 1, 2022. The Group assessed the amendment and found no material impact for the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Onerous Contracts – Costs of Fulfilling a Contract – Amendments to IAS 37</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May 2020, the IASB issued amendments to IAS 37 to specify which costs an entity needs to include when assessing whether a contract is onerous or loss-making. The amendments apply a ‘directly related cost approach’. The costs that relate directly to a contract to provide goods or services include both incremental costs (e.g., the costs of direct labor and materials) and an allocation of costs directly related to contract activities (e.g., depreciation of equipment used to fulfill the contract as well as costs of contract management and supervision). General and administrative costs do not relate directly to a contract and are excluded unless they are explicitly chargeable to the counterparty under the contract. Effective for annual periods beginning on or after January 1, 2022. The Group assessed the amendment and found no material impact for the year ended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Non-current Liabilities with Covenants (Amendments to IAS 1)</w:t>
      </w:r>
    </w:p>
    <w:p>
      <w:pPr>
        <w:spacing w:after="0" w:line="176"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October 31, 2022, the IASB issued amendments to IAS 1 - Non-current Liabilities with Covenants. The amendment clarifies how conditions with which an entity must comply within twelve months after the reporting period affect the classification of a liability. The amendment is effective for reporting periods beginning on or after January 1, 2024. The amendments are not expected to have a material impact on the Group.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17 Insurance Contracts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May 2017, the IASB issued IFRS 17 Insurance Contracts, a comprehensive new accounting standard for insurance contracts covering recognition and measurement, presentation and disclosure. Once effective, IFRS 17 will replace IFRS 4 Insurance Contracts. In June 2020, the IASB issued amendments to IFRS 17. These amendments included changing the effective date to 2023. Effective for annual periods beginning on or after January 1, 2023. The amendments are not expected to have a material impact on the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of Accounting Estimates - Amendments to IAS 8</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February 2021, the Board issued amendments to IAS 8, in which it introduces a new definition of ‘accounting estimates’. The amendments clarify the distinction between changes in accounting estimates and changes in accounting policies and the correction of errors. Also, they clarify how entities use measurement techniques and inputs to develop accounting estimates. Effective for annual periods beginning on or after January 1, 2023. The amendments are not expected to have a material impact on the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 of Accounting Policies (Amendments to IAS 1 and IFRS Practice Statement 2)</w:t>
      </w:r>
    </w:p>
    <w:p>
      <w:pPr>
        <w:spacing w:after="0" w:line="176"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amendments require that an entity discloses its material accounting policies, instead of its significant accounting policies. Further amendments explain how an entity can identify a material accounting policy. Examples of when an accounting policy is likely to be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material are added. To support the amendment, the Board has also developed guidance and examples to explain and demonstrate the application of the ‘four-step materiality process’ described in IFRS Practice Statement 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are effective for annual reporting periods beginning on or after January 1,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related to Assets and Liabilities arising from a single transaction</w:t>
      </w:r>
    </w:p>
    <w:p>
      <w:pPr>
        <w:spacing w:after="0" w:line="176"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On May 7, 2021 the IASB issued Deferred Tax related to Assets and Liabilities arising from a Single Transaction (Amendments to IAS 12), which specifies how companies should account for deferred tax on transactions such as leases and decommissioning obligations as of initial recognition. The amendments clarify that no deferred tax exemption applies on such transactions on initial recognition. Therefore, companies are required to recognize the deferred tax effects thereon to the extent that the related assets or liabilities provide for offsetting temporary differences upon recognition date. The amendments are effective for annual reporting periods beginning on or after January 1, 2023, with early application permitted. The Group does not intend to adopt the early application and the amendments are not expected to have a material impact on the Group.</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176"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are not expected to have a material impact on the Group.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Amendments to IAS 1: Classification of Liabilities as Current or Non-current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2" w:lineRule="exact"/>
        <w:rPr>
          <w:sz w:val="20"/>
          <w:szCs w:val="20"/>
          <w:color w:val="auto"/>
        </w:rPr>
      </w:pPr>
    </w:p>
    <w:p>
      <w:pPr>
        <w:ind w:left="1140" w:hanging="444"/>
        <w:spacing w:after="0"/>
        <w:tabs>
          <w:tab w:leader="none" w:pos="114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What is meant by a right to defer settlement</w:t>
      </w:r>
    </w:p>
    <w:p>
      <w:pPr>
        <w:spacing w:after="0" w:line="190"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That a right to defer must exist at the end of the reporting period</w:t>
      </w:r>
    </w:p>
    <w:p>
      <w:pPr>
        <w:spacing w:after="0" w:line="204"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190" w:lineRule="exact"/>
        <w:rPr>
          <w:rFonts w:ascii="Times New Roman" w:cs="Times New Roman" w:eastAsia="Times New Roman" w:hAnsi="Times New Roman"/>
          <w:sz w:val="16"/>
          <w:szCs w:val="16"/>
          <w:color w:val="auto"/>
        </w:rPr>
      </w:pPr>
    </w:p>
    <w:p>
      <w:pPr>
        <w:ind w:left="1140" w:right="840" w:hanging="444"/>
        <w:spacing w:after="0" w:line="282" w:lineRule="auto"/>
        <w:tabs>
          <w:tab w:leader="none" w:pos="114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1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amendments are effective for annual reporting periods beginning on or after January 1, 2023 and must be applied retrospectively. The amendments are not expected to have a material impact on the Group.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3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5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4920" w:type="dxa"/>
            <w:vAlign w:val="bottom"/>
          </w:tcPr>
          <w:p>
            <w:pPr>
              <w:spacing w:after="0"/>
              <w:rPr>
                <w:sz w:val="14"/>
                <w:szCs w:val="14"/>
                <w:color w:val="auto"/>
              </w:rPr>
            </w:pPr>
          </w:p>
        </w:tc>
        <w:tc>
          <w:tcPr>
            <w:tcW w:w="12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r>
      <w:tr>
        <w:trPr>
          <w:trHeight w:val="154"/>
        </w:trPr>
        <w:tc>
          <w:tcPr>
            <w:tcW w:w="49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(13,334,350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(7,988,096</w:t>
            </w:r>
          </w:p>
        </w:tc>
        <w:tc>
          <w:tcPr>
            <w:tcW w:w="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(2,951,323</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4920" w:type="dxa"/>
            <w:vAlign w:val="bottom"/>
          </w:tcPr>
          <w:p>
            <w:pPr>
              <w:spacing w:after="0"/>
              <w:rPr>
                <w:sz w:val="20"/>
                <w:szCs w:val="20"/>
                <w:color w:val="auto"/>
              </w:rPr>
            </w:pPr>
            <w:r>
              <w:rPr>
                <w:rFonts w:ascii="Arial" w:cs="Arial" w:eastAsia="Arial" w:hAnsi="Arial"/>
                <w:sz w:val="16"/>
                <w:szCs w:val="16"/>
                <w:color w:val="auto"/>
              </w:rPr>
              <w:t>Clinical expenses</w:t>
            </w: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(27,653,658 )</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(16,944,557 )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(8,748,748 )</w:t>
            </w:r>
          </w:p>
        </w:tc>
      </w:tr>
      <w:tr>
        <w:trPr>
          <w:trHeight w:val="215"/>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Nonclinical expenses</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(4,853,822 )</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(3,891,479 )</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(3,322,590 )</w:t>
            </w:r>
          </w:p>
        </w:tc>
      </w:tr>
      <w:tr>
        <w:trPr>
          <w:trHeight w:val="214"/>
        </w:trPr>
        <w:tc>
          <w:tcPr>
            <w:tcW w:w="4920" w:type="dxa"/>
            <w:vAlign w:val="bottom"/>
          </w:tcPr>
          <w:p>
            <w:pPr>
              <w:spacing w:after="0"/>
              <w:rPr>
                <w:sz w:val="20"/>
                <w:szCs w:val="20"/>
                <w:color w:val="auto"/>
              </w:rPr>
            </w:pPr>
            <w:r>
              <w:rPr>
                <w:rFonts w:ascii="Arial" w:cs="Arial" w:eastAsia="Arial" w:hAnsi="Arial"/>
                <w:sz w:val="16"/>
                <w:szCs w:val="16"/>
                <w:color w:val="auto"/>
              </w:rPr>
              <w:t>Manufacturing costs</w:t>
            </w: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(11,181,355 )</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(6,325,068 )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(4,311,958 )</w:t>
            </w:r>
          </w:p>
        </w:tc>
      </w:tr>
      <w:tr>
        <w:trPr>
          <w:trHeight w:val="215"/>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(500,000 )</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14"/>
        </w:trPr>
        <w:tc>
          <w:tcPr>
            <w:tcW w:w="492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(352,389 )</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(139,966 )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(173,482 )</w:t>
            </w:r>
          </w:p>
        </w:tc>
      </w:tr>
      <w:tr>
        <w:trPr>
          <w:trHeight w:val="248"/>
        </w:trPr>
        <w:tc>
          <w:tcPr>
            <w:tcW w:w="49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(57,375,574</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(35,789,166</w:t>
            </w:r>
          </w:p>
        </w:tc>
        <w:tc>
          <w:tcPr>
            <w:tcW w:w="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(19,508,101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-24765</wp:posOffset>
            </wp:positionV>
            <wp:extent cx="59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-7620</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-24765</wp:posOffset>
            </wp:positionV>
            <wp:extent cx="508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-7620</wp:posOffset>
            </wp:positionV>
            <wp:extent cx="508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89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the clinical development programs.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218"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License costs consist of a milestone payment of €500,000 during 2021, which was paid to AnalytiCon upon commencement of Phase 2 development.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12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r>
      <w:tr>
        <w:trPr>
          <w:trHeight w:val="154"/>
        </w:trPr>
        <w:tc>
          <w:tcPr>
            <w:tcW w:w="49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08"/>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(13,484,996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(7,033,913</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(1,490,674</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4960" w:type="dxa"/>
            <w:vAlign w:val="bottom"/>
          </w:tcPr>
          <w:p>
            <w:pPr>
              <w:spacing w:after="0"/>
              <w:rPr>
                <w:sz w:val="20"/>
                <w:szCs w:val="20"/>
                <w:color w:val="auto"/>
              </w:rPr>
            </w:pPr>
            <w:r>
              <w:rPr>
                <w:rFonts w:ascii="Arial" w:cs="Arial" w:eastAsia="Arial" w:hAnsi="Arial"/>
                <w:sz w:val="16"/>
                <w:szCs w:val="16"/>
                <w:color w:val="auto"/>
              </w:rPr>
              <w:t>Consulting fees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(898,435 )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(757,233 )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(1,042,195 )</w:t>
            </w: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(3,972,771 )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(2,868,684 )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(943,322 )</w:t>
            </w:r>
          </w:p>
        </w:tc>
      </w:tr>
      <w:tr>
        <w:trPr>
          <w:trHeight w:val="214"/>
        </w:trPr>
        <w:tc>
          <w:tcPr>
            <w:tcW w:w="496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(1,652,995 )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(1,306,714 )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(1,275,842 )</w:t>
            </w: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(6,443,709 )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(5,648,763 )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(551,223 )</w:t>
            </w:r>
          </w:p>
        </w:tc>
      </w:tr>
      <w:tr>
        <w:trPr>
          <w:trHeight w:val="214"/>
        </w:trPr>
        <w:tc>
          <w:tcPr>
            <w:tcW w:w="4960" w:type="dxa"/>
            <w:vAlign w:val="bottom"/>
          </w:tcPr>
          <w:p>
            <w:pPr>
              <w:spacing w:after="0"/>
              <w:rPr>
                <w:sz w:val="20"/>
                <w:szCs w:val="20"/>
                <w:color w:val="auto"/>
              </w:rPr>
            </w:pPr>
            <w:r>
              <w:rPr>
                <w:rFonts w:ascii="Arial" w:cs="Arial" w:eastAsia="Arial" w:hAnsi="Arial"/>
                <w:sz w:val="16"/>
                <w:szCs w:val="16"/>
                <w:color w:val="auto"/>
              </w:rPr>
              <w:t>Travel expenses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(1,105,961 )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(143,582 )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(26,773 )</w:t>
            </w:r>
          </w:p>
        </w:tc>
      </w:tr>
      <w:tr>
        <w:trPr>
          <w:trHeight w:val="214"/>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(1,780,167 )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(590,571 )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(168,462 )</w:t>
            </w:r>
          </w:p>
        </w:tc>
      </w:tr>
      <w:tr>
        <w:trPr>
          <w:trHeight w:val="20"/>
        </w:trPr>
        <w:tc>
          <w:tcPr>
            <w:tcW w:w="49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49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(29,339,034 )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(18,349,460 )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(5,498,491 )</w:t>
            </w:r>
          </w:p>
        </w:tc>
      </w:tr>
      <w:tr>
        <w:trPr>
          <w:trHeight w:val="20"/>
        </w:trPr>
        <w:tc>
          <w:tcPr>
            <w:tcW w:w="49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-169545</wp:posOffset>
            </wp:positionV>
            <wp:extent cx="59690" cy="1701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-169545</wp:posOffset>
            </wp:positionV>
            <wp:extent cx="50800" cy="1701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50800" cy="17018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-169545</wp:posOffset>
            </wp:positionV>
            <wp:extent cx="50800" cy="1701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50800" cy="170180"/>
                    </a:xfrm>
                    <a:prstGeom prst="rect">
                      <a:avLst/>
                    </a:prstGeom>
                    <a:noFill/>
                  </pic:spPr>
                </pic:pic>
              </a:graphicData>
            </a:graphic>
          </wp:anchor>
        </w:drawing>
      </w:r>
    </w:p>
    <w:p>
      <w:pPr>
        <w:spacing w:after="0" w:line="22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In 2022 and 2021, the Group entered into a number of lease arrangements, which were assessed to be short-term leases (with a lease term of 12 months equaling its non-cancellable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expenses of €38,920 (2021:€77,370; 2020:€7,401) related to property, plant and equipment and short-term leases is included in other expenses.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4880" w:type="dxa"/>
            <w:vAlign w:val="bottom"/>
          </w:tcPr>
          <w:p>
            <w:pPr>
              <w:spacing w:after="0"/>
              <w:rPr>
                <w:sz w:val="14"/>
                <w:szCs w:val="14"/>
                <w:color w:val="auto"/>
              </w:rPr>
            </w:pPr>
          </w:p>
        </w:tc>
        <w:tc>
          <w:tcPr>
            <w:tcW w:w="13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4"/>
                <w:szCs w:val="14"/>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r>
      <w:tr>
        <w:trPr>
          <w:trHeight w:val="154"/>
        </w:trPr>
        <w:tc>
          <w:tcPr>
            <w:tcW w:w="48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8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08"/>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Wages and salaries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(13,408,411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(6,080,098</w:t>
            </w: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(2,597,270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Pension charges</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(803,460 )</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(251,667 )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(72,153 )</w:t>
            </w: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(1,258,275 )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(493,857 )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(184,838 )</w:t>
            </w:r>
          </w:p>
        </w:tc>
      </w:tr>
      <w:tr>
        <w:trPr>
          <w:trHeight w:val="214"/>
        </w:trPr>
        <w:tc>
          <w:tcPr>
            <w:tcW w:w="4880" w:type="dxa"/>
            <w:vAlign w:val="bottom"/>
          </w:tcPr>
          <w:p>
            <w:pPr>
              <w:spacing w:after="0"/>
              <w:rPr>
                <w:sz w:val="20"/>
                <w:szCs w:val="20"/>
                <w:color w:val="auto"/>
              </w:rPr>
            </w:pPr>
            <w:r>
              <w:rPr>
                <w:rFonts w:ascii="Arial" w:cs="Arial" w:eastAsia="Arial" w:hAnsi="Arial"/>
                <w:sz w:val="16"/>
                <w:szCs w:val="16"/>
                <w:color w:val="auto"/>
              </w:rPr>
              <w:t>Share-based payments</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(11,349,200 )</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(8,196,387 )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(1,587,736 )</w:t>
            </w:r>
          </w:p>
        </w:tc>
      </w:tr>
      <w:tr>
        <w:trPr>
          <w:trHeight w:val="248"/>
        </w:trPr>
        <w:tc>
          <w:tcPr>
            <w:tcW w:w="48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(26,819,346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(15,022,010</w:t>
            </w:r>
          </w:p>
        </w:tc>
        <w:tc>
          <w:tcPr>
            <w:tcW w:w="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(4,441,997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-24765</wp:posOffset>
            </wp:positionV>
            <wp:extent cx="596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-7620</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-24765</wp:posOffset>
            </wp:positionV>
            <wp:extent cx="508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-7620</wp:posOffset>
            </wp:positionV>
            <wp:extent cx="508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2022 was 65 (2021:34, 2020:14).</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2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differences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11,100,392</w:t>
            </w:r>
          </w:p>
        </w:tc>
        <w:tc>
          <w:tcPr>
            <w:tcW w:w="220" w:type="dxa"/>
            <w:vAlign w:val="bottom"/>
            <w:tcBorders>
              <w:right w:val="single" w:sz="8" w:color="CFF0FC"/>
            </w:tcBorders>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11,760,469</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(963,685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Interest expense</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(16,105 )</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(267,510 )</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(92,470 )</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 finance expenses</w:t>
            </w:r>
          </w:p>
        </w:tc>
        <w:tc>
          <w:tcPr>
            <w:tcW w:w="13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(23,149 )</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(14,995 )</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(6,208 )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11,477,964</w:t>
            </w: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(1,062,363 )</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Other finance expenses are mainly related to bank charges.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460" w:type="dxa"/>
            <w:vAlign w:val="bottom"/>
            <w:gridSpan w:val="2"/>
          </w:tcPr>
          <w:p>
            <w:pPr>
              <w:spacing w:after="0"/>
              <w:rPr>
                <w:sz w:val="20"/>
                <w:szCs w:val="20"/>
                <w:color w:val="auto"/>
              </w:rPr>
            </w:pPr>
            <w:r>
              <w:rPr>
                <w:rFonts w:ascii="Arial" w:cs="Arial" w:eastAsia="Arial" w:hAnsi="Arial"/>
                <w:sz w:val="16"/>
                <w:szCs w:val="16"/>
                <w:b w:val="1"/>
                <w:bCs w:val="1"/>
                <w:color w:val="auto"/>
              </w:rPr>
              <w:t>7. Income taxes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4"/>
                <w:szCs w:val="24"/>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 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(757,413</w:t>
            </w:r>
          </w:p>
        </w:tc>
        <w:tc>
          <w:tcPr>
            <w:tcW w:w="220" w:type="dxa"/>
            <w:vAlign w:val="bottom"/>
            <w:tcBorders>
              <w:right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(131,921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(16,088</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Deferred tax benefit</w:t>
            </w:r>
          </w:p>
        </w:tc>
        <w:tc>
          <w:tcPr>
            <w:tcW w:w="1080" w:type="dxa"/>
            <w:vAlign w:val="bottom"/>
          </w:tcPr>
          <w:p>
            <w:pPr>
              <w:jc w:val="right"/>
              <w:spacing w:after="0"/>
              <w:rPr>
                <w:sz w:val="20"/>
                <w:szCs w:val="20"/>
                <w:color w:val="auto"/>
              </w:rPr>
            </w:pPr>
            <w:r>
              <w:rPr>
                <w:rFonts w:ascii="Arial" w:cs="Arial" w:eastAsia="Arial" w:hAnsi="Arial"/>
                <w:sz w:val="16"/>
                <w:szCs w:val="16"/>
                <w:color w:val="auto"/>
              </w:rPr>
              <w:t>78,326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61,804</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99,339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benefit / (expense)</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(679,087</w:t>
            </w:r>
          </w:p>
        </w:tc>
        <w:tc>
          <w:tcPr>
            <w:tcW w:w="220" w:type="dxa"/>
            <w:vAlign w:val="bottom"/>
            <w:tcBorders>
              <w:bottom w:val="single" w:sz="8" w:color="CFF0FC"/>
              <w:right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(70,117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83,251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-1395095</wp:posOffset>
            </wp:positionV>
            <wp:extent cx="59690" cy="1701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-1395095</wp:posOffset>
            </wp:positionV>
            <wp:extent cx="50800" cy="1701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50800" cy="17018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-1395095</wp:posOffset>
            </wp:positionV>
            <wp:extent cx="50800" cy="1701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50800" cy="17018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596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-24765</wp:posOffset>
            </wp:positionV>
            <wp:extent cx="596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-7620</wp:posOffset>
            </wp:positionV>
            <wp:extent cx="596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current tax expenses for the year ended December 31, 2022 relates to the Company's U.S. and Dutch subsidiaries as the result of a cost-plus agreement between the U.S. and Dutch entities and the Group's principal entity in Switzerland resulting in a taxable profit in the U.S. and the Netherlands. For December 31, 2021 and 2020 it is fully related to the Company's U.S. subsidiary. For the year ended December 31, 2022, a tax benefit of €257,734 is additionally directly recognized in equity (2021 and 2020: €Nil)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r>
      <w:tr>
        <w:trPr>
          <w:trHeight w:val="208"/>
        </w:trPr>
        <w:tc>
          <w:tcPr>
            <w:tcW w:w="52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r>
      <w:tr>
        <w:trPr>
          <w:trHeight w:val="208"/>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(75,653,470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(42,660,662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(26,068,955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Income tax at statutory income tax rate in The Netherlands (25.8%)</w:t>
            </w:r>
          </w:p>
        </w:tc>
        <w:tc>
          <w:tcPr>
            <w:tcW w:w="1140" w:type="dxa"/>
            <w:vAlign w:val="bottom"/>
          </w:tcPr>
          <w:p>
            <w:pPr>
              <w:jc w:val="right"/>
              <w:spacing w:after="0"/>
              <w:rPr>
                <w:sz w:val="20"/>
                <w:szCs w:val="20"/>
                <w:color w:val="auto"/>
              </w:rPr>
            </w:pPr>
            <w:r>
              <w:rPr>
                <w:rFonts w:ascii="Arial" w:cs="Arial" w:eastAsia="Arial" w:hAnsi="Arial"/>
                <w:sz w:val="16"/>
                <w:szCs w:val="16"/>
                <w:color w:val="auto"/>
              </w:rPr>
              <w:t>19,518,595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10,665,166</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6,517,239</w:t>
            </w:r>
          </w:p>
        </w:tc>
        <w:tc>
          <w:tcPr>
            <w:tcW w:w="80" w:type="dxa"/>
            <w:vAlign w:val="bottom"/>
          </w:tcPr>
          <w:p>
            <w:pPr>
              <w:spacing w:after="0"/>
              <w:rPr>
                <w:sz w:val="18"/>
                <w:szCs w:val="18"/>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Effect of tax rates in other countries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(10,823,383 )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(7,482,832 )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(4,855,980 )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Recognition of previously unrecognized deferred tax assets</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(554,853 )</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1,629,392</w:t>
            </w:r>
          </w:p>
        </w:tc>
        <w:tc>
          <w:tcPr>
            <w:tcW w:w="80" w:type="dxa"/>
            <w:vAlign w:val="bottom"/>
          </w:tcPr>
          <w:p>
            <w:pPr>
              <w:spacing w:after="0"/>
              <w:rPr>
                <w:sz w:val="18"/>
                <w:szCs w:val="18"/>
                <w:color w:val="auto"/>
              </w:rPr>
            </w:pPr>
          </w:p>
        </w:tc>
      </w:tr>
      <w:tr>
        <w:trPr>
          <w:trHeight w:val="187"/>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Current period losses for which no deferred tax asset has been</w:t>
            </w: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recognized</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(9,184,919 )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(2,910,890 )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(3,132,076 )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Nondeductible expenses</w:t>
            </w:r>
          </w:p>
        </w:tc>
        <w:tc>
          <w:tcPr>
            <w:tcW w:w="1140" w:type="dxa"/>
            <w:vAlign w:val="bottom"/>
          </w:tcPr>
          <w:p>
            <w:pPr>
              <w:jc w:val="right"/>
              <w:spacing w:after="0"/>
              <w:rPr>
                <w:sz w:val="20"/>
                <w:szCs w:val="20"/>
                <w:color w:val="auto"/>
              </w:rPr>
            </w:pPr>
            <w:r>
              <w:rPr>
                <w:rFonts w:ascii="Arial" w:cs="Arial" w:eastAsia="Arial" w:hAnsi="Arial"/>
                <w:sz w:val="16"/>
                <w:szCs w:val="16"/>
                <w:color w:val="auto"/>
              </w:rPr>
              <w:t>383,153</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(353,543 )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(74,579 )</w:t>
            </w:r>
          </w:p>
        </w:tc>
      </w:tr>
      <w:tr>
        <w:trPr>
          <w:trHeight w:val="214"/>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(17,680 )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11,982</w:t>
            </w: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(745 )</w:t>
            </w:r>
          </w:p>
        </w:tc>
      </w:tr>
      <w:tr>
        <w:trPr>
          <w:trHeight w:val="20"/>
        </w:trPr>
        <w:tc>
          <w:tcPr>
            <w:tcW w:w="5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6"/>
                <w:szCs w:val="16"/>
                <w:color w:val="auto"/>
              </w:rPr>
              <w:t>Income tax benefit / (expense)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(679,087 )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(70,117 )</w:t>
            </w:r>
          </w:p>
        </w:tc>
        <w:tc>
          <w:tcPr>
            <w:tcW w:w="1180" w:type="dxa"/>
            <w:vAlign w:val="bottom"/>
          </w:tcPr>
          <w:p>
            <w:pPr>
              <w:jc w:val="right"/>
              <w:spacing w:after="0"/>
              <w:rPr>
                <w:sz w:val="20"/>
                <w:szCs w:val="20"/>
                <w:color w:val="auto"/>
              </w:rPr>
            </w:pPr>
            <w:r>
              <w:rPr>
                <w:rFonts w:ascii="Arial" w:cs="Arial" w:eastAsia="Arial" w:hAnsi="Arial"/>
                <w:sz w:val="16"/>
                <w:szCs w:val="16"/>
                <w:color w:val="auto"/>
              </w:rPr>
              <w:t>83,251</w:t>
            </w: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-169545</wp:posOffset>
            </wp:positionV>
            <wp:extent cx="59690" cy="1701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-169545</wp:posOffset>
            </wp:positionV>
            <wp:extent cx="50800" cy="1701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50800" cy="17018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-169545</wp:posOffset>
            </wp:positionV>
            <wp:extent cx="50800" cy="1701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50800" cy="17018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2022 is (0.9)% (2021: (0.2)%; 2020:0.3%).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1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profit incurred by the Dutch fiscal unity, losses previously not recognized are used, for which a recognition effect is considered.</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losses carry forward losses of the Dutch fiscal unity that are lower than estimated in the previous year. The Company did not recognize the tax benefit of the losses incurred in previous years.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Group has tax loss carry-forwards as of December 31, 2022 of approximately €182.3 million (2021: €95.7 million; 2020: €43.3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 million). Under Swiss law, losses can be offset against future income or capital gains for seven years.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b w:val="1"/>
                <w:bCs w:val="1"/>
                <w:color w:val="auto"/>
                <w:w w:val="94"/>
              </w:rPr>
              <w:t>Switzerland</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center"/>
              <w:ind w:left="357"/>
              <w:spacing w:after="0"/>
              <w:rPr>
                <w:sz w:val="20"/>
                <w:szCs w:val="20"/>
                <w:color w:val="auto"/>
              </w:rPr>
            </w:pPr>
            <w:r>
              <w:rPr>
                <w:rFonts w:ascii="Arial" w:cs="Arial" w:eastAsia="Arial" w:hAnsi="Arial"/>
                <w:sz w:val="13"/>
                <w:szCs w:val="13"/>
                <w:b w:val="1"/>
                <w:bCs w:val="1"/>
                <w:color w:val="auto"/>
                <w:w w:val="95"/>
              </w:rPr>
              <w:t>Netherlands</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Tax losses</w:t>
            </w:r>
          </w:p>
        </w:tc>
        <w:tc>
          <w:tcPr>
            <w:tcW w:w="10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55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Year</w:t>
            </w:r>
          </w:p>
        </w:tc>
        <w:tc>
          <w:tcPr>
            <w:tcW w:w="1260" w:type="dxa"/>
            <w:vAlign w:val="bottom"/>
          </w:tcPr>
          <w:p>
            <w:pPr>
              <w:jc w:val="center"/>
              <w:ind w:left="397"/>
              <w:spacing w:after="0" w:line="141" w:lineRule="exact"/>
              <w:rPr>
                <w:sz w:val="20"/>
                <w:szCs w:val="20"/>
                <w:color w:val="auto"/>
              </w:rPr>
            </w:pPr>
            <w:r>
              <w:rPr>
                <w:rFonts w:ascii="Arial" w:cs="Arial" w:eastAsia="Arial" w:hAnsi="Arial"/>
                <w:sz w:val="13"/>
                <w:szCs w:val="13"/>
                <w:b w:val="1"/>
                <w:bCs w:val="1"/>
                <w:color w:val="auto"/>
                <w:w w:val="98"/>
              </w:rPr>
              <w:t>€ million</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left="337"/>
              <w:spacing w:after="0" w:line="141" w:lineRule="exact"/>
              <w:rPr>
                <w:sz w:val="20"/>
                <w:szCs w:val="20"/>
                <w:color w:val="auto"/>
              </w:rPr>
            </w:pPr>
            <w:r>
              <w:rPr>
                <w:rFonts w:ascii="Arial" w:cs="Arial" w:eastAsia="Arial" w:hAnsi="Arial"/>
                <w:sz w:val="13"/>
                <w:szCs w:val="13"/>
                <w:b w:val="1"/>
                <w:bCs w:val="1"/>
                <w:color w:val="auto"/>
                <w:w w:val="94"/>
              </w:rPr>
              <w:t>€ million</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ind w:right="529"/>
              <w:spacing w:after="0" w:line="141" w:lineRule="exact"/>
              <w:rPr>
                <w:sz w:val="20"/>
                <w:szCs w:val="20"/>
                <w:color w:val="auto"/>
              </w:rPr>
            </w:pPr>
            <w:r>
              <w:rPr>
                <w:rFonts w:ascii="Arial" w:cs="Arial" w:eastAsia="Arial" w:hAnsi="Arial"/>
                <w:sz w:val="13"/>
                <w:szCs w:val="13"/>
                <w:b w:val="1"/>
                <w:bCs w:val="1"/>
                <w:color w:val="auto"/>
              </w:rPr>
              <w:t>€ million</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2027</w:t>
            </w:r>
          </w:p>
        </w:tc>
        <w:tc>
          <w:tcPr>
            <w:tcW w:w="1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r>
      <w:tr>
        <w:trPr>
          <w:trHeight w:val="215"/>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FF0FC"/>
          </w:tcPr>
          <w:p>
            <w:pPr>
              <w:spacing w:after="0"/>
              <w:rPr>
                <w:sz w:val="18"/>
                <w:szCs w:val="18"/>
                <w:color w:val="auto"/>
              </w:rPr>
            </w:pPr>
          </w:p>
        </w:tc>
      </w:tr>
      <w:tr>
        <w:trPr>
          <w:trHeight w:val="214"/>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2029</w:t>
            </w: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8"/>
                <w:szCs w:val="18"/>
                <w:color w:val="auto"/>
              </w:rPr>
            </w:pPr>
          </w:p>
        </w:tc>
      </w:tr>
      <w:tr>
        <w:trPr>
          <w:trHeight w:val="214"/>
        </w:trPr>
        <w:tc>
          <w:tcPr>
            <w:tcW w:w="5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Unlimited</w:t>
            </w:r>
          </w:p>
        </w:tc>
        <w:tc>
          <w:tcPr>
            <w:tcW w:w="12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Total carry-forward losses</w:t>
            </w: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167.4</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14.9</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-169545</wp:posOffset>
            </wp:positionV>
            <wp:extent cx="67945" cy="1701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-169545</wp:posOffset>
            </wp:positionV>
            <wp:extent cx="67945" cy="1701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1701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67945" cy="1701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1" w:lineRule="exact"/>
        <w:rPr>
          <w:sz w:val="20"/>
          <w:szCs w:val="20"/>
          <w:color w:val="auto"/>
        </w:rPr>
      </w:pPr>
    </w:p>
    <w:p>
      <w:pPr>
        <w:ind w:right="520"/>
        <w:spacing w:after="0" w:line="283"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9"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4"/>
              </w:rPr>
              <w:t>Fixed</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Non-current</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provisions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00" w:type="dxa"/>
            <w:vAlign w:val="bottom"/>
            <w:gridSpan w:val="2"/>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shd w:val="clear" w:color="auto" w:fill="CFF0FC"/>
          </w:tcPr>
          <w:p>
            <w:pPr>
              <w:jc w:val="center"/>
              <w:ind w:right="20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180" w:type="dxa"/>
            <w:vAlign w:val="bottom"/>
          </w:tcPr>
          <w:p>
            <w:pPr>
              <w:jc w:val="right"/>
              <w:spacing w:after="0"/>
              <w:rPr>
                <w:sz w:val="20"/>
                <w:szCs w:val="20"/>
                <w:color w:val="auto"/>
              </w:rPr>
            </w:pPr>
            <w:r>
              <w:rPr>
                <w:rFonts w:ascii="Arial" w:cs="Arial" w:eastAsia="Arial" w:hAnsi="Arial"/>
                <w:sz w:val="16"/>
                <w:szCs w:val="16"/>
                <w:color w:val="auto"/>
              </w:rPr>
              <w:t>1,909,916</w:t>
            </w: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238,508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2,148,424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(117,534 )</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49,354</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(68,180 )</w:t>
            </w: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13,990</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At December 31, 2022</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1,792,382</w:t>
            </w:r>
          </w:p>
        </w:tc>
        <w:tc>
          <w:tcPr>
            <w:tcW w:w="24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gridSpan w:val="3"/>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301,852</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2,094,234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(66,456 )</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(1,909,916 )</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(1,976,372 )</w:t>
            </w: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117,533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(4,564 )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(4,564 )</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At December 31, 2022</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(42,048 )</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(1,792,383 )</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(1,834,431 )</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2022</w:t>
            </w:r>
          </w:p>
        </w:tc>
        <w:tc>
          <w:tcPr>
            <w:tcW w:w="118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259,803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-1148715</wp:posOffset>
            </wp:positionV>
            <wp:extent cx="76835" cy="153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76835" cy="15303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-1148715</wp:posOffset>
            </wp:positionV>
            <wp:extent cx="67945" cy="153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-1148715</wp:posOffset>
            </wp:positionV>
            <wp:extent cx="67945" cy="153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-314325</wp:posOffset>
            </wp:positionV>
            <wp:extent cx="76835" cy="153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6835" cy="15303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-314325</wp:posOffset>
            </wp:positionV>
            <wp:extent cx="67945" cy="153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-314325</wp:posOffset>
            </wp:positionV>
            <wp:extent cx="67945" cy="153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-314325</wp:posOffset>
            </wp:positionV>
            <wp:extent cx="67945" cy="153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total unrecognized deferred tax assets from temporary differences amounts to €8.7 million (2021:€23.8 million; 2020:€0.9 million).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Notes</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4"/>
                <w:szCs w:val="14"/>
                <w:color w:val="auto"/>
              </w:rPr>
            </w:pPr>
          </w:p>
        </w:tc>
      </w:tr>
      <w:tr>
        <w:trPr>
          <w:trHeight w:val="154"/>
        </w:trPr>
        <w:tc>
          <w:tcPr>
            <w:tcW w:w="6420" w:type="dxa"/>
            <w:vAlign w:val="bottom"/>
            <w:gridSpan w:val="2"/>
          </w:tcPr>
          <w:p>
            <w:pPr>
              <w:spacing w:after="0"/>
              <w:rPr>
                <w:sz w:val="20"/>
                <w:szCs w:val="20"/>
                <w:color w:val="auto"/>
              </w:rPr>
            </w:pPr>
            <w:r>
              <w:rPr>
                <w:rFonts w:ascii="Arial" w:cs="Arial" w:eastAsia="Arial" w:hAnsi="Arial"/>
                <w:sz w:val="13"/>
                <w:szCs w:val="13"/>
                <w:b w:val="1"/>
                <w:bCs w:val="1"/>
                <w:color w:val="auto"/>
              </w:rPr>
              <w:t>Net book value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48,503</w:t>
            </w:r>
          </w:p>
        </w:tc>
        <w:tc>
          <w:tcPr>
            <w:tcW w:w="80" w:type="dxa"/>
            <w:vAlign w:val="bottom"/>
            <w:shd w:val="clear" w:color="auto" w:fill="CFF0FC"/>
          </w:tcPr>
          <w:p>
            <w:pPr>
              <w:spacing w:after="0"/>
              <w:rPr>
                <w:sz w:val="18"/>
                <w:szCs w:val="18"/>
                <w:color w:val="auto"/>
              </w:rPr>
            </w:pPr>
          </w:p>
        </w:tc>
      </w:tr>
      <w:tr>
        <w:trPr>
          <w:trHeight w:val="214"/>
        </w:trPr>
        <w:tc>
          <w:tcPr>
            <w:tcW w:w="64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124,296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78,251</w:t>
            </w:r>
          </w:p>
        </w:tc>
        <w:tc>
          <w:tcPr>
            <w:tcW w:w="80" w:type="dxa"/>
            <w:vAlign w:val="bottom"/>
          </w:tcPr>
          <w:p>
            <w:pPr>
              <w:spacing w:after="0"/>
              <w:rPr>
                <w:sz w:val="18"/>
                <w:szCs w:val="18"/>
                <w:color w:val="auto"/>
              </w:rPr>
            </w:pPr>
          </w:p>
        </w:tc>
      </w:tr>
      <w:tr>
        <w:trPr>
          <w:trHeight w:val="215"/>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(38,920 )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(18,656 )</w:t>
            </w:r>
          </w:p>
        </w:tc>
      </w:tr>
      <w:tr>
        <w:trPr>
          <w:trHeight w:val="208"/>
        </w:trPr>
        <w:tc>
          <w:tcPr>
            <w:tcW w:w="642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193,474</w:t>
            </w: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108,098</w:t>
            </w:r>
          </w:p>
        </w:tc>
        <w:tc>
          <w:tcPr>
            <w:tcW w:w="8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6"/>
        </w:trPr>
        <w:tc>
          <w:tcPr>
            <w:tcW w:w="5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left="107"/>
              <w:spacing w:after="0"/>
              <w:rPr>
                <w:sz w:val="20"/>
                <w:szCs w:val="20"/>
                <w:color w:val="auto"/>
              </w:rPr>
            </w:pPr>
            <w:r>
              <w:rPr>
                <w:rFonts w:ascii="Arial" w:cs="Arial" w:eastAsia="Arial" w:hAnsi="Arial"/>
                <w:sz w:val="13"/>
                <w:szCs w:val="13"/>
                <w:b w:val="1"/>
                <w:bCs w:val="1"/>
                <w:color w:val="auto"/>
                <w:w w:val="96"/>
              </w:rPr>
              <w:t>2022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24"/>
                <w:szCs w:val="24"/>
                <w:color w:val="auto"/>
              </w:rPr>
            </w:pPr>
          </w:p>
        </w:tc>
      </w:tr>
      <w:tr>
        <w:trPr>
          <w:trHeight w:val="154"/>
        </w:trPr>
        <w:tc>
          <w:tcPr>
            <w:tcW w:w="6420" w:type="dxa"/>
            <w:vAlign w:val="bottom"/>
            <w:gridSpan w:val="2"/>
          </w:tcPr>
          <w:p>
            <w:pPr>
              <w:spacing w:after="0"/>
              <w:rPr>
                <w:sz w:val="20"/>
                <w:szCs w:val="20"/>
                <w:color w:val="auto"/>
              </w:rPr>
            </w:pPr>
            <w:r>
              <w:rPr>
                <w:rFonts w:ascii="Arial" w:cs="Arial" w:eastAsia="Arial" w:hAnsi="Arial"/>
                <w:sz w:val="13"/>
                <w:szCs w:val="13"/>
                <w:b w:val="1"/>
                <w:bCs w:val="1"/>
                <w:color w:val="auto"/>
              </w:rPr>
              <w:t>Cumulative depreciation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(26,606</w:t>
            </w:r>
          </w:p>
        </w:tc>
        <w:tc>
          <w:tcPr>
            <w:tcW w:w="1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64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(38,920 )</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(18,656 )</w:t>
            </w:r>
          </w:p>
        </w:tc>
      </w:tr>
      <w:tr>
        <w:trPr>
          <w:trHeight w:val="248"/>
        </w:trPr>
        <w:tc>
          <w:tcPr>
            <w:tcW w:w="6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(65,526</w:t>
            </w:r>
          </w:p>
        </w:tc>
        <w:tc>
          <w:tcPr>
            <w:tcW w:w="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(26,606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56"/>
        </w:trPr>
        <w:tc>
          <w:tcPr>
            <w:tcW w:w="5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left="107"/>
              <w:spacing w:after="0"/>
              <w:rPr>
                <w:sz w:val="20"/>
                <w:szCs w:val="20"/>
                <w:color w:val="auto"/>
              </w:rPr>
            </w:pPr>
            <w:r>
              <w:rPr>
                <w:rFonts w:ascii="Arial" w:cs="Arial" w:eastAsia="Arial" w:hAnsi="Arial"/>
                <w:sz w:val="13"/>
                <w:szCs w:val="13"/>
                <w:b w:val="1"/>
                <w:bCs w:val="1"/>
                <w:color w:val="auto"/>
                <w:w w:val="96"/>
              </w:rPr>
              <w:t>2022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24"/>
                <w:szCs w:val="24"/>
                <w:color w:val="auto"/>
              </w:rPr>
            </w:pPr>
          </w:p>
        </w:tc>
      </w:tr>
      <w:tr>
        <w:trPr>
          <w:trHeight w:val="154"/>
        </w:trPr>
        <w:tc>
          <w:tcPr>
            <w:tcW w:w="6420" w:type="dxa"/>
            <w:vAlign w:val="bottom"/>
            <w:gridSpan w:val="2"/>
          </w:tcPr>
          <w:p>
            <w:pPr>
              <w:spacing w:after="0"/>
              <w:rPr>
                <w:sz w:val="20"/>
                <w:szCs w:val="20"/>
                <w:color w:val="auto"/>
              </w:rPr>
            </w:pPr>
            <w:r>
              <w:rPr>
                <w:rFonts w:ascii="Arial" w:cs="Arial" w:eastAsia="Arial" w:hAnsi="Arial"/>
                <w:sz w:val="13"/>
                <w:szCs w:val="13"/>
                <w:b w:val="1"/>
                <w:bCs w:val="1"/>
                <w:color w:val="auto"/>
              </w:rPr>
              <w:t>Cumulative Costs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56,453</w:t>
            </w:r>
          </w:p>
        </w:tc>
        <w:tc>
          <w:tcPr>
            <w:tcW w:w="80" w:type="dxa"/>
            <w:vAlign w:val="bottom"/>
            <w:shd w:val="clear" w:color="auto" w:fill="CFF0FC"/>
          </w:tcPr>
          <w:p>
            <w:pPr>
              <w:spacing w:after="0"/>
              <w:rPr>
                <w:sz w:val="18"/>
                <w:szCs w:val="18"/>
                <w:color w:val="auto"/>
              </w:rPr>
            </w:pPr>
          </w:p>
        </w:tc>
      </w:tr>
      <w:tr>
        <w:trPr>
          <w:trHeight w:val="214"/>
        </w:trPr>
        <w:tc>
          <w:tcPr>
            <w:tcW w:w="64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124,296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78,251</w:t>
            </w:r>
          </w:p>
        </w:tc>
        <w:tc>
          <w:tcPr>
            <w:tcW w:w="80" w:type="dxa"/>
            <w:vAlign w:val="bottom"/>
          </w:tcPr>
          <w:p>
            <w:pPr>
              <w:spacing w:after="0"/>
              <w:rPr>
                <w:sz w:val="18"/>
                <w:szCs w:val="18"/>
                <w:color w:val="auto"/>
              </w:rPr>
            </w:pPr>
          </w:p>
        </w:tc>
      </w:tr>
      <w:tr>
        <w:trPr>
          <w:trHeight w:val="248"/>
        </w:trPr>
        <w:tc>
          <w:tcPr>
            <w:tcW w:w="6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259,000</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-1769745</wp:posOffset>
            </wp:positionV>
            <wp:extent cx="59690" cy="5276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59690" cy="52768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-1769745</wp:posOffset>
            </wp:positionV>
            <wp:extent cx="50800" cy="5276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50800" cy="52768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-824865</wp:posOffset>
            </wp:positionV>
            <wp:extent cx="723265" cy="3829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23265" cy="38290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596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596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6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During 2022, the Group acquired assets with a cost of €124,296 (2021:€78,251). The investments in property, plant and equipment, relate to equipment, tools and installations.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20" w:type="dxa"/>
            <w:vAlign w:val="bottom"/>
            <w:gridSpan w:val="3"/>
          </w:tcPr>
          <w:p>
            <w:pPr>
              <w:jc w:val="center"/>
              <w:ind w:left="6771"/>
              <w:spacing w:after="0"/>
              <w:rPr>
                <w:sz w:val="20"/>
                <w:szCs w:val="20"/>
                <w:color w:val="auto"/>
              </w:rPr>
            </w:pPr>
            <w:r>
              <w:rPr>
                <w:rFonts w:ascii="Arial" w:cs="Arial" w:eastAsia="Arial" w:hAnsi="Arial"/>
                <w:sz w:val="13"/>
                <w:szCs w:val="13"/>
                <w:b w:val="1"/>
                <w:bCs w:val="1"/>
                <w:color w:val="auto"/>
                <w:w w:val="96"/>
              </w:rPr>
              <w:t>2022</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3"/>
                <w:szCs w:val="13"/>
                <w:color w:val="auto"/>
              </w:rPr>
            </w:pPr>
          </w:p>
        </w:tc>
      </w:tr>
      <w:tr>
        <w:trPr>
          <w:trHeight w:val="154"/>
        </w:trPr>
        <w:tc>
          <w:tcPr>
            <w:tcW w:w="17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170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660" w:type="dxa"/>
            <w:vAlign w:val="bottom"/>
          </w:tcPr>
          <w:p>
            <w:pPr>
              <w:jc w:val="right"/>
              <w:spacing w:after="0"/>
              <w:rPr>
                <w:sz w:val="20"/>
                <w:szCs w:val="20"/>
                <w:color w:val="auto"/>
              </w:rPr>
            </w:pPr>
            <w:r>
              <w:rPr>
                <w:rFonts w:ascii="Arial" w:cs="Arial" w:eastAsia="Arial" w:hAnsi="Arial"/>
                <w:sz w:val="16"/>
                <w:szCs w:val="16"/>
                <w:color w:val="auto"/>
              </w:rPr>
              <w:t>303,734</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301,965</w:t>
            </w:r>
          </w:p>
        </w:tc>
        <w:tc>
          <w:tcPr>
            <w:tcW w:w="80" w:type="dxa"/>
            <w:vAlign w:val="bottom"/>
          </w:tcPr>
          <w:p>
            <w:pPr>
              <w:spacing w:after="0"/>
              <w:rPr>
                <w:sz w:val="18"/>
                <w:szCs w:val="18"/>
                <w:color w:val="auto"/>
              </w:rPr>
            </w:pPr>
          </w:p>
        </w:tc>
      </w:tr>
      <w:tr>
        <w:trPr>
          <w:trHeight w:val="214"/>
        </w:trPr>
        <w:tc>
          <w:tcPr>
            <w:tcW w:w="170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Depreciation charges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5"/>
              </w:rPr>
              <w:t>(114,020 )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(58,715 )</w:t>
            </w:r>
          </w:p>
        </w:tc>
      </w:tr>
      <w:tr>
        <w:trPr>
          <w:trHeight w:val="208"/>
        </w:trPr>
        <w:tc>
          <w:tcPr>
            <w:tcW w:w="17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432,965</w:t>
            </w:r>
          </w:p>
        </w:tc>
        <w:tc>
          <w:tcPr>
            <w:tcW w:w="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243,251</w:t>
            </w:r>
          </w:p>
        </w:tc>
        <w:tc>
          <w:tcPr>
            <w:tcW w:w="80" w:type="dxa"/>
            <w:vAlign w:val="bottom"/>
          </w:tcPr>
          <w:p>
            <w:pPr>
              <w:spacing w:after="0"/>
              <w:rPr>
                <w:sz w:val="18"/>
                <w:szCs w:val="18"/>
                <w:color w:val="auto"/>
              </w:rPr>
            </w:pPr>
          </w:p>
        </w:tc>
      </w:tr>
      <w:tr>
        <w:trPr>
          <w:trHeight w:val="20"/>
        </w:trPr>
        <w:tc>
          <w:tcPr>
            <w:tcW w:w="618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2"/>
        </w:trPr>
        <w:tc>
          <w:tcPr>
            <w:tcW w:w="7120" w:type="dxa"/>
            <w:vAlign w:val="bottom"/>
            <w:gridSpan w:val="3"/>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5"/>
        </w:trPr>
        <w:tc>
          <w:tcPr>
            <w:tcW w:w="7120" w:type="dxa"/>
            <w:vAlign w:val="bottom"/>
            <w:gridSpan w:val="3"/>
          </w:tcPr>
          <w:p>
            <w:pPr>
              <w:jc w:val="center"/>
              <w:ind w:left="6771"/>
              <w:spacing w:after="0"/>
              <w:rPr>
                <w:sz w:val="20"/>
                <w:szCs w:val="20"/>
                <w:color w:val="auto"/>
              </w:rPr>
            </w:pPr>
            <w:r>
              <w:rPr>
                <w:rFonts w:ascii="Arial" w:cs="Arial" w:eastAsia="Arial" w:hAnsi="Arial"/>
                <w:sz w:val="13"/>
                <w:szCs w:val="13"/>
                <w:b w:val="1"/>
                <w:bCs w:val="1"/>
                <w:color w:val="auto"/>
                <w:w w:val="96"/>
              </w:rPr>
              <w:t>2022</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4"/>
                <w:szCs w:val="14"/>
                <w:color w:val="auto"/>
              </w:rPr>
            </w:pPr>
          </w:p>
        </w:tc>
      </w:tr>
      <w:tr>
        <w:trPr>
          <w:trHeight w:val="154"/>
        </w:trPr>
        <w:tc>
          <w:tcPr>
            <w:tcW w:w="17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170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Office leases</w:t>
            </w: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(436,822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(250,184</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Total lease liability</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5"/>
              </w:rPr>
              <w:t>(436,822 )</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(250,184 )</w:t>
            </w:r>
          </w:p>
        </w:tc>
      </w:tr>
      <w:tr>
        <w:trPr>
          <w:trHeight w:val="215"/>
        </w:trPr>
        <w:tc>
          <w:tcPr>
            <w:tcW w:w="170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(187,404 )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(99,432 )</w:t>
            </w:r>
          </w:p>
        </w:tc>
      </w:tr>
      <w:tr>
        <w:trPr>
          <w:trHeight w:val="20"/>
        </w:trPr>
        <w:tc>
          <w:tcPr>
            <w:tcW w:w="1700" w:type="dxa"/>
            <w:vAlign w:val="bottom"/>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(249,418 )</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(150,752 )</w:t>
            </w:r>
          </w:p>
        </w:tc>
      </w:tr>
      <w:tr>
        <w:trPr>
          <w:trHeight w:val="20"/>
        </w:trPr>
        <w:tc>
          <w:tcPr>
            <w:tcW w:w="1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-152400</wp:posOffset>
            </wp:positionV>
            <wp:extent cx="50800" cy="153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50800" cy="15303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-152400</wp:posOffset>
            </wp:positionV>
            <wp:extent cx="42545" cy="153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42545" cy="15303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04"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462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Leases</w:t>
            </w:r>
          </w:p>
        </w:tc>
      </w:tr>
      <w:tr>
        <w:trPr>
          <w:trHeight w:val="214"/>
        </w:trPr>
        <w:tc>
          <w:tcPr>
            <w:tcW w:w="4620" w:type="dxa"/>
            <w:vAlign w:val="bottom"/>
            <w:shd w:val="clear" w:color="auto" w:fill="CFF0FF"/>
          </w:tcPr>
          <w:p>
            <w:pPr>
              <w:ind w:left="3880"/>
              <w:spacing w:after="0"/>
              <w:rPr>
                <w:sz w:val="20"/>
                <w:szCs w:val="20"/>
                <w:color w:val="auto"/>
              </w:rPr>
            </w:pPr>
            <w:r>
              <w:rPr>
                <w:rFonts w:ascii="Arial" w:cs="Arial" w:eastAsia="Arial" w:hAnsi="Arial"/>
                <w:sz w:val="16"/>
                <w:szCs w:val="16"/>
                <w:color w:val="auto"/>
              </w:rPr>
              <w:t>2023</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221,651</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ind w:left="3880"/>
              <w:spacing w:after="0"/>
              <w:rPr>
                <w:sz w:val="20"/>
                <w:szCs w:val="20"/>
                <w:color w:val="auto"/>
              </w:rPr>
            </w:pPr>
            <w:r>
              <w:rPr>
                <w:rFonts w:ascii="Arial" w:cs="Arial" w:eastAsia="Arial" w:hAnsi="Arial"/>
                <w:sz w:val="16"/>
                <w:szCs w:val="16"/>
                <w:color w:val="auto"/>
              </w:rPr>
              <w:t>2024</w:t>
            </w:r>
          </w:p>
        </w:tc>
        <w:tc>
          <w:tcPr>
            <w:tcW w:w="1940" w:type="dxa"/>
            <w:vAlign w:val="bottom"/>
          </w:tcPr>
          <w:p>
            <w:pPr>
              <w:jc w:val="right"/>
              <w:spacing w:after="0"/>
              <w:rPr>
                <w:sz w:val="20"/>
                <w:szCs w:val="20"/>
                <w:color w:val="auto"/>
              </w:rPr>
            </w:pPr>
            <w:r>
              <w:rPr>
                <w:rFonts w:ascii="Arial" w:cs="Arial" w:eastAsia="Arial" w:hAnsi="Arial"/>
                <w:sz w:val="16"/>
                <w:szCs w:val="16"/>
                <w:color w:val="auto"/>
              </w:rPr>
              <w:t>160,576</w:t>
            </w:r>
          </w:p>
        </w:tc>
        <w:tc>
          <w:tcPr>
            <w:tcW w:w="60" w:type="dxa"/>
            <w:vAlign w:val="bottom"/>
          </w:tcPr>
          <w:p>
            <w:pPr>
              <w:spacing w:after="0"/>
              <w:rPr>
                <w:sz w:val="18"/>
                <w:szCs w:val="18"/>
                <w:color w:val="auto"/>
              </w:rPr>
            </w:pPr>
          </w:p>
        </w:tc>
      </w:tr>
      <w:tr>
        <w:trPr>
          <w:trHeight w:val="215"/>
        </w:trPr>
        <w:tc>
          <w:tcPr>
            <w:tcW w:w="4620" w:type="dxa"/>
            <w:vAlign w:val="bottom"/>
            <w:shd w:val="clear" w:color="auto" w:fill="CFF0FF"/>
          </w:tcPr>
          <w:p>
            <w:pPr>
              <w:ind w:left="3880"/>
              <w:spacing w:after="0"/>
              <w:rPr>
                <w:sz w:val="20"/>
                <w:szCs w:val="20"/>
                <w:color w:val="auto"/>
              </w:rPr>
            </w:pPr>
            <w:r>
              <w:rPr>
                <w:rFonts w:ascii="Arial" w:cs="Arial" w:eastAsia="Arial" w:hAnsi="Arial"/>
                <w:sz w:val="16"/>
                <w:szCs w:val="16"/>
                <w:color w:val="auto"/>
              </w:rPr>
              <w:t>2025</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96,228</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Thereafter</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5"/>
        </w:trPr>
        <w:tc>
          <w:tcPr>
            <w:tcW w:w="4620" w:type="dxa"/>
            <w:vAlign w:val="bottom"/>
            <w:shd w:val="clear" w:color="auto" w:fill="CFF0FF"/>
          </w:tcPr>
          <w:p>
            <w:pPr>
              <w:spacing w:after="0"/>
              <w:rPr>
                <w:sz w:val="20"/>
                <w:szCs w:val="20"/>
                <w:color w:val="auto"/>
              </w:rPr>
            </w:pPr>
            <w:r>
              <w:rPr>
                <w:rFonts w:ascii="Arial" w:cs="Arial" w:eastAsia="Arial" w:hAnsi="Arial"/>
                <w:sz w:val="16"/>
                <w:szCs w:val="16"/>
                <w:color w:val="auto"/>
              </w:rPr>
              <w:t>Total lease payments</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478,455</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Less: imputed interest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41,633</w:t>
            </w:r>
          </w:p>
        </w:tc>
        <w:tc>
          <w:tcPr>
            <w:tcW w:w="60" w:type="dxa"/>
            <w:vAlign w:val="bottom"/>
          </w:tcPr>
          <w:p>
            <w:pPr>
              <w:spacing w:after="0"/>
              <w:rPr>
                <w:sz w:val="18"/>
                <w:szCs w:val="18"/>
                <w:color w:val="auto"/>
              </w:rPr>
            </w:pPr>
          </w:p>
        </w:tc>
      </w:tr>
      <w:tr>
        <w:trPr>
          <w:trHeight w:val="208"/>
        </w:trPr>
        <w:tc>
          <w:tcPr>
            <w:tcW w:w="4620" w:type="dxa"/>
            <w:vAlign w:val="bottom"/>
            <w:shd w:val="clear" w:color="auto" w:fill="CFF0FF"/>
          </w:tcPr>
          <w:p>
            <w:pPr>
              <w:spacing w:after="0"/>
              <w:rPr>
                <w:sz w:val="20"/>
                <w:szCs w:val="20"/>
                <w:color w:val="auto"/>
              </w:rPr>
            </w:pPr>
            <w:r>
              <w:rPr>
                <w:rFonts w:ascii="Arial" w:cs="Arial" w:eastAsia="Arial" w:hAnsi="Arial"/>
                <w:sz w:val="16"/>
                <w:szCs w:val="16"/>
                <w:color w:val="auto"/>
              </w:rPr>
              <w:t>Total lease liabilities</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436,822</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Current lease liabilities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187,404</w:t>
            </w:r>
          </w:p>
        </w:tc>
        <w:tc>
          <w:tcPr>
            <w:tcW w:w="60" w:type="dxa"/>
            <w:vAlign w:val="bottom"/>
          </w:tcPr>
          <w:p>
            <w:pPr>
              <w:spacing w:after="0"/>
              <w:rPr>
                <w:sz w:val="18"/>
                <w:szCs w:val="18"/>
                <w:color w:val="auto"/>
              </w:rPr>
            </w:pPr>
          </w:p>
        </w:tc>
      </w:tr>
      <w:tr>
        <w:trPr>
          <w:trHeight w:val="248"/>
        </w:trPr>
        <w:tc>
          <w:tcPr>
            <w:tcW w:w="4620" w:type="dxa"/>
            <w:vAlign w:val="bottom"/>
            <w:tcBorders>
              <w:bottom w:val="single" w:sz="8" w:color="CFF0FF"/>
            </w:tcBorders>
            <w:shd w:val="clear" w:color="auto" w:fill="CFF0FF"/>
          </w:tcPr>
          <w:p>
            <w:pPr>
              <w:spacing w:after="0"/>
              <w:rPr>
                <w:sz w:val="20"/>
                <w:szCs w:val="20"/>
                <w:color w:val="auto"/>
              </w:rPr>
            </w:pPr>
            <w:r>
              <w:rPr>
                <w:rFonts w:ascii="Arial" w:cs="Arial" w:eastAsia="Arial" w:hAnsi="Arial"/>
                <w:sz w:val="16"/>
                <w:szCs w:val="16"/>
                <w:color w:val="auto"/>
              </w:rPr>
              <w:t>Long-term lease liabilities</w:t>
            </w:r>
          </w:p>
        </w:tc>
        <w:tc>
          <w:tcPr>
            <w:tcW w:w="194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249,418</w:t>
            </w:r>
          </w:p>
        </w:tc>
        <w:tc>
          <w:tcPr>
            <w:tcW w:w="6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-24765</wp:posOffset>
            </wp:positionV>
            <wp:extent cx="342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-7620</wp:posOffset>
            </wp:positionV>
            <wp:extent cx="342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Office leases consists of a lease agreement entered into on June 1, 2021 for office space in Lexington, United States of America, or the U.S., and a lease entered into on December 1, 2022, for offices in Leiden, The Netherlands. Both leases have lease terms of three years and were assessed as being long-term.</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average incremental borrowing rate applied to the lease liabilities was 7.77% during the twelve months ended December 31, 2022 (December 31, 2021: 2.91%). Depreciation expense of €114,020 and €58,715 for the for the years ended December 31, 2022 and 2021 was incurred and is reflected in general and administrative expenses as determined by the underlying activities.</w:t>
      </w:r>
    </w:p>
    <w:p>
      <w:pPr>
        <w:spacing w:after="0" w:line="184" w:lineRule="exact"/>
        <w:rPr>
          <w:sz w:val="20"/>
          <w:szCs w:val="20"/>
          <w:color w:val="auto"/>
        </w:rPr>
      </w:pPr>
    </w:p>
    <w:p>
      <w:pPr>
        <w:ind w:right="1020"/>
        <w:spacing w:after="0" w:line="283" w:lineRule="auto"/>
        <w:rPr>
          <w:sz w:val="20"/>
          <w:szCs w:val="20"/>
          <w:color w:val="auto"/>
        </w:rPr>
      </w:pPr>
      <w:r>
        <w:rPr>
          <w:rFonts w:ascii="Arial" w:cs="Arial" w:eastAsia="Arial" w:hAnsi="Arial"/>
          <w:sz w:val="16"/>
          <w:szCs w:val="16"/>
          <w:color w:val="252525"/>
        </w:rPr>
        <w:t>The total expense related to short-term and low-value leases in 2022 was €333,949 (2021: €275,052; 2020: €119,627) and is included in facility, communication, and office expenses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2022 and 2021 were €119,527 and €57,649, respectively.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jc w:val="right"/>
              <w:ind w:right="567"/>
              <w:spacing w:after="0"/>
              <w:rPr>
                <w:sz w:val="20"/>
                <w:szCs w:val="20"/>
                <w:color w:val="auto"/>
              </w:rPr>
            </w:pPr>
            <w:r>
              <w:rPr>
                <w:rFonts w:ascii="Arial" w:cs="Arial" w:eastAsia="Arial" w:hAnsi="Arial"/>
                <w:sz w:val="13"/>
                <w:szCs w:val="13"/>
                <w:b w:val="1"/>
                <w:bCs w:val="1"/>
                <w:color w:val="auto"/>
              </w:rPr>
              <w:t>2022</w:t>
            </w:r>
          </w:p>
        </w:tc>
        <w:tc>
          <w:tcPr>
            <w:tcW w:w="1820" w:type="dxa"/>
            <w:vAlign w:val="bottom"/>
            <w:gridSpan w:val="3"/>
          </w:tcPr>
          <w:p>
            <w:pPr>
              <w:jc w:val="right"/>
              <w:ind w:right="56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Trade receivables</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VAT receivables</w:t>
            </w:r>
          </w:p>
        </w:tc>
        <w:tc>
          <w:tcPr>
            <w:tcW w:w="1560" w:type="dxa"/>
            <w:vAlign w:val="bottom"/>
          </w:tcPr>
          <w:p>
            <w:pPr>
              <w:jc w:val="right"/>
              <w:spacing w:after="0"/>
              <w:rPr>
                <w:sz w:val="20"/>
                <w:szCs w:val="20"/>
                <w:color w:val="auto"/>
              </w:rPr>
            </w:pPr>
            <w:r>
              <w:rPr>
                <w:rFonts w:ascii="Arial" w:cs="Arial" w:eastAsia="Arial" w:hAnsi="Arial"/>
                <w:sz w:val="16"/>
                <w:szCs w:val="16"/>
                <w:color w:val="auto"/>
              </w:rPr>
              <w:t>382,468</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691,628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11. Other current assets</w:t>
            </w: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7760" w:type="dxa"/>
            <w:vAlign w:val="bottom"/>
            <w:gridSpan w:val="2"/>
            <w:vMerge w:val="continue"/>
          </w:tcPr>
          <w:p>
            <w:pPr>
              <w:spacing w:after="0"/>
              <w:rPr>
                <w:sz w:val="24"/>
                <w:szCs w:val="24"/>
                <w:color w:val="auto"/>
              </w:rPr>
            </w:pPr>
          </w:p>
        </w:tc>
        <w:tc>
          <w:tcPr>
            <w:tcW w:w="1560" w:type="dxa"/>
            <w:vAlign w:val="bottom"/>
            <w:vMerge w:val="restart"/>
          </w:tcPr>
          <w:p>
            <w:pPr>
              <w:jc w:val="right"/>
              <w:ind w:right="587"/>
              <w:spacing w:after="0"/>
              <w:rPr>
                <w:sz w:val="20"/>
                <w:szCs w:val="20"/>
                <w:color w:val="auto"/>
              </w:rPr>
            </w:pPr>
            <w:r>
              <w:rPr>
                <w:rFonts w:ascii="Arial" w:cs="Arial" w:eastAsia="Arial" w:hAnsi="Arial"/>
                <w:sz w:val="13"/>
                <w:szCs w:val="13"/>
                <w:b w:val="1"/>
                <w:bCs w:val="1"/>
                <w:color w:val="auto"/>
              </w:rPr>
              <w:t>2022</w:t>
            </w:r>
          </w:p>
        </w:tc>
        <w:tc>
          <w:tcPr>
            <w:tcW w:w="1820" w:type="dxa"/>
            <w:vAlign w:val="bottom"/>
            <w:gridSpan w:val="3"/>
            <w:vMerge w:val="restart"/>
          </w:tcPr>
          <w:p>
            <w:pPr>
              <w:jc w:val="right"/>
              <w:ind w:right="58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7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Prepayments</w:t>
            </w:r>
          </w:p>
        </w:tc>
        <w:tc>
          <w:tcPr>
            <w:tcW w:w="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4,044,255</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1,507,753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582,589</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1,513,452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1" w:lineRule="exact"/>
        <w:rPr>
          <w:sz w:val="20"/>
          <w:szCs w:val="20"/>
          <w:color w:val="auto"/>
        </w:rPr>
      </w:pPr>
    </w:p>
    <w:p>
      <w:pPr>
        <w:jc w:val="both"/>
        <w:ind w:right="560"/>
        <w:spacing w:after="0" w:line="264" w:lineRule="auto"/>
        <w:rPr>
          <w:sz w:val="20"/>
          <w:szCs w:val="20"/>
          <w:color w:val="auto"/>
        </w:rPr>
      </w:pPr>
      <w:r>
        <w:rPr>
          <w:rFonts w:ascii="Arial" w:cs="Arial" w:eastAsia="Arial" w:hAnsi="Arial"/>
          <w:sz w:val="16"/>
          <w:szCs w:val="16"/>
          <w:color w:val="auto"/>
        </w:rPr>
        <w:t>Other assets per December 31, 2022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Cash and cash equivalents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20" w:type="dxa"/>
            <w:vAlign w:val="bottom"/>
          </w:tcPr>
          <w:p>
            <w:pPr>
              <w:jc w:val="right"/>
              <w:ind w:right="589"/>
              <w:spacing w:after="0"/>
              <w:rPr>
                <w:sz w:val="20"/>
                <w:szCs w:val="20"/>
                <w:color w:val="auto"/>
              </w:rPr>
            </w:pPr>
            <w:r>
              <w:rPr>
                <w:rFonts w:ascii="Arial" w:cs="Arial" w:eastAsia="Arial" w:hAnsi="Arial"/>
                <w:sz w:val="13"/>
                <w:szCs w:val="13"/>
                <w:b w:val="1"/>
                <w:bCs w:val="1"/>
                <w:color w:val="auto"/>
              </w:rPr>
              <w:t>2022</w:t>
            </w:r>
          </w:p>
        </w:tc>
        <w:tc>
          <w:tcPr>
            <w:tcW w:w="1820" w:type="dxa"/>
            <w:vAlign w:val="bottom"/>
            <w:gridSpan w:val="3"/>
          </w:tcPr>
          <w:p>
            <w:pPr>
              <w:jc w:val="right"/>
              <w:ind w:right="58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209,353,132</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-169545</wp:posOffset>
            </wp:positionV>
            <wp:extent cx="67945" cy="1701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1701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67945" cy="1701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 Of the cash on hand, €65,567 relates to guarantees.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On December 31, 2022, the Company’s authorized share capital amounted to € 14,100,000 divided into 58,750,000 ordinary shares and 58,750,000 preferred shares, each with a nominal value of (€0.12). As at December 31, 2022, the total number of issued shares was 33,816,459 (2021: 33,151,881; 2020:23,569,276). On December 31, 2022, the issued share capital totaled €4,057,976 (2021: €3,978,227).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relating to an at-the-market program providing for the sales from time to time of up to $75,000,000 of its ordinary shares pursuant to a Sales Agreement with SVB Securities LLC. During the year ended December 31, 2022, the Company sold a total of 588,100 ordinary shares in two different transactions under the sales agreement generating total net proceeds of $9,698,504 (€9.2 million), after deducting $299,954 (€308,000), which was payable to SVB Securities as commission in respect of such sales.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0" w:lineRule="exact"/>
        <w:rPr>
          <w:sz w:val="20"/>
          <w:szCs w:val="20"/>
          <w:color w:val="auto"/>
        </w:rPr>
      </w:pPr>
    </w:p>
    <w:p>
      <w:pPr>
        <w:jc w:val="both"/>
        <w:ind w:right="280"/>
        <w:spacing w:after="0" w:line="249"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tbl>
      <w:tblPr>
        <w:tblLayout w:type="fixed"/>
        <w:tblInd w:w="170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1540" w:type="dxa"/>
            <w:vAlign w:val="bottom"/>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2"/>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81"/>
        </w:trPr>
        <w:tc>
          <w:tcPr>
            <w:tcW w:w="4680" w:type="dxa"/>
            <w:vAlign w:val="bottom"/>
          </w:tcPr>
          <w:p>
            <w:pPr>
              <w:spacing w:after="0"/>
              <w:rPr>
                <w:sz w:val="15"/>
                <w:szCs w:val="15"/>
                <w:color w:val="auto"/>
              </w:rPr>
            </w:pPr>
          </w:p>
        </w:tc>
        <w:tc>
          <w:tcPr>
            <w:tcW w:w="1540" w:type="dxa"/>
            <w:vAlign w:val="bottom"/>
            <w:tcBorders>
              <w:top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5"/>
                <w:szCs w:val="15"/>
                <w:color w:val="auto"/>
              </w:rPr>
            </w:pPr>
          </w:p>
        </w:tc>
        <w:tc>
          <w:tcPr>
            <w:tcW w:w="140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5"/>
                <w:szCs w:val="15"/>
                <w:color w:val="auto"/>
              </w:rPr>
            </w:pPr>
          </w:p>
        </w:tc>
      </w:tr>
      <w:tr>
        <w:trPr>
          <w:trHeight w:val="214"/>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33,816,459</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33,151,881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7"/>
        </w:trPr>
        <w:tc>
          <w:tcPr>
            <w:tcW w:w="46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33,816,459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33,151,881</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-143510</wp:posOffset>
            </wp:positionV>
            <wp:extent cx="50800" cy="1447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50800" cy="14478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-143510</wp:posOffset>
            </wp:positionV>
            <wp:extent cx="42545" cy="1447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42545" cy="144780"/>
                    </a:xfrm>
                    <a:prstGeom prst="rect">
                      <a:avLst/>
                    </a:prstGeom>
                    <a:noFill/>
                  </pic:spPr>
                </pic:pic>
              </a:graphicData>
            </a:graphic>
          </wp:anchor>
        </w:drawing>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2022 or 2021.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0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60" w:type="dxa"/>
            <w:vAlign w:val="bottom"/>
          </w:tcPr>
          <w:p>
            <w:pPr>
              <w:spacing w:after="0"/>
              <w:rPr>
                <w:sz w:val="13"/>
                <w:szCs w:val="13"/>
                <w:color w:val="auto"/>
              </w:rPr>
            </w:pPr>
          </w:p>
        </w:tc>
        <w:tc>
          <w:tcPr>
            <w:tcW w:w="1560" w:type="dxa"/>
            <w:vAlign w:val="bottom"/>
          </w:tcPr>
          <w:p>
            <w:pPr>
              <w:jc w:val="right"/>
              <w:ind w:right="567"/>
              <w:spacing w:after="0"/>
              <w:rPr>
                <w:sz w:val="20"/>
                <w:szCs w:val="20"/>
                <w:color w:val="auto"/>
              </w:rPr>
            </w:pPr>
            <w:r>
              <w:rPr>
                <w:rFonts w:ascii="Arial" w:cs="Arial" w:eastAsia="Arial" w:hAnsi="Arial"/>
                <w:sz w:val="13"/>
                <w:szCs w:val="13"/>
                <w:b w:val="1"/>
                <w:bCs w:val="1"/>
                <w:color w:val="auto"/>
              </w:rPr>
              <w:t>2022</w:t>
            </w:r>
          </w:p>
        </w:tc>
        <w:tc>
          <w:tcPr>
            <w:tcW w:w="1820" w:type="dxa"/>
            <w:vAlign w:val="bottom"/>
            <w:gridSpan w:val="2"/>
          </w:tcPr>
          <w:p>
            <w:pPr>
              <w:jc w:val="right"/>
              <w:ind w:right="56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5,979,168</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2,125,511</w:t>
            </w:r>
          </w:p>
        </w:tc>
        <w:tc>
          <w:tcPr>
            <w:tcW w:w="100" w:type="dxa"/>
            <w:vAlign w:val="bottom"/>
            <w:shd w:val="clear" w:color="auto" w:fill="CFF0FC"/>
          </w:tcPr>
          <w:p>
            <w:pPr>
              <w:spacing w:after="0"/>
              <w:rPr>
                <w:sz w:val="18"/>
                <w:szCs w:val="18"/>
                <w:color w:val="auto"/>
              </w:rPr>
            </w:pPr>
          </w:p>
        </w:tc>
      </w:tr>
      <w:tr>
        <w:trPr>
          <w:trHeight w:val="214"/>
        </w:trPr>
        <w:tc>
          <w:tcPr>
            <w:tcW w:w="776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560" w:type="dxa"/>
            <w:vAlign w:val="bottom"/>
          </w:tcPr>
          <w:p>
            <w:pPr>
              <w:jc w:val="right"/>
              <w:spacing w:after="0"/>
              <w:rPr>
                <w:sz w:val="20"/>
                <w:szCs w:val="20"/>
                <w:color w:val="auto"/>
              </w:rPr>
            </w:pPr>
            <w:r>
              <w:rPr>
                <w:rFonts w:ascii="Arial" w:cs="Arial" w:eastAsia="Arial" w:hAnsi="Arial"/>
                <w:sz w:val="16"/>
                <w:szCs w:val="16"/>
                <w:color w:val="auto"/>
              </w:rPr>
              <w:t>705,912</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365,061</w:t>
            </w:r>
          </w:p>
        </w:tc>
        <w:tc>
          <w:tcPr>
            <w:tcW w:w="100" w:type="dxa"/>
            <w:vAlign w:val="bottom"/>
          </w:tcPr>
          <w:p>
            <w:pPr>
              <w:spacing w:after="0"/>
              <w:rPr>
                <w:sz w:val="18"/>
                <w:szCs w:val="18"/>
                <w:color w:val="auto"/>
              </w:rPr>
            </w:pPr>
          </w:p>
        </w:tc>
      </w:tr>
      <w:tr>
        <w:trPr>
          <w:trHeight w:val="248"/>
        </w:trPr>
        <w:tc>
          <w:tcPr>
            <w:tcW w:w="77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1620" w:type="dxa"/>
            <w:vAlign w:val="bottom"/>
          </w:tcPr>
          <w:p>
            <w:pPr>
              <w:jc w:val="right"/>
              <w:ind w:right="584"/>
              <w:spacing w:after="0"/>
              <w:rPr>
                <w:sz w:val="20"/>
                <w:szCs w:val="20"/>
                <w:color w:val="auto"/>
              </w:rPr>
            </w:pPr>
            <w:r>
              <w:rPr>
                <w:rFonts w:ascii="Arial" w:cs="Arial" w:eastAsia="Arial" w:hAnsi="Arial"/>
                <w:sz w:val="13"/>
                <w:szCs w:val="13"/>
                <w:b w:val="1"/>
                <w:bCs w:val="1"/>
                <w:color w:val="auto"/>
              </w:rPr>
              <w:t>2022</w:t>
            </w:r>
          </w:p>
        </w:tc>
        <w:tc>
          <w:tcPr>
            <w:tcW w:w="1820" w:type="dxa"/>
            <w:vAlign w:val="bottom"/>
            <w:gridSpan w:val="2"/>
          </w:tcPr>
          <w:p>
            <w:pPr>
              <w:jc w:val="right"/>
              <w:ind w:right="58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642,662</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786,116</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3,824,468</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386,328</w:t>
            </w:r>
          </w:p>
        </w:tc>
        <w:tc>
          <w:tcPr>
            <w:tcW w:w="100" w:type="dxa"/>
            <w:vAlign w:val="bottom"/>
          </w:tcPr>
          <w:p>
            <w:pPr>
              <w:spacing w:after="0"/>
              <w:rPr>
                <w:sz w:val="18"/>
                <w:szCs w:val="18"/>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2,285,584</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1,231,514</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Pre-clinical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885,030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398,468</w:t>
            </w:r>
          </w:p>
        </w:tc>
        <w:tc>
          <w:tcPr>
            <w:tcW w:w="100" w:type="dxa"/>
            <w:vAlign w:val="bottom"/>
          </w:tcPr>
          <w:p>
            <w:pPr>
              <w:spacing w:after="0"/>
              <w:rPr>
                <w:sz w:val="18"/>
                <w:szCs w:val="18"/>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2,971,068</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1,459,162</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281,937</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8,495</w:t>
            </w:r>
          </w:p>
        </w:tc>
        <w:tc>
          <w:tcPr>
            <w:tcW w:w="100" w:type="dxa"/>
            <w:vAlign w:val="bottom"/>
          </w:tcPr>
          <w:p>
            <w:pPr>
              <w:spacing w:after="0"/>
              <w:rPr>
                <w:sz w:val="18"/>
                <w:szCs w:val="18"/>
                <w:color w:val="auto"/>
              </w:rPr>
            </w:pPr>
          </w:p>
        </w:tc>
      </w:tr>
      <w:tr>
        <w:trPr>
          <w:trHeight w:val="248"/>
        </w:trPr>
        <w:tc>
          <w:tcPr>
            <w:tcW w:w="77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1"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 Group’s principal financial instruments consist of cash and cash equivalents, receivables, trade and other trade payables. The financial instruments represent the Group’s working capital to serve the Group’s day-to-day operations.</w:t>
      </w:r>
    </w:p>
    <w:p>
      <w:pPr>
        <w:spacing w:after="0" w:line="15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09"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We received the proceeds from our financings in U.S. Dollars. We seek to minimize our exchange rate risk in our cash positions by taking into considerations market conditions and keeping currencies in which we expect to incur the majority of our near future expenses and make related payments from those positions.</w:t>
      </w:r>
    </w:p>
    <w:p>
      <w:pPr>
        <w:spacing w:after="0" w:line="7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For the year ended December 31, 2022, the Group recognized a foreign exchange gain of €11.1 million (2021: €11.5 million). The foreign exchange gain was primarily related to the U.S. dollar cash holding of its subsidiary and the associated strengthening of the U.S. dollar compared to euro during the year.</w:t>
      </w:r>
    </w:p>
    <w:p>
      <w:pPr>
        <w:spacing w:after="0" w:line="4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While the Group benefited from changes in foreign exchange rates in 2022 and 2021, it is possible that foreign exchange losses could occur in the future. Any occurrences of foreign exchange losses would negatively affect the Group and the effect could be material.</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At December 31, 2022, if the U.S. dollar had weakened / strengthened by 10% against the euro with all other variables held constant, the cash balance would have been $7.2 million higher / lower, mainly related to the translation of cash held in U.S. dollar in the Company’s subsidiary, Pharvaris Inc., whose functional currency is euro as explained in note 2, “Summary of significant accounting policies”. For the year ended December 31, 2021, the fluctuation would have been $17.4 million higher / lower due to the large cash balance that was retained directly after the initial public offering in February 2021.</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Group keeps an amount of $72.3 million and CHF20.1 million on its bank accounts as of December 31, 2022.</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Price risk</w:t>
      </w:r>
    </w:p>
    <w:p>
      <w:pPr>
        <w:spacing w:after="0" w:line="109"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The market prices for the provision of nonclinical and clinical materials and services, as well as external contracted research may vary over time. The commercial prices of any of the Group’s products or product candidates are currently uncertain. The Group is not exposed to commodity price risk.</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09"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€161.8 million of cash on the balance sheet at December 31, 2022. The Group is implementing its treasury strategy to monitor the impact of changes in interest rates.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2022 and 2021 are the carrying amounts as illustrated in Note 12. There are no financial assets past due date or impaired.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0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 (Standard &amp; Poor’s). Credit risk is further limited by investing only in liquid instruments. As of December 31, 2022, cash consists of cash deposited with four financial institutions and account balances may exceed insured limits. Management believes that the Company is not exposed to significant credit risk due to the financial strength of these institutions.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09"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Company has cash and cash equivalents of €161.8 million.</w:t>
      </w:r>
    </w:p>
    <w:p>
      <w:pPr>
        <w:spacing w:after="0" w:line="218"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On February 9, 2021, the Company completed its initial public offering (IPO) with total net proceeds of USD 176.9 million. On March 1, 2022, the Company entered into a sales agreement with SVB Securities LLC, or SVB Securities, pursuant to which the Company may sell ordinary shares having an aggregate offering price of up to $75 million from time to time through SVB Securities. As of December 31, 2022 the Company sold 588,100 shares under the sales agreement shares with a net proceeds of $9.7 million.</w:t>
      </w:r>
    </w:p>
    <w:p>
      <w:pPr>
        <w:spacing w:after="0" w:line="177" w:lineRule="exact"/>
        <w:rPr>
          <w:sz w:val="20"/>
          <w:szCs w:val="20"/>
          <w:color w:val="auto"/>
        </w:rPr>
      </w:pPr>
    </w:p>
    <w:p>
      <w:pPr>
        <w:jc w:val="both"/>
        <w:ind w:right="280"/>
        <w:spacing w:after="0" w:line="264"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-635</wp:posOffset>
            </wp:positionV>
            <wp:extent cx="1000125" cy="4552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1000125" cy="4552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6660" w:type="dxa"/>
            <w:vAlign w:val="bottom"/>
          </w:tcPr>
          <w:p>
            <w:pPr>
              <w:spacing w:after="0"/>
              <w:rPr>
                <w:sz w:val="9"/>
                <w:szCs w:val="9"/>
                <w:color w:val="auto"/>
              </w:rPr>
            </w:pPr>
          </w:p>
        </w:tc>
        <w:tc>
          <w:tcPr>
            <w:tcW w:w="136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Less than</w:t>
            </w:r>
          </w:p>
        </w:tc>
        <w:tc>
          <w:tcPr>
            <w:tcW w:w="24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 to 5 years</w:t>
            </w:r>
          </w:p>
        </w:tc>
        <w:tc>
          <w:tcPr>
            <w:tcW w:w="240" w:type="dxa"/>
            <w:vAlign w:val="bottom"/>
          </w:tcPr>
          <w:p>
            <w:pPr>
              <w:spacing w:after="0"/>
              <w:rPr>
                <w:sz w:val="9"/>
                <w:szCs w:val="9"/>
                <w:color w:val="auto"/>
              </w:rPr>
            </w:pPr>
          </w:p>
        </w:tc>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24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December 31, 2022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360" w:type="dxa"/>
            <w:vAlign w:val="bottom"/>
          </w:tcPr>
          <w:p>
            <w:pPr>
              <w:jc w:val="right"/>
              <w:spacing w:after="0"/>
              <w:rPr>
                <w:sz w:val="20"/>
                <w:szCs w:val="20"/>
                <w:color w:val="auto"/>
              </w:rPr>
            </w:pPr>
            <w:r>
              <w:rPr>
                <w:rFonts w:ascii="Arial" w:cs="Arial" w:eastAsia="Arial" w:hAnsi="Arial"/>
                <w:sz w:val="16"/>
                <w:szCs w:val="16"/>
                <w:color w:val="auto"/>
              </w:rPr>
              <w:t>6,685,080</w:t>
            </w:r>
          </w:p>
        </w:tc>
        <w:tc>
          <w:tcPr>
            <w:tcW w:w="240" w:type="dxa"/>
            <w:vAlign w:val="bottom"/>
          </w:tcPr>
          <w:p>
            <w:pPr>
              <w:spacing w:after="0"/>
              <w:rPr>
                <w:sz w:val="18"/>
                <w:szCs w:val="18"/>
                <w:color w:val="auto"/>
              </w:rPr>
            </w:pPr>
          </w:p>
        </w:tc>
        <w:tc>
          <w:tcPr>
            <w:tcW w:w="1320" w:type="dxa"/>
            <w:vAlign w:val="bottom"/>
          </w:tcPr>
          <w:p>
            <w:pPr>
              <w:ind w:left="1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ind w:left="1140"/>
              <w:spacing w:after="0"/>
              <w:rPr>
                <w:sz w:val="20"/>
                <w:szCs w:val="20"/>
                <w:color w:val="auto"/>
              </w:rPr>
            </w:pPr>
            <w:r>
              <w:rPr>
                <w:rFonts w:ascii="Arial" w:cs="Arial" w:eastAsia="Arial" w:hAnsi="Arial"/>
                <w:sz w:val="16"/>
                <w:szCs w:val="16"/>
                <w:color w:val="auto"/>
                <w:w w:val="99"/>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666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8"/>
              </w:rPr>
              <w:t>Less than</w:t>
            </w:r>
          </w:p>
        </w:tc>
        <w:tc>
          <w:tcPr>
            <w:tcW w:w="24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 to 5 years</w:t>
            </w:r>
          </w:p>
        </w:tc>
        <w:tc>
          <w:tcPr>
            <w:tcW w:w="24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6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24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December 31, 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ind w:left="1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4,270,082</w:t>
            </w:r>
          </w:p>
        </w:tc>
        <w:tc>
          <w:tcPr>
            <w:tcW w:w="240" w:type="dxa"/>
            <w:vAlign w:val="bottom"/>
          </w:tcPr>
          <w:p>
            <w:pPr>
              <w:spacing w:after="0"/>
              <w:rPr>
                <w:sz w:val="18"/>
                <w:szCs w:val="18"/>
                <w:color w:val="auto"/>
              </w:rPr>
            </w:pPr>
          </w:p>
        </w:tc>
        <w:tc>
          <w:tcPr>
            <w:tcW w:w="1320" w:type="dxa"/>
            <w:vAlign w:val="bottom"/>
          </w:tcPr>
          <w:p>
            <w:pPr>
              <w:ind w:left="1140"/>
              <w:spacing w:after="0"/>
              <w:rPr>
                <w:sz w:val="20"/>
                <w:szCs w:val="20"/>
                <w:color w:val="auto"/>
              </w:rPr>
            </w:pPr>
            <w:r>
              <w:rPr>
                <w:rFonts w:ascii="Arial" w:cs="Arial" w:eastAsia="Arial" w:hAnsi="Arial"/>
                <w:sz w:val="16"/>
                <w:szCs w:val="16"/>
                <w:color w:val="auto"/>
                <w:w w:val="99"/>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4,270,082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1"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79"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 xml:space="preserve">On January 1, 2021 the Company granted a total of 107,000 stock options to members of key management with an exercise price of </w:t>
      </w:r>
      <w:r>
        <w:rPr>
          <w:rFonts w:ascii="Calibri" w:cs="Calibri" w:eastAsia="Calibri" w:hAnsi="Calibri"/>
          <w:sz w:val="19"/>
          <w:szCs w:val="19"/>
          <w:color w:val="auto"/>
        </w:rPr>
        <w:t>€</w:t>
      </w:r>
      <w:r>
        <w:rPr>
          <w:rFonts w:ascii="Arial" w:cs="Arial" w:eastAsia="Arial" w:hAnsi="Arial"/>
          <w:sz w:val="16"/>
          <w:szCs w:val="16"/>
          <w:color w:val="auto"/>
        </w:rPr>
        <w:t>7,25 per share with a final exercise date of December 31, 2030 unless forfeited or exercised on an earlier date.</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On June 25, 2021, the grant date fair value was determined for 88,000 stock options granted to a member of key management with an exercise price of €2.38 per share with a final exercise date of February 2, 2030 unless forfeited or exercised on an earlier date. Each month, 1/48 of the options will vest, with final vesting on February 4, 2024.</w:t>
      </w:r>
    </w:p>
    <w:p>
      <w:pPr>
        <w:spacing w:after="0" w:line="144"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89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June 1, 2022, a total of 120,000 stock options were granted to members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loss and comprehensive loss. The share-based payment expense recorded for the years ended December 31, 2022, 2021 and 2020 that related to Options, amounted to €7,590,041, €7,008,923 and €1,410,101,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360" w:type="dxa"/>
            <w:vAlign w:val="bottom"/>
            <w:gridSpan w:val="2"/>
          </w:tcPr>
          <w:p>
            <w:pPr>
              <w:jc w:val="center"/>
              <w:ind w:left="123"/>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Number stock</w:t>
            </w:r>
          </w:p>
        </w:tc>
        <w:tc>
          <w:tcPr>
            <w:tcW w:w="24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6"/>
              </w:rPr>
              <w:t>Number stock</w:t>
            </w:r>
          </w:p>
        </w:tc>
        <w:tc>
          <w:tcPr>
            <w:tcW w:w="220" w:type="dxa"/>
            <w:vAlign w:val="bottom"/>
          </w:tcPr>
          <w:p>
            <w:pPr>
              <w:spacing w:after="0"/>
              <w:rPr>
                <w:sz w:val="10"/>
                <w:szCs w:val="10"/>
                <w:color w:val="auto"/>
              </w:rPr>
            </w:pP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options</w:t>
            </w: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January 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2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1,465,295</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742,500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1,144,000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(31,257 )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5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(34,000 )</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(105,000 )</w:t>
            </w:r>
          </w:p>
        </w:tc>
        <w:tc>
          <w:tcPr>
            <w:tcW w:w="118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December 31,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of 3,181,538 at December 31, 2022 (2021: 2,470,295), 1,585,404 stock options were exercisable (2021: 469,630).</w:t>
      </w:r>
    </w:p>
    <w:p>
      <w:pPr>
        <w:spacing w:after="0" w:line="20" w:lineRule="exact"/>
        <w:rPr>
          <w:sz w:val="20"/>
          <w:szCs w:val="20"/>
          <w:color w:val="auto"/>
        </w:rPr>
      </w:pPr>
    </w:p>
    <w:p>
      <w:pPr>
        <w:ind w:right="580"/>
        <w:spacing w:after="0" w:line="262" w:lineRule="auto"/>
        <w:rPr>
          <w:sz w:val="20"/>
          <w:szCs w:val="20"/>
          <w:color w:val="auto"/>
        </w:rPr>
      </w:pPr>
      <w:r>
        <w:rPr>
          <w:rFonts w:ascii="Arial" w:cs="Arial" w:eastAsia="Arial" w:hAnsi="Arial"/>
          <w:sz w:val="16"/>
          <w:szCs w:val="16"/>
          <w:color w:val="auto"/>
        </w:rPr>
        <w:t>The options outstanding at December 31, 2022 had an exercise price in the range of €0.01 to €16.78 (2021: €0.01 to €16.67) and a weighted-average remaining contractual life of 7.5 years (2021 weighted-average remaining contractual life of 8.0 years).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 total of 31,257 share options were exercised during the period ended December 31, 2022 (2021: 34,000) and had a weighted-average share price of €11.74</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(2021:€38.75) at the date of exercise.</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2021 the Company granted a total of 175,991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2021 amounted to €17.0. The expenses are recognized over the service period in the consolidated statements of loss and comprehensive loss.</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2022 the Company granted a total of 681,588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 The expenses are recognized over the service period in the consolidated statements of loss and comprehensive loss.</w:t>
      </w:r>
    </w:p>
    <w:p>
      <w:pPr>
        <w:spacing w:after="0" w:line="179" w:lineRule="exact"/>
        <w:rPr>
          <w:sz w:val="20"/>
          <w:szCs w:val="20"/>
          <w:color w:val="auto"/>
        </w:rPr>
      </w:pPr>
    </w:p>
    <w:p>
      <w:pPr>
        <w:ind w:right="600"/>
        <w:spacing w:after="0" w:line="283" w:lineRule="auto"/>
        <w:rPr>
          <w:sz w:val="20"/>
          <w:szCs w:val="20"/>
          <w:color w:val="auto"/>
        </w:rPr>
      </w:pPr>
      <w:r>
        <w:rPr>
          <w:rFonts w:ascii="Arial" w:cs="Arial" w:eastAsia="Arial" w:hAnsi="Arial"/>
          <w:sz w:val="16"/>
          <w:szCs w:val="16"/>
          <w:color w:val="auto"/>
        </w:rPr>
        <w:t>The share-based payment expense recorded for the years ended December 31, 2022, 2021 and 2020 that related to RSUs, amounted to €3,759,159, €1,187,463 and €177,635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purchase prices of, and movements in, RSUs during the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800" w:type="dxa"/>
            <w:vAlign w:val="bottom"/>
          </w:tcPr>
          <w:p>
            <w:pPr>
              <w:spacing w:after="0"/>
              <w:rPr>
                <w:sz w:val="11"/>
                <w:szCs w:val="11"/>
                <w:color w:val="auto"/>
              </w:rPr>
            </w:pPr>
          </w:p>
        </w:tc>
        <w:tc>
          <w:tcPr>
            <w:tcW w:w="1180" w:type="dxa"/>
            <w:vAlign w:val="bottom"/>
            <w:vMerge w:val="restart"/>
          </w:tcPr>
          <w:p>
            <w:pPr>
              <w:jc w:val="right"/>
              <w:ind w:right="385"/>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1"/>
                <w:szCs w:val="11"/>
                <w:color w:val="auto"/>
              </w:rPr>
            </w:pPr>
          </w:p>
        </w:tc>
        <w:tc>
          <w:tcPr>
            <w:tcW w:w="11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purchase</w:t>
            </w:r>
          </w:p>
        </w:tc>
        <w:tc>
          <w:tcPr>
            <w:tcW w:w="1360" w:type="dxa"/>
            <w:vAlign w:val="bottom"/>
            <w:gridSpan w:val="2"/>
            <w:vMerge w:val="restart"/>
          </w:tcPr>
          <w:p>
            <w:pPr>
              <w:jc w:val="right"/>
              <w:ind w:right="36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1"/>
                <w:szCs w:val="11"/>
                <w:color w:val="auto"/>
              </w:rPr>
            </w:pPr>
          </w:p>
        </w:tc>
        <w:tc>
          <w:tcPr>
            <w:tcW w:w="11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purchase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Number RSUs</w:t>
            </w:r>
          </w:p>
        </w:tc>
        <w:tc>
          <w:tcPr>
            <w:tcW w:w="2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Number RSUs</w:t>
            </w:r>
          </w:p>
        </w:tc>
        <w:tc>
          <w:tcPr>
            <w:tcW w:w="22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January 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10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681,588</w:t>
            </w:r>
          </w:p>
        </w:tc>
        <w:tc>
          <w:tcPr>
            <w:tcW w:w="24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175,991</w:t>
            </w:r>
          </w:p>
        </w:tc>
        <w:tc>
          <w:tcPr>
            <w:tcW w:w="22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(65,846 )</w:t>
            </w: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15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(57,372 )</w:t>
            </w:r>
          </w:p>
        </w:tc>
        <w:tc>
          <w:tcPr>
            <w:tcW w:w="1180" w:type="dxa"/>
            <w:vAlign w:val="bottom"/>
            <w:shd w:val="clear" w:color="auto" w:fill="CFF0FC"/>
          </w:tcPr>
          <w:p>
            <w:pPr>
              <w:ind w:left="10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(79,762 )</w:t>
            </w: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(12,500 )</w:t>
            </w:r>
          </w:p>
        </w:tc>
        <w:tc>
          <w:tcPr>
            <w:tcW w:w="1180" w:type="dxa"/>
            <w:vAlign w:val="bottom"/>
          </w:tcPr>
          <w:p>
            <w:pPr>
              <w:ind w:left="10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December 31,</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ind w:left="100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-24765</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-7620</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-24765</wp:posOffset>
            </wp:positionV>
            <wp:extent cx="6794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-7620</wp:posOffset>
            </wp:positionV>
            <wp:extent cx="679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-24765</wp:posOffset>
            </wp:positionV>
            <wp:extent cx="679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-7620</wp:posOffset>
            </wp:positionV>
            <wp:extent cx="679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Company’s shares</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For the pre-IPO grants, the fair value of ordinary shares is determined by the Board of directors and takes into account the most recently available valuation of ordinary shares performed by an independent valuation firm and the assessment of additional objective and subjective factors we believe are relevant and which may have changed from the date of the most recent valuation through the date of the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89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Board of directors consider numerous objective and subjective factors to determine their best estimate of the fair value of the ordinary shares as of each grant date, including:</w:t>
      </w:r>
    </w:p>
    <w:p>
      <w:pPr>
        <w:spacing w:after="0" w:line="49" w:lineRule="exact"/>
        <w:rPr>
          <w:sz w:val="20"/>
          <w:szCs w:val="20"/>
          <w:color w:val="auto"/>
        </w:rPr>
      </w:pPr>
    </w:p>
    <w:p>
      <w:pPr>
        <w:ind w:left="520" w:hanging="513"/>
        <w:spacing w:after="0"/>
        <w:tabs>
          <w:tab w:leader="none" w:pos="52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of the research and development programs</w:t>
      </w:r>
    </w:p>
    <w:p>
      <w:pPr>
        <w:spacing w:after="0" w:line="123" w:lineRule="exact"/>
        <w:rPr>
          <w:rFonts w:ascii="Times New Roman" w:cs="Times New Roman" w:eastAsia="Times New Roman" w:hAnsi="Times New Roman"/>
          <w:sz w:val="16"/>
          <w:szCs w:val="16"/>
          <w:color w:val="auto"/>
        </w:rPr>
      </w:pPr>
    </w:p>
    <w:p>
      <w:pPr>
        <w:ind w:left="520" w:hanging="513"/>
        <w:spacing w:after="0"/>
        <w:tabs>
          <w:tab w:leader="none" w:pos="52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Contemporaneous third-party valuations of the ordinary shares for the share issuances in 2016, 2019 and 2020</w:t>
      </w:r>
    </w:p>
    <w:p>
      <w:pPr>
        <w:spacing w:after="0" w:line="123" w:lineRule="exact"/>
        <w:rPr>
          <w:rFonts w:ascii="Times New Roman" w:cs="Times New Roman" w:eastAsia="Times New Roman" w:hAnsi="Times New Roman"/>
          <w:sz w:val="16"/>
          <w:szCs w:val="16"/>
          <w:color w:val="auto"/>
        </w:rPr>
      </w:pPr>
    </w:p>
    <w:p>
      <w:pPr>
        <w:ind w:left="520" w:hanging="513"/>
        <w:spacing w:after="0"/>
        <w:tabs>
          <w:tab w:leader="none" w:pos="52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The rights and preferences of the preferred shares relative to the ordinary shares</w:t>
      </w:r>
    </w:p>
    <w:p>
      <w:pPr>
        <w:spacing w:after="0" w:line="123" w:lineRule="exact"/>
        <w:rPr>
          <w:rFonts w:ascii="Times New Roman" w:cs="Times New Roman" w:eastAsia="Times New Roman" w:hAnsi="Times New Roman"/>
          <w:sz w:val="16"/>
          <w:szCs w:val="16"/>
          <w:color w:val="auto"/>
        </w:rPr>
      </w:pPr>
    </w:p>
    <w:p>
      <w:pPr>
        <w:ind w:left="520" w:hanging="513"/>
        <w:spacing w:after="0"/>
        <w:tabs>
          <w:tab w:leader="none" w:pos="52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The likelihood of achieving a discrete liquidity event, such as a sale of the Company or an initial public offering given prevailing market conditions</w:t>
      </w:r>
    </w:p>
    <w:p>
      <w:pPr>
        <w:spacing w:after="0" w:line="123" w:lineRule="exact"/>
        <w:rPr>
          <w:rFonts w:ascii="Times New Roman" w:cs="Times New Roman" w:eastAsia="Times New Roman" w:hAnsi="Times New Roman"/>
          <w:sz w:val="16"/>
          <w:szCs w:val="16"/>
          <w:color w:val="auto"/>
        </w:rPr>
      </w:pPr>
    </w:p>
    <w:p>
      <w:pPr>
        <w:ind w:left="520" w:hanging="513"/>
        <w:spacing w:after="0"/>
        <w:tabs>
          <w:tab w:leader="none" w:pos="52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External market and economic conditions impacting the industry sector</w:t>
      </w:r>
    </w:p>
    <w:p>
      <w:pPr>
        <w:spacing w:after="0" w:line="231"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color w:val="auto"/>
        </w:rPr>
        <w:t>The inputs used in the measurement of the fair value per ordinary share pre-IPO at the grant/measurement date based upon the total equity value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ind w:right="846"/>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020" w:type="dxa"/>
            <w:vAlign w:val="bottom"/>
            <w:vMerge w:val="restart"/>
          </w:tcPr>
          <w:p>
            <w:pPr>
              <w:ind w:left="20"/>
              <w:spacing w:after="0"/>
              <w:rPr>
                <w:sz w:val="20"/>
                <w:szCs w:val="20"/>
                <w:color w:val="auto"/>
              </w:rPr>
            </w:pPr>
            <w:r>
              <w:rPr>
                <w:rFonts w:ascii="Arial" w:cs="Arial" w:eastAsia="Arial" w:hAnsi="Arial"/>
                <w:sz w:val="16"/>
                <w:szCs w:val="16"/>
                <w:color w:val="auto"/>
              </w:rPr>
              <w:t>Expected volatility (%)</w:t>
            </w:r>
          </w:p>
        </w:tc>
        <w:tc>
          <w:tcPr>
            <w:tcW w:w="4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90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6"/>
                <w:szCs w:val="16"/>
                <w:color w:val="auto"/>
              </w:rPr>
              <w:t>Risk-free interest rate (%)</w:t>
            </w:r>
          </w:p>
        </w:tc>
        <w:tc>
          <w:tcPr>
            <w:tcW w:w="44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-542925</wp:posOffset>
            </wp:positionV>
            <wp:extent cx="7133590" cy="135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135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22" w:lineRule="exact"/>
        <w:rPr>
          <w:sz w:val="20"/>
          <w:szCs w:val="20"/>
          <w:color w:val="auto"/>
        </w:rPr>
      </w:pPr>
    </w:p>
    <w:p>
      <w:pPr>
        <w:ind w:right="520"/>
        <w:spacing w:after="0" w:line="283"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03"/>
              <w:spacing w:after="0"/>
              <w:rPr>
                <w:sz w:val="20"/>
                <w:szCs w:val="20"/>
                <w:color w:val="auto"/>
              </w:rPr>
            </w:pPr>
            <w:r>
              <w:rPr>
                <w:rFonts w:ascii="Arial" w:cs="Arial" w:eastAsia="Arial" w:hAnsi="Arial"/>
                <w:sz w:val="13"/>
                <w:szCs w:val="13"/>
                <w:b w:val="1"/>
                <w:bCs w:val="1"/>
                <w:color w:val="auto"/>
              </w:rPr>
              <w:t>June 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03"/>
              <w:spacing w:after="0"/>
              <w:rPr>
                <w:sz w:val="20"/>
                <w:szCs w:val="20"/>
                <w:color w:val="auto"/>
              </w:rPr>
            </w:pPr>
            <w:r>
              <w:rPr>
                <w:rFonts w:ascii="Arial" w:cs="Arial" w:eastAsia="Arial" w:hAnsi="Arial"/>
                <w:sz w:val="13"/>
                <w:szCs w:val="13"/>
                <w:b w:val="1"/>
                <w:bCs w:val="1"/>
                <w:color w:val="auto"/>
              </w:rPr>
              <w:t>April 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3"/>
                <w:szCs w:val="13"/>
                <w:b w:val="1"/>
                <w:bCs w:val="1"/>
                <w:color w:val="auto"/>
                <w:w w:val="99"/>
              </w:rPr>
              <w:t>January 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23"/>
              <w:spacing w:after="0"/>
              <w:rPr>
                <w:sz w:val="20"/>
                <w:szCs w:val="20"/>
                <w:color w:val="auto"/>
              </w:rPr>
            </w:pPr>
            <w:r>
              <w:rPr>
                <w:rFonts w:ascii="Arial" w:cs="Arial" w:eastAsia="Arial" w:hAnsi="Arial"/>
                <w:sz w:val="13"/>
                <w:szCs w:val="13"/>
                <w:b w:val="1"/>
                <w:bCs w:val="1"/>
                <w:color w:val="auto"/>
              </w:rPr>
              <w:t>July 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4"/>
              <w:spacing w:after="0"/>
              <w:rPr>
                <w:sz w:val="20"/>
                <w:szCs w:val="20"/>
                <w:color w:val="auto"/>
              </w:rPr>
            </w:pPr>
            <w:r>
              <w:rPr>
                <w:rFonts w:ascii="Arial" w:cs="Arial" w:eastAsia="Arial" w:hAnsi="Arial"/>
                <w:sz w:val="13"/>
                <w:szCs w:val="13"/>
                <w:b w:val="1"/>
                <w:bCs w:val="1"/>
                <w:color w:val="auto"/>
                <w:w w:val="96"/>
              </w:rPr>
              <w:t>June 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24"/>
              <w:spacing w:after="0"/>
              <w:rPr>
                <w:sz w:val="20"/>
                <w:szCs w:val="20"/>
                <w:color w:val="auto"/>
              </w:rPr>
            </w:pPr>
            <w:r>
              <w:rPr>
                <w:rFonts w:ascii="Arial" w:cs="Arial" w:eastAsia="Arial" w:hAnsi="Arial"/>
                <w:sz w:val="13"/>
                <w:szCs w:val="13"/>
                <w:b w:val="1"/>
                <w:bCs w:val="1"/>
                <w:color w:val="auto"/>
                <w:w w:val="96"/>
              </w:rPr>
              <w:t>June 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Arial" w:cs="Arial" w:eastAsia="Arial" w:hAnsi="Arial"/>
                <w:sz w:val="13"/>
                <w:szCs w:val="13"/>
                <w:b w:val="1"/>
                <w:bCs w:val="1"/>
                <w:color w:val="auto"/>
                <w:w w:val="96"/>
              </w:rPr>
              <w:t>February 4,</w:t>
            </w:r>
          </w:p>
        </w:tc>
        <w:tc>
          <w:tcPr>
            <w:tcW w:w="120" w:type="dxa"/>
            <w:vAlign w:val="bottom"/>
          </w:tcPr>
          <w:p>
            <w:pPr>
              <w:spacing w:after="0"/>
              <w:rPr>
                <w:sz w:val="13"/>
                <w:szCs w:val="1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January 1,</w:t>
            </w:r>
          </w:p>
        </w:tc>
      </w:tr>
      <w:tr>
        <w:trPr>
          <w:trHeight w:val="165"/>
        </w:trPr>
        <w:tc>
          <w:tcPr>
            <w:tcW w:w="2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Option 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8"/>
              </w:rPr>
              <w:t>Option 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8"/>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options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552,500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6"/>
                <w:szCs w:val="16"/>
                <w:color w:val="auto"/>
              </w:rPr>
              <w:t>Fair value of the options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the ordinary shares</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6"/>
                <w:szCs w:val="16"/>
                <w:color w:val="auto"/>
              </w:rPr>
              <w:t>Exercise price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1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80 %</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80 %</w:t>
            </w: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85 %</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85 %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1080" w:type="dxa"/>
            <w:vAlign w:val="bottom"/>
            <w:gridSpan w:val="3"/>
          </w:tcPr>
          <w:p>
            <w:pPr>
              <w:jc w:val="right"/>
              <w:ind w:right="24"/>
              <w:spacing w:after="0"/>
              <w:rPr>
                <w:sz w:val="20"/>
                <w:szCs w:val="20"/>
                <w:color w:val="auto"/>
              </w:rPr>
            </w:pPr>
            <w:r>
              <w:rPr>
                <w:rFonts w:ascii="Arial" w:cs="Arial" w:eastAsia="Arial" w:hAnsi="Arial"/>
                <w:sz w:val="16"/>
                <w:szCs w:val="16"/>
                <w:color w:val="auto"/>
              </w:rPr>
              <w:t>85 %</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85 %</w:t>
            </w:r>
          </w:p>
        </w:tc>
      </w:tr>
      <w:tr>
        <w:trPr>
          <w:trHeight w:val="214"/>
        </w:trPr>
        <w:tc>
          <w:tcPr>
            <w:tcW w:w="296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6"/>
                <w:szCs w:val="16"/>
                <w:color w:val="auto"/>
              </w:rPr>
              <w:t>Risk-free interest rate (%)</w:t>
            </w:r>
          </w:p>
        </w:tc>
        <w:tc>
          <w:tcPr>
            <w:tcW w:w="1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3.0 %</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2.6 %</w:t>
            </w: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1.4 %</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1.2 %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-0.5 %</w:t>
            </w:r>
          </w:p>
        </w:tc>
        <w:tc>
          <w:tcPr>
            <w:tcW w:w="1080" w:type="dxa"/>
            <w:vAlign w:val="bottom"/>
            <w:gridSpan w:val="3"/>
          </w:tcPr>
          <w:p>
            <w:pPr>
              <w:jc w:val="right"/>
              <w:ind w:right="24"/>
              <w:spacing w:after="0"/>
              <w:rPr>
                <w:sz w:val="20"/>
                <w:szCs w:val="20"/>
                <w:color w:val="auto"/>
              </w:rPr>
            </w:pPr>
            <w:r>
              <w:rPr>
                <w:rFonts w:ascii="Arial" w:cs="Arial" w:eastAsia="Arial" w:hAnsi="Arial"/>
                <w:sz w:val="16"/>
                <w:szCs w:val="16"/>
                <w:color w:val="auto"/>
              </w:rPr>
              <w:t>0.8 %</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-0.6 %</w:t>
            </w:r>
          </w:p>
        </w:tc>
      </w:tr>
      <w:tr>
        <w:trPr>
          <w:trHeight w:val="214"/>
        </w:trPr>
        <w:tc>
          <w:tcPr>
            <w:tcW w:w="29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-542925</wp:posOffset>
            </wp:positionV>
            <wp:extent cx="7133590" cy="135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135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5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Group.</w:t>
      </w:r>
    </w:p>
    <w:p>
      <w:pPr>
        <w:spacing w:after="0" w:line="15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year.</w:t>
      </w:r>
    </w:p>
    <w:p>
      <w:pPr>
        <w:spacing w:after="0" w:line="156"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Outstanding options are not included in the calculation of diluted earnings per share because they are antidilutive in 2022, 2021 and 2020.</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899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loss per share</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13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4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4800" w:type="dxa"/>
            <w:vAlign w:val="bottom"/>
          </w:tcPr>
          <w:p>
            <w:pPr>
              <w:spacing w:after="0"/>
              <w:rPr>
                <w:sz w:val="14"/>
                <w:szCs w:val="14"/>
                <w:color w:val="auto"/>
              </w:rPr>
            </w:pPr>
          </w:p>
        </w:tc>
        <w:tc>
          <w:tcPr>
            <w:tcW w:w="12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r>
      <w:tr>
        <w:trPr>
          <w:trHeight w:val="154"/>
        </w:trPr>
        <w:tc>
          <w:tcPr>
            <w:tcW w:w="48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r>
      <w:tr>
        <w:trPr>
          <w:trHeight w:val="20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(76,332,557</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(42,700,486</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(25,990,069</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7"/>
        </w:trPr>
        <w:tc>
          <w:tcPr>
            <w:tcW w:w="4800" w:type="dxa"/>
            <w:vAlign w:val="bottom"/>
          </w:tcPr>
          <w:p>
            <w:pPr>
              <w:spacing w:after="0"/>
              <w:rPr>
                <w:sz w:val="20"/>
                <w:szCs w:val="20"/>
                <w:color w:val="auto"/>
              </w:rPr>
            </w:pPr>
            <w:r>
              <w:rPr>
                <w:rFonts w:ascii="Arial" w:cs="Arial" w:eastAsia="Arial" w:hAnsi="Arial"/>
                <w:sz w:val="16"/>
                <w:szCs w:val="16"/>
                <w:color w:val="auto"/>
              </w:rPr>
              <w:t>Weighted average number of ordinary shares</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200" w:type="dxa"/>
            <w:vAlign w:val="bottom"/>
          </w:tcPr>
          <w:p>
            <w:pPr>
              <w:jc w:val="right"/>
              <w:spacing w:after="0"/>
              <w:rPr>
                <w:sz w:val="20"/>
                <w:szCs w:val="20"/>
                <w:color w:val="auto"/>
              </w:rPr>
            </w:pPr>
            <w:r>
              <w:rPr>
                <w:rFonts w:ascii="Arial" w:cs="Arial" w:eastAsia="Arial" w:hAnsi="Arial"/>
                <w:sz w:val="16"/>
                <w:szCs w:val="16"/>
                <w:color w:val="auto"/>
              </w:rPr>
              <w:t>33,585,976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30,411,902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4,850,000</w:t>
            </w:r>
          </w:p>
        </w:tc>
        <w:tc>
          <w:tcPr>
            <w:tcW w:w="80" w:type="dxa"/>
            <w:vAlign w:val="bottom"/>
          </w:tcPr>
          <w:p>
            <w:pPr>
              <w:spacing w:after="0"/>
              <w:rPr>
                <w:sz w:val="18"/>
                <w:szCs w:val="18"/>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(2.27 )</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(1.40 )</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(5.36 )</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Dr. Knolle, who has served as Chief Scientific Officer and Chief Operating Officer since its inception, was a member of the board of Charité Research Organisation GmbH, or Charité CRO until February 28, 2022. The Company has entered into a service contract with Charité CRO according to which Charité CRO provides services supporting research for the Company. In fiscal years 2022, 2021 and 2020, payments to Charité CRO with respect to this service contract amounted to €372,858, €608 and €1,025,795,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1800" w:type="dxa"/>
            <w:vAlign w:val="bottom"/>
          </w:tcPr>
          <w:p>
            <w:pPr>
              <w:jc w:val="right"/>
              <w:ind w:right="686"/>
              <w:spacing w:after="0"/>
              <w:rPr>
                <w:sz w:val="20"/>
                <w:szCs w:val="20"/>
                <w:color w:val="auto"/>
              </w:rPr>
            </w:pPr>
            <w:r>
              <w:rPr>
                <w:rFonts w:ascii="Arial" w:cs="Arial" w:eastAsia="Arial" w:hAnsi="Arial"/>
                <w:sz w:val="13"/>
                <w:szCs w:val="13"/>
                <w:b w:val="1"/>
                <w:bCs w:val="1"/>
                <w:color w:val="auto"/>
              </w:rPr>
              <w:t>2022</w:t>
            </w:r>
          </w:p>
        </w:tc>
        <w:tc>
          <w:tcPr>
            <w:tcW w:w="1640" w:type="dxa"/>
            <w:vAlign w:val="bottom"/>
            <w:gridSpan w:val="2"/>
          </w:tcPr>
          <w:p>
            <w:pPr>
              <w:jc w:val="right"/>
              <w:ind w:right="506"/>
              <w:spacing w:after="0"/>
              <w:rPr>
                <w:sz w:val="20"/>
                <w:szCs w:val="20"/>
                <w:color w:val="auto"/>
              </w:rPr>
            </w:pPr>
            <w:r>
              <w:rPr>
                <w:rFonts w:ascii="Arial" w:cs="Arial" w:eastAsia="Arial" w:hAnsi="Arial"/>
                <w:sz w:val="13"/>
                <w:szCs w:val="13"/>
                <w:b w:val="1"/>
                <w:bCs w:val="1"/>
                <w:color w:val="auto"/>
              </w:rPr>
              <w:t>2021</w:t>
            </w:r>
          </w:p>
        </w:tc>
        <w:tc>
          <w:tcPr>
            <w:tcW w:w="1580" w:type="dxa"/>
            <w:vAlign w:val="bottom"/>
            <w:gridSpan w:val="2"/>
          </w:tcPr>
          <w:p>
            <w:pPr>
              <w:jc w:val="right"/>
              <w:ind w:right="486"/>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r>
      <w:tr>
        <w:trPr>
          <w:trHeight w:val="154"/>
        </w:trPr>
        <w:tc>
          <w:tcPr>
            <w:tcW w:w="3640" w:type="dxa"/>
            <w:vAlign w:val="bottom"/>
          </w:tcPr>
          <w:p>
            <w:pPr>
              <w:spacing w:after="0"/>
              <w:rPr>
                <w:sz w:val="13"/>
                <w:szCs w:val="13"/>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08"/>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Short term employee benefits</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3,461,860</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2,517,211</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1,834,423</w:t>
            </w:r>
          </w:p>
        </w:tc>
        <w:tc>
          <w:tcPr>
            <w:tcW w:w="80" w:type="dxa"/>
            <w:vAlign w:val="bottom"/>
            <w:shd w:val="clear" w:color="auto" w:fill="CFF0FC"/>
          </w:tcPr>
          <w:p>
            <w:pPr>
              <w:spacing w:after="0"/>
              <w:rPr>
                <w:sz w:val="18"/>
                <w:szCs w:val="18"/>
                <w:color w:val="auto"/>
              </w:rPr>
            </w:pPr>
          </w:p>
        </w:tc>
      </w:tr>
      <w:tr>
        <w:trPr>
          <w:trHeight w:val="214"/>
        </w:trPr>
        <w:tc>
          <w:tcPr>
            <w:tcW w:w="3640" w:type="dxa"/>
            <w:vAlign w:val="bottom"/>
          </w:tcPr>
          <w:p>
            <w:pPr>
              <w:spacing w:after="0"/>
              <w:rPr>
                <w:sz w:val="20"/>
                <w:szCs w:val="20"/>
                <w:color w:val="auto"/>
              </w:rPr>
            </w:pPr>
            <w:r>
              <w:rPr>
                <w:rFonts w:ascii="Arial" w:cs="Arial" w:eastAsia="Arial" w:hAnsi="Arial"/>
                <w:sz w:val="16"/>
                <w:szCs w:val="16"/>
                <w:color w:val="auto"/>
              </w:rPr>
              <w:t>Post employee benefits</w:t>
            </w:r>
          </w:p>
        </w:tc>
        <w:tc>
          <w:tcPr>
            <w:tcW w:w="1800" w:type="dxa"/>
            <w:vAlign w:val="bottom"/>
          </w:tcPr>
          <w:p>
            <w:pPr>
              <w:jc w:val="right"/>
              <w:spacing w:after="0"/>
              <w:rPr>
                <w:sz w:val="20"/>
                <w:szCs w:val="20"/>
                <w:color w:val="auto"/>
              </w:rPr>
            </w:pPr>
            <w:r>
              <w:rPr>
                <w:rFonts w:ascii="Arial" w:cs="Arial" w:eastAsia="Arial" w:hAnsi="Arial"/>
                <w:sz w:val="16"/>
                <w:szCs w:val="16"/>
                <w:color w:val="auto"/>
              </w:rPr>
              <w:t>148,678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80,482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34,934</w:t>
            </w:r>
          </w:p>
        </w:tc>
        <w:tc>
          <w:tcPr>
            <w:tcW w:w="80" w:type="dxa"/>
            <w:vAlign w:val="bottom"/>
          </w:tcPr>
          <w:p>
            <w:pPr>
              <w:spacing w:after="0"/>
              <w:rPr>
                <w:sz w:val="18"/>
                <w:szCs w:val="18"/>
                <w:color w:val="auto"/>
              </w:rPr>
            </w:pPr>
          </w:p>
        </w:tc>
      </w:tr>
      <w:tr>
        <w:trPr>
          <w:trHeight w:val="214"/>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6,524,726</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6,269,218</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860,117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3640" w:type="dxa"/>
            <w:vAlign w:val="bottom"/>
          </w:tcPr>
          <w:p>
            <w:pPr>
              <w:spacing w:after="0"/>
              <w:rPr>
                <w:sz w:val="20"/>
                <w:szCs w:val="20"/>
                <w:color w:val="auto"/>
              </w:rPr>
            </w:pPr>
            <w:r>
              <w:rPr>
                <w:rFonts w:ascii="Arial" w:cs="Arial" w:eastAsia="Arial" w:hAnsi="Arial"/>
                <w:sz w:val="16"/>
                <w:szCs w:val="16"/>
                <w:color w:val="auto"/>
              </w:rPr>
              <w:t>Total</w:t>
            </w:r>
          </w:p>
        </w:tc>
        <w:tc>
          <w:tcPr>
            <w:tcW w:w="1800" w:type="dxa"/>
            <w:vAlign w:val="bottom"/>
          </w:tcPr>
          <w:p>
            <w:pPr>
              <w:jc w:val="right"/>
              <w:spacing w:after="0"/>
              <w:rPr>
                <w:sz w:val="20"/>
                <w:szCs w:val="20"/>
                <w:color w:val="auto"/>
              </w:rPr>
            </w:pPr>
            <w:r>
              <w:rPr>
                <w:rFonts w:ascii="Arial" w:cs="Arial" w:eastAsia="Arial" w:hAnsi="Arial"/>
                <w:sz w:val="16"/>
                <w:szCs w:val="16"/>
                <w:color w:val="auto"/>
              </w:rPr>
              <w:t>10,135,264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8,866,911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2,729,474</w:t>
            </w:r>
          </w:p>
        </w:tc>
        <w:tc>
          <w:tcPr>
            <w:tcW w:w="8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-169545</wp:posOffset>
            </wp:positionV>
            <wp:extent cx="59690" cy="1701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-169545</wp:posOffset>
            </wp:positionV>
            <wp:extent cx="50800" cy="1701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50800" cy="170180"/>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-169545</wp:posOffset>
            </wp:positionV>
            <wp:extent cx="50800" cy="1701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50800" cy="170180"/>
                    </a:xfrm>
                    <a:prstGeom prst="rect">
                      <a:avLst/>
                    </a:prstGeom>
                    <a:noFill/>
                  </pic:spPr>
                </pic:pic>
              </a:graphicData>
            </a:graphic>
          </wp:anchor>
        </w:drawing>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At the end of financial year 2020 an amount of €120,000 of short-term employee benefits was capitalized on the consolidated statements of financial position. This amount was recognized in the Group’s statements of profit or loss and other comprehensive income in 2021. As at 31 December 2022 and 2021, no short-term employee benefits have been capitalized.</w:t>
      </w:r>
    </w:p>
    <w:p>
      <w:pPr>
        <w:spacing w:after="0" w:line="170"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These management entities are considered related parties, as they provide key management services and the key management personnel have key management functions within these entities. Certain key management personnel are also shareholders of the Company. The aggregate amount of expense recognized in the consolidated statements of loss and comprehensive loss related to these related parties were €1,156,715 (2021:€1,101,280; 2020: €724,897).</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amounts payable to the related parties were €1,162,963 (2021: €1,586,157; 2020: €398,489).</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1"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Non-cancellable service contracts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 B2 receptor antagonist.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Commitment for the minimum payments in relation to the non-cancellable service contracts are payable as follows:</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1100" w:type="dxa"/>
            <w:vAlign w:val="bottom"/>
          </w:tcPr>
          <w:p>
            <w:pPr>
              <w:jc w:val="right"/>
              <w:ind w:right="347"/>
              <w:spacing w:after="0"/>
              <w:rPr>
                <w:sz w:val="20"/>
                <w:szCs w:val="20"/>
                <w:color w:val="auto"/>
              </w:rPr>
            </w:pPr>
            <w:r>
              <w:rPr>
                <w:rFonts w:ascii="Arial" w:cs="Arial" w:eastAsia="Arial" w:hAnsi="Arial"/>
                <w:sz w:val="13"/>
                <w:szCs w:val="13"/>
                <w:b w:val="1"/>
                <w:bCs w:val="1"/>
                <w:color w:val="auto"/>
              </w:rPr>
              <w:t>2023</w:t>
            </w:r>
          </w:p>
        </w:tc>
        <w:tc>
          <w:tcPr>
            <w:tcW w:w="1260" w:type="dxa"/>
            <w:vAlign w:val="bottom"/>
            <w:gridSpan w:val="2"/>
          </w:tcPr>
          <w:p>
            <w:pPr>
              <w:jc w:val="right"/>
              <w:ind w:right="32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r>
      <w:tr>
        <w:trPr>
          <w:trHeight w:val="154"/>
        </w:trPr>
        <w:tc>
          <w:tcPr>
            <w:tcW w:w="54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Within one year</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21,819,000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16,153,000</w:t>
            </w:r>
          </w:p>
        </w:tc>
        <w:tc>
          <w:tcPr>
            <w:tcW w:w="80" w:type="dxa"/>
            <w:vAlign w:val="bottom"/>
            <w:shd w:val="clear" w:color="auto" w:fill="CFF0FC"/>
          </w:tcPr>
          <w:p>
            <w:pPr>
              <w:spacing w:after="0"/>
              <w:rPr>
                <w:sz w:val="18"/>
                <w:szCs w:val="18"/>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6"/>
                <w:szCs w:val="16"/>
                <w:color w:val="auto"/>
              </w:rPr>
              <w:t>Later than one year but not later than five years</w:t>
            </w:r>
          </w:p>
        </w:tc>
        <w:tc>
          <w:tcPr>
            <w:tcW w:w="1100" w:type="dxa"/>
            <w:vAlign w:val="bottom"/>
          </w:tcPr>
          <w:p>
            <w:pPr>
              <w:jc w:val="right"/>
              <w:spacing w:after="0"/>
              <w:rPr>
                <w:sz w:val="20"/>
                <w:szCs w:val="20"/>
                <w:color w:val="auto"/>
              </w:rPr>
            </w:pPr>
            <w:r>
              <w:rPr>
                <w:rFonts w:ascii="Arial" w:cs="Arial" w:eastAsia="Arial" w:hAnsi="Arial"/>
                <w:sz w:val="16"/>
                <w:szCs w:val="16"/>
                <w:color w:val="auto"/>
              </w:rPr>
              <w:t>6,153,000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3,351,000</w:t>
            </w:r>
          </w:p>
        </w:tc>
        <w:tc>
          <w:tcPr>
            <w:tcW w:w="80" w:type="dxa"/>
            <w:vAlign w:val="bottom"/>
          </w:tcPr>
          <w:p>
            <w:pPr>
              <w:spacing w:after="0"/>
              <w:rPr>
                <w:sz w:val="18"/>
                <w:szCs w:val="18"/>
                <w:color w:val="auto"/>
              </w:rPr>
            </w:pPr>
          </w:p>
        </w:tc>
      </w:tr>
      <w:tr>
        <w:trPr>
          <w:trHeight w:val="248"/>
        </w:trPr>
        <w:tc>
          <w:tcPr>
            <w:tcW w:w="54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27,972,000</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19,504,000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-24765</wp:posOffset>
            </wp:positionV>
            <wp:extent cx="508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-7620</wp:posOffset>
            </wp:positionV>
            <wp:extent cx="508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25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254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On March 31, 2016, the Company entered into a license agreement (the “AnalytiCon License”) and a research agreement with AnalytiCon to collaborate for the development of an orally available bradykinin B2 receptor antagonist. Pursuant to the AnalytiCon</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89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License, the Company acquired a worldwide, exclusive license from AnalytiCon to use (i) a certain proprietary substance class of bradykinin B2 receptor antagonists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Under the AnalytiCon License, up to €10.5 million in aggregate potential milestone payments remain outstanding. In addition, the Company will be required to pay AnalytiCon low to medium single-digit tiered royalties on direct or indirect net sales of licensed products. The royalties that the Company is required to pay AnalytiCon under this agreement may be reduced on a country-by-country and product-by-product basis if sales of a generic version of a product account for 1% or more of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at December 31, 2022 and 2021.</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Events after the reporting period</w:t>
      </w:r>
    </w:p>
    <w:p>
      <w:pPr>
        <w:spacing w:after="0" w:line="32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Company has evaluated subsequent events through April 5, 2023, which is the date the consolidated financial statements were authorized for issuance, and did not identify any significant event after the reporting period that needs to be disclosed.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9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April 5, 2023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 A.M. de Jonge Schuermans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3877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A.M de Jonge Schuermans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3877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387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923" w:lineRule="exact"/>
        <w:rPr>
          <w:sz w:val="20"/>
          <w:szCs w:val="20"/>
          <w:color w:val="auto"/>
        </w:rPr>
      </w:pPr>
    </w:p>
    <w:p>
      <w:pPr>
        <w:sectPr>
          <w:pgSz w:w="11900" w:h="16838" w:orient="portrait"/>
          <w:cols w:equalWidth="0" w:num="2">
            <w:col w:w="5180" w:space="720"/>
            <w:col w:w="4239"/>
          </w:cols>
          <w:pgMar w:left="320" w:top="125" w:right="1440" w:bottom="1440" w:gutter="0" w:footer="0" w:header="0"/>
        </w:sectPr>
      </w:pP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89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Exhibit 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Ordinary Shares of the Registrant</w:t>
      </w:r>
    </w:p>
    <w:p>
      <w:pPr>
        <w:spacing w:after="0" w:line="218"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As of the date of the Annual Report on Form 20-F of which this Exhibit 2.1 is a part, Pharvaris N.V.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has only one class of securities registered under Section 12 of the Securities Exchange Act of 1934, as amended; our registered ordinary shares.</w:t>
      </w:r>
    </w:p>
    <w:p>
      <w:pPr>
        <w:spacing w:after="0" w:line="156" w:lineRule="exact"/>
        <w:rPr>
          <w:sz w:val="20"/>
          <w:szCs w:val="20"/>
          <w:color w:val="auto"/>
        </w:rPr>
      </w:pPr>
    </w:p>
    <w:p>
      <w:pPr>
        <w:ind w:right="240" w:firstLine="458"/>
        <w:spacing w:after="0" w:line="283" w:lineRule="auto"/>
        <w:rPr>
          <w:sz w:val="20"/>
          <w:szCs w:val="20"/>
          <w:color w:val="auto"/>
        </w:rPr>
      </w:pPr>
      <w:r>
        <w:rPr>
          <w:rFonts w:ascii="Arial" w:cs="Arial" w:eastAsia="Arial" w:hAnsi="Arial"/>
          <w:sz w:val="16"/>
          <w:szCs w:val="16"/>
          <w:color w:val="auto"/>
        </w:rPr>
        <w:t>We are registered with the Trade Register of the Chamber of Commerce (</w:t>
      </w:r>
      <w:r>
        <w:rPr>
          <w:rFonts w:ascii="Arial" w:cs="Arial" w:eastAsia="Arial" w:hAnsi="Arial"/>
          <w:sz w:val="16"/>
          <w:szCs w:val="16"/>
          <w:i w:val="1"/>
          <w:iCs w:val="1"/>
          <w:color w:val="auto"/>
        </w:rPr>
        <w:t>Kamer van Koophandel</w:t>
      </w:r>
      <w:r>
        <w:rPr>
          <w:rFonts w:ascii="Arial" w:cs="Arial" w:eastAsia="Arial" w:hAnsi="Arial"/>
          <w:sz w:val="16"/>
          <w:szCs w:val="16"/>
          <w:color w:val="auto"/>
        </w:rPr>
        <w:t>) under number 64239411. Our corporate seat is in Leiden, the Netherlands, and our registered office is also in Leiden, the Netherlands.</w:t>
      </w:r>
    </w:p>
    <w:p>
      <w:pPr>
        <w:spacing w:after="0" w:line="156" w:lineRule="exact"/>
        <w:rPr>
          <w:sz w:val="20"/>
          <w:szCs w:val="20"/>
          <w:color w:val="auto"/>
        </w:rPr>
      </w:pPr>
    </w:p>
    <w:p>
      <w:pPr>
        <w:ind w:right="280" w:firstLine="458"/>
        <w:spacing w:after="0" w:line="264" w:lineRule="auto"/>
        <w:rPr>
          <w:sz w:val="20"/>
          <w:szCs w:val="20"/>
          <w:color w:val="auto"/>
        </w:rPr>
      </w:pPr>
      <w:r>
        <w:rPr>
          <w:rFonts w:ascii="Arial" w:cs="Arial" w:eastAsia="Arial" w:hAnsi="Arial"/>
          <w:sz w:val="16"/>
          <w:szCs w:val="16"/>
          <w:color w:val="auto"/>
        </w:rPr>
        <w:t>The following description of our ordinary shares is a summary and does not purport to be complete. It is subject to and qualified in its entirety by reference to our Articles of Association, which are incorporated by reference as an exhibit to this Annual Report on Form 20-F of which this Exhibit 2.1 is a part.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Ordinary Shares</w:t>
      </w:r>
    </w:p>
    <w:p>
      <w:pPr>
        <w:spacing w:after="0" w:line="218"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Our ordinary shares and preferred shares shall be in registered form (</w:t>
      </w:r>
      <w:r>
        <w:rPr>
          <w:rFonts w:ascii="Arial" w:cs="Arial" w:eastAsia="Arial" w:hAnsi="Arial"/>
          <w:sz w:val="16"/>
          <w:szCs w:val="16"/>
          <w:i w:val="1"/>
          <w:iCs w:val="1"/>
          <w:color w:val="auto"/>
        </w:rPr>
        <w:t>op naam</w:t>
      </w:r>
      <w:r>
        <w:rPr>
          <w:rFonts w:ascii="Arial" w:cs="Arial" w:eastAsia="Arial" w:hAnsi="Arial"/>
          <w:sz w:val="16"/>
          <w:szCs w:val="16"/>
          <w:color w:val="auto"/>
        </w:rPr>
        <w:t>). We may issue share certificates (</w:t>
      </w:r>
      <w:r>
        <w:rPr>
          <w:rFonts w:ascii="Arial" w:cs="Arial" w:eastAsia="Arial" w:hAnsi="Arial"/>
          <w:sz w:val="16"/>
          <w:szCs w:val="16"/>
          <w:i w:val="1"/>
          <w:iCs w:val="1"/>
          <w:color w:val="auto"/>
        </w:rPr>
        <w:t>aandeelbewijzen</w:t>
      </w:r>
      <w:r>
        <w:rPr>
          <w:rFonts w:ascii="Arial" w:cs="Arial" w:eastAsia="Arial" w:hAnsi="Arial"/>
          <w:sz w:val="16"/>
          <w:szCs w:val="16"/>
          <w:color w:val="auto"/>
        </w:rPr>
        <w:t>) for registered shares in such form as may be approved by our Board. Our authorized share capital amounts to €14,100,000, divided into 58,750,000 ordinary shares, each with a nominal value of €0.12, and 58,750,000 preferred shares, each with a nominal value of €0.12.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our authorized share capital is the maximum capital that we may issue without amending our Articles of Association.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the main rights of holders of our ordinary shares:</w:t>
      </w:r>
    </w:p>
    <w:p>
      <w:pPr>
        <w:spacing w:after="0" w:line="218" w:lineRule="exact"/>
        <w:rPr>
          <w:sz w:val="20"/>
          <w:szCs w:val="20"/>
          <w:color w:val="auto"/>
        </w:rPr>
      </w:pPr>
    </w:p>
    <w:p>
      <w:pPr>
        <w:ind w:left="1020" w:right="820" w:hanging="563"/>
        <w:spacing w:after="0" w:line="283" w:lineRule="auto"/>
        <w:tabs>
          <w:tab w:leader="none" w:pos="10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holder of ordinary shares is entitled to one vote per share on all matters to be voted on by shareholders generally, including the appointment of directors;</w:t>
      </w:r>
    </w:p>
    <w:p>
      <w:pPr>
        <w:spacing w:after="0" w:line="129" w:lineRule="exact"/>
        <w:rPr>
          <w:sz w:val="20"/>
          <w:szCs w:val="20"/>
          <w:color w:val="auto"/>
        </w:rPr>
      </w:pPr>
    </w:p>
    <w:p>
      <w:pPr>
        <w:ind w:left="1020" w:hanging="563"/>
        <w:spacing w:after="0"/>
        <w:tabs>
          <w:tab w:leader="none" w:pos="10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there are no cumulative voting rights;</w:t>
      </w:r>
    </w:p>
    <w:p>
      <w:pPr>
        <w:spacing w:after="0" w:line="191" w:lineRule="exact"/>
        <w:rPr>
          <w:sz w:val="20"/>
          <w:szCs w:val="20"/>
          <w:color w:val="auto"/>
        </w:rPr>
      </w:pPr>
    </w:p>
    <w:p>
      <w:pPr>
        <w:ind w:left="1020" w:hanging="563"/>
        <w:spacing w:after="0" w:line="264" w:lineRule="auto"/>
        <w:tabs>
          <w:tab w:leader="none" w:pos="10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ectPr>
          <w:pgSz w:w="11900" w:h="16838" w:orient="portrait"/>
          <w:cols w:equalWidth="0" w:num="1">
            <w:col w:w="11240"/>
          </w:cols>
          <w:pgMar w:left="320" w:top="125" w:right="33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420"/>
        <w:spacing w:after="0" w:line="257" w:lineRule="auto"/>
        <w:rPr>
          <w:sz w:val="20"/>
          <w:szCs w:val="20"/>
          <w:color w:val="auto"/>
        </w:rPr>
      </w:pPr>
      <w:r>
        <w:rPr>
          <w:rFonts w:ascii="Arial" w:cs="Arial" w:eastAsia="Arial" w:hAnsi="Arial"/>
          <w:sz w:val="16"/>
          <w:szCs w:val="16"/>
          <w:color w:val="auto"/>
        </w:rPr>
        <w:t>upon our liquidation, dissolution or winding-up,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150" w:lineRule="exact"/>
        <w:rPr>
          <w:sz w:val="20"/>
          <w:szCs w:val="20"/>
          <w:color w:val="auto"/>
        </w:rPr>
      </w:pPr>
    </w:p>
    <w:p>
      <w:pPr>
        <w:sectPr>
          <w:pgSz w:w="11900" w:h="16838" w:orient="portrait"/>
          <w:cols w:equalWidth="0" w:num="2">
            <w:col w:w="640" w:space="380"/>
            <w:col w:w="10220"/>
          </w:cols>
          <w:pgMar w:left="320" w:top="125" w:right="339" w:bottom="1440" w:gutter="0" w:footer="0" w:header="0"/>
          <w:type w:val="continuous"/>
        </w:sectPr>
      </w:pPr>
    </w:p>
    <w:p>
      <w:pPr>
        <w:ind w:left="1020" w:right="120" w:hanging="563"/>
        <w:spacing w:after="0" w:line="264" w:lineRule="auto"/>
        <w:tabs>
          <w:tab w:leader="none" w:pos="10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holders of ordinary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Amendment to our Articles of Association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amendment to our Articles of Association would require a resolution of the general meeting upon proposal by the Board.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Limitations on the Rights to Own Ordinary Shares</w:t>
      </w:r>
    </w:p>
    <w:p>
      <w:pPr>
        <w:spacing w:after="0" w:line="218"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Limitation on Liability and Indemnification Matters</w:t>
      </w:r>
    </w:p>
    <w:p>
      <w:pPr>
        <w:spacing w:after="0" w:line="218"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1589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2" w:name="page143"/>
    <w:bookmarkEnd w:id="142"/>
    <w:p>
      <w:pPr>
        <w:ind w:left="1020" w:right="20" w:hanging="563"/>
        <w:spacing w:after="0" w:line="257" w:lineRule="auto"/>
        <w:tabs>
          <w:tab w:leader="none" w:pos="102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2" w:lineRule="exact"/>
        <w:rPr>
          <w:rFonts w:ascii="Times New Roman" w:cs="Times New Roman" w:eastAsia="Times New Roman" w:hAnsi="Times New Roman"/>
          <w:sz w:val="16"/>
          <w:szCs w:val="16"/>
          <w:color w:val="auto"/>
        </w:rPr>
      </w:pPr>
    </w:p>
    <w:p>
      <w:pPr>
        <w:ind w:left="1020" w:right="200" w:hanging="563"/>
        <w:spacing w:after="0" w:line="282" w:lineRule="auto"/>
        <w:tabs>
          <w:tab w:leader="none" w:pos="102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03" w:lineRule="exact"/>
        <w:rPr>
          <w:rFonts w:ascii="Times New Roman" w:cs="Times New Roman" w:eastAsia="Times New Roman" w:hAnsi="Times New Roman"/>
          <w:sz w:val="16"/>
          <w:szCs w:val="16"/>
          <w:color w:val="auto"/>
        </w:rPr>
      </w:pPr>
    </w:p>
    <w:p>
      <w:pPr>
        <w:ind w:left="1020" w:right="100" w:hanging="563"/>
        <w:spacing w:after="0" w:line="263" w:lineRule="auto"/>
        <w:tabs>
          <w:tab w:leader="none" w:pos="102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145" w:lineRule="exact"/>
        <w:rPr>
          <w:rFonts w:ascii="Times New Roman" w:cs="Times New Roman" w:eastAsia="Times New Roman" w:hAnsi="Times New Roman"/>
          <w:sz w:val="16"/>
          <w:szCs w:val="16"/>
          <w:color w:val="auto"/>
        </w:rPr>
      </w:pPr>
    </w:p>
    <w:p>
      <w:pPr>
        <w:ind w:left="1020" w:hanging="563"/>
        <w:spacing w:after="0" w:line="282" w:lineRule="auto"/>
        <w:tabs>
          <w:tab w:leader="none" w:pos="102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for any financial losses, damages or expenses incurred in connection with a settlement of any proceedings effected without the Company’s prior consent.</w:t>
      </w:r>
    </w:p>
    <w:p>
      <w:pPr>
        <w:spacing w:after="0" w:line="157" w:lineRule="exact"/>
        <w:rPr>
          <w:sz w:val="20"/>
          <w:szCs w:val="20"/>
          <w:color w:val="auto"/>
        </w:rPr>
      </w:pPr>
    </w:p>
    <w:p>
      <w:pPr>
        <w:ind w:right="480" w:firstLine="458"/>
        <w:spacing w:after="0" w:line="283" w:lineRule="auto"/>
        <w:rPr>
          <w:sz w:val="20"/>
          <w:szCs w:val="20"/>
          <w:color w:val="auto"/>
        </w:rPr>
      </w:pPr>
      <w:r>
        <w:rPr>
          <w:rFonts w:ascii="Arial" w:cs="Arial" w:eastAsia="Arial" w:hAnsi="Arial"/>
          <w:sz w:val="16"/>
          <w:szCs w:val="16"/>
          <w:color w:val="auto"/>
        </w:rPr>
        <w:t>Under our Articles of Association, our Board may stipulate additional terms, conditions and restrictions in relation to the indemnification described above.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Shareholders’ Meetings and Consents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Meeting</w:t>
      </w:r>
    </w:p>
    <w:p>
      <w:pPr>
        <w:spacing w:after="0" w:line="216"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equity has decreased to an amount equal to or lower than half of its paid-up and called-up share capital, in order to discuss the measures to be taken if so required.</w:t>
      </w:r>
    </w:p>
    <w:p>
      <w:pPr>
        <w:spacing w:after="0" w:line="179"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Pursuant to Dutch law, one or more shareholders or others with meeting rights under Dutch law who jointly represent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Board to convene a general meeting and our Board has not taken the necessary steps so that the general meeting could be held within six weeks after the request.</w:t>
      </w:r>
    </w:p>
    <w:p>
      <w:pPr>
        <w:spacing w:after="0" w:line="181"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General meetings can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39"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The agenda shall also include such items requested by one or more shareholders, or others with meeting rights under Dutch law, representing at least 3% of the issued share capital. Requests must be made in writing or by electronic means and received by the Board at least 60 days before the day of the meeting. No resolutions shall be adopted on items other than those that have been included in the agenda.</w:t>
      </w:r>
    </w:p>
    <w:p>
      <w:pPr>
        <w:spacing w:after="0" w:line="170" w:lineRule="exact"/>
        <w:rPr>
          <w:sz w:val="20"/>
          <w:szCs w:val="20"/>
          <w:color w:val="auto"/>
        </w:rPr>
      </w:pPr>
    </w:p>
    <w:p>
      <w:pPr>
        <w:ind w:right="60" w:firstLine="458"/>
        <w:spacing w:after="0" w:line="248" w:lineRule="auto"/>
        <w:rPr>
          <w:sz w:val="20"/>
          <w:szCs w:val="20"/>
          <w:color w:val="auto"/>
        </w:rPr>
      </w:pPr>
      <w:r>
        <w:rPr>
          <w:rFonts w:ascii="Arial" w:cs="Arial" w:eastAsia="Arial" w:hAnsi="Arial"/>
          <w:sz w:val="16"/>
          <w:szCs w:val="16"/>
          <w:color w:val="auto"/>
        </w:rPr>
        <w:t>In accordance with the Dutch Corporate Governance Code, or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wp:posOffset>
            </wp:positionV>
            <wp:extent cx="71589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ind w:firstLine="458"/>
        <w:spacing w:after="0" w:line="252" w:lineRule="auto"/>
        <w:rPr>
          <w:sz w:val="20"/>
          <w:szCs w:val="20"/>
          <w:color w:val="auto"/>
        </w:rPr>
      </w:pPr>
      <w:r>
        <w:rPr>
          <w:rFonts w:ascii="Arial" w:cs="Arial" w:eastAsia="Arial" w:hAnsi="Arial"/>
          <w:sz w:val="16"/>
          <w:szCs w:val="16"/>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55"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9" w:lineRule="exact"/>
        <w:rPr>
          <w:sz w:val="20"/>
          <w:szCs w:val="20"/>
          <w:color w:val="auto"/>
        </w:rPr>
      </w:pPr>
    </w:p>
    <w:p>
      <w:pPr>
        <w:ind w:left="1020" w:right="20" w:hanging="563"/>
        <w:spacing w:after="0" w:line="254" w:lineRule="auto"/>
        <w:tabs>
          <w:tab w:leader="none" w:pos="10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 w:lineRule="exact"/>
        <w:rPr>
          <w:rFonts w:ascii="Times New Roman" w:cs="Times New Roman" w:eastAsia="Times New Roman" w:hAnsi="Times New Roman"/>
          <w:sz w:val="16"/>
          <w:szCs w:val="16"/>
          <w:color w:val="auto"/>
        </w:rPr>
      </w:pPr>
    </w:p>
    <w:p>
      <w:pPr>
        <w:ind w:left="1020" w:hanging="563"/>
        <w:spacing w:after="0"/>
        <w:tabs>
          <w:tab w:leader="none" w:pos="10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 w:lineRule="exact"/>
        <w:rPr>
          <w:rFonts w:ascii="Times New Roman" w:cs="Times New Roman" w:eastAsia="Times New Roman" w:hAnsi="Times New Roman"/>
          <w:sz w:val="16"/>
          <w:szCs w:val="16"/>
          <w:color w:val="auto"/>
        </w:rPr>
      </w:pPr>
    </w:p>
    <w:p>
      <w:pPr>
        <w:ind w:left="1020" w:right="120" w:hanging="563"/>
        <w:spacing w:after="0" w:line="255" w:lineRule="auto"/>
        <w:tabs>
          <w:tab w:leader="none" w:pos="10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8"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The general meeting is presided over by the chairman of the Board. If no chairman has been elected or if he or she is not present at the meeting, the general meeting shall be presided over by the vice-Chairman. If no vice-Chairman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chairman of the meeting may decide at his or her discretion to admit other persons to the meeting.</w:t>
      </w:r>
    </w:p>
    <w:p>
      <w:pPr>
        <w:spacing w:after="0" w:line="18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Quorum and voting requirements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ordinary share and each preferred share confers the right on the holder to cast one vote at the general meeting. Shareholders may vote by proxy.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No votes may be cast at a general meeting on shares held by us or our subsidiaries or on shares for which we or our subsidiaries hold depository receipts.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voting rights pursuant to the preceding sentences will not be taken into account for the purpose of determining the number of shareholders that vote and that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are present or represented, or the amount of the share capital that is provided or that is represented at a general meeting.</w:t>
      </w:r>
    </w:p>
    <w:p>
      <w:pPr>
        <w:spacing w:after="0" w:line="202" w:lineRule="exact"/>
        <w:rPr>
          <w:sz w:val="20"/>
          <w:szCs w:val="20"/>
          <w:color w:val="auto"/>
        </w:rPr>
      </w:pPr>
    </w:p>
    <w:p>
      <w:pPr>
        <w:ind w:right="480" w:firstLine="458"/>
        <w:spacing w:after="0" w:line="283" w:lineRule="auto"/>
        <w:rPr>
          <w:sz w:val="20"/>
          <w:szCs w:val="20"/>
          <w:color w:val="auto"/>
        </w:rPr>
      </w:pPr>
      <w:r>
        <w:rPr>
          <w:rFonts w:ascii="Arial" w:cs="Arial" w:eastAsia="Arial" w:hAnsi="Arial"/>
          <w:sz w:val="16"/>
          <w:szCs w:val="16"/>
          <w:color w:val="auto"/>
        </w:rPr>
        <w:t>Decisions of the general meeting are taken by a simple majority of votes cast, except where Dutch law or our Articles of Association provide for a qualified majority or unanimity.</w:t>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Board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201930</wp:posOffset>
            </wp:positionV>
            <wp:extent cx="71589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44" w:name="page145"/>
    <w:bookmarkEnd w:id="144"/>
    <w:p>
      <w:pPr>
        <w:ind w:right="60" w:firstLine="458"/>
        <w:spacing w:after="0" w:line="257"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7"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and liabilities of directors</w:t>
      </w:r>
    </w:p>
    <w:p>
      <w:pPr>
        <w:spacing w:after="0" w:line="216" w:lineRule="exact"/>
        <w:rPr>
          <w:sz w:val="20"/>
          <w:szCs w:val="20"/>
          <w:color w:val="auto"/>
        </w:rPr>
      </w:pPr>
    </w:p>
    <w:p>
      <w:pPr>
        <w:jc w:val="both"/>
        <w:ind w:right="320" w:firstLine="458"/>
        <w:spacing w:after="0" w:line="264" w:lineRule="auto"/>
        <w:rPr>
          <w:sz w:val="20"/>
          <w:szCs w:val="20"/>
          <w:color w:val="auto"/>
        </w:rPr>
      </w:pPr>
      <w:r>
        <w:rPr>
          <w:rFonts w:ascii="Arial" w:cs="Arial" w:eastAsia="Arial" w:hAnsi="Arial"/>
          <w:sz w:val="16"/>
          <w:szCs w:val="16"/>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w:t>
      </w:r>
    </w:p>
    <w:p>
      <w:pPr>
        <w:spacing w:after="0" w:line="130"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G. Dividends and Other Distributions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 available for distribution</w:t>
      </w:r>
    </w:p>
    <w:p>
      <w:pPr>
        <w:spacing w:after="0" w:line="21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may only make distributions, whether of profits or from our reserves, to our shareholders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any reserves required by Dutch law or by our Articles of Association. Under our 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81" w:lineRule="exact"/>
        <w:rPr>
          <w:sz w:val="20"/>
          <w:szCs w:val="20"/>
          <w:color w:val="auto"/>
        </w:rPr>
      </w:pPr>
    </w:p>
    <w:p>
      <w:pPr>
        <w:jc w:val="both"/>
        <w:ind w:right="260" w:firstLine="458"/>
        <w:spacing w:after="0" w:line="283" w:lineRule="auto"/>
        <w:rPr>
          <w:sz w:val="20"/>
          <w:szCs w:val="20"/>
          <w:color w:val="auto"/>
        </w:rPr>
      </w:pPr>
      <w:r>
        <w:rPr>
          <w:rFonts w:ascii="Arial" w:cs="Arial" w:eastAsia="Arial" w:hAnsi="Arial"/>
          <w:sz w:val="16"/>
          <w:szCs w:val="16"/>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56" w:lineRule="exact"/>
        <w:rPr>
          <w:sz w:val="20"/>
          <w:szCs w:val="20"/>
          <w:color w:val="auto"/>
        </w:rPr>
      </w:pPr>
    </w:p>
    <w:p>
      <w:pPr>
        <w:jc w:val="both"/>
        <w:ind w:right="260" w:firstLine="458"/>
        <w:spacing w:after="0" w:line="264" w:lineRule="auto"/>
        <w:rPr>
          <w:sz w:val="20"/>
          <w:szCs w:val="20"/>
          <w:color w:val="auto"/>
        </w:rPr>
      </w:pPr>
      <w:r>
        <w:rPr>
          <w:rFonts w:ascii="Arial" w:cs="Arial" w:eastAsia="Arial" w:hAnsi="Arial"/>
          <w:sz w:val="16"/>
          <w:szCs w:val="16"/>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controls</w:t>
      </w:r>
    </w:p>
    <w:p>
      <w:pPr>
        <w:spacing w:after="0" w:line="21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6"/>
          <w:szCs w:val="16"/>
          <w:i w:val="1"/>
          <w:iCs w:val="1"/>
          <w:color w:val="auto"/>
        </w:rPr>
        <w:t>Sanctiewet 1977</w:t>
      </w:r>
      <w:r>
        <w:rPr>
          <w:rFonts w:ascii="Arial" w:cs="Arial" w:eastAsia="Arial" w:hAnsi="Arial"/>
          <w:sz w:val="16"/>
          <w:szCs w:val="16"/>
          <w:color w:val="auto"/>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Squeeze-out procedures</w:t>
      </w:r>
    </w:p>
    <w:p>
      <w:pPr>
        <w:spacing w:after="0" w:line="21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71589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ind w:left="460"/>
        <w:spacing w:after="0"/>
        <w:rPr>
          <w:sz w:val="20"/>
          <w:szCs w:val="20"/>
          <w:color w:val="auto"/>
        </w:rPr>
      </w:pPr>
      <w:r>
        <w:rPr>
          <w:rFonts w:ascii="Arial" w:cs="Arial" w:eastAsia="Arial" w:hAnsi="Arial"/>
          <w:sz w:val="16"/>
          <w:szCs w:val="16"/>
          <w:b w:val="1"/>
          <w:bCs w:val="1"/>
          <w:color w:val="auto"/>
        </w:rPr>
        <w:t>H. Dissolution and Liquidation</w:t>
      </w:r>
    </w:p>
    <w:p>
      <w:pPr>
        <w:spacing w:after="0" w:line="218" w:lineRule="exact"/>
        <w:rPr>
          <w:sz w:val="20"/>
          <w:szCs w:val="20"/>
          <w:color w:val="auto"/>
        </w:rPr>
      </w:pPr>
    </w:p>
    <w:p>
      <w:pPr>
        <w:ind w:right="160" w:firstLine="458"/>
        <w:spacing w:after="0" w:line="252" w:lineRule="auto"/>
        <w:rPr>
          <w:sz w:val="20"/>
          <w:szCs w:val="20"/>
          <w:color w:val="auto"/>
        </w:rPr>
      </w:pPr>
      <w:r>
        <w:rPr>
          <w:rFonts w:ascii="Arial" w:cs="Arial" w:eastAsia="Arial" w:hAnsi="Arial"/>
          <w:sz w:val="16"/>
          <w:szCs w:val="16"/>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Any remaining assets shall be distributed to the holders of ordinary shares in proportion to their ordinary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 Exclusive Forum</w:t>
      </w:r>
    </w:p>
    <w:p>
      <w:pPr>
        <w:spacing w:after="0" w:line="218"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J. Comparison of Dutch Corporate Law and U.S. Corporate Law</w:t>
      </w:r>
    </w:p>
    <w:p>
      <w:pPr>
        <w:spacing w:after="0" w:line="218"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of Directors</w:t>
      </w:r>
    </w:p>
    <w:p>
      <w:pPr>
        <w:spacing w:after="0" w:line="21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We have a one-tier board structure consisting of one or more executive directors and one or more non-executive directors. 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86"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179705</wp:posOffset>
            </wp:positionV>
            <wp:extent cx="71589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00" w:right="37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i w:val="1"/>
          <w:iCs w:val="1"/>
          <w:color w:val="auto"/>
        </w:rPr>
        <w:t>Director terms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DCGC provides the following best practice recommendations on the terms for directors’ service:</w:t>
      </w:r>
    </w:p>
    <w:p>
      <w:pPr>
        <w:spacing w:after="0" w:line="218" w:lineRule="exact"/>
        <w:rPr>
          <w:sz w:val="20"/>
          <w:szCs w:val="20"/>
          <w:color w:val="auto"/>
        </w:rPr>
      </w:pPr>
    </w:p>
    <w:p>
      <w:pPr>
        <w:ind w:left="1020" w:right="600" w:hanging="563"/>
        <w:spacing w:after="0" w:line="282" w:lineRule="auto"/>
        <w:tabs>
          <w:tab w:leader="none" w:pos="102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executive directors may serve.</w:t>
      </w:r>
    </w:p>
    <w:p>
      <w:pPr>
        <w:spacing w:after="0" w:line="129" w:lineRule="exact"/>
        <w:rPr>
          <w:rFonts w:ascii="Times New Roman" w:cs="Times New Roman" w:eastAsia="Times New Roman" w:hAnsi="Times New Roman"/>
          <w:sz w:val="16"/>
          <w:szCs w:val="16"/>
          <w:color w:val="auto"/>
        </w:rPr>
      </w:pPr>
    </w:p>
    <w:p>
      <w:pPr>
        <w:ind w:left="1020" w:right="20" w:hanging="563"/>
        <w:spacing w:after="0" w:line="263" w:lineRule="auto"/>
        <w:tabs>
          <w:tab w:leader="none" w:pos="102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72"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The general meeting shall at all times be entitled to suspend or remove a director. Under our Articles of Association, the general meeting may only adopt a resolution to suspend or remove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w:t>
      </w:r>
    </w:p>
    <w:p>
      <w:pPr>
        <w:spacing w:after="0" w:line="177"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vacancies</w:t>
      </w:r>
    </w:p>
    <w:p>
      <w:pPr>
        <w:spacing w:after="0" w:line="21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chairman of our Board. If such former chairman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8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7"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spacing w:after="0" w:line="116" w:lineRule="exact"/>
        <w:rPr>
          <w:sz w:val="20"/>
          <w:szCs w:val="20"/>
          <w:color w:val="auto"/>
        </w:rPr>
      </w:pPr>
    </w:p>
    <w:p>
      <w:pPr>
        <w:ind w:right="20" w:firstLine="7"/>
        <w:spacing w:after="0" w:line="283" w:lineRule="auto"/>
        <w:tabs>
          <w:tab w:leader="none" w:pos="50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Conflict-of-interest transactions</w:t>
      </w:r>
    </w:p>
    <w:p>
      <w:pPr>
        <w:spacing w:after="0" w:line="21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case, each director is entitled to participate in the discussion and decision-making process and to cast a vote.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DCGC provides the following best practice recommendations in relation to conflicts of interests:</w:t>
      </w:r>
    </w:p>
    <w:p>
      <w:pPr>
        <w:spacing w:after="0" w:line="218" w:lineRule="exact"/>
        <w:rPr>
          <w:sz w:val="20"/>
          <w:szCs w:val="20"/>
          <w:color w:val="auto"/>
        </w:rPr>
      </w:pPr>
    </w:p>
    <w:p>
      <w:pPr>
        <w:ind w:left="1020" w:right="20" w:hanging="563"/>
        <w:spacing w:after="0" w:line="282" w:lineRule="auto"/>
        <w:tabs>
          <w:tab w:leader="none" w:pos="1020" w:val="left"/>
        </w:tabs>
        <w:numPr>
          <w:ilvl w:val="0"/>
          <w:numId w:val="154"/>
        </w:numPr>
        <w:rPr>
          <w:rFonts w:ascii="Times New Roman" w:cs="Times New Roman" w:eastAsia="Times New Roman" w:hAnsi="Times New Roman"/>
          <w:sz w:val="16"/>
          <w:szCs w:val="16"/>
          <w:color w:val="auto"/>
        </w:rPr>
      </w:pPr>
      <w:r>
        <w:rPr>
          <w:rFonts w:ascii="Arial" w:cs="Arial" w:eastAsia="Arial" w:hAnsi="Arial"/>
          <w:sz w:val="16"/>
          <w:szCs w:val="16"/>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129" w:lineRule="exact"/>
        <w:rPr>
          <w:rFonts w:ascii="Times New Roman" w:cs="Times New Roman" w:eastAsia="Times New Roman" w:hAnsi="Times New Roman"/>
          <w:sz w:val="16"/>
          <w:szCs w:val="16"/>
          <w:color w:val="auto"/>
        </w:rPr>
      </w:pPr>
    </w:p>
    <w:p>
      <w:pPr>
        <w:ind w:left="1020" w:hanging="563"/>
        <w:spacing w:after="0"/>
        <w:tabs>
          <w:tab w:leader="none" w:pos="1020" w:val="left"/>
        </w:tabs>
        <w:numPr>
          <w:ilvl w:val="0"/>
          <w:numId w:val="154"/>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of directors should then decide, outside the presence of the director concerned, whether there is a conflict of interest;</w:t>
      </w:r>
    </w:p>
    <w:p>
      <w:pPr>
        <w:spacing w:after="0" w:line="177" w:lineRule="exact"/>
        <w:rPr>
          <w:rFonts w:ascii="Times New Roman" w:cs="Times New Roman" w:eastAsia="Times New Roman" w:hAnsi="Times New Roman"/>
          <w:sz w:val="16"/>
          <w:szCs w:val="16"/>
          <w:color w:val="auto"/>
        </w:rPr>
      </w:pPr>
    </w:p>
    <w:p>
      <w:pPr>
        <w:ind w:left="1020" w:hanging="563"/>
        <w:spacing w:after="0"/>
        <w:tabs>
          <w:tab w:leader="none" w:pos="1020" w:val="left"/>
        </w:tabs>
        <w:numPr>
          <w:ilvl w:val="0"/>
          <w:numId w:val="154"/>
        </w:numPr>
        <w:rPr>
          <w:rFonts w:ascii="Times New Roman" w:cs="Times New Roman" w:eastAsia="Times New Roman" w:hAnsi="Times New Roman"/>
          <w:sz w:val="16"/>
          <w:szCs w:val="16"/>
          <w:color w:val="auto"/>
        </w:rPr>
      </w:pPr>
      <w:r>
        <w:rPr>
          <w:rFonts w:ascii="Arial" w:cs="Arial" w:eastAsia="Arial" w:hAnsi="Arial"/>
          <w:sz w:val="16"/>
          <w:szCs w:val="16"/>
          <w:color w:val="auto"/>
        </w:rPr>
        <w:t>transactions in which there is a conflict of interest with a director should be agreed on arms’ length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210820</wp:posOffset>
            </wp:positionV>
            <wp:extent cx="71589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47" w:name="page148"/>
    <w:bookmarkEnd w:id="147"/>
    <w:p>
      <w:pPr>
        <w:ind w:left="1020" w:right="80" w:hanging="563"/>
        <w:spacing w:after="0" w:line="263" w:lineRule="auto"/>
        <w:tabs>
          <w:tab w:leader="none" w:pos="1020" w:val="left"/>
        </w:tabs>
        <w:numPr>
          <w:ilvl w:val="0"/>
          <w:numId w:val="155"/>
        </w:numPr>
        <w:rPr>
          <w:rFonts w:ascii="Times New Roman" w:cs="Times New Roman" w:eastAsia="Times New Roman" w:hAnsi="Times New Roman"/>
          <w:sz w:val="16"/>
          <w:szCs w:val="16"/>
          <w:color w:val="auto"/>
        </w:rPr>
      </w:pPr>
      <w:r>
        <w:rPr>
          <w:rFonts w:ascii="Arial" w:cs="Arial" w:eastAsia="Arial" w:hAnsi="Arial"/>
          <w:sz w:val="16"/>
          <w:szCs w:val="16"/>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72" w:lineRule="exact"/>
        <w:rPr>
          <w:sz w:val="20"/>
          <w:szCs w:val="20"/>
          <w:color w:val="auto"/>
        </w:rPr>
      </w:pPr>
    </w:p>
    <w:p>
      <w:pPr>
        <w:ind w:right="22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transactions involving a Delaware corporation and an interested director of that corporation would not be voidable if:</w:t>
      </w:r>
    </w:p>
    <w:p>
      <w:pPr>
        <w:spacing w:after="0" w:line="156" w:lineRule="exact"/>
        <w:rPr>
          <w:sz w:val="20"/>
          <w:szCs w:val="20"/>
          <w:color w:val="auto"/>
        </w:rPr>
      </w:pPr>
    </w:p>
    <w:p>
      <w:pPr>
        <w:ind w:left="1020" w:right="600" w:hanging="563"/>
        <w:spacing w:after="0" w:line="282" w:lineRule="auto"/>
        <w:tabs>
          <w:tab w:leader="none" w:pos="1020" w:val="left"/>
        </w:tabs>
        <w:numPr>
          <w:ilvl w:val="0"/>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29" w:lineRule="exact"/>
        <w:rPr>
          <w:rFonts w:ascii="Times New Roman" w:cs="Times New Roman" w:eastAsia="Times New Roman" w:hAnsi="Times New Roman"/>
          <w:sz w:val="16"/>
          <w:szCs w:val="16"/>
          <w:color w:val="auto"/>
        </w:rPr>
      </w:pPr>
    </w:p>
    <w:p>
      <w:pPr>
        <w:ind w:left="1020" w:right="60" w:hanging="563"/>
        <w:spacing w:after="0" w:line="282" w:lineRule="auto"/>
        <w:tabs>
          <w:tab w:leader="none" w:pos="1020" w:val="left"/>
        </w:tabs>
        <w:numPr>
          <w:ilvl w:val="0"/>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are disclosed or known as to the director’s relationship or interest and the transaction is specifically approved in good faith by vote of the majority of shares entitled to vote thereon; or</w:t>
      </w:r>
    </w:p>
    <w:p>
      <w:pPr>
        <w:spacing w:after="0" w:line="129" w:lineRule="exact"/>
        <w:rPr>
          <w:rFonts w:ascii="Times New Roman" w:cs="Times New Roman" w:eastAsia="Times New Roman" w:hAnsi="Times New Roman"/>
          <w:sz w:val="16"/>
          <w:szCs w:val="16"/>
          <w:color w:val="auto"/>
        </w:rPr>
      </w:pPr>
    </w:p>
    <w:p>
      <w:pPr>
        <w:ind w:left="1020" w:right="600" w:hanging="563"/>
        <w:spacing w:after="0" w:line="282" w:lineRule="auto"/>
        <w:tabs>
          <w:tab w:leader="none" w:pos="1020" w:val="left"/>
        </w:tabs>
        <w:numPr>
          <w:ilvl w:val="0"/>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the transaction is fair to the corporation at the time it is authorized by the board of directors, a committee of the board of directors or the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Proxy voting by directors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An absent director may issue a proxy for a specific board meeting but only to another director in writing or by electronic means.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 director of a Delaware corporation may not issue a proxy representing the director’s voting rights as a director.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Rights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6"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In accordance with Dutch law and our Articles of Association, each issued ordinary share and each issued preferred share confers 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w:t>
      </w:r>
    </w:p>
    <w:p>
      <w:pPr>
        <w:spacing w:after="0" w:line="14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7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proposals</w:t>
      </w:r>
    </w:p>
    <w:p>
      <w:pPr>
        <w:spacing w:after="0" w:line="216"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Pursuant to our Articles of Association, extraordinary general meetings will be held whenever required under Dutch law or whenever our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our Board has not taken the steps necessary to ensure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1589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8" w:name="page149"/>
    <w:bookmarkEnd w:id="148"/>
    <w:p>
      <w:pPr>
        <w:ind w:right="160"/>
        <w:spacing w:after="0" w:line="283" w:lineRule="auto"/>
        <w:rPr>
          <w:sz w:val="20"/>
          <w:szCs w:val="20"/>
          <w:color w:val="auto"/>
        </w:rPr>
      </w:pPr>
      <w:r>
        <w:rPr>
          <w:rFonts w:ascii="Arial" w:cs="Arial" w:eastAsia="Arial" w:hAnsi="Arial"/>
          <w:sz w:val="16"/>
          <w:szCs w:val="16"/>
          <w:color w:val="auto"/>
        </w:rPr>
        <w:t>meeting can be held within six weeks after the request, the requesting party or parties may, on their application, be authorized by the competent Dutch court in preliminary relief proceedings to convene a general meeting.</w:t>
      </w:r>
    </w:p>
    <w:p>
      <w:pPr>
        <w:spacing w:after="0" w:line="156" w:lineRule="exact"/>
        <w:rPr>
          <w:sz w:val="20"/>
          <w:szCs w:val="20"/>
          <w:color w:val="auto"/>
        </w:rPr>
      </w:pPr>
    </w:p>
    <w:p>
      <w:pPr>
        <w:ind w:right="120" w:firstLine="458"/>
        <w:spacing w:after="0" w:line="257" w:lineRule="auto"/>
        <w:rPr>
          <w:sz w:val="20"/>
          <w:szCs w:val="20"/>
          <w:color w:val="auto"/>
        </w:rPr>
      </w:pPr>
      <w:r>
        <w:rPr>
          <w:rFonts w:ascii="Arial" w:cs="Arial" w:eastAsia="Arial" w:hAnsi="Arial"/>
          <w:sz w:val="16"/>
          <w:szCs w:val="16"/>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the Board at least 60 days before the day of the meeting.</w:t>
      </w:r>
    </w:p>
    <w:p>
      <w:pPr>
        <w:spacing w:after="0" w:line="177"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4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Action by written consent</w:t>
      </w:r>
    </w:p>
    <w:p>
      <w:pPr>
        <w:spacing w:after="0" w:line="216"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shareholders’ resolutions may be adopted in writing without holding a meeting of shareholders, provided that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79"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Although permitted by Delaware law, publicly listed companies do not typically permit stockholders of a corporation to take action by written consent.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Appraisal rights</w:t>
      </w:r>
    </w:p>
    <w:p>
      <w:pPr>
        <w:spacing w:after="0" w:line="21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Subject to certain exceptions, Dutch law does not recognize the concept of appraisal or dissenters’ rights. However, Dutch law does provide for squeeze-out procedures as described under “—G.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79"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for stockholder appraisal rights, or the right to demand payment in cash of the judicially determined fair value of the stockholder’s shares, in connection with certain mergers and consolidations.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suits</w:t>
      </w:r>
    </w:p>
    <w:p>
      <w:pPr>
        <w:spacing w:after="0" w:line="216"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wp:posOffset>
            </wp:positionV>
            <wp:extent cx="71589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ind w:right="200"/>
        <w:spacing w:after="0" w:line="283" w:lineRule="auto"/>
        <w:rPr>
          <w:sz w:val="20"/>
          <w:szCs w:val="20"/>
          <w:color w:val="auto"/>
        </w:rPr>
      </w:pPr>
      <w:r>
        <w:rPr>
          <w:rFonts w:ascii="Arial" w:cs="Arial" w:eastAsia="Arial" w:hAnsi="Arial"/>
          <w:sz w:val="16"/>
          <w:szCs w:val="16"/>
          <w:color w:val="auto"/>
        </w:rPr>
        <w:t>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1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of shares</w:t>
      </w:r>
    </w:p>
    <w:p>
      <w:pPr>
        <w:spacing w:after="0" w:line="21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when issuing shares, a public company with limited liability such as ours may not subscribe for newly issued 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376" w:lineRule="exact"/>
        <w:rPr>
          <w:sz w:val="20"/>
          <w:szCs w:val="20"/>
          <w:color w:val="auto"/>
        </w:rPr>
      </w:pPr>
    </w:p>
    <w:p>
      <w:pPr>
        <w:ind w:right="140" w:firstLine="458"/>
        <w:spacing w:after="0" w:line="249" w:lineRule="auto"/>
        <w:rPr>
          <w:sz w:val="20"/>
          <w:szCs w:val="20"/>
          <w:color w:val="auto"/>
        </w:rPr>
      </w:pPr>
      <w:r>
        <w:rPr>
          <w:rFonts w:ascii="Arial" w:cs="Arial" w:eastAsia="Arial" w:hAnsi="Arial"/>
          <w:sz w:val="16"/>
          <w:szCs w:val="16"/>
          <w:color w:val="auto"/>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29, 2022, our general meeting adopted a resolution pursuant to which our Board is authorized, for a period of 18 months following June 29, 2022 to cause the repurchase of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8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w:t>
      </w:r>
    </w:p>
    <w:p>
      <w:pPr>
        <w:spacing w:after="0" w:line="216"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various protective measures are possible and permissible within the boundaries set by Dutch law and Dutch case law. We have adopted several provisions that may have the effect of making a takeover of our Company more difficult or less attractive, including:</w:t>
      </w:r>
    </w:p>
    <w:p>
      <w:pPr>
        <w:spacing w:after="0" w:line="156" w:lineRule="exact"/>
        <w:rPr>
          <w:sz w:val="20"/>
          <w:szCs w:val="20"/>
          <w:color w:val="auto"/>
        </w:rPr>
      </w:pPr>
    </w:p>
    <w:p>
      <w:pPr>
        <w:ind w:left="1020" w:hanging="563"/>
        <w:spacing w:after="0"/>
        <w:tabs>
          <w:tab w:leader="none" w:pos="102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the authorization of a class of preferred shares that may be issued to a protective foundation pursuant to a call option to that effect;</w:t>
      </w:r>
    </w:p>
    <w:p>
      <w:pPr>
        <w:spacing w:after="0" w:line="204" w:lineRule="exact"/>
        <w:rPr>
          <w:rFonts w:ascii="Times New Roman" w:cs="Times New Roman" w:eastAsia="Times New Roman" w:hAnsi="Times New Roman"/>
          <w:sz w:val="16"/>
          <w:szCs w:val="16"/>
          <w:color w:val="auto"/>
        </w:rPr>
      </w:pPr>
    </w:p>
    <w:p>
      <w:pPr>
        <w:ind w:left="1020" w:right="120" w:hanging="563"/>
        <w:spacing w:after="0" w:line="282" w:lineRule="auto"/>
        <w:tabs>
          <w:tab w:leader="none" w:pos="102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removed at the general meeting by a two-thirds majority of votes cast representing more than half of our issued share capital if such removal is not proposed by our Board;</w:t>
      </w:r>
    </w:p>
    <w:p>
      <w:pPr>
        <w:spacing w:after="0" w:line="129" w:lineRule="exact"/>
        <w:rPr>
          <w:rFonts w:ascii="Times New Roman" w:cs="Times New Roman" w:eastAsia="Times New Roman" w:hAnsi="Times New Roman"/>
          <w:sz w:val="16"/>
          <w:szCs w:val="16"/>
          <w:color w:val="auto"/>
        </w:rPr>
      </w:pPr>
    </w:p>
    <w:p>
      <w:pPr>
        <w:jc w:val="both"/>
        <w:ind w:left="1020" w:right="420" w:hanging="563"/>
        <w:spacing w:after="0" w:line="263" w:lineRule="auto"/>
        <w:tabs>
          <w:tab w:leader="none" w:pos="102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145" w:lineRule="exact"/>
        <w:rPr>
          <w:rFonts w:ascii="Times New Roman" w:cs="Times New Roman" w:eastAsia="Times New Roman" w:hAnsi="Times New Roman"/>
          <w:sz w:val="16"/>
          <w:szCs w:val="16"/>
          <w:color w:val="auto"/>
        </w:rPr>
      </w:pPr>
    </w:p>
    <w:p>
      <w:pPr>
        <w:ind w:left="1020" w:right="100" w:hanging="563"/>
        <w:spacing w:after="0" w:line="282" w:lineRule="auto"/>
        <w:tabs>
          <w:tab w:leader="none" w:pos="102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former chairman of our Board or our former chief executive officer to be charged with our management if all of our directors are absent or incapacitated;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163830</wp:posOffset>
            </wp:positionV>
            <wp:extent cx="71589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0" w:name="page151"/>
    <w:bookmarkEnd w:id="150"/>
    <w:p>
      <w:pPr>
        <w:ind w:left="1020" w:right="240" w:hanging="563"/>
        <w:spacing w:after="0" w:line="282" w:lineRule="auto"/>
        <w:tabs>
          <w:tab w:leader="none" w:pos="1020" w:val="left"/>
        </w:tabs>
        <w:numPr>
          <w:ilvl w:val="0"/>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brought to our shareholders for a vote upon a proposal by our Board.</w:t>
      </w:r>
    </w:p>
    <w:p>
      <w:pPr>
        <w:spacing w:after="0" w:line="157" w:lineRule="exact"/>
        <w:rPr>
          <w:sz w:val="20"/>
          <w:szCs w:val="20"/>
          <w:color w:val="auto"/>
        </w:rPr>
      </w:pPr>
    </w:p>
    <w:p>
      <w:pPr>
        <w:ind w:right="860" w:firstLine="458"/>
        <w:spacing w:after="0" w:line="283"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our Board can invoke the 'cooling-off period' as described under “—E. Shareholders’ Meetings and Consents”</w:t>
      </w:r>
    </w:p>
    <w:p>
      <w:pPr>
        <w:spacing w:after="0" w:line="21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0"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170" w:lineRule="exact"/>
        <w:rPr>
          <w:sz w:val="20"/>
          <w:szCs w:val="20"/>
          <w:color w:val="auto"/>
        </w:rPr>
      </w:pPr>
    </w:p>
    <w:p>
      <w:pPr>
        <w:ind w:left="1020" w:right="300" w:hanging="563"/>
        <w:spacing w:after="0" w:line="282" w:lineRule="auto"/>
        <w:tabs>
          <w:tab w:leader="none" w:pos="102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prior to such time the board of directors of the corporation approved either the business combination or the transaction which resulted in the stockholder becoming an interested stockholder;</w:t>
      </w:r>
    </w:p>
    <w:p>
      <w:pPr>
        <w:spacing w:after="0" w:line="129" w:lineRule="exact"/>
        <w:rPr>
          <w:rFonts w:ascii="Times New Roman" w:cs="Times New Roman" w:eastAsia="Times New Roman" w:hAnsi="Times New Roman"/>
          <w:sz w:val="16"/>
          <w:szCs w:val="16"/>
          <w:color w:val="auto"/>
        </w:rPr>
      </w:pPr>
    </w:p>
    <w:p>
      <w:pPr>
        <w:jc w:val="both"/>
        <w:ind w:left="1020" w:right="80" w:hanging="563"/>
        <w:spacing w:after="0" w:line="263" w:lineRule="auto"/>
        <w:tabs>
          <w:tab w:leader="none" w:pos="102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45" w:lineRule="exact"/>
        <w:rPr>
          <w:rFonts w:ascii="Times New Roman" w:cs="Times New Roman" w:eastAsia="Times New Roman" w:hAnsi="Times New Roman"/>
          <w:sz w:val="16"/>
          <w:szCs w:val="16"/>
          <w:color w:val="auto"/>
        </w:rPr>
      </w:pPr>
    </w:p>
    <w:p>
      <w:pPr>
        <w:ind w:left="1020" w:right="380" w:hanging="563"/>
        <w:spacing w:after="0" w:line="282" w:lineRule="auto"/>
        <w:tabs>
          <w:tab w:leader="none" w:pos="102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57"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Access to books and records</w:t>
      </w:r>
    </w:p>
    <w:p>
      <w:pPr>
        <w:spacing w:after="0" w:line="216" w:lineRule="exact"/>
        <w:rPr>
          <w:sz w:val="20"/>
          <w:szCs w:val="20"/>
          <w:color w:val="auto"/>
        </w:rPr>
      </w:pPr>
    </w:p>
    <w:p>
      <w:pPr>
        <w:ind w:right="260" w:firstLine="458"/>
        <w:spacing w:after="0" w:line="26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board of directors provides the general meeting, within a reasonable amount of time with all information that the shareholders require for the exercise of their powers, unless this would be contrary to an overriding interest of our Company. If the board of directors invokes such an overriding interest, it must give reasons.</w:t>
      </w:r>
    </w:p>
    <w:p>
      <w:pPr>
        <w:spacing w:after="0" w:line="170"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stockholder may inspect for any proper purpose certain of the corporation’s books and records during the corporation’s usual hours of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216"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the general meeting shall at all times be entitled to suspend or dismiss a director. The general 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70"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Shares</w:t>
      </w:r>
    </w:p>
    <w:p>
      <w:pPr>
        <w:spacing w:after="0" w:line="216"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 company’s general meeting is the corporate body authorized to resolve on the issuance of shares and the 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589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1" w:name="page152"/>
    <w:bookmarkEnd w:id="151"/>
    <w:p>
      <w:pPr>
        <w:ind w:right="60" w:firstLine="458"/>
        <w:spacing w:after="0" w:line="283"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issue shares or grant rights to subscribe for shares up to our authorized share capital from time to time. We may not subscribe for our own shares on issue.</w:t>
      </w:r>
    </w:p>
    <w:p>
      <w:pPr>
        <w:spacing w:after="0" w:line="156" w:lineRule="exact"/>
        <w:rPr>
          <w:sz w:val="20"/>
          <w:szCs w:val="20"/>
          <w:color w:val="auto"/>
        </w:rPr>
      </w:pPr>
    </w:p>
    <w:p>
      <w:pPr>
        <w:ind w:right="24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rights</w:t>
      </w:r>
    </w:p>
    <w:p>
      <w:pPr>
        <w:spacing w:after="0" w:line="21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 of directors. Our preferred shares carry no preemptive rights.</w:t>
      </w:r>
    </w:p>
    <w:p>
      <w:pPr>
        <w:spacing w:after="0" w:line="179"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77" w:lineRule="exact"/>
        <w:rPr>
          <w:sz w:val="20"/>
          <w:szCs w:val="20"/>
          <w:color w:val="auto"/>
        </w:rPr>
      </w:pPr>
    </w:p>
    <w:p>
      <w:pPr>
        <w:ind w:right="260" w:firstLine="458"/>
        <w:spacing w:after="0" w:line="264"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 Issuance of Shares.”</w:t>
      </w:r>
    </w:p>
    <w:p>
      <w:pPr>
        <w:spacing w:after="0" w:line="170"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71589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16" w:lineRule="exact"/>
        <w:rPr>
          <w:sz w:val="20"/>
          <w:szCs w:val="20"/>
          <w:color w:val="auto"/>
        </w:rPr>
      </w:pPr>
    </w:p>
    <w:p>
      <w:pPr>
        <w:ind w:right="160" w:firstLine="458"/>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Dutch law provides that dividends may be distributed after adoption of the annual accounts by the general meeting from which it 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81" w:lineRule="exact"/>
        <w:rPr>
          <w:sz w:val="20"/>
          <w:szCs w:val="20"/>
          <w:color w:val="auto"/>
        </w:rPr>
      </w:pPr>
    </w:p>
    <w:p>
      <w:pPr>
        <w:ind w:right="220" w:firstLine="458"/>
        <w:spacing w:after="0" w:line="251" w:lineRule="auto"/>
        <w:rPr>
          <w:sz w:val="20"/>
          <w:szCs w:val="20"/>
          <w:color w:val="auto"/>
        </w:rPr>
      </w:pPr>
      <w:r>
        <w:rPr>
          <w:rFonts w:ascii="Arial" w:cs="Arial" w:eastAsia="Arial" w:hAnsi="Arial"/>
          <w:sz w:val="16"/>
          <w:szCs w:val="16"/>
          <w:color w:val="auto"/>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81"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7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vote on Certain Reorganizations</w:t>
      </w:r>
    </w:p>
    <w:p>
      <w:pPr>
        <w:spacing w:after="0" w:line="216"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the general meeting must approve resolutions of the board of directors relating to a significant change in the identity or the character of the Company or the business of the Company, which includes:</w:t>
      </w:r>
    </w:p>
    <w:p>
      <w:pPr>
        <w:spacing w:after="0" w:line="156" w:lineRule="exact"/>
        <w:rPr>
          <w:sz w:val="20"/>
          <w:szCs w:val="20"/>
          <w:color w:val="auto"/>
        </w:rPr>
      </w:pPr>
    </w:p>
    <w:p>
      <w:pPr>
        <w:ind w:left="1020" w:hanging="563"/>
        <w:spacing w:after="0"/>
        <w:tabs>
          <w:tab w:leader="none" w:pos="102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a transfer of the business or virtually the entire business to a third-party;</w:t>
      </w:r>
    </w:p>
    <w:p>
      <w:pPr>
        <w:spacing w:after="0" w:line="204" w:lineRule="exact"/>
        <w:rPr>
          <w:rFonts w:ascii="Times New Roman" w:cs="Times New Roman" w:eastAsia="Times New Roman" w:hAnsi="Times New Roman"/>
          <w:sz w:val="16"/>
          <w:szCs w:val="16"/>
          <w:color w:val="auto"/>
        </w:rPr>
      </w:pPr>
    </w:p>
    <w:p>
      <w:pPr>
        <w:jc w:val="both"/>
        <w:ind w:left="1020" w:right="120" w:hanging="563"/>
        <w:spacing w:after="0" w:line="282" w:lineRule="auto"/>
        <w:tabs>
          <w:tab w:leader="none" w:pos="102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29" w:lineRule="exact"/>
        <w:rPr>
          <w:rFonts w:ascii="Times New Roman" w:cs="Times New Roman" w:eastAsia="Times New Roman" w:hAnsi="Times New Roman"/>
          <w:sz w:val="16"/>
          <w:szCs w:val="16"/>
          <w:color w:val="auto"/>
        </w:rPr>
      </w:pPr>
    </w:p>
    <w:p>
      <w:pPr>
        <w:ind w:left="1020" w:right="160" w:hanging="563"/>
        <w:spacing w:after="0" w:line="263" w:lineRule="auto"/>
        <w:tabs>
          <w:tab w:leader="none" w:pos="102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72"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37"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71589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53" w:name="page154"/>
    <w:bookmarkEnd w:id="153"/>
    <w:p>
      <w:pPr>
        <w:ind w:right="420"/>
        <w:spacing w:after="0" w:line="283" w:lineRule="auto"/>
        <w:rPr>
          <w:sz w:val="20"/>
          <w:szCs w:val="20"/>
          <w:color w:val="auto"/>
        </w:rPr>
      </w:pPr>
      <w:r>
        <w:rPr>
          <w:rFonts w:ascii="Arial" w:cs="Arial" w:eastAsia="Arial" w:hAnsi="Arial"/>
          <w:sz w:val="16"/>
          <w:szCs w:val="16"/>
          <w:color w:val="auto"/>
        </w:rPr>
        <w:t>corporations that own 90% or more of the outstanding shares of each class of stock of such corporation, but the stockholders will be entitled to appraisal rights.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of Directors</w:t>
      </w:r>
    </w:p>
    <w:p>
      <w:pPr>
        <w:spacing w:after="0" w:line="216"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and our Articles of Association, we must adopt a compensation policy for our Board. Such compensation policy 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 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81" w:lineRule="exact"/>
        <w:rPr>
          <w:sz w:val="20"/>
          <w:szCs w:val="20"/>
          <w:color w:val="auto"/>
        </w:rPr>
      </w:pPr>
    </w:p>
    <w:p>
      <w:pPr>
        <w:ind w:right="340" w:firstLine="458"/>
        <w:spacing w:after="0" w:line="26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589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8.1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8020" w:type="dxa"/>
            <w:vAlign w:val="bottom"/>
            <w:gridSpan w:val="3"/>
          </w:tcPr>
          <w:p>
            <w:pPr>
              <w:ind w:left="1260"/>
              <w:spacing w:after="0"/>
              <w:rPr>
                <w:sz w:val="20"/>
                <w:szCs w:val="20"/>
                <w:color w:val="auto"/>
              </w:rPr>
            </w:pPr>
            <w:r>
              <w:rPr>
                <w:rFonts w:ascii="Arial" w:cs="Arial" w:eastAsia="Arial" w:hAnsi="Arial"/>
                <w:sz w:val="16"/>
                <w:szCs w:val="16"/>
                <w:b w:val="1"/>
                <w:bCs w:val="1"/>
                <w:color w:val="auto"/>
              </w:rPr>
              <w:t>Subsidiaries of Pharvaris N.V.</w:t>
            </w:r>
          </w:p>
        </w:tc>
      </w:tr>
      <w:tr>
        <w:trPr>
          <w:trHeight w:val="26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2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207"/>
        </w:trPr>
        <w:tc>
          <w:tcPr>
            <w:tcW w:w="3220" w:type="dxa"/>
            <w:vAlign w:val="bottom"/>
          </w:tcPr>
          <w:p>
            <w:pPr>
              <w:ind w:left="20"/>
              <w:spacing w:after="0"/>
              <w:rPr>
                <w:sz w:val="20"/>
                <w:szCs w:val="20"/>
                <w:color w:val="auto"/>
              </w:rPr>
            </w:pPr>
            <w:r>
              <w:rPr>
                <w:rFonts w:ascii="Arial" w:cs="Arial" w:eastAsia="Arial" w:hAnsi="Arial"/>
                <w:sz w:val="16"/>
                <w:szCs w:val="16"/>
                <w:color w:val="auto"/>
              </w:rPr>
              <w:t>Pharvaris Holdings B.V.</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28"/>
        </w:trPr>
        <w:tc>
          <w:tcPr>
            <w:tcW w:w="322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Zug, Switzerland</w:t>
            </w:r>
          </w:p>
        </w:tc>
      </w:tr>
      <w:tr>
        <w:trPr>
          <w:trHeight w:val="241"/>
        </w:trPr>
        <w:tc>
          <w:tcPr>
            <w:tcW w:w="322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Delaware, United States of America</w:t>
            </w:r>
          </w:p>
        </w:tc>
      </w:tr>
      <w:tr>
        <w:trPr>
          <w:trHeight w:val="330"/>
        </w:trPr>
        <w:tc>
          <w:tcPr>
            <w:tcW w:w="3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p>
      <w:pPr>
        <w:ind w:left="9960"/>
        <w:spacing w:after="0"/>
        <w:rPr>
          <w:sz w:val="20"/>
          <w:szCs w:val="20"/>
          <w:color w:val="auto"/>
        </w:rPr>
      </w:pPr>
      <w:r>
        <w:rPr>
          <w:rFonts w:ascii="Times New Roman" w:cs="Times New Roman" w:eastAsia="Times New Roman" w:hAnsi="Times New Roman"/>
          <w:sz w:val="21"/>
          <w:szCs w:val="21"/>
          <w:color w:val="auto"/>
        </w:rPr>
        <w:t>EXHIBIT 12.1</w:t>
      </w:r>
    </w:p>
    <w:p>
      <w:pPr>
        <w:spacing w:after="0" w:line="238" w:lineRule="exact"/>
        <w:rPr>
          <w:sz w:val="20"/>
          <w:szCs w:val="20"/>
          <w:color w:val="auto"/>
        </w:rPr>
      </w:pPr>
    </w:p>
    <w:p>
      <w:pPr>
        <w:jc w:val="center"/>
        <w:ind w:right="40"/>
        <w:spacing w:after="0" w:line="281" w:lineRule="auto"/>
        <w:rPr>
          <w:sz w:val="20"/>
          <w:szCs w:val="20"/>
          <w:color w:val="auto"/>
        </w:rPr>
      </w:pPr>
      <w:r>
        <w:rPr>
          <w:rFonts w:ascii="Times New Roman" w:cs="Times New Roman" w:eastAsia="Times New Roman" w:hAnsi="Times New Roman"/>
          <w:sz w:val="21"/>
          <w:szCs w:val="21"/>
          <w:b w:val="1"/>
          <w:bCs w:val="1"/>
          <w:color w:val="auto"/>
        </w:rPr>
        <w:t>CERTIFICATION OF THE PRINCIPAL EXECUTIVE OFFICER PURSUANT TO EXCHANGE ACT RULE 13A-14(A) OR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Berndt Modig, certify that:</w:t>
      </w:r>
    </w:p>
    <w:p>
      <w:pPr>
        <w:spacing w:after="0" w:line="214" w:lineRule="exact"/>
        <w:rPr>
          <w:sz w:val="20"/>
          <w:szCs w:val="20"/>
          <w:color w:val="auto"/>
        </w:rPr>
      </w:pPr>
    </w:p>
    <w:p>
      <w:pPr>
        <w:ind w:left="760" w:hanging="753"/>
        <w:spacing w:after="0"/>
        <w:tabs>
          <w:tab w:leader="none" w:pos="760"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have reviewed this annual report on Form 20-F of Pharvaris N.V.;</w:t>
      </w:r>
    </w:p>
    <w:p>
      <w:pPr>
        <w:spacing w:after="0" w:line="214" w:lineRule="exact"/>
        <w:rPr>
          <w:rFonts w:ascii="Times New Roman" w:cs="Times New Roman" w:eastAsia="Times New Roman" w:hAnsi="Times New Roman"/>
          <w:sz w:val="21"/>
          <w:szCs w:val="21"/>
          <w:color w:val="010000"/>
        </w:rPr>
      </w:pPr>
    </w:p>
    <w:p>
      <w:pPr>
        <w:jc w:val="both"/>
        <w:ind w:left="760" w:right="300" w:hanging="753"/>
        <w:spacing w:after="0" w:line="258" w:lineRule="auto"/>
        <w:tabs>
          <w:tab w:leader="none" w:pos="760"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21"/>
          <w:szCs w:val="21"/>
          <w:color w:val="010000"/>
        </w:rPr>
      </w:pPr>
    </w:p>
    <w:p>
      <w:pPr>
        <w:ind w:left="760" w:right="40" w:hanging="753"/>
        <w:spacing w:after="0" w:line="258" w:lineRule="auto"/>
        <w:tabs>
          <w:tab w:leader="none" w:pos="760"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Times New Roman" w:cs="Times New Roman" w:eastAsia="Times New Roman" w:hAnsi="Times New Roman"/>
          <w:sz w:val="21"/>
          <w:szCs w:val="21"/>
          <w:color w:val="010000"/>
        </w:rPr>
      </w:pPr>
    </w:p>
    <w:p>
      <w:pPr>
        <w:ind w:left="760" w:right="180" w:hanging="753"/>
        <w:spacing w:after="0" w:line="258" w:lineRule="auto"/>
        <w:tabs>
          <w:tab w:leader="none" w:pos="760"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9" w:lineRule="exact"/>
        <w:rPr>
          <w:rFonts w:ascii="Times New Roman" w:cs="Times New Roman" w:eastAsia="Times New Roman" w:hAnsi="Times New Roman"/>
          <w:sz w:val="21"/>
          <w:szCs w:val="21"/>
          <w:color w:val="010000"/>
        </w:rPr>
      </w:pPr>
    </w:p>
    <w:p>
      <w:pPr>
        <w:ind w:left="1500" w:right="240" w:hanging="744"/>
        <w:spacing w:after="0" w:line="252" w:lineRule="auto"/>
        <w:tabs>
          <w:tab w:leader="none" w:pos="1500" w:val="left"/>
        </w:tabs>
        <w:numPr>
          <w:ilvl w:val="1"/>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21"/>
          <w:szCs w:val="21"/>
          <w:color w:val="010000"/>
        </w:rPr>
      </w:pPr>
    </w:p>
    <w:p>
      <w:pPr>
        <w:ind w:left="1500" w:right="60" w:hanging="744"/>
        <w:spacing w:after="0" w:line="252" w:lineRule="auto"/>
        <w:tabs>
          <w:tab w:leader="none" w:pos="1500" w:val="left"/>
        </w:tabs>
        <w:numPr>
          <w:ilvl w:val="1"/>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21"/>
          <w:szCs w:val="21"/>
          <w:color w:val="010000"/>
        </w:rPr>
      </w:pPr>
    </w:p>
    <w:p>
      <w:pPr>
        <w:jc w:val="both"/>
        <w:ind w:left="1500" w:right="60" w:hanging="744"/>
        <w:spacing w:after="0" w:line="258" w:lineRule="auto"/>
        <w:tabs>
          <w:tab w:leader="none" w:pos="1500" w:val="left"/>
        </w:tabs>
        <w:numPr>
          <w:ilvl w:val="1"/>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21"/>
          <w:szCs w:val="21"/>
          <w:color w:val="010000"/>
        </w:rPr>
      </w:pPr>
    </w:p>
    <w:p>
      <w:pPr>
        <w:ind w:left="1500" w:right="220" w:hanging="744"/>
        <w:spacing w:after="0" w:line="258" w:lineRule="auto"/>
        <w:tabs>
          <w:tab w:leader="none" w:pos="1500" w:val="left"/>
        </w:tabs>
        <w:numPr>
          <w:ilvl w:val="1"/>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59" w:lineRule="exact"/>
        <w:rPr>
          <w:rFonts w:ascii="Times New Roman" w:cs="Times New Roman" w:eastAsia="Times New Roman" w:hAnsi="Times New Roman"/>
          <w:sz w:val="21"/>
          <w:szCs w:val="21"/>
          <w:color w:val="010000"/>
        </w:rPr>
      </w:pPr>
    </w:p>
    <w:p>
      <w:pPr>
        <w:ind w:left="760" w:right="120" w:hanging="753"/>
        <w:spacing w:after="0" w:line="277" w:lineRule="auto"/>
        <w:tabs>
          <w:tab w:leader="none" w:pos="760"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have disclosed, based on our most recent evaluation of internal control over financial reporting, to the company’s auditors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442595</wp:posOffset>
            </wp:positionV>
            <wp:extent cx="71589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6" w:name="page157"/>
    <w:bookmarkEnd w:id="156"/>
    <w:p>
      <w:pPr>
        <w:ind w:left="760"/>
        <w:spacing w:after="0"/>
        <w:rPr>
          <w:sz w:val="20"/>
          <w:szCs w:val="20"/>
          <w:color w:val="auto"/>
        </w:rPr>
      </w:pPr>
      <w:r>
        <w:rPr>
          <w:rFonts w:ascii="Times New Roman" w:cs="Times New Roman" w:eastAsia="Times New Roman" w:hAnsi="Times New Roman"/>
          <w:sz w:val="21"/>
          <w:szCs w:val="21"/>
          <w:color w:val="auto"/>
        </w:rPr>
        <w:t>audit committee of the company’s board of directors (or persons performing the equivalent functions):</w:t>
      </w:r>
    </w:p>
    <w:p>
      <w:pPr>
        <w:spacing w:after="0" w:line="215" w:lineRule="exact"/>
        <w:rPr>
          <w:sz w:val="20"/>
          <w:szCs w:val="20"/>
          <w:color w:val="auto"/>
        </w:rPr>
      </w:pPr>
    </w:p>
    <w:p>
      <w:pPr>
        <w:ind w:left="1500" w:right="20" w:hanging="744"/>
        <w:spacing w:after="0" w:line="258" w:lineRule="auto"/>
        <w:tabs>
          <w:tab w:leader="none" w:pos="1500" w:val="left"/>
        </w:tabs>
        <w:numPr>
          <w:ilvl w:val="0"/>
          <w:numId w:val="1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9" w:lineRule="exact"/>
        <w:rPr>
          <w:rFonts w:ascii="Times New Roman" w:cs="Times New Roman" w:eastAsia="Times New Roman" w:hAnsi="Times New Roman"/>
          <w:sz w:val="21"/>
          <w:szCs w:val="21"/>
          <w:color w:val="010000"/>
        </w:rPr>
      </w:pPr>
    </w:p>
    <w:p>
      <w:pPr>
        <w:ind w:left="1500" w:right="100" w:hanging="744"/>
        <w:spacing w:after="0" w:line="277" w:lineRule="auto"/>
        <w:tabs>
          <w:tab w:leader="none" w:pos="1500" w:val="left"/>
        </w:tabs>
        <w:numPr>
          <w:ilvl w:val="0"/>
          <w:numId w:val="1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fraud, whether or not material, that involves management or other employees who have a significant role in the company’s internal control over financial reporting.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5,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Berndt Modig</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Director and Chief Executive Officer</w:t>
            </w:r>
          </w:p>
        </w:tc>
      </w:tr>
      <w:tr>
        <w:trPr>
          <w:trHeight w:val="761"/>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ind w:left="9960"/>
        <w:spacing w:after="0"/>
        <w:rPr>
          <w:sz w:val="20"/>
          <w:szCs w:val="20"/>
          <w:color w:val="auto"/>
        </w:rPr>
      </w:pPr>
      <w:r>
        <w:rPr>
          <w:rFonts w:ascii="Times New Roman" w:cs="Times New Roman" w:eastAsia="Times New Roman" w:hAnsi="Times New Roman"/>
          <w:sz w:val="21"/>
          <w:szCs w:val="21"/>
          <w:color w:val="auto"/>
        </w:rPr>
        <w:t>EXHIBIT 12.2</w:t>
      </w:r>
    </w:p>
    <w:p>
      <w:pPr>
        <w:spacing w:after="0" w:line="23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21"/>
          <w:szCs w:val="21"/>
          <w:b w:val="1"/>
          <w:bCs w:val="1"/>
          <w:color w:val="auto"/>
        </w:rPr>
        <w:t>CERTIFICATION OF THE PRINCIPAL FINANCIAL OFFICER PURSUANT TO EXCHANGE ACT RULE 13A-14(A) OR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Anna Nijdam, certify that:</w:t>
      </w:r>
    </w:p>
    <w:p>
      <w:pPr>
        <w:spacing w:after="0" w:line="214" w:lineRule="exact"/>
        <w:rPr>
          <w:sz w:val="20"/>
          <w:szCs w:val="20"/>
          <w:color w:val="auto"/>
        </w:rPr>
      </w:pPr>
    </w:p>
    <w:p>
      <w:pPr>
        <w:ind w:left="760" w:hanging="753"/>
        <w:spacing w:after="0"/>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have reviewed this annual report on Form 20-F of Pharvaris N.V.;</w:t>
      </w:r>
    </w:p>
    <w:p>
      <w:pPr>
        <w:spacing w:after="0" w:line="214" w:lineRule="exact"/>
        <w:rPr>
          <w:rFonts w:ascii="Times New Roman" w:cs="Times New Roman" w:eastAsia="Times New Roman" w:hAnsi="Times New Roman"/>
          <w:sz w:val="21"/>
          <w:szCs w:val="21"/>
          <w:color w:val="010000"/>
        </w:rPr>
      </w:pPr>
    </w:p>
    <w:p>
      <w:pPr>
        <w:jc w:val="both"/>
        <w:ind w:left="760" w:right="300" w:hanging="753"/>
        <w:spacing w:after="0" w:line="258"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21"/>
          <w:szCs w:val="21"/>
          <w:color w:val="010000"/>
        </w:rPr>
      </w:pPr>
    </w:p>
    <w:p>
      <w:pPr>
        <w:ind w:left="760" w:right="40" w:hanging="753"/>
        <w:spacing w:after="0" w:line="258"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Times New Roman" w:cs="Times New Roman" w:eastAsia="Times New Roman" w:hAnsi="Times New Roman"/>
          <w:sz w:val="21"/>
          <w:szCs w:val="21"/>
          <w:color w:val="010000"/>
        </w:rPr>
      </w:pPr>
    </w:p>
    <w:p>
      <w:pPr>
        <w:ind w:left="760" w:right="180" w:hanging="753"/>
        <w:spacing w:after="0" w:line="258"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9" w:lineRule="exact"/>
        <w:rPr>
          <w:rFonts w:ascii="Times New Roman" w:cs="Times New Roman" w:eastAsia="Times New Roman" w:hAnsi="Times New Roman"/>
          <w:sz w:val="21"/>
          <w:szCs w:val="21"/>
          <w:color w:val="010000"/>
        </w:rPr>
      </w:pPr>
    </w:p>
    <w:p>
      <w:pPr>
        <w:ind w:left="1500" w:right="240" w:hanging="744"/>
        <w:spacing w:after="0" w:line="252"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21"/>
          <w:szCs w:val="21"/>
          <w:color w:val="010000"/>
        </w:rPr>
      </w:pPr>
    </w:p>
    <w:p>
      <w:pPr>
        <w:ind w:left="1500" w:right="60" w:hanging="744"/>
        <w:spacing w:after="0" w:line="252"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21"/>
          <w:szCs w:val="21"/>
          <w:color w:val="010000"/>
        </w:rPr>
      </w:pPr>
    </w:p>
    <w:p>
      <w:pPr>
        <w:jc w:val="both"/>
        <w:ind w:left="1500" w:right="60" w:hanging="744"/>
        <w:spacing w:after="0" w:line="258"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21"/>
          <w:szCs w:val="21"/>
          <w:color w:val="010000"/>
        </w:rPr>
      </w:pPr>
    </w:p>
    <w:p>
      <w:pPr>
        <w:ind w:left="1500" w:right="220" w:hanging="744"/>
        <w:spacing w:after="0" w:line="258"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455295</wp:posOffset>
            </wp:positionV>
            <wp:extent cx="71589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ind w:left="760" w:right="120" w:hanging="753"/>
        <w:spacing w:after="0" w:line="258" w:lineRule="auto"/>
        <w:tabs>
          <w:tab w:leader="none" w:pos="760" w:val="left"/>
        </w:tabs>
        <w:numPr>
          <w:ilvl w:val="0"/>
          <w:numId w:val="1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0" w:lineRule="exact"/>
        <w:rPr>
          <w:rFonts w:ascii="Times New Roman" w:cs="Times New Roman" w:eastAsia="Times New Roman" w:hAnsi="Times New Roman"/>
          <w:sz w:val="21"/>
          <w:szCs w:val="21"/>
          <w:color w:val="010000"/>
        </w:rPr>
      </w:pPr>
    </w:p>
    <w:p>
      <w:pPr>
        <w:ind w:left="1500" w:right="20" w:hanging="744"/>
        <w:spacing w:after="0" w:line="258" w:lineRule="auto"/>
        <w:tabs>
          <w:tab w:leader="none" w:pos="1500" w:val="left"/>
        </w:tabs>
        <w:numPr>
          <w:ilvl w:val="1"/>
          <w:numId w:val="1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9" w:lineRule="exact"/>
        <w:rPr>
          <w:rFonts w:ascii="Times New Roman" w:cs="Times New Roman" w:eastAsia="Times New Roman" w:hAnsi="Times New Roman"/>
          <w:sz w:val="21"/>
          <w:szCs w:val="21"/>
          <w:color w:val="010000"/>
        </w:rPr>
      </w:pPr>
    </w:p>
    <w:p>
      <w:pPr>
        <w:ind w:left="1500" w:right="100" w:hanging="744"/>
        <w:spacing w:after="0" w:line="277" w:lineRule="auto"/>
        <w:tabs>
          <w:tab w:leader="none" w:pos="1500" w:val="left"/>
        </w:tabs>
        <w:numPr>
          <w:ilvl w:val="1"/>
          <w:numId w:val="1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fraud, whether or not material, that involves management or other employees who have a significant role in the company’s internal control over financial reporting.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5,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Anna Nijdam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Anna Nijdam</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Head of Finance and Principal Accounting Officer</w:t>
            </w:r>
          </w:p>
        </w:tc>
      </w:tr>
      <w:tr>
        <w:trPr>
          <w:trHeight w:val="761"/>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1"/>
          <w:szCs w:val="21"/>
          <w:color w:val="auto"/>
        </w:rPr>
        <w:t>EXHIBIT 13.1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by the Principal Executive Officer</w:t>
      </w: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906 of the Sarbanes-Oxley Act of 2002</w:t>
      </w:r>
    </w:p>
    <w:p>
      <w:pPr>
        <w:spacing w:after="0" w:line="190" w:lineRule="exact"/>
        <w:rPr>
          <w:sz w:val="20"/>
          <w:szCs w:val="20"/>
          <w:color w:val="auto"/>
        </w:rPr>
      </w:pPr>
    </w:p>
    <w:p>
      <w:pPr>
        <w:ind w:right="300" w:firstLine="749"/>
        <w:spacing w:after="0" w:line="252" w:lineRule="auto"/>
        <w:rPr>
          <w:sz w:val="20"/>
          <w:szCs w:val="20"/>
          <w:color w:val="auto"/>
        </w:rPr>
      </w:pPr>
      <w:r>
        <w:rPr>
          <w:rFonts w:ascii="Times New Roman" w:cs="Times New Roman" w:eastAsia="Times New Roman" w:hAnsi="Times New Roman"/>
          <w:sz w:val="21"/>
          <w:szCs w:val="21"/>
          <w:color w:val="auto"/>
        </w:rPr>
        <w:t>In connection with the Annual Report of Pharvaris N.V. (the “Company”) on Form 20-F for the fiscal year ended December 31, 2022 as filed with the Securities and Exchange Commission on the date hereof (the “Report”), I, Berndt Modig,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1500" w:right="420" w:hanging="744"/>
        <w:spacing w:after="0" w:line="277" w:lineRule="auto"/>
        <w:tabs>
          <w:tab w:leader="none" w:pos="15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21"/>
          <w:szCs w:val="21"/>
          <w:color w:val="auto"/>
        </w:rPr>
      </w:pPr>
    </w:p>
    <w:p>
      <w:pPr>
        <w:ind w:left="1500" w:right="560" w:hanging="744"/>
        <w:spacing w:after="0" w:line="277" w:lineRule="auto"/>
        <w:tabs>
          <w:tab w:leader="none" w:pos="15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5,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Berndt Modig</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Director and Chief Executive Officer</w:t>
            </w:r>
          </w:p>
        </w:tc>
      </w:tr>
      <w:tr>
        <w:trPr>
          <w:trHeight w:val="559"/>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1"/>
          <w:szCs w:val="21"/>
          <w:color w:val="auto"/>
        </w:rPr>
        <w:t>EXHIBIT 13.2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by the Principal Financial Officer</w:t>
      </w: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906 of the Sarbanes-Oxley Act of 2002</w:t>
      </w:r>
    </w:p>
    <w:p>
      <w:pPr>
        <w:spacing w:after="0" w:line="190" w:lineRule="exact"/>
        <w:rPr>
          <w:sz w:val="20"/>
          <w:szCs w:val="20"/>
          <w:color w:val="auto"/>
        </w:rPr>
      </w:pPr>
    </w:p>
    <w:p>
      <w:pPr>
        <w:ind w:right="440" w:firstLine="749"/>
        <w:spacing w:after="0" w:line="252" w:lineRule="auto"/>
        <w:rPr>
          <w:sz w:val="20"/>
          <w:szCs w:val="20"/>
          <w:color w:val="auto"/>
        </w:rPr>
      </w:pPr>
      <w:r>
        <w:rPr>
          <w:rFonts w:ascii="Times New Roman" w:cs="Times New Roman" w:eastAsia="Times New Roman" w:hAnsi="Times New Roman"/>
          <w:sz w:val="21"/>
          <w:szCs w:val="21"/>
          <w:color w:val="auto"/>
        </w:rPr>
        <w:t>In connection with the Annual Report of Pharvaris N.V. (the “Company”) on Form 20-F for the fiscal year ended December 31, 2022 as filed with the Securities and Exchange Commission on the date hereof (the “Report”), I, Anna Nijdam, Head of Finance and Principal Accounting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1500" w:right="420" w:hanging="744"/>
        <w:spacing w:after="0" w:line="277" w:lineRule="auto"/>
        <w:tabs>
          <w:tab w:leader="none" w:pos="150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21"/>
          <w:szCs w:val="21"/>
          <w:color w:val="auto"/>
        </w:rPr>
      </w:pPr>
    </w:p>
    <w:p>
      <w:pPr>
        <w:ind w:left="1500" w:right="560" w:hanging="744"/>
        <w:spacing w:after="0" w:line="277" w:lineRule="auto"/>
        <w:tabs>
          <w:tab w:leader="none" w:pos="150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5,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Anna Nijdam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Anna Nijdam</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Head of Finance and Principal Accounting Officer</w:t>
            </w:r>
          </w:p>
        </w:tc>
      </w:tr>
      <w:tr>
        <w:trPr>
          <w:trHeight w:val="559"/>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t>Exhibit 15.1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4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333-252897) and Form F-3 (No. 333-263198) of Pharvaris N.V. of our report dated April 5, 2023 relating to the financial statements, which appears in this Form 20-F.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W. Voorthuijsen RA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rPr>
          <w:sz w:val="20"/>
          <w:szCs w:val="20"/>
          <w:color w:val="auto"/>
        </w:rPr>
      </w:pPr>
      <w:r>
        <w:rPr>
          <w:rFonts w:ascii="Arial" w:cs="Arial" w:eastAsia="Arial" w:hAnsi="Arial"/>
          <w:sz w:val="18"/>
          <w:szCs w:val="18"/>
          <w:color w:val="auto"/>
        </w:rPr>
        <w:t>Amsterdam, The Netherlands, 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188595</wp:posOffset>
            </wp:positionV>
            <wp:extent cx="71589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1."/>
      <w:numFmt w:val="upperLetter"/>
      <w:start w:val="1"/>
    </w:lvl>
  </w:abstractNum>
  <w:abstractNum w:abstractNumId="8">
    <w:nsid w:val="4C04A8AF"/>
    <w:multiLevelType w:val="hybridMultilevel"/>
    <w:lvl w:ilvl="0">
      <w:lvlJc w:val="left"/>
      <w:lvlText w:val="%1."/>
      <w:numFmt w:val="upperLetter"/>
      <w:start w:val="2"/>
    </w:lvl>
  </w:abstractNum>
  <w:abstractNum w:abstractNumId="9">
    <w:nsid w:val="1716703B"/>
    <w:multiLevelType w:val="hybridMultilevel"/>
    <w:lvl w:ilvl="0">
      <w:lvlJc w:val="left"/>
      <w:lvlText w:val="%1."/>
      <w:numFmt w:val="upperLetter"/>
      <w:start w:val="3"/>
    </w:lvl>
  </w:abstractNum>
  <w:abstractNum w:abstractNumId="10">
    <w:nsid w:val="14E17E33"/>
    <w:multiLevelType w:val="hybridMultilevel"/>
    <w:lvl w:ilvl="0">
      <w:lvlJc w:val="left"/>
      <w:lvlText w:val="%1."/>
      <w:numFmt w:val="upperLetter"/>
      <w:start w:val="1"/>
    </w:lvl>
  </w:abstractNum>
  <w:abstractNum w:abstractNumId="11">
    <w:nsid w:val="3222E7CD"/>
    <w:multiLevelType w:val="hybridMultilevel"/>
    <w:lvl w:ilvl="0">
      <w:lvlJc w:val="left"/>
      <w:lvlText w:val="%1."/>
      <w:numFmt w:val="upperLetter"/>
      <w:start w:val="2"/>
    </w:lvl>
  </w:abstractNum>
  <w:abstractNum w:abstractNumId="12">
    <w:nsid w:val="74DE0EE3"/>
    <w:multiLevelType w:val="hybridMultilevel"/>
    <w:lvl w:ilvl="0">
      <w:lvlJc w:val="left"/>
      <w:lvlText w:val="%1."/>
      <w:numFmt w:val="upperLetter"/>
      <w:start w:val="1"/>
    </w:lvl>
  </w:abstractNum>
  <w:abstractNum w:abstractNumId="13">
    <w:nsid w:val="68EBC550"/>
    <w:multiLevelType w:val="hybridMultilevel"/>
    <w:lvl w:ilvl="0">
      <w:lvlJc w:val="left"/>
      <w:lvlText w:val="%1."/>
      <w:numFmt w:val="upperLetter"/>
      <w:start w:val="3"/>
    </w:lvl>
  </w:abstractNum>
  <w:abstractNum w:abstractNumId="14">
    <w:nsid w:val="2DF6D648"/>
    <w:multiLevelType w:val="hybridMultilevel"/>
    <w:lvl w:ilvl="0">
      <w:lvlJc w:val="left"/>
      <w:lvlText w:val="%1."/>
      <w:numFmt w:val="upperLetter"/>
      <w:start w:val="4"/>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1."/>
      <w:numFmt w:val="upperLetter"/>
      <w:start w:val="1"/>
    </w:lvl>
  </w:abstractNum>
  <w:abstractNum w:abstractNumId="45">
    <w:nsid w:val="1FBFE8E0"/>
    <w:multiLevelType w:val="hybridMultilevel"/>
    <w:lvl w:ilvl="0">
      <w:lvlJc w:val="left"/>
      <w:lvlText w:val="%1."/>
      <w:numFmt w:val="upperLetter"/>
      <w:start w:val="2"/>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1)"/>
      <w:numFmt w:val="decimal"/>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1."/>
      <w:numFmt w:val="upperLetter"/>
      <w:start w:val="3"/>
    </w:lvl>
  </w:abstractNum>
  <w:abstractNum w:abstractNumId="66">
    <w:nsid w:val="2B0D8DBE"/>
    <w:multiLevelType w:val="hybridMultilevel"/>
    <w:lvl w:ilvl="0">
      <w:lvlJc w:val="left"/>
      <w:lvlText w:val="%1."/>
      <w:numFmt w:val="upperLetter"/>
      <w:start w:val="4"/>
    </w:lvl>
  </w:abstractNum>
  <w:abstractNum w:abstractNumId="67">
    <w:nsid w:val="6C80EC70"/>
    <w:multiLevelType w:val="hybridMultilevel"/>
    <w:lvl w:ilvl="0">
      <w:lvlJc w:val="left"/>
      <w:lvlText w:val="%1."/>
      <w:numFmt w:val="upperLetter"/>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1."/>
      <w:numFmt w:val="upperLetter"/>
      <w:start w:val="2"/>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1."/>
      <w:numFmt w:val="upperLetter"/>
      <w:start w:val="3"/>
    </w:lvl>
  </w:abstractNum>
  <w:abstractNum w:abstractNumId="76">
    <w:nsid w:val="3DB012B3"/>
    <w:multiLevelType w:val="hybridMultilevel"/>
    <w:lvl w:ilvl="0">
      <w:lvlJc w:val="left"/>
      <w:lvlText w:val="%1."/>
      <w:numFmt w:val="upperLetter"/>
      <w:start w:val="4"/>
    </w:lvl>
  </w:abstractNum>
  <w:abstractNum w:abstractNumId="77">
    <w:nsid w:val="2708C9AF"/>
    <w:multiLevelType w:val="hybridMultilevel"/>
    <w:lvl w:ilvl="0">
      <w:lvlJc w:val="left"/>
      <w:lvlText w:val="%1."/>
      <w:numFmt w:val="upperLetter"/>
      <w:start w:val="5"/>
    </w:lvl>
  </w:abstractNum>
  <w:abstractNum w:abstractNumId="78">
    <w:nsid w:val="5B25ACE2"/>
    <w:multiLevelType w:val="hybridMultilevel"/>
    <w:lvl w:ilvl="0">
      <w:lvlJc w:val="left"/>
      <w:lvlText w:val="%1."/>
      <w:numFmt w:val="upperLetter"/>
      <w:start w:val="1"/>
    </w:lvl>
  </w:abstractNum>
  <w:abstractNum w:abstractNumId="79">
    <w:nsid w:val="175DFCF0"/>
    <w:multiLevelType w:val="hybridMultilevel"/>
    <w:lvl w:ilvl="0">
      <w:lvlJc w:val="left"/>
      <w:lvlText w:val="%1."/>
      <w:numFmt w:val="upperLetter"/>
      <w:start w:val="2"/>
    </w:lvl>
  </w:abstractNum>
  <w:abstractNum w:abstractNumId="80">
    <w:nsid w:val="4F97E3E4"/>
    <w:multiLevelType w:val="hybridMultilevel"/>
    <w:lvl w:ilvl="0">
      <w:lvlJc w:val="left"/>
      <w:lvlText w:val="(%1)"/>
      <w:numFmt w:val="decimal"/>
      <w:start w:val="1"/>
    </w:lvl>
  </w:abstractNum>
  <w:abstractNum w:abstractNumId="81">
    <w:nsid w:val="53B0A9E"/>
    <w:multiLevelType w:val="hybridMultilevel"/>
    <w:lvl w:ilvl="0">
      <w:lvlJc w:val="left"/>
      <w:lvlText w:val="%1."/>
      <w:numFmt w:val="upperLetter"/>
      <w:start w:val="3"/>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1."/>
      <w:numFmt w:val="upperLetter"/>
      <w:start w:val="4"/>
    </w:lvl>
  </w:abstractNum>
  <w:abstractNum w:abstractNumId="85">
    <w:nsid w:val="519E3149"/>
    <w:multiLevelType w:val="hybridMultilevel"/>
    <w:lvl w:ilvl="0">
      <w:lvlJc w:val="left"/>
      <w:lvlText w:val="%1."/>
      <w:numFmt w:val="upperLetter"/>
      <w:start w:val="5"/>
    </w:lvl>
  </w:abstractNum>
  <w:abstractNum w:abstractNumId="86">
    <w:nsid w:val="2C6E4AFD"/>
    <w:multiLevelType w:val="hybridMultilevel"/>
    <w:lvl w:ilvl="0">
      <w:lvlJc w:val="left"/>
      <w:lvlText w:val="%1."/>
      <w:numFmt w:val="upperLetter"/>
      <w:start w:val="6"/>
    </w:lvl>
  </w:abstractNum>
  <w:abstractNum w:abstractNumId="87">
    <w:nsid w:val="17A1B582"/>
    <w:multiLevelType w:val="hybridMultilevel"/>
    <w:lvl w:ilvl="0">
      <w:lvlJc w:val="left"/>
      <w:lvlText w:val="%1."/>
      <w:numFmt w:val="upperLetter"/>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1)"/>
      <w:numFmt w:val="decimal"/>
      <w:start w:val="1"/>
    </w:lvl>
  </w:abstractNum>
  <w:abstractNum w:abstractNumId="91">
    <w:nsid w:val="2A082C70"/>
    <w:multiLevelType w:val="hybridMultilevel"/>
    <w:lvl w:ilvl="0">
      <w:lvlJc w:val="left"/>
      <w:lvlText w:val="(%1)"/>
      <w:numFmt w:val="decimal"/>
      <w:start w:val="5"/>
    </w:lvl>
  </w:abstractNum>
  <w:abstractNum w:abstractNumId="92">
    <w:nsid w:val="5EC6AFD4"/>
    <w:multiLevelType w:val="hybridMultilevel"/>
    <w:lvl w:ilvl="0">
      <w:lvlJc w:val="left"/>
      <w:lvlText w:val="(%1)"/>
      <w:numFmt w:val="decimal"/>
      <w:start w:val="18"/>
    </w:lvl>
  </w:abstractNum>
  <w:abstractNum w:abstractNumId="93">
    <w:nsid w:val="19E21BB2"/>
    <w:multiLevelType w:val="hybridMultilevel"/>
    <w:lvl w:ilvl="0">
      <w:lvlJc w:val="left"/>
      <w:lvlText w:val="%1."/>
      <w:numFmt w:val="upperLetter"/>
      <w:start w:val="2"/>
    </w:lvl>
  </w:abstractNum>
  <w:abstractNum w:abstractNumId="94">
    <w:nsid w:val="75E0858A"/>
    <w:multiLevelType w:val="hybridMultilevel"/>
    <w:lvl w:ilvl="0">
      <w:lvlJc w:val="left"/>
      <w:lvlText w:val="%1."/>
      <w:numFmt w:val="upperLetter"/>
      <w:start w:val="3"/>
    </w:lvl>
  </w:abstractNum>
  <w:abstractNum w:abstractNumId="95">
    <w:nsid w:val="57A61A29"/>
    <w:multiLevelType w:val="hybridMultilevel"/>
    <w:lvl w:ilvl="0">
      <w:lvlJc w:val="left"/>
      <w:lvlText w:val="%1."/>
      <w:numFmt w:val="upperLetter"/>
      <w:start w:val="1"/>
    </w:lvl>
  </w:abstractNum>
  <w:abstractNum w:abstractNumId="96">
    <w:nsid w:val="5399C654"/>
    <w:multiLevelType w:val="hybridMultilevel"/>
    <w:lvl w:ilvl="0">
      <w:lvlJc w:val="left"/>
      <w:lvlText w:val="%1."/>
      <w:numFmt w:val="upperLetter"/>
      <w:start w:val="2"/>
    </w:lvl>
  </w:abstractNum>
  <w:abstractNum w:abstractNumId="97">
    <w:nsid w:val="20EE1348"/>
    <w:multiLevelType w:val="hybridMultilevel"/>
    <w:lvl w:ilvl="0">
      <w:lvlJc w:val="left"/>
      <w:lvlText w:val="%1."/>
      <w:numFmt w:val="upperLetter"/>
      <w:start w:val="1"/>
    </w:lvl>
  </w:abstractNum>
  <w:abstractNum w:abstractNumId="98">
    <w:nsid w:val="4427069A"/>
    <w:multiLevelType w:val="hybridMultilevel"/>
    <w:lvl w:ilvl="0">
      <w:lvlJc w:val="left"/>
      <w:lvlText w:val="%1."/>
      <w:numFmt w:val="upperLetter"/>
      <w:start w:val="2"/>
    </w:lvl>
  </w:abstractNum>
  <w:abstractNum w:abstractNumId="99">
    <w:nsid w:val="B37E80A"/>
    <w:multiLevelType w:val="hybridMultilevel"/>
    <w:lvl w:ilvl="0">
      <w:lvlJc w:val="left"/>
      <w:lvlText w:val="%1."/>
      <w:numFmt w:val="upperLetter"/>
      <w:start w:val="3"/>
    </w:lvl>
  </w:abstractNum>
  <w:abstractNum w:abstractNumId="100">
    <w:nsid w:val="2157F6BC"/>
    <w:multiLevelType w:val="hybridMultilevel"/>
    <w:lvl w:ilvl="0">
      <w:lvlJc w:val="left"/>
      <w:lvlText w:val="%1."/>
      <w:numFmt w:val="upperLetter"/>
      <w:start w:val="4"/>
    </w:lvl>
  </w:abstractNum>
  <w:abstractNum w:abstractNumId="101">
    <w:nsid w:val="704E1DD5"/>
    <w:multiLevelType w:val="hybridMultilevel"/>
    <w:lvl w:ilvl="0">
      <w:lvlJc w:val="left"/>
      <w:lvlText w:val="%1."/>
      <w:numFmt w:val="upperLetter"/>
      <w:start w:val="5"/>
    </w:lvl>
  </w:abstractNum>
  <w:abstractNum w:abstractNumId="102">
    <w:nsid w:val="57D2F10E"/>
    <w:multiLevelType w:val="hybridMultilevel"/>
    <w:lvl w:ilvl="0">
      <w:lvlJc w:val="left"/>
      <w:lvlText w:val="%1."/>
      <w:numFmt w:val="upperLetter"/>
      <w:start w:val="6"/>
    </w:lvl>
  </w:abstractNum>
  <w:abstractNum w:abstractNumId="103">
    <w:nsid w:val="BFFAE18"/>
    <w:multiLevelType w:val="hybridMultilevel"/>
    <w:lvl w:ilvl="0">
      <w:lvlJc w:val="left"/>
      <w:lvlText w:val="%1."/>
      <w:numFmt w:val="upperLetter"/>
      <w:start w:val="1"/>
    </w:lvl>
  </w:abstractNum>
  <w:abstractNum w:abstractNumId="104">
    <w:nsid w:val="E3E47A8"/>
    <w:multiLevelType w:val="hybridMultilevel"/>
    <w:lvl w:ilvl="0">
      <w:lvlJc w:val="left"/>
      <w:lvlText w:val="%1."/>
      <w:numFmt w:val="upperLetter"/>
      <w:start w:val="2"/>
    </w:lvl>
  </w:abstractNum>
  <w:abstractNum w:abstractNumId="105">
    <w:nsid w:val="2E48F044"/>
    <w:multiLevelType w:val="hybridMultilevel"/>
    <w:lvl w:ilvl="0">
      <w:lvlJc w:val="left"/>
      <w:lvlText w:val="%1."/>
      <w:numFmt w:val="upperLetter"/>
      <w:start w:val="3"/>
    </w:lvl>
  </w:abstractNum>
  <w:abstractNum w:abstractNumId="106">
    <w:nsid w:val="49D0FEAC"/>
    <w:multiLevelType w:val="hybridMultilevel"/>
    <w:lvl w:ilvl="0">
      <w:lvlJc w:val="left"/>
      <w:lvlText w:val="%1."/>
      <w:numFmt w:val="upperLetter"/>
      <w:start w:val="4"/>
    </w:lvl>
  </w:abstractNum>
  <w:abstractNum w:abstractNumId="107">
    <w:nsid w:val="4BEE5A5B"/>
    <w:multiLevelType w:val="hybridMultilevel"/>
    <w:lvl w:ilvl="0">
      <w:lvlJc w:val="left"/>
      <w:lvlText w:val="%1."/>
      <w:numFmt w:val="upperLetter"/>
      <w:start w:val="5"/>
    </w:lvl>
  </w:abstractNum>
  <w:abstractNum w:abstractNumId="108">
    <w:nsid w:val="5551B9F3"/>
    <w:multiLevelType w:val="hybridMultilevel"/>
    <w:lvl w:ilvl="0">
      <w:lvlJc w:val="left"/>
      <w:lvlText w:val="•"/>
      <w:numFmt w:val="bullet"/>
      <w:start w:val="1"/>
    </w:lvl>
  </w:abstractNum>
  <w:abstractNum w:abstractNumId="109">
    <w:nsid w:val="24F6AB8E"/>
    <w:multiLevelType w:val="hybridMultilevel"/>
    <w:lvl w:ilvl="0">
      <w:lvlJc w:val="left"/>
      <w:lvlText w:val="•"/>
      <w:numFmt w:val="bullet"/>
      <w:start w:val="1"/>
    </w:lvl>
  </w:abstractNum>
  <w:abstractNum w:abstractNumId="110">
    <w:nsid w:val="634C574C"/>
    <w:multiLevelType w:val="hybridMultilevel"/>
    <w:lvl w:ilvl="0">
      <w:lvlJc w:val="left"/>
      <w:lvlText w:val="(%1)"/>
      <w:numFmt w:val="lowerRoman"/>
      <w:start w:val="1"/>
    </w:lvl>
  </w:abstractNum>
  <w:abstractNum w:abstractNumId="111">
    <w:nsid w:val="24E99DD7"/>
    <w:multiLevelType w:val="hybridMultilevel"/>
    <w:lvl w:ilvl="0">
      <w:lvlJc w:val="left"/>
      <w:lvlText w:val="%1."/>
      <w:numFmt w:val="lowerRoman"/>
      <w:start w:val="1"/>
    </w:lvl>
  </w:abstractNum>
  <w:abstractNum w:abstractNumId="112">
    <w:nsid w:val="2A31B62D"/>
    <w:multiLevelType w:val="hybridMultilevel"/>
    <w:lvl w:ilvl="0">
      <w:lvlJc w:val="left"/>
      <w:lvlText w:val="•"/>
      <w:numFmt w:val="bullet"/>
      <w:start w:val="1"/>
    </w:lvl>
  </w:abstractNum>
  <w:abstractNum w:abstractNumId="113">
    <w:nsid w:val="1849C29B"/>
    <w:multiLevelType w:val="hybridMultilevel"/>
    <w:lvl w:ilvl="0">
      <w:lvlJc w:val="left"/>
      <w:lvlText w:val="%1."/>
      <w:numFmt w:val="lowerRoman"/>
      <w:start w:val="1"/>
    </w:lvl>
  </w:abstractNum>
  <w:abstractNum w:abstractNumId="114">
    <w:nsid w:val="7DFF9D09"/>
    <w:multiLevelType w:val="hybridMultilevel"/>
    <w:lvl w:ilvl="0">
      <w:lvlJc w:val="left"/>
      <w:lvlText w:val="%1."/>
      <w:numFmt w:val="lowerRoman"/>
      <w:start w:val="1"/>
    </w:lvl>
  </w:abstractNum>
  <w:abstractNum w:abstractNumId="115">
    <w:nsid w:val="754342"/>
    <w:multiLevelType w:val="hybridMultilevel"/>
    <w:lvl w:ilvl="0">
      <w:lvlJc w:val="left"/>
      <w:lvlText w:val="(%1)"/>
      <w:numFmt w:val="lowerRoman"/>
      <w:start w:val="1"/>
    </w:lvl>
    <w:lvl w:ilvl="1">
      <w:lvlJc w:val="left"/>
      <w:lvlText w:val="%2)"/>
      <w:numFmt w:val="lowerLetter"/>
      <w:start w:val="1"/>
    </w:lvl>
  </w:abstractNum>
  <w:abstractNum w:abstractNumId="116">
    <w:nsid w:val="69E7F3E5"/>
    <w:multiLevelType w:val="hybridMultilevel"/>
    <w:lvl w:ilvl="0">
      <w:lvlJc w:val="left"/>
      <w:lvlText w:val="%1."/>
      <w:numFmt w:val="lowerRoman"/>
      <w:start w:val="1"/>
    </w:lvl>
  </w:abstractNum>
  <w:abstractNum w:abstractNumId="117">
    <w:nsid w:val="2A6DE806"/>
    <w:multiLevelType w:val="hybridMultilevel"/>
    <w:lvl w:ilvl="0">
      <w:lvlJc w:val="left"/>
      <w:lvlText w:val="%1."/>
      <w:numFmt w:val="lowerRoman"/>
      <w:start w:val="1"/>
    </w:lvl>
  </w:abstractNum>
  <w:abstractNum w:abstractNumId="118">
    <w:nsid w:val="1816F8C4"/>
    <w:multiLevelType w:val="hybridMultilevel"/>
    <w:lvl w:ilvl="0">
      <w:lvlJc w:val="left"/>
      <w:lvlText w:val="%1."/>
      <w:numFmt w:val="upperLetter"/>
      <w:start w:val="6"/>
    </w:lvl>
  </w:abstractNum>
  <w:abstractNum w:abstractNumId="119">
    <w:nsid w:val="37DF2233"/>
    <w:multiLevelType w:val="hybridMultilevel"/>
    <w:lvl w:ilvl="0">
      <w:lvlJc w:val="left"/>
      <w:lvlText w:val="%1."/>
      <w:numFmt w:val="upperLetter"/>
      <w:start w:val="7"/>
    </w:lvl>
  </w:abstractNum>
  <w:abstractNum w:abstractNumId="120">
    <w:nsid w:val="7AB49DAF"/>
    <w:multiLevelType w:val="hybridMultilevel"/>
    <w:lvl w:ilvl="0">
      <w:lvlJc w:val="left"/>
      <w:lvlText w:val="%1."/>
      <w:numFmt w:val="upperLetter"/>
      <w:start w:val="8"/>
    </w:lvl>
  </w:abstractNum>
  <w:abstractNum w:abstractNumId="121">
    <w:nsid w:val="759F82CD"/>
    <w:multiLevelType w:val="hybridMultilevel"/>
    <w:lvl w:ilvl="0">
      <w:lvlJc w:val="left"/>
      <w:lvlText w:val="%1."/>
      <w:numFmt w:val="upperLetter"/>
      <w:start w:val="9"/>
    </w:lvl>
  </w:abstractNum>
  <w:abstractNum w:abstractNumId="122">
    <w:nsid w:val="61E74EA3"/>
    <w:multiLevelType w:val="hybridMultilevel"/>
    <w:lvl w:ilvl="0">
      <w:lvlJc w:val="left"/>
      <w:lvlText w:val="%1."/>
      <w:numFmt w:val="upperLetter"/>
      <w:start w:val="1"/>
    </w:lvl>
  </w:abstractNum>
  <w:abstractNum w:abstractNumId="123">
    <w:nsid w:val="597B4D84"/>
    <w:multiLevelType w:val="hybridMultilevel"/>
    <w:lvl w:ilvl="0">
      <w:lvlJc w:val="left"/>
      <w:lvlText w:val="%1."/>
      <w:numFmt w:val="upperLetter"/>
      <w:start w:val="2"/>
    </w:lvl>
  </w:abstractNum>
  <w:abstractNum w:abstractNumId="124">
    <w:nsid w:val="F819E7F"/>
    <w:multiLevelType w:val="hybridMultilevel"/>
    <w:lvl w:ilvl="0">
      <w:lvlJc w:val="left"/>
      <w:lvlText w:val="%1."/>
      <w:numFmt w:val="upperLetter"/>
      <w:start w:val="3"/>
    </w:lvl>
  </w:abstractNum>
  <w:abstractNum w:abstractNumId="125">
    <w:nsid w:val="57C7D42D"/>
    <w:multiLevelType w:val="hybridMultilevel"/>
    <w:lvl w:ilvl="0">
      <w:lvlJc w:val="left"/>
      <w:lvlText w:val="%1."/>
      <w:numFmt w:val="upperLetter"/>
      <w:start w:val="4"/>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1"/>
      <w:numFmt w:val="decimal"/>
      <w:start w:val="101"/>
    </w:lvl>
  </w:abstractNum>
  <w:abstractNum w:abstractNumId="129">
    <w:nsid w:val="75486E47"/>
    <w:multiLevelType w:val="hybridMultilevel"/>
    <w:lvl w:ilvl="0">
      <w:lvlJc w:val="left"/>
      <w:lvlText w:val="*"/>
      <w:numFmt w:val="bullet"/>
      <w:start w:val="1"/>
    </w:lvl>
    <w:lvl w:ilvl="1">
      <w:lvlJc w:val="left"/>
      <w:lvlText w:val="%2"/>
      <w:numFmt w:val="decimal"/>
      <w:start w:val="101"/>
    </w:lvl>
  </w:abstractNum>
  <w:abstractNum w:abstractNumId="130">
    <w:nsid w:val="6E534CDE"/>
    <w:multiLevelType w:val="hybridMultilevel"/>
    <w:lvl w:ilvl="0">
      <w:lvlJc w:val="left"/>
      <w:lvlText w:val="*"/>
      <w:numFmt w:val="bullet"/>
      <w:start w:val="1"/>
    </w:lvl>
    <w:lvl w:ilvl="1">
      <w:lvlJc w:val="left"/>
      <w:lvlText w:val="%2"/>
      <w:numFmt w:val="decimal"/>
      <w:start w:val="101"/>
    </w:lvl>
  </w:abstractNum>
  <w:abstractNum w:abstractNumId="131">
    <w:nsid w:val="1A0DDE32"/>
    <w:multiLevelType w:val="hybridMultilevel"/>
    <w:lvl w:ilvl="0">
      <w:lvlJc w:val="left"/>
      <w:lvlText w:val="*"/>
      <w:numFmt w:val="bullet"/>
      <w:start w:val="1"/>
    </w:lvl>
    <w:lvl w:ilvl="1">
      <w:lvlJc w:val="left"/>
      <w:lvlText w:val="%2"/>
      <w:numFmt w:val="decimal"/>
      <w:start w:val="101"/>
    </w:lvl>
  </w:abstractNum>
  <w:abstractNum w:abstractNumId="132">
    <w:nsid w:val="65968C1C"/>
    <w:multiLevelType w:val="hybridMultilevel"/>
    <w:lvl w:ilvl="0">
      <w:lvlJc w:val="left"/>
      <w:lvlText w:val="*"/>
      <w:numFmt w:val="bullet"/>
      <w:start w:val="1"/>
    </w:lvl>
    <w:lvl w:ilvl="1">
      <w:lvlJc w:val="left"/>
      <w:lvlText w:val="%2"/>
      <w:numFmt w:val="decimal"/>
      <w:start w:val="101"/>
    </w:lvl>
  </w:abstractNum>
  <w:abstractNum w:abstractNumId="133">
    <w:nsid w:val="46263DEC"/>
    <w:multiLevelType w:val="hybridMultilevel"/>
    <w:lvl w:ilvl="0">
      <w:lvlJc w:val="left"/>
      <w:lvlText w:val="*"/>
      <w:numFmt w:val="bullet"/>
      <w:start w:val="1"/>
    </w:lvl>
    <w:lvl w:ilvl="1">
      <w:lvlJc w:val="left"/>
      <w:lvlText w:val="%2"/>
      <w:numFmt w:val="decimal"/>
      <w:start w:val="101"/>
    </w:lvl>
  </w:abstractNum>
  <w:abstractNum w:abstractNumId="134">
    <w:nsid w:val="260D8C4A"/>
    <w:multiLevelType w:val="hybridMultilevel"/>
    <w:lvl w:ilvl="0">
      <w:lvlJc w:val="left"/>
      <w:lvlText w:val="*"/>
      <w:numFmt w:val="bullet"/>
      <w:start w:val="1"/>
    </w:lvl>
    <w:lvl w:ilvl="1">
      <w:lvlJc w:val="left"/>
      <w:lvlText w:val="%2"/>
      <w:numFmt w:val="decimal"/>
      <w:start w:val="104"/>
    </w:lvl>
  </w:abstractNum>
  <w:abstractNum w:abstractNumId="135">
    <w:nsid w:val="73D4D3C4"/>
    <w:multiLevelType w:val="hybridMultilevel"/>
    <w:lvl w:ilvl="0">
      <w:lvlJc w:val="left"/>
      <w:lvlText w:val="†"/>
      <w:numFmt w:val="bullet"/>
      <w:start w:val="1"/>
    </w:lvl>
  </w:abstractNum>
  <w:abstractNum w:abstractNumId="136">
    <w:nsid w:val="746F2E30"/>
    <w:multiLevelType w:val="hybridMultilevel"/>
    <w:lvl w:ilvl="0">
      <w:lvlJc w:val="left"/>
      <w:lvlText w:val="%1."/>
      <w:numFmt w:val="decimal"/>
      <w:start w:val="2"/>
    </w:lvl>
  </w:abstractNum>
  <w:abstractNum w:abstractNumId="137">
    <w:nsid w:val="6FDE8AF6"/>
    <w:multiLevelType w:val="hybridMultilevel"/>
    <w:lvl w:ilvl="0">
      <w:lvlJc w:val="left"/>
      <w:lvlText w:val="•"/>
      <w:numFmt w:val="bullet"/>
      <w:start w:val="1"/>
    </w:lvl>
  </w:abstractNum>
  <w:abstractNum w:abstractNumId="138">
    <w:nsid w:val="3FC32E20"/>
    <w:multiLevelType w:val="hybridMultilevel"/>
    <w:lvl w:ilvl="0">
      <w:lvlJc w:val="left"/>
      <w:lvlText w:val="•"/>
      <w:numFmt w:val="bullet"/>
      <w:start w:val="1"/>
    </w:lvl>
  </w:abstractNum>
  <w:abstractNum w:abstractNumId="139">
    <w:nsid w:val="49C0E823"/>
    <w:multiLevelType w:val="hybridMultilevel"/>
    <w:lvl w:ilvl="0">
      <w:lvlJc w:val="left"/>
      <w:lvlText w:val="•"/>
      <w:numFmt w:val="bullet"/>
      <w:start w:val="1"/>
    </w:lvl>
  </w:abstractNum>
  <w:abstractNum w:abstractNumId="140">
    <w:nsid w:val="14D53685"/>
    <w:multiLevelType w:val="hybridMultilevel"/>
    <w:lvl w:ilvl="0">
      <w:lvlJc w:val="left"/>
      <w:lvlText w:val="•"/>
      <w:numFmt w:val="bullet"/>
      <w:start w:val="1"/>
    </w:lvl>
  </w:abstractNum>
  <w:abstractNum w:abstractNumId="141">
    <w:nsid w:val="230F856C"/>
    <w:multiLevelType w:val="hybridMultilevel"/>
    <w:lvl w:ilvl="0">
      <w:lvlJc w:val="left"/>
      <w:lvlText w:val="•"/>
      <w:numFmt w:val="bullet"/>
      <w:start w:val="1"/>
    </w:lvl>
  </w:abstractNum>
  <w:abstractNum w:abstractNumId="142">
    <w:nsid w:val="6EAA85FB"/>
    <w:multiLevelType w:val="hybridMultilevel"/>
    <w:lvl w:ilvl="0">
      <w:lvlJc w:val="left"/>
      <w:lvlText w:val="•"/>
      <w:numFmt w:val="bullet"/>
      <w:start w:val="1"/>
    </w:lvl>
  </w:abstractNum>
  <w:abstractNum w:abstractNumId="143">
    <w:nsid w:val="3F06ECB2"/>
    <w:multiLevelType w:val="hybridMultilevel"/>
    <w:lvl w:ilvl="0">
      <w:lvlJc w:val="left"/>
      <w:lvlText w:val="•"/>
      <w:numFmt w:val="bullet"/>
      <w:start w:val="1"/>
    </w:lvl>
  </w:abstractNum>
  <w:abstractNum w:abstractNumId="144">
    <w:nsid w:val="3B594807"/>
    <w:multiLevelType w:val="hybridMultilevel"/>
    <w:lvl w:ilvl="0">
      <w:lvlJc w:val="left"/>
      <w:lvlText w:val="•"/>
      <w:numFmt w:val="bullet"/>
      <w:start w:val="1"/>
    </w:lvl>
  </w:abstractNum>
  <w:abstractNum w:abstractNumId="145">
    <w:nsid w:val="6CAA2304"/>
    <w:multiLevelType w:val="hybridMultilevel"/>
    <w:lvl w:ilvl="0">
      <w:lvlJc w:val="left"/>
      <w:lvlText w:val="%1."/>
      <w:numFmt w:val="upperLetter"/>
      <w:start w:val="9"/>
    </w:lvl>
  </w:abstractNum>
  <w:abstractNum w:abstractNumId="146">
    <w:nsid w:val="3F7C2FF4"/>
    <w:multiLevelType w:val="hybridMultilevel"/>
    <w:lvl w:ilvl="0">
      <w:lvlJc w:val="left"/>
      <w:lvlText w:val="%1."/>
      <w:numFmt w:val="upperLetter"/>
      <w:start w:val="35"/>
    </w:lvl>
  </w:abstractNum>
  <w:abstractNum w:abstractNumId="147">
    <w:nsid w:val="25413BEC"/>
    <w:multiLevelType w:val="hybridMultilevel"/>
    <w:lvl w:ilvl="0">
      <w:lvlJc w:val="left"/>
      <w:lvlText w:val="%1."/>
      <w:numFmt w:val="upperLetter"/>
      <w:start w:val="61"/>
    </w:lvl>
  </w:abstractNum>
  <w:abstractNum w:abstractNumId="148">
    <w:nsid w:val="17180B0B"/>
    <w:multiLevelType w:val="hybridMultilevel"/>
    <w:lvl w:ilvl="0">
      <w:lvlJc w:val="left"/>
      <w:lvlText w:val="%1."/>
      <w:numFmt w:val="upperLetter"/>
      <w:start w:val="22"/>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
      <w:numFmt w:val="bullet"/>
      <w:start w:val="1"/>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1)"/>
      <w:numFmt w:val="lowerRoman"/>
      <w:start w:val="2"/>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
      <w:numFmt w:val="bullet"/>
      <w:start w:val="1"/>
    </w:lvl>
  </w:abstractNum>
  <w:abstractNum w:abstractNumId="155">
    <w:nsid w:val="5CB44A05"/>
    <w:multiLevelType w:val="hybridMultilevel"/>
    <w:lvl w:ilvl="0">
      <w:lvlJc w:val="left"/>
      <w:lvlText w:val="•"/>
      <w:numFmt w:val="bullet"/>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
      <w:numFmt w:val="bullet"/>
      <w:start w:val="1"/>
    </w:lvl>
  </w:abstractNum>
  <w:abstractNum w:abstractNumId="160">
    <w:nsid w:val="11B1CC33"/>
    <w:multiLevelType w:val="hybridMultilevel"/>
    <w:lvl w:ilvl="0">
      <w:lvlJc w:val="left"/>
      <w:lvlText w:val="%1."/>
      <w:numFmt w:val="decimal"/>
      <w:start w:val="1"/>
    </w:lvl>
    <w:lvl w:ilvl="1">
      <w:lvlJc w:val="left"/>
      <w:lvlText w:val="(%2)"/>
      <w:numFmt w:val="lowerLetter"/>
      <w:start w:val="1"/>
    </w:lvl>
  </w:abstractNum>
  <w:abstractNum w:abstractNumId="161">
    <w:nsid w:val="2E22FBB7"/>
    <w:multiLevelType w:val="hybridMultilevel"/>
    <w:lvl w:ilvl="0">
      <w:lvlJc w:val="left"/>
      <w:lvlText w:val="(%1)"/>
      <w:numFmt w:val="lowerLetter"/>
      <w:start w:val="1"/>
    </w:lvl>
  </w:abstractNum>
  <w:abstractNum w:abstractNumId="162">
    <w:nsid w:val="29934699"/>
    <w:multiLevelType w:val="hybridMultilevel"/>
    <w:lvl w:ilvl="0">
      <w:lvlJc w:val="left"/>
      <w:lvlText w:val="%1."/>
      <w:numFmt w:val="decimal"/>
      <w:start w:val="1"/>
    </w:lvl>
    <w:lvl w:ilvl="1">
      <w:lvlJc w:val="left"/>
      <w:lvlText w:val="(%2)"/>
      <w:numFmt w:val="lowerLetter"/>
      <w:start w:val="1"/>
    </w:lvl>
  </w:abstractNum>
  <w:abstractNum w:abstractNumId="163">
    <w:nsid w:val="77485850"/>
    <w:multiLevelType w:val="hybridMultilevel"/>
    <w:lvl w:ilvl="0">
      <w:lvlJc w:val="left"/>
      <w:lvlText w:val="%1."/>
      <w:numFmt w:val="decimal"/>
      <w:start w:val="5"/>
    </w:lvl>
    <w:lvl w:ilvl="1">
      <w:lvlJc w:val="left"/>
      <w:lvlText w:val="(%2)"/>
      <w:numFmt w:val="lowerLetter"/>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285" Type="http://schemas.openxmlformats.org/officeDocument/2006/relationships/hyperlink" Target="https://www.sec.gov/Archives/edgar/data/1830487/000119312521034489/d31744dex31.htm" TargetMode="External"/><Relationship Id="rId289" Type="http://schemas.openxmlformats.org/officeDocument/2006/relationships/hyperlink" Target="https://www.sec.gov/Archives/edgar/data/1830487/000119312521010126/d50231dex101.htm" TargetMode="External"/><Relationship Id="rId292" Type="http://schemas.openxmlformats.org/officeDocument/2006/relationships/hyperlink" Target="https://www.sec.gov/Archives/edgar/data/1830487/000119312521010126/d50231dex102.htm" TargetMode="External"/><Relationship Id="rId296" Type="http://schemas.openxmlformats.org/officeDocument/2006/relationships/hyperlink" Target="https://www.sec.gov/Archives/edgar/data/1830487/000119312521010126/d50231dex103.htm" TargetMode="External"/><Relationship Id="rId300" Type="http://schemas.openxmlformats.org/officeDocument/2006/relationships/hyperlink" Target="https://www.sec.gov/Archives/edgar/data/1830487/000119312521010126/d50231dex104.htm" TargetMode="External"/><Relationship Id="rId304" Type="http://schemas.openxmlformats.org/officeDocument/2006/relationships/hyperlink" Target="https://www.sec.gov/Archives/edgar/data/1830487/000119312521010126/d50231dex105.htm" TargetMode="External"/><Relationship Id="rId308" Type="http://schemas.openxmlformats.org/officeDocument/2006/relationships/hyperlink" Target="https://www.sec.gov/Archives/edgar/data/1830487/000119312521014933/d50231dex106.htm" TargetMode="External"/><Relationship Id="rId312" Type="http://schemas.openxmlformats.org/officeDocument/2006/relationships/hyperlink" Target="https://www.sec.gov/Archives/edgar/data/1830487/000119312521014933/d50231dex107.htm" TargetMode="External"/><Relationship Id="rId316" Type="http://schemas.openxmlformats.org/officeDocument/2006/relationships/hyperlink" Target="https://www.sec.gov/Archives/edgar/data/1830487/000119312521034489/d31744dex101.htm" TargetMode="External"/><Relationship Id="rId319" Type="http://schemas.openxmlformats.org/officeDocument/2006/relationships/hyperlink" Target="https://www.sec.gov/Archives/edgar/data/1830487/000119312521023578/d50231dex108.htm" TargetMode="External"/><Relationship Id="rId322" Type="http://schemas.openxmlformats.org/officeDocument/2006/relationships/hyperlink" Target="https://www.sec.gov/Archives/edgar/data/1830487/000119312521023578/d50231dex1010.htm" TargetMode="External"/><Relationship Id="rId325" Type="http://schemas.openxmlformats.org/officeDocument/2006/relationships/hyperlink" Target="https://www.sec.gov/Archives/edgar/data/1830487/000119312521023578/d50231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2023-04-05T05:55:23Z</dcterms:created>
  <dcterms:modified xsi:type="dcterms:W3CDTF">2023-04-05T05:55:23Z</dcterms:modified>
</cp:coreProperties>
</file>