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Nassif David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CRANBERRY HILL SUITE 400</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Pharvaris N.V.</w:t>
              </w:r>
            </w:hyperlink>
            <w:r>
              <w:rPr/>
              <w:t xml:space="preserve"> [ </w:t>
            </w:r>
            <w:r>
              <w:rPr>
                <w:rFonts w:ascii="Times;serif" w:hAnsi="Times;serif"/>
                <w:color w:val="0000FF"/>
                <w:sz w:val="24"/>
                <w:shd w:fill="FFFFFF" w:val="clear"/>
              </w:rPr>
              <w:t>PHVS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 CLO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36.4668</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114,300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113,800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represents a weighted average sale price for shares sold in multiple transactions at prices ranging from $36.30 to $36.71 per share. The shares sold were acquired upon vesting of restricted stock units on various dates.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Gift to charitable organization.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Marnus Nel, Attorney-in-Fact for David W. Nassif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6975" TargetMode="External"/><Relationship Id="rId5" Type="http://schemas.openxmlformats.org/officeDocument/2006/relationships/hyperlink" Target="http://www.sec.gov/cgi-bin/browse-edgar?action=getcompany&amp;CIK=00018304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3558</Characters>
  <CharactersWithSpaces>4140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