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20"/>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ind w:left="6460"/>
        <w:spacing w:after="0"/>
        <w:rPr>
          <w:sz w:val="20"/>
          <w:szCs w:val="20"/>
          <w:color w:val="auto"/>
        </w:rPr>
      </w:pPr>
      <w:r>
        <w:rPr>
          <w:rFonts w:ascii="Times New Roman" w:cs="Times New Roman" w:eastAsia="Times New Roman" w:hAnsi="Times New Roman"/>
          <w:sz w:val="13"/>
          <w:szCs w:val="13"/>
          <w:b w:val="1"/>
          <w:bCs w:val="1"/>
          <w:color w:val="auto"/>
        </w:rPr>
        <w:t>Registration Statement No. 333-278650</w:t>
      </w:r>
    </w:p>
    <w:p>
      <w:pPr>
        <w:spacing w:after="0" w:line="19"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PROSPECTUS SUPPLEMENT</w:t>
      </w:r>
    </w:p>
    <w:p>
      <w:pPr>
        <w:spacing w:after="0" w:line="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(to Prospectus dated April 12, 2024)</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8,250,000 ordinary shares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pre-funded warrants to purchase up to 500,000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2286635</wp:posOffset>
            </wp:positionH>
            <wp:positionV relativeFrom="paragraph">
              <wp:posOffset>459740</wp:posOffset>
            </wp:positionV>
            <wp:extent cx="11468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6810" cy="6985"/>
                    </a:xfrm>
                    <a:prstGeom prst="rect">
                      <a:avLst/>
                    </a:prstGeom>
                    <a:noFill/>
                  </pic:spPr>
                </pic:pic>
              </a:graphicData>
            </a:graphic>
          </wp:anchor>
        </w:drawing>
        <w:drawing>
          <wp:anchor simplePos="0" relativeHeight="251657728" behindDoc="1" locked="0" layoutInCell="0" allowOverlap="1">
            <wp:simplePos x="0" y="0"/>
            <wp:positionH relativeFrom="column">
              <wp:posOffset>2092960</wp:posOffset>
            </wp:positionH>
            <wp:positionV relativeFrom="paragraph">
              <wp:posOffset>119380</wp:posOffset>
            </wp:positionV>
            <wp:extent cx="1534160" cy="226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160" cy="2266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We are offering 8,250,000 of our ordinary shares, par value €0.12 per ordinary share (“ordinary shares”) and, to one investor, pre-funded warrants to purchase up to 500,000 ordinary shares. The purchase price of each pre-funded warrant will equal the price per share at which ordinary shares are being sold to the public in this offering, minus $0.01, which is the exercise price of each pre-funded warrant. This prospectus supplement also relates to the offering of the ordinary shares issuable upon exercise of such pre-funded warrants.</w:t>
      </w:r>
    </w:p>
    <w:p>
      <w:pPr>
        <w:spacing w:after="0" w:line="56" w:lineRule="exact"/>
        <w:rPr>
          <w:sz w:val="24"/>
          <w:szCs w:val="24"/>
          <w:color w:val="auto"/>
        </w:rPr>
      </w:pPr>
    </w:p>
    <w:p>
      <w:pPr>
        <w:jc w:val="both"/>
        <w:ind w:left="220" w:right="259" w:firstLine="343"/>
        <w:spacing w:after="0" w:line="266" w:lineRule="auto"/>
        <w:rPr>
          <w:sz w:val="20"/>
          <w:szCs w:val="20"/>
          <w:color w:val="auto"/>
        </w:rPr>
      </w:pPr>
      <w:r>
        <w:rPr>
          <w:rFonts w:ascii="Times New Roman" w:cs="Times New Roman" w:eastAsia="Times New Roman" w:hAnsi="Times New Roman"/>
          <w:sz w:val="14"/>
          <w:szCs w:val="14"/>
          <w:color w:val="auto"/>
        </w:rPr>
        <w:t>Our ordinary shares are listed on The Nasdaq Global Select Market (“Nasdaq”) under the symbol “PHVS.” On July 22, 2025, the last sale price of our ordinary shares as reported on Nasdaq was $23.12 per ordinary share. We do not intend to list the pre-funded warrants on Nasdaq, any other national securities exchange or any other nationally recognized trading system.</w:t>
      </w:r>
    </w:p>
    <w:p>
      <w:pPr>
        <w:spacing w:after="0" w:line="53" w:lineRule="exact"/>
        <w:rPr>
          <w:sz w:val="24"/>
          <w:szCs w:val="24"/>
          <w:color w:val="auto"/>
        </w:rPr>
      </w:pPr>
    </w:p>
    <w:p>
      <w:pPr>
        <w:ind w:left="220" w:right="519" w:firstLine="343"/>
        <w:spacing w:after="0" w:line="266" w:lineRule="auto"/>
        <w:rPr>
          <w:sz w:val="20"/>
          <w:szCs w:val="20"/>
          <w:color w:val="auto"/>
        </w:rPr>
      </w:pPr>
      <w:r>
        <w:rPr>
          <w:rFonts w:ascii="Times New Roman" w:cs="Times New Roman" w:eastAsia="Times New Roman" w:hAnsi="Times New Roman"/>
          <w:sz w:val="14"/>
          <w:szCs w:val="14"/>
          <w:color w:val="auto"/>
        </w:rPr>
        <w:t>We are a “foreign private issuer” as defined under the Securities and Exchange Commission (“SEC”) rules and, as such, we have elected to comply with certain reduced public company reporting requirements for this prospectus supplement and future filings. Please see “Pharvaris N.V.— Summary—Implications of Being a Foreign Private Issuer”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2286635</wp:posOffset>
            </wp:positionH>
            <wp:positionV relativeFrom="paragraph">
              <wp:posOffset>109855</wp:posOffset>
            </wp:positionV>
            <wp:extent cx="11468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22" w:lineRule="exact"/>
        <w:rPr>
          <w:sz w:val="24"/>
          <w:szCs w:val="24"/>
          <w:color w:val="auto"/>
        </w:rPr>
      </w:pPr>
    </w:p>
    <w:p>
      <w:pPr>
        <w:ind w:left="220" w:right="779" w:firstLine="343"/>
        <w:spacing w:after="0" w:line="242" w:lineRule="auto"/>
        <w:rPr>
          <w:sz w:val="20"/>
          <w:szCs w:val="20"/>
          <w:color w:val="auto"/>
        </w:rPr>
      </w:pPr>
      <w:r>
        <w:rPr>
          <w:rFonts w:ascii="Times New Roman" w:cs="Times New Roman" w:eastAsia="Times New Roman" w:hAnsi="Times New Roman"/>
          <w:sz w:val="17"/>
          <w:szCs w:val="17"/>
          <w:b w:val="1"/>
          <w:bCs w:val="1"/>
          <w:color w:val="auto"/>
        </w:rPr>
        <w:t>Investing in our ordinary shares and pre-funded warrants involves a high degree of risk. You should review carefully the risks and uncertainties described under the header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contained in this prospectus supplement beginning on page S-6 and under similar headings in the other documents that are incorporated by reference into this prospectus supplement and the accompanying prospectus.</w:t>
      </w:r>
    </w:p>
    <w:p>
      <w:pPr>
        <w:spacing w:after="0" w:line="60" w:lineRule="exact"/>
        <w:rPr>
          <w:sz w:val="24"/>
          <w:szCs w:val="24"/>
          <w:color w:val="auto"/>
        </w:rPr>
      </w:pPr>
    </w:p>
    <w:p>
      <w:pPr>
        <w:ind w:left="220" w:right="799" w:firstLine="343"/>
        <w:spacing w:after="0" w:line="285" w:lineRule="auto"/>
        <w:rPr>
          <w:sz w:val="20"/>
          <w:szCs w:val="20"/>
          <w:color w:val="auto"/>
        </w:rPr>
      </w:pPr>
      <w:r>
        <w:rPr>
          <w:rFonts w:ascii="Times New Roman" w:cs="Times New Roman" w:eastAsia="Times New Roman" w:hAnsi="Times New Roman"/>
          <w:sz w:val="14"/>
          <w:szCs w:val="14"/>
          <w:b w:val="1"/>
          <w:bCs w:val="1"/>
          <w:color w:val="auto"/>
        </w:rPr>
        <w:t>You should read the entire prospectus supplement and the accompanying prospectus, including any information incorporated by reference herein or therein, carefully before you make your investment decision.</w:t>
      </w:r>
    </w:p>
    <w:p>
      <w:pPr>
        <w:spacing w:after="0" w:line="35" w:lineRule="exact"/>
        <w:rPr>
          <w:sz w:val="24"/>
          <w:szCs w:val="24"/>
          <w:color w:val="auto"/>
        </w:rPr>
      </w:pPr>
    </w:p>
    <w:tbl>
      <w:tblPr>
        <w:tblLayout w:type="fixed"/>
        <w:tblInd w:w="9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Per</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Per</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40" w:type="dxa"/>
            <w:vAlign w:val="bottom"/>
            <w:gridSpan w:val="3"/>
          </w:tcPr>
          <w:p>
            <w:pPr>
              <w:ind w:left="980"/>
              <w:spacing w:after="0" w:line="116"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1040" w:type="dxa"/>
            <w:vAlign w:val="bottom"/>
            <w:gridSpan w:val="3"/>
          </w:tcPr>
          <w:p>
            <w:pPr>
              <w:ind w:left="4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Pre-Funded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w w:val="96"/>
              </w:rPr>
              <w:t>Warrant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Offering price</w:t>
            </w:r>
          </w:p>
        </w:tc>
        <w:tc>
          <w:tcPr>
            <w:tcW w:w="9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20.00</w:t>
            </w: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19.99</w:t>
            </w: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174,995,000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9"/>
                <w:szCs w:val="19"/>
                <w:color w:val="auto"/>
                <w:vertAlign w:val="superscript"/>
              </w:rPr>
              <w:t>(1)</w:t>
            </w:r>
          </w:p>
        </w:tc>
        <w:tc>
          <w:tcPr>
            <w:tcW w:w="10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10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164,495,000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560" w:hanging="341"/>
        <w:spacing w:after="0"/>
        <w:tabs>
          <w:tab w:leader="none" w:pos="5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S-26 for additional information regarding underwriting compensation.</w:t>
      </w:r>
    </w:p>
    <w:p>
      <w:pPr>
        <w:spacing w:after="0" w:line="91" w:lineRule="exact"/>
        <w:rPr>
          <w:sz w:val="24"/>
          <w:szCs w:val="24"/>
          <w:color w:val="auto"/>
        </w:rPr>
      </w:pPr>
    </w:p>
    <w:p>
      <w:pPr>
        <w:ind w:left="220" w:right="239" w:firstLine="343"/>
        <w:spacing w:after="0" w:line="282" w:lineRule="auto"/>
        <w:rPr>
          <w:sz w:val="20"/>
          <w:szCs w:val="20"/>
          <w:color w:val="auto"/>
        </w:rPr>
      </w:pPr>
      <w:r>
        <w:rPr>
          <w:rFonts w:ascii="Times New Roman" w:cs="Times New Roman" w:eastAsia="Times New Roman" w:hAnsi="Times New Roman"/>
          <w:sz w:val="14"/>
          <w:szCs w:val="14"/>
          <w:color w:val="auto"/>
        </w:rPr>
        <w:t>We have granted the underwriters an option for a period of 30 days to purchase up to an additional 1,312,500 ordinary shares from us, at the public offering price, less the underwriting discounts and commissions.</w:t>
      </w:r>
    </w:p>
    <w:p>
      <w:pPr>
        <w:spacing w:after="0" w:line="40" w:lineRule="exact"/>
        <w:rPr>
          <w:sz w:val="24"/>
          <w:szCs w:val="24"/>
          <w:color w:val="auto"/>
        </w:rPr>
      </w:pPr>
    </w:p>
    <w:p>
      <w:pPr>
        <w:ind w:left="220" w:right="339" w:firstLine="343"/>
        <w:spacing w:after="0" w:line="28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4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The ordinary shares and pre-funded warrants will be ready for delivery on or about July 24, 2025.</w:t>
      </w:r>
    </w:p>
    <w:p>
      <w:pPr>
        <w:spacing w:after="0" w:line="8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94" w:lineRule="exact"/>
        <w:rPr>
          <w:sz w:val="24"/>
          <w:szCs w:val="24"/>
          <w:color w:val="auto"/>
        </w:rPr>
      </w:pPr>
    </w:p>
    <w:p>
      <w:pPr>
        <w:ind w:left="220"/>
        <w:spacing w:after="0"/>
        <w:tabs>
          <w:tab w:leader="none" w:pos="2000" w:val="left"/>
          <w:tab w:leader="none" w:pos="3720" w:val="left"/>
          <w:tab w:leader="none" w:pos="4920" w:val="left"/>
          <w:tab w:leader="none" w:pos="7140" w:val="left"/>
        </w:tabs>
        <w:rPr>
          <w:sz w:val="20"/>
          <w:szCs w:val="20"/>
          <w:color w:val="auto"/>
        </w:rPr>
      </w:pPr>
      <w:r>
        <w:rPr>
          <w:rFonts w:ascii="Times New Roman" w:cs="Times New Roman" w:eastAsia="Times New Roman" w:hAnsi="Times New Roman"/>
          <w:sz w:val="17"/>
          <w:szCs w:val="17"/>
          <w:b w:val="1"/>
          <w:bCs w:val="1"/>
          <w:color w:val="auto"/>
        </w:rPr>
        <w:t>Morgan Stanley</w:t>
      </w:r>
      <w:r>
        <w:rPr>
          <w:sz w:val="20"/>
          <w:szCs w:val="20"/>
          <w:color w:val="auto"/>
        </w:rPr>
        <w:tab/>
      </w:r>
      <w:r>
        <w:rPr>
          <w:rFonts w:ascii="Times New Roman" w:cs="Times New Roman" w:eastAsia="Times New Roman" w:hAnsi="Times New Roman"/>
          <w:sz w:val="17"/>
          <w:szCs w:val="17"/>
          <w:b w:val="1"/>
          <w:bCs w:val="1"/>
          <w:color w:val="auto"/>
        </w:rPr>
        <w:t>Leerink Partners</w:t>
      </w:r>
      <w:r>
        <w:rPr>
          <w:sz w:val="20"/>
          <w:szCs w:val="20"/>
          <w:color w:val="auto"/>
        </w:rPr>
        <w:tab/>
      </w:r>
      <w:r>
        <w:rPr>
          <w:rFonts w:ascii="Times New Roman" w:cs="Times New Roman" w:eastAsia="Times New Roman" w:hAnsi="Times New Roman"/>
          <w:sz w:val="17"/>
          <w:szCs w:val="17"/>
          <w:b w:val="1"/>
          <w:bCs w:val="1"/>
          <w:color w:val="auto"/>
        </w:rPr>
        <w:t>Cantor</w:t>
      </w:r>
      <w:r>
        <w:rPr>
          <w:sz w:val="20"/>
          <w:szCs w:val="20"/>
          <w:color w:val="auto"/>
        </w:rPr>
        <w:tab/>
      </w:r>
      <w:r>
        <w:rPr>
          <w:rFonts w:ascii="Times New Roman" w:cs="Times New Roman" w:eastAsia="Times New Roman" w:hAnsi="Times New Roman"/>
          <w:sz w:val="17"/>
          <w:szCs w:val="17"/>
          <w:b w:val="1"/>
          <w:bCs w:val="1"/>
          <w:color w:val="auto"/>
        </w:rPr>
        <w:t>Oppenheimer &amp; Co.</w:t>
      </w:r>
      <w:r>
        <w:rPr>
          <w:sz w:val="20"/>
          <w:szCs w:val="20"/>
          <w:color w:val="auto"/>
        </w:rPr>
        <w:tab/>
      </w:r>
      <w:r>
        <w:rPr>
          <w:rFonts w:ascii="Times New Roman" w:cs="Times New Roman" w:eastAsia="Times New Roman" w:hAnsi="Times New Roman"/>
          <w:sz w:val="16"/>
          <w:szCs w:val="16"/>
          <w:b w:val="1"/>
          <w:bCs w:val="1"/>
          <w:color w:val="auto"/>
        </w:rPr>
        <w:t>Van Lanschot Kempen</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July 22, 2025</w:t>
      </w:r>
    </w:p>
    <w:p>
      <w:pPr>
        <w:sectPr>
          <w:pgSz w:w="11900" w:h="16838" w:orient="portrait"/>
          <w:cols w:equalWidth="0" w:num="1">
            <w:col w:w="9019"/>
          </w:cols>
          <w:pgMar w:left="1440" w:top="322" w:right="1440"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796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96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0000EE"/>
              </w:rPr>
              <w:t>PRESENTATION OF FINANCIAL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3"/>
        </w:trPr>
        <w:tc>
          <w:tcPr>
            <w:tcW w:w="7960" w:type="dxa"/>
            <w:vAlign w:val="bottom"/>
            <w:gridSpan w:val="28"/>
            <w:vMerge w:val="continue"/>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S-ii</w:t>
            </w:r>
          </w:p>
        </w:tc>
        <w:tc>
          <w:tcPr>
            <w:tcW w:w="0" w:type="dxa"/>
            <w:vAlign w:val="bottom"/>
          </w:tcPr>
          <w:p>
            <w:pPr>
              <w:spacing w:after="0"/>
              <w:rPr>
                <w:sz w:val="1"/>
                <w:szCs w:val="1"/>
                <w:color w:val="auto"/>
              </w:rPr>
            </w:pPr>
          </w:p>
        </w:tc>
      </w:tr>
      <w:tr>
        <w:trPr>
          <w:trHeight w:val="148"/>
        </w:trPr>
        <w:tc>
          <w:tcPr>
            <w:tcW w:w="102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TRADEMARKS</w:t>
            </w:r>
          </w:p>
        </w:tc>
        <w:tc>
          <w:tcPr>
            <w:tcW w:w="2180" w:type="dxa"/>
            <w:vAlign w:val="bottom"/>
            <w:tcBorders>
              <w:top w:val="single" w:sz="8" w:color="0000EE"/>
            </w:tcBorders>
            <w:gridSpan w:val="19"/>
          </w:tcPr>
          <w:p>
            <w:pPr>
              <w:spacing w:after="0"/>
              <w:rPr>
                <w:sz w:val="12"/>
                <w:szCs w:val="12"/>
                <w:color w:val="auto"/>
              </w:rPr>
            </w:pPr>
          </w:p>
        </w:tc>
        <w:tc>
          <w:tcPr>
            <w:tcW w:w="4760" w:type="dxa"/>
            <w:vAlign w:val="bottom"/>
            <w:gridSpan w:val="6"/>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S-ii</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0000EE"/>
            </w:tcBorders>
            <w:gridSpan w:val="19"/>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9"/>
              </w:rPr>
              <w:t>ABOUT THIS PROSPECTUS SUPPLEMENT</w:t>
            </w:r>
          </w:p>
        </w:tc>
        <w:tc>
          <w:tcPr>
            <w:tcW w:w="5140" w:type="dxa"/>
            <w:vAlign w:val="bottom"/>
            <w:gridSpan w:val="9"/>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S-ii</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0000EE"/>
            </w:tcBorders>
            <w:gridSpan w:val="24"/>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SPECIAL NOTE REGARDING FORWARD-LOOKING STATEMENTS</w:t>
            </w:r>
          </w:p>
        </w:tc>
        <w:tc>
          <w:tcPr>
            <w:tcW w:w="3560" w:type="dxa"/>
            <w:vAlign w:val="bottom"/>
            <w:gridSpan w:val="4"/>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S-iv</w:t>
            </w:r>
          </w:p>
        </w:tc>
        <w:tc>
          <w:tcPr>
            <w:tcW w:w="0" w:type="dxa"/>
            <w:vAlign w:val="bottom"/>
          </w:tcPr>
          <w:p>
            <w:pPr>
              <w:spacing w:after="0"/>
              <w:rPr>
                <w:sz w:val="1"/>
                <w:szCs w:val="1"/>
                <w:color w:val="auto"/>
              </w:rPr>
            </w:pPr>
          </w:p>
        </w:tc>
      </w:tr>
      <w:tr>
        <w:trPr>
          <w:trHeight w:val="148"/>
        </w:trPr>
        <w:tc>
          <w:tcPr>
            <w:tcW w:w="2700" w:type="dxa"/>
            <w:vAlign w:val="bottom"/>
            <w:tcBorders>
              <w:bottom w:val="single" w:sz="8" w:color="0000EE"/>
            </w:tcBorders>
            <w:gridSpan w:val="18"/>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9"/>
              </w:rPr>
              <w:t>PROSPECTUS SUPPLEMENT SUMMARY</w:t>
            </w:r>
          </w:p>
        </w:tc>
        <w:tc>
          <w:tcPr>
            <w:tcW w:w="5260" w:type="dxa"/>
            <w:vAlign w:val="bottom"/>
            <w:gridSpan w:val="10"/>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S-1</w:t>
            </w:r>
          </w:p>
        </w:tc>
        <w:tc>
          <w:tcPr>
            <w:tcW w:w="0" w:type="dxa"/>
            <w:vAlign w:val="bottom"/>
          </w:tcPr>
          <w:p>
            <w:pPr>
              <w:spacing w:after="0"/>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THE OFFERING</w:t>
            </w: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S-4</w:t>
            </w:r>
          </w:p>
        </w:tc>
        <w:tc>
          <w:tcPr>
            <w:tcW w:w="0" w:type="dxa"/>
            <w:vAlign w:val="bottom"/>
          </w:tcPr>
          <w:p>
            <w:pPr>
              <w:spacing w:after="0"/>
              <w:rPr>
                <w:sz w:val="1"/>
                <w:szCs w:val="1"/>
                <w:color w:val="auto"/>
              </w:rPr>
            </w:pPr>
          </w:p>
        </w:tc>
      </w:tr>
      <w:tr>
        <w:trPr>
          <w:trHeight w:val="148"/>
        </w:trPr>
        <w:tc>
          <w:tcPr>
            <w:tcW w:w="104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7"/>
              </w:rPr>
              <w:t>RISK FACTORS</w:t>
            </w:r>
          </w:p>
        </w:tc>
        <w:tc>
          <w:tcPr>
            <w:tcW w:w="20" w:type="dxa"/>
            <w:vAlign w:val="bottom"/>
            <w:tcBorders>
              <w:top w:val="single" w:sz="8" w:color="0000EE"/>
            </w:tcBorders>
          </w:tcPr>
          <w:p>
            <w:pPr>
              <w:spacing w:after="0"/>
              <w:rPr>
                <w:sz w:val="12"/>
                <w:szCs w:val="12"/>
                <w:color w:val="auto"/>
              </w:rPr>
            </w:pPr>
          </w:p>
        </w:tc>
        <w:tc>
          <w:tcPr>
            <w:tcW w:w="6900" w:type="dxa"/>
            <w:vAlign w:val="bottom"/>
            <w:gridSpan w:val="23"/>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S-6</w:t>
            </w:r>
          </w:p>
        </w:tc>
        <w:tc>
          <w:tcPr>
            <w:tcW w:w="0" w:type="dxa"/>
            <w:vAlign w:val="bottom"/>
          </w:tcPr>
          <w:p>
            <w:pPr>
              <w:spacing w:after="0"/>
              <w:rPr>
                <w:sz w:val="1"/>
                <w:szCs w:val="1"/>
                <w:color w:val="auto"/>
              </w:rPr>
            </w:pPr>
          </w:p>
        </w:tc>
      </w:tr>
      <w:tr>
        <w:trPr>
          <w:trHeight w:val="148"/>
        </w:trPr>
        <w:tc>
          <w:tcPr>
            <w:tcW w:w="130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USE OF PROCEEDS</w:t>
            </w:r>
          </w:p>
        </w:tc>
        <w:tc>
          <w:tcPr>
            <w:tcW w:w="6660" w:type="dxa"/>
            <w:vAlign w:val="bottom"/>
            <w:gridSpan w:val="19"/>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S-9</w:t>
            </w:r>
          </w:p>
        </w:tc>
        <w:tc>
          <w:tcPr>
            <w:tcW w:w="0" w:type="dxa"/>
            <w:vAlign w:val="bottom"/>
          </w:tcPr>
          <w:p>
            <w:pPr>
              <w:spacing w:after="0"/>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DIVIDEND POLICY</w:t>
            </w: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S-10</w:t>
            </w:r>
          </w:p>
        </w:tc>
        <w:tc>
          <w:tcPr>
            <w:tcW w:w="0" w:type="dxa"/>
            <w:vAlign w:val="bottom"/>
          </w:tcPr>
          <w:p>
            <w:pPr>
              <w:spacing w:after="0"/>
              <w:rPr>
                <w:sz w:val="1"/>
                <w:szCs w:val="1"/>
                <w:color w:val="auto"/>
              </w:rPr>
            </w:pPr>
          </w:p>
        </w:tc>
      </w:tr>
      <w:tr>
        <w:trPr>
          <w:trHeight w:val="148"/>
        </w:trPr>
        <w:tc>
          <w:tcPr>
            <w:tcW w:w="1280" w:type="dxa"/>
            <w:vAlign w:val="bottom"/>
            <w:tcBorders>
              <w:top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DILUTION</w:t>
            </w:r>
          </w:p>
        </w:tc>
        <w:tc>
          <w:tcPr>
            <w:tcW w:w="6680" w:type="dxa"/>
            <w:vAlign w:val="bottom"/>
            <w:gridSpan w:val="20"/>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S-11</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S-13</w:t>
            </w:r>
          </w:p>
        </w:tc>
        <w:tc>
          <w:tcPr>
            <w:tcW w:w="0" w:type="dxa"/>
            <w:vAlign w:val="bottom"/>
          </w:tcPr>
          <w:p>
            <w:pPr>
              <w:spacing w:after="0" w:line="20" w:lineRule="exact"/>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DESCRIPTION OF PRE-FUNDED WARRANTS</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S-14</w:t>
            </w:r>
          </w:p>
        </w:tc>
        <w:tc>
          <w:tcPr>
            <w:tcW w:w="0" w:type="dxa"/>
            <w:vAlign w:val="bottom"/>
          </w:tcPr>
          <w:p>
            <w:pPr>
              <w:spacing w:after="0" w:line="20" w:lineRule="exact"/>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MATERIAL UNITED STATES FEDERAL INCOME TAX AND DUTCH TAX CONSIDERATIONS OF ORDINARY SHARES</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Borders>
              <w:top w:val="single" w:sz="8" w:color="0000EE"/>
            </w:tcBorders>
            <w:gridSpan w:val="27"/>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UNDERWRITING</w:t>
            </w:r>
          </w:p>
        </w:tc>
        <w:tc>
          <w:tcPr>
            <w:tcW w:w="3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S-26</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S-36</w:t>
            </w:r>
          </w:p>
        </w:tc>
        <w:tc>
          <w:tcPr>
            <w:tcW w:w="0" w:type="dxa"/>
            <w:vAlign w:val="bottom"/>
          </w:tcPr>
          <w:p>
            <w:pPr>
              <w:spacing w:after="0" w:line="20" w:lineRule="exact"/>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LEGAL MATTERS</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EXPERTS</w:t>
            </w:r>
          </w:p>
        </w:tc>
        <w:tc>
          <w:tcPr>
            <w:tcW w:w="500" w:type="dxa"/>
            <w:vAlign w:val="bottom"/>
            <w:tcBorders>
              <w:top w:val="single" w:sz="8" w:color="0000EE"/>
            </w:tcBorders>
            <w:gridSpan w:val="6"/>
          </w:tcPr>
          <w:p>
            <w:pPr>
              <w:spacing w:after="0"/>
              <w:rPr>
                <w:sz w:val="12"/>
                <w:szCs w:val="12"/>
                <w:color w:val="auto"/>
              </w:rPr>
            </w:pPr>
          </w:p>
        </w:tc>
        <w:tc>
          <w:tcPr>
            <w:tcW w:w="6760" w:type="dxa"/>
            <w:vAlign w:val="bottom"/>
            <w:gridSpan w:val="21"/>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S-37</w:t>
            </w:r>
          </w:p>
        </w:tc>
        <w:tc>
          <w:tcPr>
            <w:tcW w:w="0" w:type="dxa"/>
            <w:vAlign w:val="bottom"/>
          </w:tcPr>
          <w:p>
            <w:pPr>
              <w:spacing w:after="0"/>
              <w:rPr>
                <w:sz w:val="1"/>
                <w:szCs w:val="1"/>
                <w:color w:val="auto"/>
              </w:rPr>
            </w:pPr>
          </w:p>
        </w:tc>
      </w:tr>
      <w:tr>
        <w:trPr>
          <w:trHeight w:val="148"/>
        </w:trPr>
        <w:tc>
          <w:tcPr>
            <w:tcW w:w="3140" w:type="dxa"/>
            <w:vAlign w:val="bottom"/>
            <w:tcBorders>
              <w:bottom w:val="single" w:sz="8" w:color="0000EE"/>
            </w:tcBorders>
            <w:gridSpan w:val="21"/>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9"/>
              </w:rPr>
              <w:t>WHERE YOU CAN FIND MORE INFORMATION</w:t>
            </w:r>
          </w:p>
        </w:tc>
        <w:tc>
          <w:tcPr>
            <w:tcW w:w="4820" w:type="dxa"/>
            <w:vAlign w:val="bottom"/>
            <w:gridSpan w:val="7"/>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S-38</w:t>
            </w:r>
          </w:p>
        </w:tc>
        <w:tc>
          <w:tcPr>
            <w:tcW w:w="0" w:type="dxa"/>
            <w:vAlign w:val="bottom"/>
          </w:tcPr>
          <w:p>
            <w:pPr>
              <w:spacing w:after="0"/>
              <w:rPr>
                <w:sz w:val="1"/>
                <w:szCs w:val="1"/>
                <w:color w:val="auto"/>
              </w:rPr>
            </w:pPr>
          </w:p>
        </w:tc>
      </w:tr>
      <w:tr>
        <w:trPr>
          <w:trHeight w:val="148"/>
        </w:trPr>
        <w:tc>
          <w:tcPr>
            <w:tcW w:w="2340" w:type="dxa"/>
            <w:vAlign w:val="bottom"/>
            <w:tcBorders>
              <w:bottom w:val="single" w:sz="8" w:color="0000EE"/>
            </w:tcBorders>
            <w:gridSpan w:val="16"/>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INCORPORATION BY REFERENCE</w:t>
            </w:r>
          </w:p>
        </w:tc>
        <w:tc>
          <w:tcPr>
            <w:tcW w:w="5620" w:type="dxa"/>
            <w:vAlign w:val="bottom"/>
            <w:gridSpan w:val="12"/>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S-39</w:t>
            </w:r>
          </w:p>
        </w:tc>
        <w:tc>
          <w:tcPr>
            <w:tcW w:w="0" w:type="dxa"/>
            <w:vAlign w:val="bottom"/>
          </w:tcPr>
          <w:p>
            <w:pPr>
              <w:spacing w:after="0"/>
              <w:rPr>
                <w:sz w:val="1"/>
                <w:szCs w:val="1"/>
                <w:color w:val="auto"/>
              </w:rPr>
            </w:pPr>
          </w:p>
        </w:tc>
      </w:tr>
      <w:tr>
        <w:trPr>
          <w:trHeight w:val="348"/>
        </w:trPr>
        <w:tc>
          <w:tcPr>
            <w:tcW w:w="796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96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0000EE"/>
              </w:rPr>
              <w:t>ABOUT THIS PROSPECTUS</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3"/>
        </w:trPr>
        <w:tc>
          <w:tcPr>
            <w:tcW w:w="7960" w:type="dxa"/>
            <w:vAlign w:val="bottom"/>
            <w:gridSpan w:val="28"/>
            <w:vMerge w:val="continue"/>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line="20" w:lineRule="exact"/>
              <w:rPr>
                <w:sz w:val="1"/>
                <w:szCs w:val="1"/>
                <w:color w:val="auto"/>
              </w:rPr>
            </w:pPr>
          </w:p>
        </w:tc>
      </w:tr>
      <w:tr>
        <w:trPr>
          <w:trHeight w:val="148"/>
        </w:trPr>
        <w:tc>
          <w:tcPr>
            <w:tcW w:w="3140" w:type="dxa"/>
            <w:vAlign w:val="bottom"/>
            <w:tcBorders>
              <w:bottom w:val="single" w:sz="8" w:color="0000EE"/>
            </w:tcBorders>
            <w:gridSpan w:val="21"/>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9"/>
              </w:rPr>
              <w:t>WHERE YOU CAN FIND MORE INFORMATION</w:t>
            </w:r>
          </w:p>
        </w:tc>
        <w:tc>
          <w:tcPr>
            <w:tcW w:w="4820" w:type="dxa"/>
            <w:vAlign w:val="bottom"/>
            <w:gridSpan w:val="7"/>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0000EE"/>
            </w:tcBorders>
            <w:gridSpan w:val="24"/>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SPECIAL NOTE REGARDING FORWARD-LOOKING STATEMENTS</w:t>
            </w:r>
          </w:p>
        </w:tc>
        <w:tc>
          <w:tcPr>
            <w:tcW w:w="3560" w:type="dxa"/>
            <w:vAlign w:val="bottom"/>
            <w:gridSpan w:val="4"/>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48"/>
        </w:trPr>
        <w:tc>
          <w:tcPr>
            <w:tcW w:w="114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6"/>
              </w:rPr>
              <w:t>PHARVARIS N.V.</w:t>
            </w:r>
          </w:p>
        </w:tc>
        <w:tc>
          <w:tcPr>
            <w:tcW w:w="6820" w:type="dxa"/>
            <w:vAlign w:val="bottom"/>
            <w:gridSpan w:val="22"/>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7"/>
              </w:rPr>
              <w:t>RISK FACTORS</w:t>
            </w:r>
          </w:p>
        </w:tc>
        <w:tc>
          <w:tcPr>
            <w:tcW w:w="6920" w:type="dxa"/>
            <w:vAlign w:val="bottom"/>
            <w:gridSpan w:val="24"/>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148"/>
        </w:trPr>
        <w:tc>
          <w:tcPr>
            <w:tcW w:w="130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USE OF PROCEEDS</w:t>
            </w:r>
          </w:p>
        </w:tc>
        <w:tc>
          <w:tcPr>
            <w:tcW w:w="6660" w:type="dxa"/>
            <w:vAlign w:val="bottom"/>
            <w:gridSpan w:val="19"/>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48"/>
        </w:trPr>
        <w:tc>
          <w:tcPr>
            <w:tcW w:w="4680" w:type="dxa"/>
            <w:vAlign w:val="bottom"/>
            <w:tcBorders>
              <w:bottom w:val="single" w:sz="8" w:color="0000EE"/>
            </w:tcBorders>
            <w:gridSpan w:val="25"/>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DESCRIPTION OF SHARE CAPITAL AND ARTICLES OF ASSOCIATION</w:t>
            </w:r>
          </w:p>
        </w:tc>
        <w:tc>
          <w:tcPr>
            <w:tcW w:w="3280" w:type="dxa"/>
            <w:vAlign w:val="bottom"/>
            <w:gridSpan w:val="3"/>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COMPARISON OF DUTCH LAW AND OUR ARTICLES OF ASSOCIATION AND U.S. CORPORATE LAW</w:t>
            </w: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148"/>
        </w:trPr>
        <w:tc>
          <w:tcPr>
            <w:tcW w:w="2500" w:type="dxa"/>
            <w:vAlign w:val="bottom"/>
            <w:tcBorders>
              <w:top w:val="single" w:sz="8" w:color="0000EE"/>
              <w:bottom w:val="single" w:sz="8" w:color="0000EE"/>
            </w:tcBorders>
            <w:gridSpan w:val="17"/>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9"/>
              </w:rPr>
              <w:t>DESCRIPTION OF DEBT SECURITIES</w:t>
            </w:r>
          </w:p>
        </w:tc>
        <w:tc>
          <w:tcPr>
            <w:tcW w:w="4140" w:type="dxa"/>
            <w:vAlign w:val="bottom"/>
            <w:tcBorders>
              <w:top w:val="single" w:sz="8" w:color="0000EE"/>
            </w:tcBorders>
            <w:gridSpan w:val="9"/>
          </w:tcPr>
          <w:p>
            <w:pPr>
              <w:spacing w:after="0"/>
              <w:rPr>
                <w:sz w:val="12"/>
                <w:szCs w:val="12"/>
                <w:color w:val="auto"/>
              </w:rPr>
            </w:pPr>
          </w:p>
        </w:tc>
        <w:tc>
          <w:tcPr>
            <w:tcW w:w="1320" w:type="dxa"/>
            <w:vAlign w:val="bottom"/>
            <w:gridSpan w:val="2"/>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28</w:t>
            </w:r>
          </w:p>
        </w:tc>
        <w:tc>
          <w:tcPr>
            <w:tcW w:w="0" w:type="dxa"/>
            <w:vAlign w:val="bottom"/>
          </w:tcPr>
          <w:p>
            <w:pPr>
              <w:spacing w:after="0"/>
              <w:rPr>
                <w:sz w:val="1"/>
                <w:szCs w:val="1"/>
                <w:color w:val="auto"/>
              </w:rPr>
            </w:pPr>
          </w:p>
        </w:tc>
      </w:tr>
      <w:tr>
        <w:trPr>
          <w:trHeight w:val="148"/>
        </w:trPr>
        <w:tc>
          <w:tcPr>
            <w:tcW w:w="204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DESCRIPTION OF WARRANTS</w:t>
            </w:r>
          </w:p>
        </w:tc>
        <w:tc>
          <w:tcPr>
            <w:tcW w:w="5920" w:type="dxa"/>
            <w:vAlign w:val="bottom"/>
            <w:gridSpan w:val="14"/>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148"/>
        </w:trPr>
        <w:tc>
          <w:tcPr>
            <w:tcW w:w="2980" w:type="dxa"/>
            <w:vAlign w:val="bottom"/>
            <w:tcBorders>
              <w:bottom w:val="single" w:sz="8" w:color="0000EE"/>
            </w:tcBorders>
            <w:gridSpan w:val="20"/>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DESCRIPTION OF PURCHASE CONTRACTS</w:t>
            </w:r>
          </w:p>
        </w:tc>
        <w:tc>
          <w:tcPr>
            <w:tcW w:w="4980" w:type="dxa"/>
            <w:vAlign w:val="bottom"/>
            <w:gridSpan w:val="8"/>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33</w:t>
            </w:r>
          </w:p>
        </w:tc>
        <w:tc>
          <w:tcPr>
            <w:tcW w:w="0" w:type="dxa"/>
            <w:vAlign w:val="bottom"/>
          </w:tcPr>
          <w:p>
            <w:pPr>
              <w:spacing w:after="0"/>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DESCRIPTION OF UNITS</w:t>
            </w: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34</w:t>
            </w:r>
          </w:p>
        </w:tc>
        <w:tc>
          <w:tcPr>
            <w:tcW w:w="0" w:type="dxa"/>
            <w:vAlign w:val="bottom"/>
          </w:tcPr>
          <w:p>
            <w:pPr>
              <w:spacing w:after="0"/>
              <w:rPr>
                <w:sz w:val="1"/>
                <w:szCs w:val="1"/>
                <w:color w:val="auto"/>
              </w:rPr>
            </w:pPr>
          </w:p>
        </w:tc>
      </w:tr>
      <w:tr>
        <w:trPr>
          <w:trHeight w:val="148"/>
        </w:trPr>
        <w:tc>
          <w:tcPr>
            <w:tcW w:w="1620" w:type="dxa"/>
            <w:vAlign w:val="bottom"/>
            <w:tcBorders>
              <w:top w:val="single" w:sz="8" w:color="0000EE"/>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FORMS OF SECURITIES</w:t>
            </w:r>
          </w:p>
        </w:tc>
        <w:tc>
          <w:tcPr>
            <w:tcW w:w="40" w:type="dxa"/>
            <w:vAlign w:val="bottom"/>
            <w:tcBorders>
              <w:top w:val="single" w:sz="8" w:color="0000EE"/>
            </w:tcBorders>
          </w:tcPr>
          <w:p>
            <w:pPr>
              <w:spacing w:after="0"/>
              <w:rPr>
                <w:sz w:val="12"/>
                <w:szCs w:val="12"/>
                <w:color w:val="auto"/>
              </w:rPr>
            </w:pPr>
          </w:p>
        </w:tc>
        <w:tc>
          <w:tcPr>
            <w:tcW w:w="6300" w:type="dxa"/>
            <w:vAlign w:val="bottom"/>
            <w:gridSpan w:val="17"/>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35</w:t>
            </w:r>
          </w:p>
        </w:tc>
        <w:tc>
          <w:tcPr>
            <w:tcW w:w="0" w:type="dxa"/>
            <w:vAlign w:val="bottom"/>
          </w:tcPr>
          <w:p>
            <w:pPr>
              <w:spacing w:after="0"/>
              <w:rPr>
                <w:sz w:val="1"/>
                <w:szCs w:val="1"/>
                <w:color w:val="auto"/>
              </w:rPr>
            </w:pPr>
          </w:p>
        </w:tc>
      </w:tr>
      <w:tr>
        <w:trPr>
          <w:trHeight w:val="148"/>
        </w:trPr>
        <w:tc>
          <w:tcPr>
            <w:tcW w:w="168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PLAN OF DISTRIBUTION</w:t>
            </w:r>
          </w:p>
        </w:tc>
        <w:tc>
          <w:tcPr>
            <w:tcW w:w="6280" w:type="dxa"/>
            <w:vAlign w:val="bottom"/>
            <w:gridSpan w:val="16"/>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37</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0000EE"/>
            </w:tcBorders>
            <w:gridSpan w:val="23"/>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8"/>
              </w:rPr>
              <w:t>INCORPORATION OF CERTAIN INFORMATION BY REFERENCE</w:t>
            </w:r>
          </w:p>
        </w:tc>
        <w:tc>
          <w:tcPr>
            <w:tcW w:w="3660" w:type="dxa"/>
            <w:vAlign w:val="bottom"/>
            <w:gridSpan w:val="5"/>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ENFORCEMENT OF JUDGMENTS</w:t>
            </w: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148"/>
        </w:trPr>
        <w:tc>
          <w:tcPr>
            <w:tcW w:w="2240" w:type="dxa"/>
            <w:vAlign w:val="bottom"/>
            <w:tcBorders>
              <w:top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EXPENSES</w:t>
            </w:r>
          </w:p>
        </w:tc>
        <w:tc>
          <w:tcPr>
            <w:tcW w:w="5720" w:type="dxa"/>
            <w:vAlign w:val="bottom"/>
            <w:gridSpan w:val="13"/>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41</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7240" w:type="dxa"/>
            <w:vAlign w:val="bottom"/>
            <w:gridSpan w:val="26"/>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0" w:type="dxa"/>
            <w:vAlign w:val="bottom"/>
          </w:tcPr>
          <w:p>
            <w:pPr>
              <w:spacing w:after="0" w:line="20" w:lineRule="exact"/>
              <w:rPr>
                <w:sz w:val="1"/>
                <w:szCs w:val="1"/>
                <w:color w:val="auto"/>
              </w:rPr>
            </w:pPr>
          </w:p>
        </w:tc>
      </w:tr>
      <w:tr>
        <w:trPr>
          <w:trHeight w:val="148"/>
        </w:trPr>
        <w:tc>
          <w:tcPr>
            <w:tcW w:w="7960" w:type="dxa"/>
            <w:vAlign w:val="bottom"/>
            <w:gridSpan w:val="28"/>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LEGAL MATTERS</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EXPERTS</w:t>
            </w:r>
          </w:p>
        </w:tc>
        <w:tc>
          <w:tcPr>
            <w:tcW w:w="500" w:type="dxa"/>
            <w:vAlign w:val="bottom"/>
            <w:tcBorders>
              <w:top w:val="single" w:sz="8" w:color="0000EE"/>
            </w:tcBorders>
            <w:gridSpan w:val="6"/>
          </w:tcPr>
          <w:p>
            <w:pPr>
              <w:spacing w:after="0"/>
              <w:rPr>
                <w:sz w:val="12"/>
                <w:szCs w:val="12"/>
                <w:color w:val="auto"/>
              </w:rPr>
            </w:pPr>
          </w:p>
        </w:tc>
        <w:tc>
          <w:tcPr>
            <w:tcW w:w="6760" w:type="dxa"/>
            <w:vAlign w:val="bottom"/>
            <w:gridSpan w:val="21"/>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41</w:t>
            </w:r>
          </w:p>
        </w:tc>
        <w:tc>
          <w:tcPr>
            <w:tcW w:w="0" w:type="dxa"/>
            <w:vAlign w:val="bottom"/>
          </w:tcPr>
          <w:p>
            <w:pPr>
              <w:spacing w:after="0"/>
              <w:rPr>
                <w:sz w:val="1"/>
                <w:szCs w:val="1"/>
                <w:color w:val="auto"/>
              </w:rPr>
            </w:pP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PRESENTATION OF FINANCIAL INFORMATION</w:t>
      </w:r>
    </w:p>
    <w:p>
      <w:pPr>
        <w:spacing w:after="0" w:line="177" w:lineRule="exact"/>
        <w:rPr>
          <w:sz w:val="20"/>
          <w:szCs w:val="20"/>
          <w:color w:val="auto"/>
        </w:rPr>
      </w:pPr>
    </w:p>
    <w:p>
      <w:pPr>
        <w:ind w:left="220" w:right="379" w:firstLine="343"/>
        <w:spacing w:after="0" w:line="258" w:lineRule="auto"/>
        <w:rPr>
          <w:sz w:val="20"/>
          <w:szCs w:val="20"/>
          <w:color w:val="auto"/>
        </w:rPr>
      </w:pPr>
      <w:r>
        <w:rPr>
          <w:rFonts w:ascii="Times New Roman" w:cs="Times New Roman" w:eastAsia="Times New Roman" w:hAnsi="Times New Roman"/>
          <w:sz w:val="14"/>
          <w:szCs w:val="14"/>
          <w:color w:val="auto"/>
        </w:rPr>
        <w:t>We report under IFRS Accounting Standards, or IFRS, as issued by the International Accounting Standards Board, or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supplement. Accordingly, numerical figures shown as totals in some tables may not be an arithmetic aggregation of the figures that preceded them.</w:t>
      </w:r>
    </w:p>
    <w:p>
      <w:pPr>
        <w:spacing w:after="0" w:line="143" w:lineRule="exact"/>
        <w:rPr>
          <w:sz w:val="20"/>
          <w:szCs w:val="20"/>
          <w:color w:val="auto"/>
        </w:rPr>
      </w:pPr>
    </w:p>
    <w:p>
      <w:pPr>
        <w:ind w:left="220" w:right="419" w:firstLine="343"/>
        <w:spacing w:after="0" w:line="266" w:lineRule="auto"/>
        <w:rPr>
          <w:sz w:val="20"/>
          <w:szCs w:val="20"/>
          <w:color w:val="auto"/>
        </w:rPr>
      </w:pPr>
      <w:r>
        <w:rPr>
          <w:rFonts w:ascii="Times New Roman" w:cs="Times New Roman" w:eastAsia="Times New Roman" w:hAnsi="Times New Roman"/>
          <w:sz w:val="14"/>
          <w:szCs w:val="14"/>
          <w:color w:val="auto"/>
        </w:rPr>
        <w:t>Unless otherwise indicated, all references in this prospectus supplement to “€,” “euro,” “EUR” or “cents” are to the currency introduced at the start of the third stage of the European Economic and Monetary Union pursuant to the Treaty on the Functioning of the European Union, as amended. All references to “$,” “US$” or “U.S. dollars” are to the lawful currency of the United States.</w:t>
      </w:r>
    </w:p>
    <w:p>
      <w:pPr>
        <w:spacing w:after="0" w:line="137" w:lineRule="exact"/>
        <w:rPr>
          <w:sz w:val="20"/>
          <w:szCs w:val="20"/>
          <w:color w:val="auto"/>
        </w:rPr>
      </w:pPr>
    </w:p>
    <w:p>
      <w:pPr>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Solely for the convenience of the reader, certain euro amounts herein have been translated into U.S. dollars at the rate of €1.00 to $1.0815, the average exchange rate quoted as of March 31, 2025 by the European Central Bank. These translations should not be considered representations that any such amounts have been, could have been or could be converted into U.S. dollars at that or any other exchange rate as at that or any other date.</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77" w:lineRule="exact"/>
        <w:rPr>
          <w:sz w:val="20"/>
          <w:szCs w:val="20"/>
          <w:color w:val="auto"/>
        </w:rPr>
      </w:pPr>
    </w:p>
    <w:p>
      <w:pPr>
        <w:ind w:left="220" w:right="239" w:firstLine="343"/>
        <w:spacing w:after="0" w:line="243" w:lineRule="auto"/>
        <w:rPr>
          <w:sz w:val="20"/>
          <w:szCs w:val="20"/>
          <w:color w:val="auto"/>
        </w:rPr>
      </w:pPr>
      <w:r>
        <w:rPr>
          <w:rFonts w:ascii="Times New Roman" w:cs="Times New Roman" w:eastAsia="Times New Roman" w:hAnsi="Times New Roman"/>
          <w:sz w:val="13"/>
          <w:szCs w:val="13"/>
          <w:color w:val="auto"/>
        </w:rPr>
        <w:t xml:space="preserve">All trademarks, trade names and service marks appearing in this prospectus supplement are the property of their respective owners. Solely for convenience, the trademarks and trade names in this prospectus supplement are referred to without the symbols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7"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color w:val="auto"/>
        </w:rPr>
        <w:t>This document is part of the automatic shelf registration statement on Form F-3 (File No. 333-278650) that we filed with the Securities and Exchange Commission, or the SEC, as a “well-known seasoned issuer” as defined in Rule 405 under the Securities Act of 1933, as amended, or the Securities Act, using a “shelf” registration process. and consists of two parts. The first part is this prospectus supplement, including the documents incorporated by reference herein, which describes the specific terms of this offering of ordinary shares and pre-funded warrants.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and any free writing prospectus we authorize for use in connection with this offering may add to, update or change information in the accompanying prospectus and the documents incorporated by reference into this prospectus supplement or the accompanying prospectus.</w:t>
      </w:r>
    </w:p>
    <w:p>
      <w:pPr>
        <w:spacing w:after="0" w:line="144"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Before buying any of the ordinary shares or pre-funded warrants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40" w:lineRule="exact"/>
        <w:rPr>
          <w:sz w:val="20"/>
          <w:szCs w:val="20"/>
          <w:color w:val="auto"/>
        </w:rPr>
      </w:pPr>
    </w:p>
    <w:p>
      <w:pPr>
        <w:jc w:val="both"/>
        <w:ind w:left="220" w:right="339" w:firstLine="343"/>
        <w:spacing w:after="0" w:line="266"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8" w:right="1440" w:bottom="1440" w:gutter="0" w:footer="0" w:header="0"/>
        </w:sectPr>
      </w:pPr>
    </w:p>
    <w:bookmarkStart w:id="3" w:name="page4"/>
    <w:bookmarkEnd w:id="3"/>
    <w:p>
      <w:pPr>
        <w:ind w:left="220" w:right="5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37"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We have not authorized anyone to provide any information other than that contained in or incorporated by reference in this prospectus supplement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4" w:lineRule="exact"/>
        <w:rPr>
          <w:sz w:val="20"/>
          <w:szCs w:val="20"/>
          <w:color w:val="auto"/>
        </w:rPr>
      </w:pPr>
    </w:p>
    <w:p>
      <w:pPr>
        <w:ind w:left="220" w:right="479" w:firstLine="343"/>
        <w:spacing w:after="0" w:line="282"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all references in this prospectus supplement to “Pharvaris N.V.,” “Pharvaris,” the “Company,” “we,” “our,” “ours,” “us” or similar terms refer to Pharvaris N.V.</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9019"/>
          </w:cols>
          <w:pgMar w:left="1440" w:top="24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SPECIAL NOTE REGARDING FORWARD-LOOKING STATEMENTS</w:t>
      </w:r>
    </w:p>
    <w:p>
      <w:pPr>
        <w:spacing w:after="0" w:line="177"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financial statements and other documents incorporated by reference in this prospectus supplement and the accompanying prospectus contain forward-looking statements, including statements concerning our use of proceeds,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47" w:lineRule="exact"/>
        <w:rPr>
          <w:sz w:val="20"/>
          <w:szCs w:val="20"/>
          <w:color w:val="auto"/>
        </w:rPr>
      </w:pPr>
    </w:p>
    <w:p>
      <w:pPr>
        <w:ind w:left="220" w:right="739" w:firstLine="343"/>
        <w:spacing w:after="0" w:line="282" w:lineRule="auto"/>
        <w:rPr>
          <w:sz w:val="20"/>
          <w:szCs w:val="20"/>
          <w:color w:val="auto"/>
        </w:rPr>
      </w:pPr>
      <w:r>
        <w:rPr>
          <w:rFonts w:ascii="Times New Roman" w:cs="Times New Roman" w:eastAsia="Times New Roman" w:hAnsi="Times New Roman"/>
          <w:sz w:val="14"/>
          <w:szCs w:val="14"/>
          <w:color w:val="auto"/>
        </w:rPr>
        <w:t>The following represent some, but not necessarily all, of the factors that could cause actual results to differ from historical results or those anticipated or predicted by our forward-looking statements:</w:t>
      </w:r>
    </w:p>
    <w:p>
      <w:pPr>
        <w:spacing w:after="0" w:line="52" w:lineRule="exact"/>
        <w:rPr>
          <w:sz w:val="20"/>
          <w:szCs w:val="20"/>
          <w:color w:val="auto"/>
        </w:rPr>
      </w:pPr>
    </w:p>
    <w:p>
      <w:pPr>
        <w:jc w:val="both"/>
        <w:ind w:left="980" w:right="299" w:hanging="341"/>
        <w:spacing w:after="0" w:line="266"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63" w:lineRule="exact"/>
        <w:rPr>
          <w:rFonts w:ascii="Times New Roman" w:cs="Times New Roman" w:eastAsia="Times New Roman" w:hAnsi="Times New Roman"/>
          <w:sz w:val="14"/>
          <w:szCs w:val="14"/>
          <w:color w:val="auto"/>
        </w:rPr>
      </w:pPr>
    </w:p>
    <w:p>
      <w:pPr>
        <w:ind w:left="980" w:right="73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progress, or success of our clinical development programs, especially for IR (immediate-release deucrictibant capsules) and XR (extended-release deucrictibant tablets), which are in late-stage global clinical trials;</w:t>
      </w:r>
    </w:p>
    <w:p>
      <w:pPr>
        <w:spacing w:after="0" w:line="52" w:lineRule="exact"/>
        <w:rPr>
          <w:rFonts w:ascii="Times New Roman" w:cs="Times New Roman" w:eastAsia="Times New Roman" w:hAnsi="Times New Roman"/>
          <w:sz w:val="14"/>
          <w:szCs w:val="14"/>
          <w:color w:val="auto"/>
        </w:rPr>
      </w:pPr>
    </w:p>
    <w:p>
      <w:pPr>
        <w:ind w:left="980" w:right="65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replicate the efficacy and safety demonstrated in the RAPIDe-1 and CHAPTER-1 Phase 2 study in ongoing and future nonclinical studies and clinical trials;</w:t>
      </w:r>
    </w:p>
    <w:p>
      <w:pPr>
        <w:spacing w:after="0" w:line="52" w:lineRule="exact"/>
        <w:rPr>
          <w:rFonts w:ascii="Times New Roman" w:cs="Times New Roman" w:eastAsia="Times New Roman" w:hAnsi="Times New Roman"/>
          <w:sz w:val="14"/>
          <w:szCs w:val="14"/>
          <w:color w:val="auto"/>
        </w:rPr>
      </w:pPr>
    </w:p>
    <w:p>
      <w:pPr>
        <w:ind w:left="980" w:right="53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arising from epidemic diseases which may adversely impact our business, nonclinical studies and clinical trials, the outcome and timing of regulatory approvals and the value of our ordinary shares;</w:t>
      </w:r>
    </w:p>
    <w:p>
      <w:pPr>
        <w:spacing w:after="0" w:line="52" w:lineRule="exact"/>
        <w:rPr>
          <w:rFonts w:ascii="Times New Roman" w:cs="Times New Roman" w:eastAsia="Times New Roman" w:hAnsi="Times New Roman"/>
          <w:sz w:val="14"/>
          <w:szCs w:val="14"/>
          <w:color w:val="auto"/>
        </w:rPr>
      </w:pPr>
    </w:p>
    <w:p>
      <w:pPr>
        <w:ind w:left="980" w:right="23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costs and other limitations involved in obtaining regulatory approval for our product candidates IR and XR or any other product candidate that we may develop in the future;</w:t>
      </w:r>
    </w:p>
    <w:p>
      <w:pPr>
        <w:spacing w:after="0" w:line="52" w:lineRule="exact"/>
        <w:rPr>
          <w:rFonts w:ascii="Times New Roman" w:cs="Times New Roman" w:eastAsia="Times New Roman" w:hAnsi="Times New Roman"/>
          <w:sz w:val="14"/>
          <w:szCs w:val="14"/>
          <w:color w:val="auto"/>
        </w:rPr>
      </w:pPr>
    </w:p>
    <w:p>
      <w:pPr>
        <w:ind w:left="980" w:right="53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commercialize and achieve market acceptance for our product candidates IR and XR or any of our other product candidates that we may develop in the future, if approved;</w:t>
      </w:r>
    </w:p>
    <w:p>
      <w:pPr>
        <w:spacing w:after="0" w:line="52" w:lineRule="exact"/>
        <w:rPr>
          <w:rFonts w:ascii="Times New Roman" w:cs="Times New Roman" w:eastAsia="Times New Roman" w:hAnsi="Times New Roman"/>
          <w:sz w:val="14"/>
          <w:szCs w:val="14"/>
          <w:color w:val="auto"/>
        </w:rPr>
      </w:pPr>
    </w:p>
    <w:p>
      <w:pPr>
        <w:ind w:left="980" w:right="71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commercial capabilities or enter into agreements with third parties to market, sell and distribute our product candidates;</w:t>
      </w:r>
    </w:p>
    <w:p>
      <w:pPr>
        <w:spacing w:after="0" w:line="52" w:lineRule="exact"/>
        <w:rPr>
          <w:rFonts w:ascii="Times New Roman" w:cs="Times New Roman" w:eastAsia="Times New Roman" w:hAnsi="Times New Roman"/>
          <w:sz w:val="14"/>
          <w:szCs w:val="14"/>
          <w:color w:val="auto"/>
        </w:rPr>
      </w:pPr>
    </w:p>
    <w:p>
      <w:pPr>
        <w:ind w:left="980" w:right="27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 parties to perform critical activities related to the research, nonclinical safety and toxicology studies, development and manufacturing of our product candidates;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FDA and other government agencies;</w:t>
      </w:r>
    </w:p>
    <w:p>
      <w:pPr>
        <w:spacing w:after="0" w:line="101" w:lineRule="exact"/>
        <w:rPr>
          <w:rFonts w:ascii="Times New Roman" w:cs="Times New Roman" w:eastAsia="Times New Roman" w:hAnsi="Times New Roman"/>
          <w:sz w:val="14"/>
          <w:szCs w:val="14"/>
          <w:color w:val="auto"/>
        </w:rPr>
      </w:pPr>
    </w:p>
    <w:p>
      <w:pPr>
        <w:ind w:left="980" w:right="379" w:hanging="341"/>
        <w:spacing w:after="0" w:line="282"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time and uncertainty involved in the development and consistent manufacturing and supply of our product candidates, some or all of which may never reach the regulatory approval stage;</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when needed and on acceptable terms;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any new licensing agreements or to maintain any licensing agreements with respect to our product candidates;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collaboration partners and licensees, whose actions we cannot control;</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private insurers and other payors to provide reimbursement for our products;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the European Union and other jurisdictions;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and timing of price negotiations with governmental authorities;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9019"/>
          </w:cols>
          <w:pgMar w:left="1440" w:top="238" w:right="1440" w:bottom="1440" w:gutter="0" w:footer="0" w:header="0"/>
        </w:sectPr>
      </w:pPr>
    </w:p>
    <w:bookmarkStart w:id="5" w:name="page6"/>
    <w:bookmarkEnd w:id="5"/>
    <w:p>
      <w:pPr>
        <w:ind w:left="980" w:right="679" w:hanging="341"/>
        <w:spacing w:after="0" w:line="282"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our ability to compete in the pharmaceutical industry, including with respect to existing therapies, emerging potentially competitive therapies and with competitive generic products;</w:t>
      </w:r>
    </w:p>
    <w:p>
      <w:pPr>
        <w:spacing w:after="0" w:line="52" w:lineRule="exact"/>
        <w:rPr>
          <w:rFonts w:ascii="Times New Roman" w:cs="Times New Roman" w:eastAsia="Times New Roman" w:hAnsi="Times New Roman"/>
          <w:sz w:val="14"/>
          <w:szCs w:val="14"/>
          <w:color w:val="auto"/>
        </w:rPr>
      </w:pPr>
    </w:p>
    <w:p>
      <w:pPr>
        <w:ind w:left="980" w:right="279" w:hanging="341"/>
        <w:spacing w:after="0" w:line="282"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know-how and operate our business without infringing the intellectual property rights or regulatory exclusivity of others;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side effects or adverse events associated with the use of our product candidates;</w:t>
      </w:r>
    </w:p>
    <w:p>
      <w:pPr>
        <w:spacing w:after="0" w:line="101" w:lineRule="exact"/>
        <w:rPr>
          <w:rFonts w:ascii="Times New Roman" w:cs="Times New Roman" w:eastAsia="Times New Roman" w:hAnsi="Times New Roman"/>
          <w:sz w:val="14"/>
          <w:szCs w:val="14"/>
          <w:color w:val="auto"/>
        </w:rPr>
      </w:pPr>
    </w:p>
    <w:p>
      <w:pPr>
        <w:ind w:left="980" w:right="459" w:hanging="341"/>
        <w:spacing w:after="0" w:line="282"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defend against costly and damaging liability claims resulting from the testing of our product candidates in the clinic or, if, approved, any commercial sales;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personnel;</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market sizes and anticipated uses of our product candidates;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future performance;</w:t>
      </w:r>
    </w:p>
    <w:p>
      <w:pPr>
        <w:spacing w:after="0" w:line="101" w:lineRule="exact"/>
        <w:rPr>
          <w:rFonts w:ascii="Times New Roman" w:cs="Times New Roman" w:eastAsia="Times New Roman" w:hAnsi="Times New Roman"/>
          <w:sz w:val="14"/>
          <w:szCs w:val="14"/>
          <w:color w:val="auto"/>
        </w:rPr>
      </w:pPr>
    </w:p>
    <w:p>
      <w:pPr>
        <w:ind w:left="980" w:right="819" w:hanging="341"/>
        <w:spacing w:after="0" w:line="282"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anticipated operating losses, future revenues, expenses, capital requirements and our needs for additional financing;</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or future laws and regulations in a cost-efficient manner;</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negative consequences from changes in applicable laws and regulations, including tax laws;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 over financial reporting;</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 foreign private issuer; and</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uncertainty in general market, political and economic conditions, including as a result of inflation and geopolitical conflicts;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and customs, tariffs and trade barriers; and</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discussed herein under “Risk Factors” or incorporated herein by reference.</w:t>
      </w:r>
    </w:p>
    <w:p>
      <w:pPr>
        <w:spacing w:after="0" w:line="175"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42"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In particular, you should consider the numerous risks described in our Annual Report on Form 20-F for the period ended December 31, 2024, as filed with the SEC on April 7, 2025, and as described or may be described in any subsequent Annual Report on Form 20-F under the heading “Item 3.D. Risk Factors,” which are incorporated by reference into this prospectus supplement, and any other documents we file with the SEC that are deemed incorporated by reference into this prospectus and in the “Risk Factors” section in the applicable prospectus supplement. See “Where You Can Find More Information.”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9019"/>
          </w:cols>
          <w:pgMar w:left="1440" w:top="24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791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4791710"/>
                    </a:xfrm>
                    <a:prstGeom prst="rect">
                      <a:avLst/>
                    </a:prstGeom>
                    <a:noFill/>
                  </pic:spPr>
                </pic:pic>
              </a:graphicData>
            </a:graphic>
          </wp:anchor>
        </w:drawing>
        <w:t>PROSPECTUS SUPPLEMENT SUMMARY</w:t>
      </w:r>
    </w:p>
    <w:p>
      <w:pPr>
        <w:spacing w:after="0" w:line="175" w:lineRule="exact"/>
        <w:rPr>
          <w:sz w:val="20"/>
          <w:szCs w:val="20"/>
          <w:color w:val="auto"/>
        </w:rPr>
      </w:pPr>
    </w:p>
    <w:p>
      <w:pPr>
        <w:ind w:left="360" w:right="399" w:firstLine="331"/>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S-6 of this prospectus supplement, along with the other risk factors, our consolidated financial statements and notes to those consolidated financial statements and the other information incorporated by reference in this prospectus supplement.</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PHARVARIS N.V.</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3" w:lineRule="exact"/>
        <w:rPr>
          <w:sz w:val="20"/>
          <w:szCs w:val="20"/>
          <w:color w:val="auto"/>
        </w:rPr>
      </w:pPr>
    </w:p>
    <w:p>
      <w:pPr>
        <w:ind w:left="360" w:right="419" w:firstLine="331"/>
        <w:spacing w:after="0" w:line="275" w:lineRule="auto"/>
        <w:rPr>
          <w:sz w:val="20"/>
          <w:szCs w:val="20"/>
          <w:color w:val="auto"/>
        </w:rPr>
      </w:pPr>
      <w:r>
        <w:rPr>
          <w:rFonts w:ascii="Times New Roman" w:cs="Times New Roman" w:eastAsia="Times New Roman" w:hAnsi="Times New Roman"/>
          <w:sz w:val="13"/>
          <w:szCs w:val="13"/>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PHA121 or PHA-022121), is a novel, oral, small-molecule bradykinin B2 receptor antagonist under development for the prevention or treatment of attacks due to bradykinin-mediated angioedema, including hereditary angioedema (“HAE”) and acquired angioedema due to</w:t>
      </w:r>
    </w:p>
    <w:p>
      <w:pPr>
        <w:spacing w:after="0" w:line="2" w:lineRule="exact"/>
        <w:rPr>
          <w:sz w:val="20"/>
          <w:szCs w:val="20"/>
          <w:color w:val="auto"/>
        </w:rPr>
      </w:pPr>
    </w:p>
    <w:p>
      <w:pPr>
        <w:ind w:left="360" w:right="499"/>
        <w:spacing w:after="0" w:line="254" w:lineRule="auto"/>
        <w:rPr>
          <w:sz w:val="20"/>
          <w:szCs w:val="20"/>
          <w:color w:val="auto"/>
        </w:rPr>
      </w:pPr>
      <w:r>
        <w:rPr>
          <w:rFonts w:ascii="Times New Roman" w:cs="Times New Roman" w:eastAsia="Times New Roman" w:hAnsi="Times New Roman"/>
          <w:sz w:val="14"/>
          <w:szCs w:val="14"/>
          <w:color w:val="auto"/>
        </w:rPr>
        <w:t>C1-inhibitor deficiency (“AAE-C1INH”). Deucrictibant has the potential to address unmet medical needs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44" w:lineRule="exact"/>
        <w:rPr>
          <w:sz w:val="20"/>
          <w:szCs w:val="20"/>
          <w:color w:val="auto"/>
        </w:rPr>
      </w:pPr>
    </w:p>
    <w:p>
      <w:pPr>
        <w:ind w:left="360" w:right="379" w:firstLine="331"/>
        <w:spacing w:after="0" w:line="257" w:lineRule="auto"/>
        <w:rPr>
          <w:sz w:val="20"/>
          <w:szCs w:val="20"/>
          <w:color w:val="auto"/>
        </w:rPr>
      </w:pPr>
      <w:r>
        <w:rPr>
          <w:rFonts w:ascii="Times New Roman" w:cs="Times New Roman" w:eastAsia="Times New Roman" w:hAnsi="Times New Roman"/>
          <w:sz w:val="14"/>
          <w:szCs w:val="14"/>
          <w:color w:val="auto"/>
        </w:rPr>
        <w:t>Deucrictibant may address unmet medical needs of people living with HAE by both preventing attacks from occurring, using an extended-release (“XR”) tablet formulation of deucrictibant (previously referred to as PHVS719), as well as treat the manifestations of HAE attacks, using an immediate-release (“IR”) capsule formulation of deucrictibant (previously referred to as PHVS416).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42" w:lineRule="exact"/>
        <w:rPr>
          <w:sz w:val="20"/>
          <w:szCs w:val="20"/>
          <w:color w:val="auto"/>
        </w:rPr>
      </w:pPr>
    </w:p>
    <w:p>
      <w:pPr>
        <w:ind w:left="360" w:right="439" w:firstLine="331"/>
        <w:spacing w:after="0" w:line="261" w:lineRule="auto"/>
        <w:rPr>
          <w:sz w:val="20"/>
          <w:szCs w:val="20"/>
          <w:color w:val="auto"/>
        </w:rPr>
      </w:pPr>
      <w:r>
        <w:rPr>
          <w:rFonts w:ascii="Times New Roman" w:cs="Times New Roman" w:eastAsia="Times New Roman" w:hAnsi="Times New Roman"/>
          <w:sz w:val="14"/>
          <w:szCs w:val="14"/>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the other way around). This may be particularly valued by children or adolescents who typically begin therapy with on-demand only and gradually move to prophylaxis as attack frequency increases (commonly after puberty).</w:t>
      </w:r>
    </w:p>
    <w:p>
      <w:pPr>
        <w:spacing w:after="0" w:line="140" w:lineRule="exact"/>
        <w:rPr>
          <w:sz w:val="20"/>
          <w:szCs w:val="20"/>
          <w:color w:val="auto"/>
        </w:rPr>
      </w:pPr>
    </w:p>
    <w:p>
      <w:pPr>
        <w:ind w:left="360" w:right="679" w:firstLine="331"/>
        <w:spacing w:after="0" w:line="282" w:lineRule="auto"/>
        <w:rPr>
          <w:sz w:val="20"/>
          <w:szCs w:val="20"/>
          <w:color w:val="auto"/>
        </w:rPr>
      </w:pPr>
      <w:r>
        <w:rPr>
          <w:rFonts w:ascii="Times New Roman" w:cs="Times New Roman" w:eastAsia="Times New Roman" w:hAnsi="Times New Roman"/>
          <w:sz w:val="14"/>
          <w:szCs w:val="14"/>
          <w:color w:val="auto"/>
        </w:rPr>
        <w:t>In our Phase 1 clinical trials to-date, we have observed rapid exposure and predictable linear pharmacokinetics with and without food. In addition, we observed deucrictibant to be a potent antagonist of the bradykinin B2 receptor, in vitro and in vivo with healthy volunteers.</w:t>
      </w:r>
    </w:p>
    <w:p>
      <w:pPr>
        <w:spacing w:after="0" w:line="126" w:lineRule="exact"/>
        <w:rPr>
          <w:sz w:val="20"/>
          <w:szCs w:val="20"/>
          <w:color w:val="auto"/>
        </w:rPr>
      </w:pPr>
    </w:p>
    <w:p>
      <w:pPr>
        <w:ind w:left="360" w:right="399"/>
        <w:spacing w:after="0" w:line="257" w:lineRule="auto"/>
        <w:rPr>
          <w:sz w:val="20"/>
          <w:szCs w:val="20"/>
          <w:color w:val="auto"/>
        </w:rPr>
      </w:pPr>
      <w:r>
        <w:rPr>
          <w:rFonts w:ascii="Times New Roman" w:cs="Times New Roman" w:eastAsia="Times New Roman" w:hAnsi="Times New Roman"/>
          <w:sz w:val="14"/>
          <w:szCs w:val="14"/>
          <w:color w:val="auto"/>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 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 treatment of HAE attacks in adults and adolescents (12 years and older), and enrolled</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5" w:right="1440" w:bottom="1440" w:gutter="0" w:footer="0" w:header="0"/>
        </w:sectPr>
      </w:pPr>
    </w:p>
    <w:bookmarkStart w:id="7" w:name="page8"/>
    <w:bookmarkEnd w:id="7"/>
    <w:p>
      <w:pPr>
        <w:ind w:left="360" w:right="61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971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4971415"/>
                    </a:xfrm>
                    <a:prstGeom prst="rect">
                      <a:avLst/>
                    </a:prstGeom>
                    <a:noFill/>
                  </pic:spPr>
                </pic:pic>
              </a:graphicData>
            </a:graphic>
          </wp:anchor>
        </w:drawing>
        <w:t>approximately 120 participants with HAE type 1, 2 and 3 (normal C1). Topline data from RAPIDe-3 is anticipated in the fourth quarter of 2025 and, pending positive data, we expect to submit a New Drug Application with the FDA in the first half of 2026.</w:t>
      </w:r>
    </w:p>
    <w:p>
      <w:pPr>
        <w:spacing w:after="0" w:line="126" w:lineRule="exact"/>
        <w:rPr>
          <w:sz w:val="20"/>
          <w:szCs w:val="20"/>
          <w:color w:val="auto"/>
        </w:rPr>
      </w:pPr>
    </w:p>
    <w:p>
      <w:pPr>
        <w:ind w:left="360" w:right="399" w:firstLine="331"/>
        <w:spacing w:after="0" w:line="254" w:lineRule="auto"/>
        <w:rPr>
          <w:sz w:val="20"/>
          <w:szCs w:val="20"/>
          <w:color w:val="auto"/>
        </w:rPr>
      </w:pPr>
      <w:r>
        <w:rPr>
          <w:rFonts w:ascii="Times New Roman" w:cs="Times New Roman" w:eastAsia="Times New Roman" w:hAnsi="Times New Roman"/>
          <w:sz w:val="14"/>
          <w:szCs w:val="14"/>
          <w:color w:val="auto"/>
        </w:rPr>
        <w:t>A Phase 2 placebo-controlled trial evaluating the efficacy and the safety and tolerability of deucrictibant for long-term prophylaxis against angioedema attacks in HAE type 1 and 2 (“CHAPTER-1”) commenced CHAPTER-1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type 1, 2 and 3 (normal C1) and randomize them in a 2:1 ratio to receive deucrictibant XR tablet (40 mg/day), which is the intended commercial dosage, or placebo, once daily for 24 weeks with HAE. Topline data from CHAPTER-3 is anticipated in the second half of 2026.</w:t>
      </w:r>
    </w:p>
    <w:p>
      <w:pPr>
        <w:spacing w:after="0" w:line="147" w:lineRule="exact"/>
        <w:rPr>
          <w:sz w:val="20"/>
          <w:szCs w:val="20"/>
          <w:color w:val="auto"/>
        </w:rPr>
      </w:pPr>
    </w:p>
    <w:p>
      <w:pPr>
        <w:ind w:left="360" w:right="659" w:firstLine="331"/>
        <w:spacing w:after="0" w:line="282" w:lineRule="auto"/>
        <w:rPr>
          <w:sz w:val="20"/>
          <w:szCs w:val="20"/>
          <w:color w:val="auto"/>
        </w:rPr>
      </w:pPr>
      <w:r>
        <w:rPr>
          <w:rFonts w:ascii="Times New Roman" w:cs="Times New Roman" w:eastAsia="Times New Roman" w:hAnsi="Times New Roman"/>
          <w:sz w:val="14"/>
          <w:szCs w:val="14"/>
          <w:color w:val="auto"/>
        </w:rPr>
        <w:t>In addition, we are also running open-label extension studies in both on-demand and prophylactic settings to collect long-term safety and efficacy data in HAE patients.</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Balance</w:t>
      </w:r>
    </w:p>
    <w:p>
      <w:pPr>
        <w:spacing w:after="0" w:line="93" w:lineRule="exact"/>
        <w:rPr>
          <w:sz w:val="20"/>
          <w:szCs w:val="20"/>
          <w:color w:val="auto"/>
        </w:rPr>
      </w:pPr>
    </w:p>
    <w:p>
      <w:pPr>
        <w:ind w:left="360" w:right="399" w:firstLine="331"/>
        <w:spacing w:after="0" w:line="258" w:lineRule="auto"/>
        <w:rPr>
          <w:sz w:val="20"/>
          <w:szCs w:val="20"/>
          <w:color w:val="auto"/>
        </w:rPr>
      </w:pPr>
      <w:r>
        <w:rPr>
          <w:rFonts w:ascii="Times New Roman" w:cs="Times New Roman" w:eastAsia="Times New Roman" w:hAnsi="Times New Roman"/>
          <w:sz w:val="14"/>
          <w:szCs w:val="14"/>
          <w:color w:val="auto"/>
        </w:rPr>
        <w:t>The Company held cash and cash equivalents of approximately €199.6 million as of June 30, 2025. The preliminary financial data related to cash and cash equivalents as of June 30, 2025 included in this prospectus supplement has been prepared by, and is the responsibility of, Pharvaris management. PricewaterhouseCoopers Accountants N.V. has not audited, reviewed, examined, compiled, nor applied agreed-upon procedures with respect to this preliminary financial data. Accordingly, PricewaterhouseCoopers Accountants N.V. does not express an opinion or any other form of assurance with respect thereto.</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360" w:right="379" w:firstLine="331"/>
        <w:spacing w:after="0" w:line="266" w:lineRule="auto"/>
        <w:rPr>
          <w:sz w:val="20"/>
          <w:szCs w:val="20"/>
          <w:color w:val="auto"/>
        </w:rPr>
      </w:pPr>
      <w:r>
        <w:rPr>
          <w:rFonts w:ascii="Times New Roman" w:cs="Times New Roman" w:eastAsia="Times New Roman" w:hAnsi="Times New Roman"/>
          <w:sz w:val="14"/>
          <w:szCs w:val="14"/>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4"/>
          <w:szCs w:val="14"/>
          <w:i w:val="1"/>
          <w:iCs w:val="1"/>
          <w:color w:val="auto"/>
        </w:rPr>
        <w:t>www.pharvaris.com</w:t>
      </w:r>
      <w:r>
        <w:rPr>
          <w:rFonts w:ascii="Times New Roman" w:cs="Times New Roman" w:eastAsia="Times New Roman" w:hAnsi="Times New Roman"/>
          <w:sz w:val="14"/>
          <w:szCs w:val="14"/>
          <w:color w:val="auto"/>
        </w:rPr>
        <w:t>. The information contained on our website is not a part of this prospectus.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93" w:lineRule="exact"/>
        <w:rPr>
          <w:sz w:val="20"/>
          <w:szCs w:val="20"/>
          <w:color w:val="auto"/>
        </w:rPr>
      </w:pPr>
    </w:p>
    <w:p>
      <w:pPr>
        <w:jc w:val="both"/>
        <w:ind w:left="360" w:right="519" w:firstLine="331"/>
        <w:spacing w:after="0" w:line="266" w:lineRule="auto"/>
        <w:rPr>
          <w:sz w:val="20"/>
          <w:szCs w:val="20"/>
          <w:color w:val="auto"/>
        </w:rPr>
      </w:pPr>
      <w:r>
        <w:rPr>
          <w:rFonts w:ascii="Times New Roman" w:cs="Times New Roman" w:eastAsia="Times New Roman" w:hAnsi="Times New Roman"/>
          <w:sz w:val="14"/>
          <w:szCs w:val="14"/>
          <w:color w:val="auto"/>
        </w:rPr>
        <w:t>We report under the Securities Exchange Act of 1934, as amended, or the Exchange Act, as a non-U.S. company with foreign private issuer status. As such, we are permitted to follow certain governance practices of the Netherlands instead of those otherwise required under SEC or the Nasdaq Stock Market, or Nasdaq, rules for domestic issuers, including:</w:t>
      </w:r>
    </w:p>
    <w:p>
      <w:pPr>
        <w:spacing w:after="0" w:line="63" w:lineRule="exact"/>
        <w:rPr>
          <w:sz w:val="20"/>
          <w:szCs w:val="20"/>
          <w:color w:val="auto"/>
        </w:rPr>
      </w:pPr>
    </w:p>
    <w:p>
      <w:pPr>
        <w:ind w:left="1080" w:right="439" w:hanging="310"/>
        <w:spacing w:after="0" w:line="282"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filing quarterly reports on Form 10-Q and current reports on Form 8-K disclosing significant events within four days of their occurrence.</w:t>
      </w:r>
    </w:p>
    <w:p>
      <w:pPr>
        <w:spacing w:after="0" w:line="52" w:lineRule="exact"/>
        <w:rPr>
          <w:rFonts w:ascii="Times New Roman" w:cs="Times New Roman" w:eastAsia="Times New Roman" w:hAnsi="Times New Roman"/>
          <w:sz w:val="14"/>
          <w:szCs w:val="14"/>
          <w:color w:val="auto"/>
        </w:rPr>
      </w:pPr>
    </w:p>
    <w:p>
      <w:pPr>
        <w:ind w:left="1080" w:right="679" w:hanging="310"/>
        <w:spacing w:after="0" w:line="282"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Section 16 rules regarding sales of ordinary shares by insiders, which will provide less data in this regard than to shareholders of U.S. companies that are subject to the Exchange Act.</w:t>
      </w:r>
    </w:p>
    <w:p>
      <w:pPr>
        <w:spacing w:after="0" w:line="52" w:lineRule="exact"/>
        <w:rPr>
          <w:rFonts w:ascii="Times New Roman" w:cs="Times New Roman" w:eastAsia="Times New Roman" w:hAnsi="Times New Roman"/>
          <w:sz w:val="14"/>
          <w:szCs w:val="14"/>
          <w:color w:val="auto"/>
        </w:rPr>
      </w:pPr>
    </w:p>
    <w:p>
      <w:pPr>
        <w:ind w:left="1080" w:right="639" w:hanging="310"/>
        <w:spacing w:after="0" w:line="282"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Nasdaq rules applicable to U.S. issuers requiring disclosure within four business days of any determination to grant a waiver of the code of business conduct and ethics to directors and officers.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387" w:right="1440" w:bottom="1440" w:gutter="0" w:footer="0" w:header="0"/>
        </w:sectPr>
      </w:pPr>
    </w:p>
    <w:bookmarkStart w:id="8" w:name="page9"/>
    <w:bookmarkEnd w:id="8"/>
    <w:p>
      <w:pPr>
        <w:ind w:left="1080" w:right="599" w:hanging="310"/>
        <w:spacing w:after="0" w:line="282" w:lineRule="auto"/>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1870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1870710"/>
                    </a:xfrm>
                    <a:prstGeom prst="rect">
                      <a:avLst/>
                    </a:prstGeom>
                    <a:noFill/>
                  </pic:spPr>
                </pic:pic>
              </a:graphicData>
            </a:graphic>
          </wp:anchor>
        </w:drawing>
        <w:t>Exemption from the requirement that we provide in our bylaws for a generally applicable quorum and that such quorum not be less than one-third of the outstanding voting stock.</w:t>
      </w:r>
    </w:p>
    <w:p>
      <w:pPr>
        <w:spacing w:after="0" w:line="52" w:lineRule="exact"/>
        <w:rPr>
          <w:rFonts w:ascii="Times New Roman" w:cs="Times New Roman" w:eastAsia="Times New Roman" w:hAnsi="Times New Roman"/>
          <w:sz w:val="14"/>
          <w:szCs w:val="14"/>
          <w:color w:val="auto"/>
        </w:rPr>
      </w:pPr>
    </w:p>
    <w:p>
      <w:pPr>
        <w:ind w:left="1080" w:right="779" w:hanging="310"/>
        <w:spacing w:after="0" w:line="282" w:lineRule="auto"/>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that we solicit proxies and provide proxy statements for all meetings of Shareholders and shall provide copies of such proxy solicitation to Nasdaq.</w:t>
      </w:r>
    </w:p>
    <w:p>
      <w:pPr>
        <w:spacing w:after="0" w:line="52" w:lineRule="exact"/>
        <w:rPr>
          <w:rFonts w:ascii="Times New Roman" w:cs="Times New Roman" w:eastAsia="Times New Roman" w:hAnsi="Times New Roman"/>
          <w:sz w:val="14"/>
          <w:szCs w:val="14"/>
          <w:color w:val="auto"/>
        </w:rPr>
      </w:pPr>
    </w:p>
    <w:p>
      <w:pPr>
        <w:ind w:left="1080" w:right="519" w:hanging="310"/>
        <w:spacing w:after="0" w:line="266" w:lineRule="auto"/>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37" w:lineRule="exact"/>
        <w:rPr>
          <w:sz w:val="20"/>
          <w:szCs w:val="20"/>
          <w:color w:val="auto"/>
        </w:rPr>
      </w:pPr>
    </w:p>
    <w:p>
      <w:pPr>
        <w:ind w:left="360" w:right="499" w:firstLine="331"/>
        <w:spacing w:after="0" w:line="282" w:lineRule="auto"/>
        <w:rPr>
          <w:sz w:val="20"/>
          <w:szCs w:val="20"/>
          <w:color w:val="auto"/>
        </w:rPr>
      </w:pPr>
      <w:r>
        <w:rPr>
          <w:rFonts w:ascii="Times New Roman" w:cs="Times New Roman" w:eastAsia="Times New Roman" w:hAnsi="Times New Roman"/>
          <w:sz w:val="14"/>
          <w:szCs w:val="14"/>
          <w:color w:val="auto"/>
        </w:rPr>
        <w:t>Nasdaq Rule 5615(a)(3) provides that a foreign private issuer may rely on home country corporate governance practices in lieu of certain of the rules in the Nasdaq Rule 5600 Series, Rule 5250(b)(3) and Rule 5250(d).</w:t>
      </w:r>
    </w:p>
    <w:p>
      <w:pPr>
        <w:spacing w:after="0" w:line="126" w:lineRule="exact"/>
        <w:rPr>
          <w:sz w:val="20"/>
          <w:szCs w:val="20"/>
          <w:color w:val="auto"/>
        </w:rPr>
      </w:pPr>
    </w:p>
    <w:p>
      <w:pPr>
        <w:ind w:left="360" w:right="539" w:firstLine="331"/>
        <w:spacing w:after="0" w:line="266" w:lineRule="auto"/>
        <w:rPr>
          <w:sz w:val="20"/>
          <w:szCs w:val="20"/>
          <w:color w:val="auto"/>
        </w:rPr>
      </w:pPr>
      <w:r>
        <w:rPr>
          <w:rFonts w:ascii="Times New Roman" w:cs="Times New Roman" w:eastAsia="Times New Roman" w:hAnsi="Times New Roman"/>
          <w:sz w:val="14"/>
          <w:szCs w:val="14"/>
          <w:color w:val="auto"/>
        </w:rPr>
        <w:t>Because we are a foreign private issuer, our directors and senior management are not subject to short-swing profit and insider trading reporting obligations under Section 16 of the Exchange Act. They are, however, be subject to the obligation to report changes in share ownership under Section 13 of the Exchange Act and related SEC rules.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387" w:right="1440" w:bottom="1440" w:gutter="0" w:footer="0" w:header="0"/>
        </w:sectPr>
      </w:pPr>
    </w:p>
    <w:bookmarkStart w:id="9" w:name="page10"/>
    <w:bookmarkEnd w:id="9"/>
    <w:tbl>
      <w:tblPr>
        <w:tblLayout w:type="fixed"/>
        <w:tblInd w:w="230" w:type="dxa"/>
        <w:tblCellMar>
          <w:top w:w="0" w:type="dxa"/>
          <w:left w:w="0" w:type="dxa"/>
          <w:bottom w:w="0" w:type="dxa"/>
          <w:right w:w="0" w:type="dxa"/>
        </w:tblCellMar>
      </w:tblPr>
      <w:tr>
        <w:trPr>
          <w:trHeight w:val="320"/>
        </w:trPr>
        <w:tc>
          <w:tcPr>
            <w:tcW w:w="322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42"/>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Ordinary shares offered by us</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8,250,000 of ordinary shares (or 9,562,500 ordinary shares if the underwriters exercise</w:t>
            </w:r>
          </w:p>
        </w:tc>
      </w:tr>
      <w:tr>
        <w:trPr>
          <w:trHeight w:val="183"/>
        </w:trPr>
        <w:tc>
          <w:tcPr>
            <w:tcW w:w="322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their option to purchase additional ordinary shares in full).</w:t>
            </w:r>
          </w:p>
        </w:tc>
      </w:tr>
      <w:tr>
        <w:trPr>
          <w:trHeight w:val="342"/>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Pre-funded warrants offered by us</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 are also offering to one investor, pre-funded warrants to purchase 500,000 ordinary</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shares. The purchase price of each pre-funded warrant will equal the price per share at</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which the ordinary shares are being sold to the public in this offering, minus $0.01, which</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is the exercise price of each pre-funded warrant. The pre-funded warrants do not expire,</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and each pre-funded warrant will be exercisable at any time after the date of issuance until</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date the warrant is exercised in full, subject to an ownership limitation and in some</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cases clearance under the Hart-Scott-Rodino Antitrust Improvements Act of 1976, as</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amended, or the HSR Act. See “Description of Pre-Funded Warrants” on page S-13 of this</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prospectus supplement. This prospectus supplement also relates to the offering of the</w:t>
            </w:r>
          </w:p>
        </w:tc>
      </w:tr>
      <w:tr>
        <w:trPr>
          <w:trHeight w:val="183"/>
        </w:trPr>
        <w:tc>
          <w:tcPr>
            <w:tcW w:w="322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ordinary shares issuable upon exercise of such pre-funded warrants.</w:t>
            </w:r>
          </w:p>
        </w:tc>
      </w:tr>
      <w:tr>
        <w:trPr>
          <w:trHeight w:val="342"/>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Ordinary shares to be outstanding after this offering</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62,743,142 ordinary shares, or 64,055,642 ordinary shares if the underwriters exercise their</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option to purchase additional ordinary shares in full, in each case excluding any ordinary</w:t>
            </w:r>
          </w:p>
        </w:tc>
      </w:tr>
      <w:tr>
        <w:trPr>
          <w:trHeight w:val="183"/>
        </w:trPr>
        <w:tc>
          <w:tcPr>
            <w:tcW w:w="322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shares issuable upon exercise of the pre-funded warrants.</w:t>
            </w:r>
          </w:p>
        </w:tc>
      </w:tr>
      <w:tr>
        <w:trPr>
          <w:trHeight w:val="342"/>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Underwriters’ option to Purchase Additional Ordinary</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1,312,500</w:t>
            </w:r>
          </w:p>
        </w:tc>
      </w:tr>
      <w:tr>
        <w:trPr>
          <w:trHeight w:val="168"/>
        </w:trPr>
        <w:tc>
          <w:tcPr>
            <w:tcW w:w="32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ordinary shares from us, at the public offering price, less the underwriting discounts and</w:t>
            </w:r>
          </w:p>
        </w:tc>
      </w:tr>
      <w:tr>
        <w:trPr>
          <w:trHeight w:val="183"/>
        </w:trPr>
        <w:tc>
          <w:tcPr>
            <w:tcW w:w="322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commissions, for a period of 30 days after the date of this prospectus supplement.</w:t>
            </w:r>
          </w:p>
        </w:tc>
      </w:tr>
      <w:tr>
        <w:trPr>
          <w:trHeight w:val="342"/>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 intend to use the net proceeds of this offering primarily to fund research and</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development expenses for our late-stage clinical programs, the hiring of a sales and</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marketing team in the U.S. and related commercialization expenses, and for working</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capital and general corporate purposes. See the section entitled “Use of Proceeds” on page</w:t>
            </w:r>
          </w:p>
        </w:tc>
      </w:tr>
      <w:tr>
        <w:trPr>
          <w:trHeight w:val="183"/>
        </w:trPr>
        <w:tc>
          <w:tcPr>
            <w:tcW w:w="322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S-9 of this prospectus supplement.</w:t>
            </w:r>
          </w:p>
        </w:tc>
      </w:tr>
      <w:tr>
        <w:trPr>
          <w:trHeight w:val="342"/>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See “Risk Factors” beginning on page S-6 of this prospectus supplement and the other</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information included in, or incorporated by reference into, this prospectus supplement and</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accompanying prospectus for a discussion of certain factors you should carefully</w:t>
            </w:r>
          </w:p>
        </w:tc>
      </w:tr>
      <w:tr>
        <w:trPr>
          <w:trHeight w:val="183"/>
        </w:trPr>
        <w:tc>
          <w:tcPr>
            <w:tcW w:w="322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consider before deciding to invest in our ordinary shares.</w:t>
            </w:r>
          </w:p>
        </w:tc>
      </w:tr>
      <w:tr>
        <w:trPr>
          <w:trHeight w:val="342"/>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The Nasdaq Global Select Market Symbol</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“PHVS.” We do not intend to list the pre-funded warrants on The Nasdaq Global Select</w:t>
            </w:r>
          </w:p>
        </w:tc>
      </w:tr>
      <w:tr>
        <w:trPr>
          <w:trHeight w:val="168"/>
        </w:trPr>
        <w:tc>
          <w:tcPr>
            <w:tcW w:w="322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Market or any other national securities exchange or nationally recognized trading system.</w:t>
            </w:r>
          </w:p>
        </w:tc>
      </w:tr>
      <w:tr>
        <w:trPr>
          <w:trHeight w:val="183"/>
        </w:trPr>
        <w:tc>
          <w:tcPr>
            <w:tcW w:w="322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Without an active market, the liquidity of the pre-funded warrants will be limited.</w:t>
            </w:r>
          </w:p>
        </w:tc>
      </w:tr>
      <w:tr>
        <w:trPr>
          <w:trHeight w:val="121"/>
        </w:trPr>
        <w:tc>
          <w:tcPr>
            <w:tcW w:w="3220" w:type="dxa"/>
            <w:vAlign w:val="bottom"/>
            <w:tcBorders>
              <w:left w:val="single" w:sz="8" w:color="auto"/>
              <w:bottom w:val="single" w:sz="8" w:color="auto"/>
            </w:tcBorders>
          </w:tcPr>
          <w:p>
            <w:pPr>
              <w:spacing w:after="0"/>
              <w:rPr>
                <w:sz w:val="10"/>
                <w:szCs w:val="10"/>
                <w:color w:val="auto"/>
              </w:rPr>
            </w:pPr>
          </w:p>
        </w:tc>
        <w:tc>
          <w:tcPr>
            <w:tcW w:w="5360" w:type="dxa"/>
            <w:vAlign w:val="bottom"/>
            <w:tcBorders>
              <w:bottom w:val="single" w:sz="8" w:color="auto"/>
              <w:right w:val="single" w:sz="8" w:color="auto"/>
            </w:tcBorders>
          </w:tcPr>
          <w:p>
            <w:pPr>
              <w:spacing w:after="0"/>
              <w:rPr>
                <w:sz w:val="10"/>
                <w:szCs w:val="10"/>
                <w:color w:val="auto"/>
              </w:rPr>
            </w:pPr>
          </w:p>
        </w:tc>
      </w:tr>
      <w:tr>
        <w:trPr>
          <w:trHeight w:val="279"/>
        </w:trPr>
        <w:tc>
          <w:tcPr>
            <w:tcW w:w="3220" w:type="dxa"/>
            <w:vAlign w:val="bottom"/>
          </w:tcPr>
          <w:p>
            <w:pPr>
              <w:spacing w:after="0"/>
              <w:rPr>
                <w:sz w:val="24"/>
                <w:szCs w:val="24"/>
                <w:color w:val="auto"/>
              </w:rPr>
            </w:pPr>
          </w:p>
        </w:tc>
        <w:tc>
          <w:tcPr>
            <w:tcW w:w="53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S-4</w:t>
            </w:r>
          </w:p>
        </w:tc>
      </w:tr>
    </w:tbl>
    <w:p>
      <w:pPr>
        <w:ind w:left="960"/>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10" w:name="page11"/>
    <w:bookmarkEnd w:id="10"/>
    <w:p>
      <w:pPr>
        <w:ind w:left="360" w:right="559" w:firstLine="331"/>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1610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1610360"/>
                    </a:xfrm>
                    <a:prstGeom prst="rect">
                      <a:avLst/>
                    </a:prstGeom>
                    <a:noFill/>
                  </pic:spPr>
                </pic:pic>
              </a:graphicData>
            </a:graphic>
          </wp:anchor>
        </w:drawing>
        <w:t>The number of our ordinary shares to be outstanding after this offering is based on 54,493,142 ordinary shares outstanding as of March 31, 2025 and excludes:</w:t>
      </w:r>
    </w:p>
    <w:p>
      <w:pPr>
        <w:spacing w:after="0" w:line="52" w:lineRule="exact"/>
        <w:rPr>
          <w:sz w:val="20"/>
          <w:szCs w:val="20"/>
          <w:color w:val="auto"/>
        </w:rPr>
      </w:pPr>
    </w:p>
    <w:p>
      <w:pPr>
        <w:ind w:left="1080" w:right="779" w:hanging="310"/>
        <w:spacing w:after="0" w:line="282"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4,263,286 million of our ordinary shares issuable upon the exercise of options outstanding as of March 31, 2025, at a weighted-average exercise price of $9.22 per ordinary share;</w:t>
      </w:r>
    </w:p>
    <w:p>
      <w:pPr>
        <w:spacing w:after="0" w:line="52" w:lineRule="exact"/>
        <w:rPr>
          <w:rFonts w:ascii="Times New Roman" w:cs="Times New Roman" w:eastAsia="Times New Roman" w:hAnsi="Times New Roman"/>
          <w:sz w:val="14"/>
          <w:szCs w:val="14"/>
          <w:color w:val="auto"/>
        </w:rPr>
      </w:pPr>
    </w:p>
    <w:p>
      <w:pPr>
        <w:ind w:left="1080" w:right="399" w:hanging="310"/>
        <w:spacing w:after="0" w:line="282"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1,837,441 million ordinary shares issuable upon vesting of restricted stock units under our equity incentive plan as of March 31, 2025; and</w:t>
      </w:r>
    </w:p>
    <w:p>
      <w:pPr>
        <w:spacing w:after="0" w:line="52" w:lineRule="exact"/>
        <w:rPr>
          <w:rFonts w:ascii="Times New Roman" w:cs="Times New Roman" w:eastAsia="Times New Roman" w:hAnsi="Times New Roman"/>
          <w:sz w:val="14"/>
          <w:szCs w:val="14"/>
          <w:color w:val="auto"/>
        </w:rPr>
      </w:pPr>
    </w:p>
    <w:p>
      <w:pPr>
        <w:ind w:left="1080" w:hanging="310"/>
        <w:spacing w:after="0"/>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 ordinary shares issuable upon exercise of the pre-funded warrants being offered by us in this offering.</w:t>
      </w:r>
    </w:p>
    <w:p>
      <w:pPr>
        <w:spacing w:after="0" w:line="175" w:lineRule="exact"/>
        <w:rPr>
          <w:sz w:val="20"/>
          <w:szCs w:val="20"/>
          <w:color w:val="auto"/>
        </w:rPr>
      </w:pPr>
    </w:p>
    <w:p>
      <w:pPr>
        <w:ind w:left="360" w:right="479" w:firstLine="331"/>
        <w:spacing w:after="0" w:line="266" w:lineRule="auto"/>
        <w:rPr>
          <w:sz w:val="20"/>
          <w:szCs w:val="20"/>
          <w:color w:val="auto"/>
        </w:rPr>
      </w:pPr>
      <w:r>
        <w:rPr>
          <w:rFonts w:ascii="Times New Roman" w:cs="Times New Roman" w:eastAsia="Times New Roman" w:hAnsi="Times New Roman"/>
          <w:sz w:val="14"/>
          <w:szCs w:val="14"/>
          <w:color w:val="auto"/>
        </w:rPr>
        <w:t>Unless otherwise stated, all information contained in this prospectus supplement reflects and assumes no exercise of the outstanding options or settlement of the outstanding restricted stock units referred to above after March 31, 2025, no exercise by the underwriters of their option to purchase up to an additional 1,312,500 ordinary shares in this offering and no exercise of the pre-funded warrants offered hereby.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387"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RISK FACTORS</w:t>
      </w:r>
    </w:p>
    <w:p>
      <w:pPr>
        <w:spacing w:after="0" w:line="175"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You should carefully consider the risks and uncertainties described below, as well as those risks and uncertainties identified in the documents incorporated by reference herein, including our most recent Annual Report on Form 20-F,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91" w:lineRule="exact"/>
        <w:rPr>
          <w:sz w:val="20"/>
          <w:szCs w:val="20"/>
          <w:color w:val="auto"/>
        </w:rPr>
      </w:pPr>
    </w:p>
    <w:p>
      <w:pPr>
        <w:ind w:left="220" w:right="57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Future sales, or the possibility of future sales, of a substantial number of our ordinary shares could adversely affect the price of the shares and dilute shareholders.</w:t>
      </w:r>
    </w:p>
    <w:p>
      <w:pPr>
        <w:spacing w:after="0" w:line="40"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Future sales of a substantial number of our ordinary shares, or the perception that such sales will occur, could cause a decline in the market price of our ordinary shares. Pursuant to our at-the-market program, and potentially other offerings, we plan to continue to raise money to fund our operations through the issuance of our equity securities.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In addition, we have registered on a Form S-8 registration statement all ordinary shares that we may issue under our equity compensation plans. As a result, these shares can be freely sold in the public market upon issuance, subject to volume limitations applicable to affiliates.</w:t>
      </w:r>
    </w:p>
    <w:p>
      <w:pPr>
        <w:spacing w:after="0" w:line="147" w:lineRule="exact"/>
        <w:rPr>
          <w:sz w:val="20"/>
          <w:szCs w:val="20"/>
          <w:color w:val="auto"/>
        </w:rPr>
      </w:pPr>
    </w:p>
    <w:p>
      <w:pPr>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If we sell ordinary shares, convertible securities or other equity securities, existing shareholders may be diluted by such sales, and in certain cases new investors could gain rights superior to our existing shareholders. Any sales of our ordinary shares, or the perception that such sales could occur, could have a negative impact on the trading price of our shares.</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ordinary shares or pre-funded warrants in this offering, you will suffer immediate dilution of your investment.</w:t>
      </w:r>
    </w:p>
    <w:p>
      <w:pPr>
        <w:spacing w:after="0" w:line="93"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If you purchase our ordinary shares or pre-funded warrants in this offering, you will incur immediate and substantial dilution in the as adjusted net tangible book value of your securities because the price that you pay will be substantially greater than the net tangible book value per share of the securities you acquire. This dilution is due to our investors who purchased our ordinary shares prior to this offering having paid substantially less when they purchased their shares than the price at which our ordinary shares are being offered to the public in this offering. Based on the public offering price of $20.00 per ordinary share and $19.99 per pre-funded warrant, purchasers of ordinary shares or pre-funded warrants in this offering will experience immediate dilution of $13.51 per share in net tangible book value. To the extent outstanding options are exercised, or outstanding restricted stock units vest and are settled, there will be further dilution to new investors. As a result of the dilution to your holdings, you may receive significantly less than the purchase price paid in this offering, if anything, in the event of our liquidation. For a further description of the dilution that you will experience immediately after this offering, see the section of this prospectus supplement titled “Dilution.”</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we may not use them effectively.</w:t>
      </w:r>
    </w:p>
    <w:p>
      <w:pPr>
        <w:spacing w:after="0" w:line="93" w:lineRule="exact"/>
        <w:rPr>
          <w:sz w:val="20"/>
          <w:szCs w:val="20"/>
          <w:color w:val="auto"/>
        </w:rPr>
      </w:pPr>
    </w:p>
    <w:p>
      <w:pPr>
        <w:ind w:left="220" w:right="379" w:firstLine="343"/>
        <w:spacing w:after="0" w:line="266"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as described in “Use of Proceeds.” However, our board of directors and our management retain broad discretion in the application of the net proceeds from this offering and could spend the proceeds in ways that do not improve our results of operations or enhance the value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8" w:right="1440" w:bottom="1440" w:gutter="0" w:footer="0" w:header="0"/>
        </w:sectPr>
      </w:pPr>
    </w:p>
    <w:bookmarkStart w:id="12" w:name="page13"/>
    <w:bookmarkEnd w:id="12"/>
    <w:p>
      <w:pPr>
        <w:ind w:left="220" w:right="49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of our ordinary shares. Our failure to apply these funds effectively could result in financial losses, which could have a material adverse effect on our business, results of operations, financial condition and prospects.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There is no public market for the pre-funded warrants being offered in this offering.</w:t>
      </w:r>
    </w:p>
    <w:p>
      <w:pPr>
        <w:spacing w:after="0" w:line="93" w:lineRule="exact"/>
        <w:rPr>
          <w:sz w:val="20"/>
          <w:szCs w:val="20"/>
          <w:color w:val="auto"/>
        </w:rPr>
      </w:pPr>
    </w:p>
    <w:p>
      <w:pPr>
        <w:ind w:left="220" w:right="279" w:firstLine="343"/>
        <w:spacing w:after="0" w:line="266" w:lineRule="auto"/>
        <w:rPr>
          <w:sz w:val="20"/>
          <w:szCs w:val="20"/>
          <w:color w:val="auto"/>
        </w:rPr>
      </w:pPr>
      <w:r>
        <w:rPr>
          <w:rFonts w:ascii="Times New Roman" w:cs="Times New Roman" w:eastAsia="Times New Roman" w:hAnsi="Times New Roman"/>
          <w:sz w:val="14"/>
          <w:szCs w:val="14"/>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Select Market. Without an active market, the liquidity of the pre-funded warrants will be limited.</w:t>
      </w:r>
    </w:p>
    <w:p>
      <w:pPr>
        <w:spacing w:after="0" w:line="219" w:lineRule="exact"/>
        <w:rPr>
          <w:sz w:val="20"/>
          <w:szCs w:val="20"/>
          <w:color w:val="auto"/>
        </w:rPr>
      </w:pPr>
    </w:p>
    <w:p>
      <w:pPr>
        <w:ind w:left="220" w:right="27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Holders of pre-funded warrants purchased in this offering will have no rights as shareholders until such holders exercise their pre-funded warrants and acquire our ordinary shares.</w:t>
      </w:r>
    </w:p>
    <w:p>
      <w:pPr>
        <w:spacing w:after="0" w:line="40" w:lineRule="exact"/>
        <w:rPr>
          <w:sz w:val="20"/>
          <w:szCs w:val="20"/>
          <w:color w:val="auto"/>
        </w:rPr>
      </w:pPr>
    </w:p>
    <w:p>
      <w:pPr>
        <w:jc w:val="both"/>
        <w:ind w:left="220" w:right="419" w:firstLine="343"/>
        <w:spacing w:after="0" w:line="266" w:lineRule="auto"/>
        <w:rPr>
          <w:sz w:val="20"/>
          <w:szCs w:val="20"/>
          <w:color w:val="auto"/>
        </w:rPr>
      </w:pPr>
      <w:r>
        <w:rPr>
          <w:rFonts w:ascii="Times New Roman" w:cs="Times New Roman" w:eastAsia="Times New Roman" w:hAnsi="Times New Roman"/>
          <w:sz w:val="14"/>
          <w:szCs w:val="14"/>
          <w:color w:val="auto"/>
        </w:rPr>
        <w:t>Until holders of pre-funded warrants acquire our ordinary shares upon exercise of the pre-funded warrants, holders of pre-funded warrants will have no rights with respect to our ordinary shares underlying such pre-funded warrants. Upon exercise of the pre-funded warrants, the holders will be entitled to exercise the rights of a shareholder only as to matters for which the record date occurs after the exercise date.</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Significant holders or beneficial owners of our ordinary shares may not be permitted to exercise the pre-funded warrants that they hold.</w:t>
      </w:r>
    </w:p>
    <w:p>
      <w:pPr>
        <w:spacing w:after="0" w:line="93"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color w:val="auto"/>
        </w:rPr>
        <w:t>Holders of pre-funded warrants will not be entitled to exercise any portion of any pre-funded warrant that, upon giving effect to such exercise, would cause the exercising holder to acquire beneficial ownership of ordinary shares (together with all other equity of the Company owned by such holder at such time) with a value of or in excess of the Hart-Scott-Rodino Antitrust Improvements Act of 1976, as amended, or HSR Act, notification threshold applicable to the holder (absent an applicable exemption to filing a notice and report form under the HSR Act). As a result, holders of pre-funded warrants may not be able to exercise their pre-funded warrants for our ordinary shares at a time when it would be financially beneficial for them to do so. In such a circumstance, holders could seek to sell their pre-funded warrants to realize value, but may be unable to do so in the absence of an established trading market and due to applicable transfer restrictions.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We may be a passive foreign investment company (“PFIC”), which could result in adverse U.S. federal income tax consequences to U.S. investors.</w:t>
      </w:r>
    </w:p>
    <w:p>
      <w:pPr>
        <w:spacing w:after="0" w:line="93" w:lineRule="exact"/>
        <w:rPr>
          <w:sz w:val="20"/>
          <w:szCs w:val="20"/>
          <w:color w:val="auto"/>
        </w:rPr>
      </w:pPr>
    </w:p>
    <w:p>
      <w:pPr>
        <w:ind w:left="220" w:right="599" w:firstLine="343"/>
        <w:spacing w:after="0" w:line="281" w:lineRule="auto"/>
        <w:rPr>
          <w:sz w:val="20"/>
          <w:szCs w:val="20"/>
          <w:color w:val="auto"/>
        </w:rPr>
      </w:pPr>
      <w:r>
        <w:rPr>
          <w:rFonts w:ascii="Times New Roman" w:cs="Times New Roman" w:eastAsia="Times New Roman" w:hAnsi="Times New Roman"/>
          <w:sz w:val="13"/>
          <w:szCs w:val="13"/>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w:t>
      </w:r>
    </w:p>
    <w:p>
      <w:pPr>
        <w:spacing w:after="0" w:line="1" w:lineRule="exact"/>
        <w:rPr>
          <w:sz w:val="20"/>
          <w:szCs w:val="20"/>
          <w:color w:val="auto"/>
        </w:rPr>
      </w:pPr>
    </w:p>
    <w:p>
      <w:pPr>
        <w:ind w:left="220" w:right="279" w:hanging="1"/>
        <w:spacing w:after="0" w:line="251" w:lineRule="auto"/>
        <w:tabs>
          <w:tab w:leader="none" w:pos="42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2024 and we do not expect to be a PFIC for our current taxable year or in the foreseeable future. In addition, we may, directly or indirectly, hold equity interests in other PFICs. Whether we or any of our subsidiaries will be a PFIC in 2025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2025 or any future taxable year.</w:t>
      </w:r>
    </w:p>
    <w:p>
      <w:pPr>
        <w:spacing w:after="0" w:line="150" w:lineRule="exact"/>
        <w:rPr>
          <w:sz w:val="20"/>
          <w:szCs w:val="20"/>
          <w:color w:val="auto"/>
        </w:rPr>
      </w:pPr>
    </w:p>
    <w:p>
      <w:pPr>
        <w:ind w:left="220" w:right="419" w:firstLine="343"/>
        <w:spacing w:after="0" w:line="282" w:lineRule="auto"/>
        <w:rPr>
          <w:sz w:val="20"/>
          <w:szCs w:val="20"/>
          <w:color w:val="auto"/>
        </w:rPr>
      </w:pPr>
      <w:r>
        <w:rPr>
          <w:rFonts w:ascii="Times New Roman" w:cs="Times New Roman" w:eastAsia="Times New Roman" w:hAnsi="Times New Roman"/>
          <w:sz w:val="14"/>
          <w:szCs w:val="14"/>
          <w:color w:val="auto"/>
        </w:rPr>
        <w:t>If we are a PFIC for any taxable year during which a U.S. Holder (as defined in “Material United States Federal Income Tax and Dutch Income Tax Considerations—Material U.S. Federal Income Tax Considerations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40" w:right="1440" w:bottom="1440" w:gutter="0" w:footer="0" w:header="0"/>
        </w:sectPr>
      </w:pPr>
    </w:p>
    <w:bookmarkStart w:id="13" w:name="page14"/>
    <w:bookmarkEnd w:id="13"/>
    <w:p>
      <w:pPr>
        <w:ind w:left="220" w:right="35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w:t>
      </w:r>
    </w:p>
    <w:p>
      <w:pPr>
        <w:ind w:left="220" w:right="439" w:hanging="1"/>
        <w:spacing w:after="0" w:line="255" w:lineRule="auto"/>
        <w:tabs>
          <w:tab w:leader="none" w:pos="46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44" w:lineRule="exact"/>
        <w:rPr>
          <w:sz w:val="20"/>
          <w:szCs w:val="20"/>
          <w:color w:val="auto"/>
        </w:rPr>
      </w:pPr>
    </w:p>
    <w:p>
      <w:pPr>
        <w:ind w:left="220" w:right="279" w:firstLine="343"/>
        <w:spacing w:after="0" w:line="282" w:lineRule="auto"/>
        <w:rPr>
          <w:sz w:val="20"/>
          <w:szCs w:val="20"/>
          <w:color w:val="auto"/>
        </w:rPr>
      </w:pPr>
      <w:r>
        <w:rPr>
          <w:rFonts w:ascii="Times New Roman" w:cs="Times New Roman" w:eastAsia="Times New Roman" w:hAnsi="Times New Roman"/>
          <w:sz w:val="14"/>
          <w:szCs w:val="14"/>
          <w:color w:val="auto"/>
        </w:rPr>
        <w:t>For further discussion, see “Material United States Federal Income Tax and Dutch Tax Considerations of Ordinary Shares—Material U.S. Federal Income Tax Considerations to U.S. Holders.”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4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USE OF PROCEEDS</w:t>
      </w:r>
    </w:p>
    <w:p>
      <w:pPr>
        <w:spacing w:after="0" w:line="177" w:lineRule="exact"/>
        <w:rPr>
          <w:sz w:val="20"/>
          <w:szCs w:val="20"/>
          <w:color w:val="auto"/>
        </w:rPr>
      </w:pPr>
    </w:p>
    <w:p>
      <w:pPr>
        <w:ind w:left="220" w:right="279" w:firstLine="343"/>
        <w:spacing w:after="0" w:line="253" w:lineRule="auto"/>
        <w:rPr>
          <w:sz w:val="20"/>
          <w:szCs w:val="20"/>
          <w:color w:val="auto"/>
        </w:rPr>
      </w:pPr>
      <w:r>
        <w:rPr>
          <w:rFonts w:ascii="Times New Roman" w:cs="Times New Roman" w:eastAsia="Times New Roman" w:hAnsi="Times New Roman"/>
          <w:sz w:val="14"/>
          <w:szCs w:val="14"/>
          <w:color w:val="auto"/>
        </w:rPr>
        <w:t>We estimate that the net proceeds to us from this offering will be approximately $163.5 million, after deducting the underwriting discounts and commissions and estimated offering expenses payable by us, or approximately $188.2 million if the underwriters exercise their option to purchase additional ordinary shares from us in full. We will receive nominal proceeds, if any, from any exercise of pre-funded warrants. We intend to use the net proceeds of this offering primarily to fund research and development expenses for our late-stage clinical programs, the hiring of a sales and marketing team in the U.S. and related commercialization expenses, and for working capital and general corporate purposes. Our expected use of the net proceeds from this offering represents our current intentions based upon our present plans and business conditions, which could change in the future as our plans and business conditions evolve. We expect that our total research and development expenses will increase in 2025 and 2026 as we continue to focus on the development of our product candidates IR and XR, including continuing to progress IR and XR through clinical development, as well as explore potential expansion programs. There may be unforeseen expenses beyond our control, including third-party costs that we cannot predict, inherent in the clinical development and regulatory approval process. Based on our planned use of the net proceeds from this offering and our existing cash, cash equivalents and investments, we expect that such funds will be sufficient to enable us to fund our operations into the first half of 2027, subject to certain assumptions, including clinical development plans and timelines. We have based this estimate on assumptions that may prove to be incorrect, and we could use our available capital resources sooner than we currently expect.</w:t>
      </w:r>
    </w:p>
    <w:p>
      <w:pPr>
        <w:spacing w:after="0" w:line="146"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of directors will have broad discretion in applying the net proceeds of this offering, and investors will be relying on our judgment regarding the application of the net proceeds of this offering.</w:t>
      </w:r>
    </w:p>
    <w:p>
      <w:pPr>
        <w:spacing w:after="0" w:line="148" w:lineRule="exact"/>
        <w:rPr>
          <w:sz w:val="20"/>
          <w:szCs w:val="20"/>
          <w:color w:val="auto"/>
        </w:rPr>
      </w:pPr>
    </w:p>
    <w:p>
      <w:pPr>
        <w:ind w:left="220" w:right="739" w:firstLine="343"/>
        <w:spacing w:after="0" w:line="282" w:lineRule="auto"/>
        <w:rPr>
          <w:sz w:val="20"/>
          <w:szCs w:val="20"/>
          <w:color w:val="auto"/>
        </w:rPr>
      </w:pPr>
      <w:r>
        <w:rPr>
          <w:rFonts w:ascii="Times New Roman" w:cs="Times New Roman" w:eastAsia="Times New Roman" w:hAnsi="Times New Roman"/>
          <w:sz w:val="14"/>
          <w:szCs w:val="14"/>
          <w:color w:val="auto"/>
        </w:rPr>
        <w:t>Pending their use, we might plan to invest a portion of the net proceeds from this offering in short- and intermediate-term interest-bearing financial assets and certificates of deposit.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8"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DIVIDEND POLICY</w:t>
      </w:r>
    </w:p>
    <w:p>
      <w:pPr>
        <w:spacing w:after="0" w:line="177" w:lineRule="exact"/>
        <w:rPr>
          <w:sz w:val="20"/>
          <w:szCs w:val="20"/>
          <w:color w:val="auto"/>
        </w:rPr>
      </w:pPr>
    </w:p>
    <w:p>
      <w:pPr>
        <w:ind w:left="220" w:right="339" w:firstLine="343"/>
        <w:spacing w:after="0" w:line="282" w:lineRule="auto"/>
        <w:rPr>
          <w:sz w:val="20"/>
          <w:szCs w:val="20"/>
          <w:color w:val="auto"/>
        </w:rPr>
      </w:pPr>
      <w:r>
        <w:rPr>
          <w:rFonts w:ascii="Times New Roman" w:cs="Times New Roman" w:eastAsia="Times New Roman" w:hAnsi="Times New Roman"/>
          <w:sz w:val="14"/>
          <w:szCs w:val="14"/>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w:t>
      </w:r>
    </w:p>
    <w:p>
      <w:pPr>
        <w:spacing w:after="0" w:line="124"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the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earnings, cash flow, financial condition, future prospects, contractual restrictions, capital investment requirements, restrictions imposed by applicable law and other factors considered relevant by our board of directors.</w:t>
      </w:r>
    </w:p>
    <w:p>
      <w:pPr>
        <w:spacing w:after="0" w:line="144"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Under our Articles of Association, our board of directors may decide that all or part of the profits shown in our adopted statutory annual accounts will be added to our reserves. After reservation of any such profits, any remaining profits will be at the disposal of the general meeting at the proposal of our board of directors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no later than a date determined by our board of directors.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8"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DILUTION</w:t>
      </w:r>
    </w:p>
    <w:p>
      <w:pPr>
        <w:spacing w:after="0" w:line="177"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If you invest in our ordinary shares or exercise of the pre-funded warrants acquired in this offering, your ownership interest will be diluted immediately to the extent of the difference between the price you pay in this offering and the net tangible book value per ordinary share after this offering. Our net tangible book value as of March 31, 2025 was $243.7 million (€225.3 million), or $4.47 per ordinary share (€4.14 per ordinary share), based on 54,493,142 ordinary shares then outstanding. Net tangible book value per share represents the amount of our total assets less our total liabilities, excluding intangible assets, divided by 54,493,142, the total number of our ordinary shares issued and outstanding at March 31, 2025.</w:t>
      </w:r>
    </w:p>
    <w:p>
      <w:pPr>
        <w:spacing w:after="0" w:line="143"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After giving effect to the sale of 8,250,000 of our ordinary shares in this offering at an offering price of $20.00 per share and pre-funded warrants to purchase 500,000 ordinary shares at the offering price of $19.99 per pre-funded warrant (which equals the public offering price per ordinary share less the $0.01 per share exercise price of each such pre-funded warrant), less the estimated commissions and estimated offering expenses payable by us, our net tangible book value at March 31, 2025 would have been $407.2 million, or $6.49 per ordinary share (assuming equity classification). This represents an immediate increase in net tangible book value of $2.02 per share to existing shareholders and an immediate dilution of $13.51 per share to investors in this offering. The following table illustrates this per share dilution.</w:t>
      </w:r>
    </w:p>
    <w:p>
      <w:pPr>
        <w:spacing w:after="0" w:line="178"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price per share</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20.00</w:t>
            </w:r>
          </w:p>
        </w:tc>
        <w:tc>
          <w:tcPr>
            <w:tcW w:w="40" w:type="dxa"/>
            <w:vAlign w:val="bottom"/>
            <w:shd w:val="clear" w:color="auto" w:fill="CCEEFF"/>
          </w:tcPr>
          <w:p>
            <w:pPr>
              <w:spacing w:after="0"/>
              <w:rPr>
                <w:sz w:val="14"/>
                <w:szCs w:val="14"/>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Net tangible book value per share as of March 31, 2025</w:t>
            </w: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the offering</w:t>
            </w: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As adjusted net tangible book value per share after giving effect to the offering</w:t>
            </w:r>
          </w:p>
        </w:tc>
        <w:tc>
          <w:tcPr>
            <w:tcW w:w="5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40" w:type="dxa"/>
            <w:vAlign w:val="bottom"/>
          </w:tcPr>
          <w:p>
            <w:pPr>
              <w:spacing w:after="0"/>
              <w:rPr>
                <w:sz w:val="14"/>
                <w:szCs w:val="14"/>
                <w:color w:val="auto"/>
              </w:rPr>
            </w:pP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participating in the offering</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13.51</w:t>
            </w:r>
          </w:p>
        </w:tc>
        <w:tc>
          <w:tcPr>
            <w:tcW w:w="40" w:type="dxa"/>
            <w:vAlign w:val="bottom"/>
            <w:shd w:val="clear" w:color="auto" w:fill="CCEEFF"/>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If the underwriters exercise their option to purchase up to an additional 1,312,500 ordinary shares in full at the public offering price of $20.00 per ordinary share, and after deducting underwriting discounts and commissions and estimated offering expenses payable by us, the as-adjusted net tangible book value would be $6.74 per share, representing an immediate increase in net tangible book value of $2.27 per share to existing shareholders and an immediate dilution in as-adjusted net tangible book value of $13.26 per share to new investors purchasing ordinary shares this offering.</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above discussion and table are based on our ordinary shares outstanding as of March 31, 2025 and excludes:</w:t>
      </w:r>
    </w:p>
    <w:p>
      <w:pPr>
        <w:spacing w:after="0" w:line="102" w:lineRule="exact"/>
        <w:rPr>
          <w:sz w:val="20"/>
          <w:szCs w:val="20"/>
          <w:color w:val="auto"/>
        </w:rPr>
      </w:pPr>
    </w:p>
    <w:p>
      <w:pPr>
        <w:ind w:left="980" w:right="459" w:hanging="341"/>
        <w:spacing w:after="0" w:line="282"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4,263,286 million of our ordinary shares issuable upon the exercise of options outstanding as of March 31, 2025, at a weighted-average exercise price of $9.22 per ordinary share;</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1,837,441 million ordinary shares issuable upon vesting of restricted stock units under our equity incentive plan as of March 31, 2025; and</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 ordinary shares issuable upon exercise of the pre-funded warrants being offered in this offering.</w:t>
      </w:r>
    </w:p>
    <w:p>
      <w:pPr>
        <w:spacing w:after="0" w:line="175" w:lineRule="exact"/>
        <w:rPr>
          <w:sz w:val="20"/>
          <w:szCs w:val="20"/>
          <w:color w:val="auto"/>
        </w:rPr>
      </w:pPr>
    </w:p>
    <w:p>
      <w:pPr>
        <w:ind w:left="220" w:right="259" w:firstLine="343"/>
        <w:spacing w:after="0" w:line="266" w:lineRule="auto"/>
        <w:rPr>
          <w:sz w:val="20"/>
          <w:szCs w:val="20"/>
          <w:color w:val="auto"/>
        </w:rPr>
      </w:pPr>
      <w:r>
        <w:rPr>
          <w:rFonts w:ascii="Times New Roman" w:cs="Times New Roman" w:eastAsia="Times New Roman" w:hAnsi="Times New Roman"/>
          <w:sz w:val="14"/>
          <w:szCs w:val="14"/>
          <w:color w:val="auto"/>
        </w:rPr>
        <w:t>Assuming the pre-funded warrants were immediately and fully exercised, this would result in an as adjusted net tangible book value per share, after giving effect to this offering and warrant exercise of $6.44 per ordinary share, which represents a dilution per share to new investors of $13.56, and an increase in net tangible book value per share to existing shareholders of $1.97.</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8" w:right="1440" w:bottom="1440" w:gutter="0" w:footer="0" w:header="0"/>
        </w:sectPr>
      </w:pPr>
    </w:p>
    <w:bookmarkStart w:id="17" w:name="page18"/>
    <w:bookmarkEnd w:id="17"/>
    <w:p>
      <w:pPr>
        <w:ind w:left="220" w:right="37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40"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PRE-FUNDED WARRANTS</w:t>
      </w:r>
    </w:p>
    <w:p>
      <w:pPr>
        <w:spacing w:after="0" w:line="177" w:lineRule="exact"/>
        <w:rPr>
          <w:sz w:val="20"/>
          <w:szCs w:val="20"/>
          <w:color w:val="auto"/>
        </w:rPr>
      </w:pPr>
    </w:p>
    <w:p>
      <w:pPr>
        <w:ind w:left="220" w:right="499" w:firstLine="343"/>
        <w:spacing w:after="0" w:line="282" w:lineRule="auto"/>
        <w:rPr>
          <w:sz w:val="20"/>
          <w:szCs w:val="20"/>
          <w:color w:val="auto"/>
        </w:rPr>
      </w:pPr>
      <w:r>
        <w:rPr>
          <w:rFonts w:ascii="Times New Roman" w:cs="Times New Roman" w:eastAsia="Times New Roman" w:hAnsi="Times New Roman"/>
          <w:sz w:val="14"/>
          <w:szCs w:val="14"/>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Form</w:t>
      </w:r>
      <w:r>
        <w:rPr>
          <w:rFonts w:ascii="Times New Roman" w:cs="Times New Roman" w:eastAsia="Times New Roman" w:hAnsi="Times New Roman"/>
          <w:sz w:val="14"/>
          <w:szCs w:val="14"/>
          <w:color w:val="auto"/>
        </w:rPr>
        <w:t>. The form of pre-funded warrant will be filed as an exhibit to our Current Report on Form 6-K that we expect to file with the SEC.</w:t>
      </w:r>
    </w:p>
    <w:p>
      <w:pPr>
        <w:spacing w:after="0" w:line="175" w:lineRule="exact"/>
        <w:rPr>
          <w:sz w:val="20"/>
          <w:szCs w:val="20"/>
          <w:color w:val="auto"/>
        </w:rPr>
      </w:pPr>
    </w:p>
    <w:p>
      <w:pPr>
        <w:ind w:left="220" w:right="279"/>
        <w:spacing w:after="0" w:line="262" w:lineRule="auto"/>
        <w:rPr>
          <w:sz w:val="20"/>
          <w:szCs w:val="20"/>
          <w:color w:val="auto"/>
        </w:rPr>
      </w:pPr>
      <w:r>
        <w:rPr>
          <w:rFonts w:ascii="Times New Roman" w:cs="Times New Roman" w:eastAsia="Times New Roman" w:hAnsi="Times New Roman"/>
          <w:sz w:val="14"/>
          <w:szCs w:val="14"/>
          <w:i w:val="1"/>
          <w:iCs w:val="1"/>
          <w:color w:val="auto"/>
        </w:rPr>
        <w:t>Exercise Price</w:t>
      </w:r>
      <w:r>
        <w:rPr>
          <w:rFonts w:ascii="Times New Roman" w:cs="Times New Roman" w:eastAsia="Times New Roman" w:hAnsi="Times New Roman"/>
          <w:sz w:val="14"/>
          <w:szCs w:val="14"/>
          <w:color w:val="auto"/>
        </w:rPr>
        <w:t>. The exercise price per whole ordinary share purchasable upon the exercise of the pre-funded warrants is $0.01 per ordinary share.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exercise price of the pre-funded warrants is subject to appropriate adjustment in the event of certain share dividends and distributions, share splits, share combinations, reclassifications or similar events affecting our ordinary shares and also upon any distributions of assets, including cash, share or other property to our shareholders.</w:t>
      </w:r>
    </w:p>
    <w:p>
      <w:pPr>
        <w:spacing w:after="0" w:line="137" w:lineRule="exact"/>
        <w:rPr>
          <w:sz w:val="20"/>
          <w:szCs w:val="20"/>
          <w:color w:val="auto"/>
        </w:rPr>
      </w:pPr>
    </w:p>
    <w:p>
      <w:pPr>
        <w:ind w:left="220" w:right="279"/>
        <w:spacing w:after="0" w:line="253" w:lineRule="auto"/>
        <w:rPr>
          <w:sz w:val="20"/>
          <w:szCs w:val="20"/>
          <w:color w:val="auto"/>
        </w:rPr>
      </w:pPr>
      <w:r>
        <w:rPr>
          <w:rFonts w:ascii="Times New Roman" w:cs="Times New Roman" w:eastAsia="Times New Roman" w:hAnsi="Times New Roman"/>
          <w:sz w:val="14"/>
          <w:szCs w:val="14"/>
          <w:i w:val="1"/>
          <w:iCs w:val="1"/>
          <w:color w:val="auto"/>
        </w:rPr>
        <w:t>Exercisability; Exercise Limitations</w:t>
      </w:r>
      <w:r>
        <w:rPr>
          <w:rFonts w:ascii="Times New Roman" w:cs="Times New Roman" w:eastAsia="Times New Roman" w:hAnsi="Times New Roman"/>
          <w:sz w:val="14"/>
          <w:szCs w:val="14"/>
          <w:color w:val="auto"/>
        </w:rPr>
        <w:t>. The pre-funded warrants are exercisable at any time after their original issuance until fully exercised, subject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ownership limitation described below. The pre-funded warrants will be exercisable, at the option of each holder, in whole or in part by delivering to us a duly executed exercise notice and by payment in full of the exercise price in immediately available funds for the number of ordinary shares purchased upon such exercise;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exercise would result in a holder acquiring beneficial ownership of ordinary shares of the Company with a value of or in excess of the HSR Act, notification threshold applicable to the holder (the “HSR Threshold”), and no exemption to filing a notice and report form under the HSR Act is applicable, then only such portion of the pre-funded warrants, which when exercised does not exceed the HSR Threshold, will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periods or receipt of applicable approval. After such expiration or early termination of the applicable waiting period or receipt of applicable approval, the HSR Threshold will no longer be applicable to the pre-funded warrants, notwithstanding any other provision thereof. No fractional ordinary shares will be issued in connection with the exercise of a pre-funded warrant. In lieu of fractional shares, we will pay the holder an amount in cash equal to the fractional amount multiplied by the fair market value of any such fractional shares.</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Subject to applicable laws, the pre-funded warrants may be offered for sale, sold, transferred or assigned without our consent.</w:t>
      </w:r>
    </w:p>
    <w:p>
      <w:pPr>
        <w:spacing w:after="0" w:line="175" w:lineRule="exact"/>
        <w:rPr>
          <w:sz w:val="20"/>
          <w:szCs w:val="20"/>
          <w:color w:val="auto"/>
        </w:rPr>
      </w:pPr>
    </w:p>
    <w:p>
      <w:pPr>
        <w:ind w:left="220" w:right="779"/>
        <w:spacing w:after="0" w:line="285" w:lineRule="auto"/>
        <w:rPr>
          <w:sz w:val="20"/>
          <w:szCs w:val="20"/>
          <w:color w:val="auto"/>
        </w:rPr>
      </w:pPr>
      <w:r>
        <w:rPr>
          <w:rFonts w:ascii="Times New Roman" w:cs="Times New Roman" w:eastAsia="Times New Roman" w:hAnsi="Times New Roman"/>
          <w:sz w:val="14"/>
          <w:szCs w:val="14"/>
          <w:i w:val="1"/>
          <w:iCs w:val="1"/>
          <w:color w:val="auto"/>
        </w:rPr>
        <w:t>Exchange Listing</w:t>
      </w:r>
      <w:r>
        <w:rPr>
          <w:rFonts w:ascii="Times New Roman" w:cs="Times New Roman" w:eastAsia="Times New Roman" w:hAnsi="Times New Roman"/>
          <w:sz w:val="14"/>
          <w:szCs w:val="14"/>
          <w:color w:val="auto"/>
        </w:rPr>
        <w:t>. We do not plan on applying to list the pre-funded warrants on the Nasdaq Global Select Market, any other national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exchange or any other nationally recognized trading system.</w:t>
      </w:r>
    </w:p>
    <w:p>
      <w:pPr>
        <w:spacing w:after="0" w:line="122" w:lineRule="exact"/>
        <w:rPr>
          <w:sz w:val="20"/>
          <w:szCs w:val="20"/>
          <w:color w:val="auto"/>
        </w:rPr>
      </w:pPr>
    </w:p>
    <w:p>
      <w:pPr>
        <w:ind w:left="220" w:right="259"/>
        <w:spacing w:after="0" w:line="256" w:lineRule="auto"/>
        <w:rPr>
          <w:sz w:val="20"/>
          <w:szCs w:val="20"/>
          <w:color w:val="auto"/>
        </w:rPr>
      </w:pPr>
      <w:r>
        <w:rPr>
          <w:rFonts w:ascii="Times New Roman" w:cs="Times New Roman" w:eastAsia="Times New Roman" w:hAnsi="Times New Roman"/>
          <w:sz w:val="14"/>
          <w:szCs w:val="14"/>
          <w:i w:val="1"/>
          <w:iCs w:val="1"/>
          <w:color w:val="auto"/>
        </w:rPr>
        <w:t>Fundamental Transactions</w:t>
      </w:r>
      <w:r>
        <w:rPr>
          <w:rFonts w:ascii="Times New Roman" w:cs="Times New Roman" w:eastAsia="Times New Roman" w:hAnsi="Times New Roman"/>
          <w:sz w:val="14"/>
          <w:szCs w:val="14"/>
          <w:color w:val="auto"/>
        </w:rPr>
        <w:t>. In the event of a fundamental transaction, as described in the pre-funded warrants and generally including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reorganization, recapitalization or reclassification of our ordinary shares, the sale, transfer or other disposition of all or substantially all of our properties or assets, our consolidation or merger with or into another person, the acquisition of more than 50% of our ordinary shares, or any person or group becoming the beneficial owner of 50% of the voting power represented by our ordinary shares,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exercised contained in the pre-funded warrants.</w:t>
      </w:r>
    </w:p>
    <w:p>
      <w:pPr>
        <w:spacing w:after="0" w:line="142" w:lineRule="exact"/>
        <w:rPr>
          <w:sz w:val="20"/>
          <w:szCs w:val="20"/>
          <w:color w:val="auto"/>
        </w:rPr>
      </w:pPr>
    </w:p>
    <w:p>
      <w:pPr>
        <w:ind w:left="220" w:right="439"/>
        <w:spacing w:after="0" w:line="268" w:lineRule="auto"/>
        <w:rPr>
          <w:sz w:val="20"/>
          <w:szCs w:val="20"/>
          <w:color w:val="auto"/>
        </w:rPr>
      </w:pPr>
      <w:r>
        <w:rPr>
          <w:rFonts w:ascii="Times New Roman" w:cs="Times New Roman" w:eastAsia="Times New Roman" w:hAnsi="Times New Roman"/>
          <w:sz w:val="14"/>
          <w:szCs w:val="14"/>
          <w:i w:val="1"/>
          <w:iCs w:val="1"/>
          <w:color w:val="auto"/>
        </w:rPr>
        <w:t>No Rights as a Shareholder</w:t>
      </w:r>
      <w:r>
        <w:rPr>
          <w:rFonts w:ascii="Times New Roman" w:cs="Times New Roman" w:eastAsia="Times New Roman" w:hAnsi="Times New Roman"/>
          <w:sz w:val="14"/>
          <w:szCs w:val="14"/>
          <w:color w:val="auto"/>
        </w:rPr>
        <w:t>. Except by virtue of such holder’s ownership of our ordinary shares, the holder of a pre-funded warrant does not have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or privileges of a holder of our ordinary shares, including any voting rights, until the holder exercises the pre-funded warrant and receives the underlying ordinary shares.</w:t>
      </w:r>
    </w:p>
    <w:p>
      <w:pPr>
        <w:spacing w:after="0" w:line="133" w:lineRule="exact"/>
        <w:rPr>
          <w:sz w:val="20"/>
          <w:szCs w:val="20"/>
          <w:color w:val="auto"/>
        </w:rPr>
      </w:pPr>
    </w:p>
    <w:p>
      <w:pPr>
        <w:ind w:left="220" w:right="719"/>
        <w:spacing w:after="0" w:line="285" w:lineRule="auto"/>
        <w:rPr>
          <w:sz w:val="20"/>
          <w:szCs w:val="20"/>
          <w:color w:val="auto"/>
        </w:rPr>
      </w:pPr>
      <w:r>
        <w:rPr>
          <w:rFonts w:ascii="Times New Roman" w:cs="Times New Roman" w:eastAsia="Times New Roman" w:hAnsi="Times New Roman"/>
          <w:sz w:val="14"/>
          <w:szCs w:val="14"/>
          <w:i w:val="1"/>
          <w:iCs w:val="1"/>
          <w:color w:val="auto"/>
        </w:rPr>
        <w:t>Registration Rights</w:t>
      </w:r>
      <w:r>
        <w:rPr>
          <w:rFonts w:ascii="Times New Roman" w:cs="Times New Roman" w:eastAsia="Times New Roman" w:hAnsi="Times New Roman"/>
          <w:sz w:val="14"/>
          <w:szCs w:val="14"/>
          <w:color w:val="auto"/>
        </w:rPr>
        <w:t>. The Company intends to grant the investor purchasing pre-funded warrants customary registration rights, including demand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rights, with respect to the ordinary shares issuable upon exercise of the pre-funded warrants.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8"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MATERIAL UNITED STATES FEDERAL INCOME TAX AND DUTCH TAX CONSIDERATIONS OF ORDINARY SHARES</w:t>
      </w:r>
    </w:p>
    <w:p>
      <w:pPr>
        <w:spacing w:after="0" w:line="177"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 and pre-funded warrants.</w:t>
      </w:r>
    </w:p>
    <w:p>
      <w:pPr>
        <w:spacing w:after="0" w:line="140" w:lineRule="exact"/>
        <w:rPr>
          <w:sz w:val="20"/>
          <w:szCs w:val="20"/>
          <w:color w:val="auto"/>
        </w:rPr>
      </w:pPr>
    </w:p>
    <w:p>
      <w:pPr>
        <w:ind w:left="220" w:right="619" w:firstLine="343"/>
        <w:spacing w:after="0" w:line="282" w:lineRule="auto"/>
        <w:rPr>
          <w:sz w:val="20"/>
          <w:szCs w:val="20"/>
          <w:color w:val="auto"/>
        </w:rPr>
      </w:pPr>
      <w:r>
        <w:rPr>
          <w:rFonts w:ascii="Times New Roman" w:cs="Times New Roman" w:eastAsia="Times New Roman" w:hAnsi="Times New Roman"/>
          <w:sz w:val="14"/>
          <w:szCs w:val="14"/>
          <w:color w:val="auto"/>
        </w:rPr>
        <w:t>You should consult your own tax adviser regarding the applicable tax consequences to you of investing in our ordinary shares or pre-funded warrants under the laws of the United States (federal, state and local), the Netherlands, and any other applicable jurisdiction.</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to U.S. Holders</w:t>
      </w:r>
    </w:p>
    <w:p>
      <w:pPr>
        <w:spacing w:after="0" w:line="93"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and it does not describe the tax consequences of owning and disposing of pre-funded warrants.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70" w:lineRule="exact"/>
        <w:rPr>
          <w:sz w:val="20"/>
          <w:szCs w:val="20"/>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financial institutions;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 or expatriated entities subject to Section 7874 of the Code;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or traders in securities who use a mark-to-market method of tax accounting;</w:t>
      </w:r>
    </w:p>
    <w:p>
      <w:pPr>
        <w:spacing w:after="0" w:line="101" w:lineRule="exact"/>
        <w:rPr>
          <w:rFonts w:ascii="Times New Roman" w:cs="Times New Roman" w:eastAsia="Times New Roman" w:hAnsi="Times New Roman"/>
          <w:sz w:val="14"/>
          <w:szCs w:val="14"/>
          <w:color w:val="auto"/>
        </w:rPr>
      </w:pPr>
    </w:p>
    <w:p>
      <w:pPr>
        <w:ind w:left="980" w:right="299" w:hanging="341"/>
        <w:spacing w:after="0" w:line="282"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for U.S. federal income tax purposes is not the U.S. dollar;</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own or acquire our pre-funded warrants;</w:t>
      </w:r>
    </w:p>
    <w:p>
      <w:pPr>
        <w:spacing w:after="0" w:line="101" w:lineRule="exact"/>
        <w:rPr>
          <w:rFonts w:ascii="Times New Roman" w:cs="Times New Roman" w:eastAsia="Times New Roman" w:hAnsi="Times New Roman"/>
          <w:sz w:val="14"/>
          <w:szCs w:val="14"/>
          <w:color w:val="auto"/>
        </w:rPr>
      </w:pPr>
    </w:p>
    <w:p>
      <w:pPr>
        <w:ind w:left="980" w:right="459" w:hanging="341"/>
        <w:spacing w:after="0" w:line="282"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classified as partnerships, S corporations or other pass-through entities for U.S. federal income tax purposes or investors in such entities or arrangements;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retirement accounts” or “Roth IRAs” or other tax-deferred accounts;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persons that acquire ordinary shares directly or indirectly in connection with the performance of services;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are subject to Section 451(b) of the Code;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ten percent or more of our shares (by vote or value);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real estate investment trusts, real estate mortgage investment conduits; or</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in connection with a trade or business conducted outside of the United States.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8" w:right="1440" w:bottom="1440" w:gutter="0" w:footer="0" w:header="0"/>
        </w:sectPr>
      </w:pPr>
    </w:p>
    <w:bookmarkStart w:id="20" w:name="page21"/>
    <w:bookmarkEnd w:id="20"/>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If an entity that is classified as a partnership for U.S. federal income tax purposes holds ordinary shares, the U.S. federal income tax treatment of a partner will generally depend on the status of the partner and the activities of the partner and the partnership. Partnerships (or other entity or arrangement that is classified as partnership for U.S. federal income tax purposes) holding ordinary shares and partners in such partnerships or other entity should consult their tax advisers as to the particular U.S. federal income tax consequences of owning and disposing of ordinary shares.</w:t>
      </w:r>
    </w:p>
    <w:p>
      <w:pPr>
        <w:spacing w:after="0" w:line="140"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2" w:lineRule="exact"/>
        <w:rPr>
          <w:sz w:val="20"/>
          <w:szCs w:val="20"/>
          <w:color w:val="auto"/>
        </w:rPr>
      </w:pPr>
    </w:p>
    <w:p>
      <w:pPr>
        <w:ind w:left="220" w:right="299" w:firstLine="343"/>
        <w:spacing w:after="0" w:line="282" w:lineRule="auto"/>
        <w:rPr>
          <w:sz w:val="20"/>
          <w:szCs w:val="20"/>
          <w:color w:val="auto"/>
        </w:rPr>
      </w:pPr>
      <w:r>
        <w:rPr>
          <w:rFonts w:ascii="Times New Roman" w:cs="Times New Roman" w:eastAsia="Times New Roman" w:hAnsi="Times New Roman"/>
          <w:sz w:val="14"/>
          <w:szCs w:val="14"/>
          <w:color w:val="auto"/>
        </w:rPr>
        <w:t>A “U.S. Holder” is a holder who, for U.S. federal income tax purposes, is a beneficial owner of ordinary shares, who is eligible for the benefits of the Treaty and who is:</w:t>
      </w:r>
    </w:p>
    <w:p>
      <w:pPr>
        <w:spacing w:after="0" w:line="52" w:lineRule="exact"/>
        <w:rPr>
          <w:sz w:val="20"/>
          <w:szCs w:val="20"/>
          <w:color w:val="auto"/>
        </w:rPr>
      </w:pPr>
    </w:p>
    <w:p>
      <w:pPr>
        <w:ind w:left="980" w:hanging="341"/>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in the U.S.;</w:t>
      </w:r>
    </w:p>
    <w:p>
      <w:pPr>
        <w:spacing w:after="0" w:line="101" w:lineRule="exact"/>
        <w:rPr>
          <w:rFonts w:ascii="Times New Roman" w:cs="Times New Roman" w:eastAsia="Times New Roman" w:hAnsi="Times New Roman"/>
          <w:sz w:val="14"/>
          <w:szCs w:val="14"/>
          <w:color w:val="auto"/>
        </w:rPr>
      </w:pPr>
    </w:p>
    <w:p>
      <w:pPr>
        <w:ind w:left="980" w:right="299" w:hanging="341"/>
        <w:spacing w:after="0" w:line="282"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created or organized in or under the laws of the United States, any state therein or the District of Columbia;</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1" w:lineRule="exact"/>
        <w:rPr>
          <w:rFonts w:ascii="Times New Roman" w:cs="Times New Roman" w:eastAsia="Times New Roman" w:hAnsi="Times New Roman"/>
          <w:sz w:val="14"/>
          <w:szCs w:val="14"/>
          <w:color w:val="auto"/>
        </w:rPr>
      </w:pPr>
    </w:p>
    <w:p>
      <w:pPr>
        <w:ind w:left="980" w:right="339" w:hanging="341"/>
        <w:spacing w:after="0" w:line="266"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37" w:lineRule="exact"/>
        <w:rPr>
          <w:sz w:val="20"/>
          <w:szCs w:val="20"/>
          <w:color w:val="auto"/>
        </w:rPr>
      </w:pPr>
    </w:p>
    <w:p>
      <w:pPr>
        <w:ind w:left="220" w:right="499" w:firstLine="343"/>
        <w:spacing w:after="0" w:line="258" w:lineRule="auto"/>
        <w:rPr>
          <w:sz w:val="20"/>
          <w:szCs w:val="20"/>
          <w:color w:val="auto"/>
        </w:rPr>
      </w:pPr>
      <w:r>
        <w:rPr>
          <w:rFonts w:ascii="Times New Roman" w:cs="Times New Roman" w:eastAsia="Times New Roman" w:hAnsi="Times New Roman"/>
          <w:sz w:val="14"/>
          <w:szCs w:val="14"/>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Taxation of Distributions</w:t>
      </w:r>
    </w:p>
    <w:p>
      <w:pPr>
        <w:spacing w:after="0" w:line="93"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40" w:right="1440" w:bottom="1440" w:gutter="0" w:footer="0" w:header="0"/>
        </w:sectPr>
      </w:pPr>
    </w:p>
    <w:bookmarkStart w:id="21" w:name="page22"/>
    <w:bookmarkEnd w:id="21"/>
    <w:p>
      <w:pPr>
        <w:ind w:left="220" w:right="31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taxes. Subject to the PFIC rules described below, the amount of the dividend will be treated as foreign-source dividend income to U.S. Holders and will generally not be eligible for the dividends-received deduction generally available to U.S. corporations under the Code.</w:t>
      </w:r>
    </w:p>
    <w:p>
      <w:pPr>
        <w:spacing w:after="0" w:line="126" w:lineRule="exact"/>
        <w:rPr>
          <w:sz w:val="20"/>
          <w:szCs w:val="20"/>
          <w:color w:val="auto"/>
        </w:rPr>
      </w:pPr>
    </w:p>
    <w:p>
      <w:pPr>
        <w:ind w:left="220" w:right="419" w:firstLine="343"/>
        <w:spacing w:after="0" w:line="258" w:lineRule="auto"/>
        <w:rPr>
          <w:sz w:val="20"/>
          <w:szCs w:val="20"/>
          <w:color w:val="auto"/>
        </w:rPr>
      </w:pPr>
      <w:r>
        <w:rPr>
          <w:rFonts w:ascii="Times New Roman" w:cs="Times New Roman" w:eastAsia="Times New Roman" w:hAnsi="Times New Roman"/>
          <w:sz w:val="14"/>
          <w:szCs w:val="14"/>
          <w:color w:val="auto"/>
        </w:rPr>
        <w:t>Subject to the PFIC rules described below, dividends will be included in a U.S. Holder’s income on the date of the U.S. Holder’s receipt of the dividend. The amount of any dividend income paid in euro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43"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Sale or Other Disposition of Ordinary Shares</w:t>
      </w:r>
    </w:p>
    <w:p>
      <w:pPr>
        <w:spacing w:after="0" w:line="93"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U.S. holders who hold different blocks of ordinary shares (ordinary shares purchased or acquired on different dates or at different prices) should consult their tax advisors to determine how the above rules apply to them. This gain or loss will generally be U.S.-source gain or loss for foreign tax credit purposes. The deductibility of capital losses is subject to various limitations.</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Rules</w:t>
      </w:r>
    </w:p>
    <w:p>
      <w:pPr>
        <w:spacing w:after="0" w:line="93"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2024 and we do not expect to be a PFIC in 2025 or in the foreseeable future. In addition, we may, directly or indirectly, hold equity interests in other PFICs, or lower-tier PFICs. Whether we or any of our subsidiaries will be a PFIC in 2025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2025 or 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40" w:right="1440" w:bottom="1440" w:gutter="0" w:footer="0" w:header="0"/>
        </w:sectPr>
      </w:pPr>
    </w:p>
    <w:bookmarkStart w:id="22" w:name="page23"/>
    <w:bookmarkEnd w:id="22"/>
    <w:p>
      <w:pPr>
        <w:ind w:left="220" w:right="3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40" w:lineRule="exact"/>
        <w:rPr>
          <w:sz w:val="20"/>
          <w:szCs w:val="20"/>
          <w:color w:val="auto"/>
        </w:rPr>
      </w:pPr>
    </w:p>
    <w:p>
      <w:pPr>
        <w:ind w:left="220" w:right="399" w:firstLine="343"/>
        <w:spacing w:after="0" w:line="261" w:lineRule="auto"/>
        <w:rPr>
          <w:sz w:val="20"/>
          <w:szCs w:val="20"/>
          <w:color w:val="auto"/>
        </w:rPr>
      </w:pPr>
      <w:r>
        <w:rPr>
          <w:rFonts w:ascii="Times New Roman" w:cs="Times New Roman" w:eastAsia="Times New Roman" w:hAnsi="Times New Roman"/>
          <w:sz w:val="14"/>
          <w:szCs w:val="14"/>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40"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47"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45" w:lineRule="exact"/>
        <w:rPr>
          <w:sz w:val="20"/>
          <w:szCs w:val="20"/>
          <w:color w:val="auto"/>
        </w:rPr>
      </w:pPr>
    </w:p>
    <w:p>
      <w:pPr>
        <w:ind w:left="220" w:right="339" w:firstLine="343"/>
        <w:spacing w:after="0" w:line="257" w:lineRule="auto"/>
        <w:rPr>
          <w:sz w:val="20"/>
          <w:szCs w:val="20"/>
          <w:color w:val="auto"/>
        </w:rPr>
      </w:pPr>
      <w:r>
        <w:rPr>
          <w:rFonts w:ascii="Times New Roman" w:cs="Times New Roman" w:eastAsia="Times New Roman" w:hAnsi="Times New Roman"/>
          <w:sz w:val="14"/>
          <w:szCs w:val="14"/>
          <w:color w:val="auto"/>
        </w:rPr>
        <w:t>In addition, in order to avoid the application of the foregoing rules, a U.S.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40" w:right="1440" w:bottom="1440" w:gutter="0" w:footer="0" w:header="0"/>
        </w:sectPr>
      </w:pPr>
    </w:p>
    <w:bookmarkStart w:id="23" w:name="page24"/>
    <w:bookmarkEnd w:id="23"/>
    <w:p>
      <w:pPr>
        <w:ind w:left="22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charge. If a U.S. person makes a QEF Election with respect to a PFIC, the U.S.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46" w:lineRule="exact"/>
        <w:rPr>
          <w:sz w:val="20"/>
          <w:szCs w:val="20"/>
          <w:color w:val="auto"/>
        </w:rPr>
      </w:pPr>
    </w:p>
    <w:p>
      <w:pPr>
        <w:jc w:val="both"/>
        <w:ind w:left="220" w:right="279" w:firstLine="343"/>
        <w:spacing w:after="0" w:line="266" w:lineRule="auto"/>
        <w:rPr>
          <w:sz w:val="20"/>
          <w:szCs w:val="20"/>
          <w:color w:val="auto"/>
        </w:rPr>
      </w:pPr>
      <w:r>
        <w:rPr>
          <w:rFonts w:ascii="Times New Roman" w:cs="Times New Roman" w:eastAsia="Times New Roman" w:hAnsi="Times New Roman"/>
          <w:sz w:val="14"/>
          <w:szCs w:val="14"/>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37" w:lineRule="exact"/>
        <w:rPr>
          <w:sz w:val="20"/>
          <w:szCs w:val="20"/>
          <w:color w:val="auto"/>
        </w:rPr>
      </w:pPr>
    </w:p>
    <w:p>
      <w:pPr>
        <w:ind w:left="220" w:right="259" w:firstLine="343"/>
        <w:spacing w:after="0" w:line="266" w:lineRule="auto"/>
        <w:rPr>
          <w:sz w:val="20"/>
          <w:szCs w:val="20"/>
          <w:color w:val="auto"/>
        </w:rPr>
      </w:pPr>
      <w:r>
        <w:rPr>
          <w:rFonts w:ascii="Times New Roman" w:cs="Times New Roman" w:eastAsia="Times New Roman" w:hAnsi="Times New Roman"/>
          <w:sz w:val="14"/>
          <w:szCs w:val="14"/>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37"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With respect to Foreign Financial Assets</w:t>
      </w:r>
    </w:p>
    <w:p>
      <w:pPr>
        <w:spacing w:after="0" w:line="93"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spacing w:after="0" w:line="1" w:lineRule="exact"/>
        <w:rPr>
          <w:sz w:val="20"/>
          <w:szCs w:val="20"/>
          <w:color w:val="auto"/>
        </w:rPr>
      </w:pPr>
    </w:p>
    <w:p>
      <w:pPr>
        <w:ind w:left="220" w:right="519" w:hanging="1"/>
        <w:spacing w:after="0" w:line="261" w:lineRule="auto"/>
        <w:tabs>
          <w:tab w:leader="none" w:pos="42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backup withholding, the U.S. Holder provides a correct taxpayer identification number and certifies that it is not subject to backup withholding.</w:t>
      </w:r>
    </w:p>
    <w:p>
      <w:pPr>
        <w:spacing w:after="0" w:line="139" w:lineRule="exact"/>
        <w:rPr>
          <w:sz w:val="20"/>
          <w:szCs w:val="20"/>
          <w:color w:val="auto"/>
        </w:rPr>
      </w:pPr>
    </w:p>
    <w:p>
      <w:pPr>
        <w:ind w:left="220" w:right="279" w:firstLine="343"/>
        <w:spacing w:after="0" w:line="282" w:lineRule="auto"/>
        <w:rPr>
          <w:sz w:val="20"/>
          <w:szCs w:val="20"/>
          <w:color w:val="auto"/>
        </w:rPr>
      </w:pPr>
      <w:r>
        <w:rPr>
          <w:rFonts w:ascii="Times New Roman" w:cs="Times New Roman" w:eastAsia="Times New Roman" w:hAnsi="Times New Roman"/>
          <w:sz w:val="14"/>
          <w:szCs w:val="14"/>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3"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40" w:right="1440" w:bottom="1440" w:gutter="0" w:footer="0" w:header="0"/>
        </w:sectPr>
      </w:pPr>
    </w:p>
    <w:bookmarkStart w:id="24" w:name="page25"/>
    <w:bookmarkEnd w:id="24"/>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Material Dutch Tax Considerations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Scope of Discussion</w:t>
      </w:r>
    </w:p>
    <w:p>
      <w:pPr>
        <w:spacing w:after="0" w:line="93"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This section only outlines certain material Dutch tax consequences of the acquisition, holding and disposal of our ordinary shares and the acquisition, holding, exercise and disposal of our pre-funded warrants. This section does not purport to describe all possible tax considerations or consequences that may be relevant to a holder or prospective holder of our ordinary shares or pre-funded warrants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4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40" w:lineRule="exact"/>
        <w:rPr>
          <w:sz w:val="20"/>
          <w:szCs w:val="20"/>
          <w:color w:val="auto"/>
        </w:rPr>
      </w:pPr>
    </w:p>
    <w:p>
      <w:pPr>
        <w:ind w:left="220" w:right="319" w:firstLine="343"/>
        <w:spacing w:after="0" w:line="255" w:lineRule="auto"/>
        <w:rPr>
          <w:sz w:val="20"/>
          <w:szCs w:val="20"/>
          <w:color w:val="auto"/>
        </w:rPr>
      </w:pPr>
      <w:r>
        <w:rPr>
          <w:rFonts w:ascii="Times New Roman" w:cs="Times New Roman" w:eastAsia="Times New Roman" w:hAnsi="Times New Roman"/>
          <w:sz w:val="14"/>
          <w:szCs w:val="14"/>
          <w:color w:val="auto"/>
        </w:rPr>
        <w:t>THIS SECTION IS INTENDED AS GENERAL INFORMATION ONLY AND IS NOT DUTCH TAX ADVICE OR A COMPLETE DESCRIPTION OF ALL DUTCH TAX CONSEQUENCES RELATING TO THE ACQUISITION, HOLDING AND DISPOSAL OF OUR ORDINARY SHARES AND THE ACQUISITION, HOLDING, EXERCISE AND DISPOSAL OF OUR PRE-FUNDED WARRANTS. HOLDERS OR PROSPECTIVE HOLDERS OF OUR ORDINARY SHARES OR PRE-FUNDED WARRANTS SHOULD CONSULT THEIR OWN TAX ADVISERS REGARDING THE DUTCH TAX CONSEQUENCES RELATING TO THE ACQUISITION, HOLDING AND DISPOSAL OF THE ORDINARY SHARES AND THE ACQUISITION, HOLDING, EXERCISE AND DISPOSAL OF OUR PRE-FUNDED WARRANTS IN LIGHT OF THEIR PARTICULAR CIRCUMSTANCES.</w:t>
      </w:r>
    </w:p>
    <w:p>
      <w:pPr>
        <w:spacing w:after="0" w:line="145" w:lineRule="exact"/>
        <w:rPr>
          <w:sz w:val="20"/>
          <w:szCs w:val="20"/>
          <w:color w:val="auto"/>
        </w:rPr>
      </w:pPr>
    </w:p>
    <w:p>
      <w:pPr>
        <w:ind w:left="220" w:right="319" w:firstLine="343"/>
        <w:spacing w:after="0" w:line="268" w:lineRule="auto"/>
        <w:rPr>
          <w:sz w:val="20"/>
          <w:szCs w:val="20"/>
          <w:color w:val="auto"/>
        </w:rPr>
      </w:pPr>
      <w:r>
        <w:rPr>
          <w:rFonts w:ascii="Times New Roman" w:cs="Times New Roman" w:eastAsia="Times New Roman" w:hAnsi="Times New Roman"/>
          <w:sz w:val="14"/>
          <w:szCs w:val="14"/>
          <w:color w:val="auto"/>
        </w:rPr>
        <w:t>This section does not describe any Dutch tax considerations or consequences arising from the Dutch Minimum Tax Act 2024 (</w:t>
      </w:r>
      <w:r>
        <w:rPr>
          <w:rFonts w:ascii="Times New Roman" w:cs="Times New Roman" w:eastAsia="Times New Roman" w:hAnsi="Times New Roman"/>
          <w:sz w:val="14"/>
          <w:szCs w:val="14"/>
          <w:i w:val="1"/>
          <w:iCs w:val="1"/>
          <w:color w:val="auto"/>
        </w:rPr>
        <w:t>Wet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minimumbelasting 2024</w:t>
      </w:r>
      <w:r>
        <w:rPr>
          <w:rFonts w:ascii="Times New Roman" w:cs="Times New Roman" w:eastAsia="Times New Roman" w:hAnsi="Times New Roman"/>
          <w:sz w:val="14"/>
          <w:szCs w:val="14"/>
          <w:color w:val="auto"/>
        </w:rPr>
        <w:t>; the Dutch implementation of Directive (EU) 2022/2523 of 14 December 2022 on ensuring a global minimum level of taxation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multinational enterprise groups and large-scale domestic groups in the European Union) which may be relevant for a particular holder.</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Please note that this section does not describe the Dutch tax consequences for:</w:t>
      </w:r>
    </w:p>
    <w:p>
      <w:pPr>
        <w:spacing w:after="0" w:line="100" w:lineRule="exact"/>
        <w:rPr>
          <w:sz w:val="20"/>
          <w:szCs w:val="20"/>
          <w:color w:val="auto"/>
        </w:rPr>
      </w:pPr>
    </w:p>
    <w:p>
      <w:pPr>
        <w:ind w:left="980" w:right="259" w:hanging="425"/>
        <w:spacing w:after="0" w:line="254"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or pre-funded warrants if such holder has a substantial interest (</w:t>
      </w:r>
      <w:r>
        <w:rPr>
          <w:rFonts w:ascii="Times New Roman" w:cs="Times New Roman" w:eastAsia="Times New Roman" w:hAnsi="Times New Roman"/>
          <w:sz w:val="14"/>
          <w:szCs w:val="14"/>
          <w:i w:val="1"/>
          <w:iCs w:val="1"/>
          <w:color w:val="auto"/>
        </w:rPr>
        <w:t>aanmerkelijk belang</w:t>
      </w:r>
      <w:r>
        <w:rPr>
          <w:rFonts w:ascii="Times New Roman" w:cs="Times New Roman" w:eastAsia="Times New Roman" w:hAnsi="Times New Roman"/>
          <w:sz w:val="14"/>
          <w:szCs w:val="14"/>
          <w:color w:val="auto"/>
        </w:rPr>
        <w:t>) or deemed substantial interest (</w:t>
      </w:r>
      <w:r>
        <w:rPr>
          <w:rFonts w:ascii="Times New Roman" w:cs="Times New Roman" w:eastAsia="Times New Roman" w:hAnsi="Times New Roman"/>
          <w:sz w:val="14"/>
          <w:szCs w:val="14"/>
          <w:i w:val="1"/>
          <w:iCs w:val="1"/>
          <w:color w:val="auto"/>
        </w:rPr>
        <w:t>fictief aanmerkelijk belang</w:t>
      </w:r>
      <w:r>
        <w:rPr>
          <w:rFonts w:ascii="Times New Roman" w:cs="Times New Roman" w:eastAsia="Times New Roman" w:hAnsi="Times New Roman"/>
          <w:sz w:val="14"/>
          <w:szCs w:val="14"/>
          <w:color w:val="auto"/>
        </w:rPr>
        <w:t>) in us under the Dutch Income Tax Act 2001 (</w:t>
      </w:r>
      <w:r>
        <w:rPr>
          <w:rFonts w:ascii="Times New Roman" w:cs="Times New Roman" w:eastAsia="Times New Roman" w:hAnsi="Times New Roman"/>
          <w:sz w:val="14"/>
          <w:szCs w:val="14"/>
          <w:i w:val="1"/>
          <w:iCs w:val="1"/>
          <w:color w:val="auto"/>
        </w:rPr>
        <w:t>Wet inkomstenbelasting 2001</w:t>
      </w:r>
      <w:r>
        <w:rPr>
          <w:rFonts w:ascii="Times New Roman" w:cs="Times New Roman" w:eastAsia="Times New Roman" w:hAnsi="Times New Roman"/>
          <w:sz w:val="14"/>
          <w:szCs w:val="14"/>
          <w:color w:val="auto"/>
        </w:rPr>
        <w:t>). Generally, a holder of securities in a 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including pre-funded warrants,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75" w:lineRule="exact"/>
        <w:rPr>
          <w:rFonts w:ascii="Times New Roman" w:cs="Times New Roman" w:eastAsia="Times New Roman" w:hAnsi="Times New Roman"/>
          <w:sz w:val="14"/>
          <w:szCs w:val="14"/>
          <w:color w:val="auto"/>
        </w:rPr>
      </w:pPr>
    </w:p>
    <w:p>
      <w:pPr>
        <w:ind w:left="980" w:right="419" w:hanging="425"/>
        <w:spacing w:after="0" w:line="261"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or pre-funded warrants, if the ordinary shares or pre-funded warrants held by such holder qualify or qualified as a participation (</w:t>
      </w:r>
      <w:r>
        <w:rPr>
          <w:rFonts w:ascii="Times New Roman" w:cs="Times New Roman" w:eastAsia="Times New Roman" w:hAnsi="Times New Roman"/>
          <w:sz w:val="14"/>
          <w:szCs w:val="14"/>
          <w:i w:val="1"/>
          <w:iCs w:val="1"/>
          <w:color w:val="auto"/>
        </w:rPr>
        <w:t>deelneming</w:t>
      </w:r>
      <w:r>
        <w:rPr>
          <w:rFonts w:ascii="Times New Roman" w:cs="Times New Roman" w:eastAsia="Times New Roman" w:hAnsi="Times New Roman"/>
          <w:sz w:val="14"/>
          <w:szCs w:val="14"/>
          <w:color w:val="auto"/>
        </w:rPr>
        <w:t>) for purposes of the Dutch Corporate Income Tax Act 1969 (</w:t>
      </w:r>
      <w:r>
        <w:rPr>
          <w:rFonts w:ascii="Times New Roman" w:cs="Times New Roman" w:eastAsia="Times New Roman" w:hAnsi="Times New Roman"/>
          <w:sz w:val="14"/>
          <w:szCs w:val="14"/>
          <w:i w:val="1"/>
          <w:iCs w:val="1"/>
          <w:color w:val="auto"/>
        </w:rPr>
        <w:t>Wet op de vennootschapsbelasting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1969</w:t>
      </w:r>
      <w:r>
        <w:rPr>
          <w:rFonts w:ascii="Times New Roman" w:cs="Times New Roman" w:eastAsia="Times New Roman" w:hAnsi="Times New Roman"/>
          <w:sz w:val="14"/>
          <w:szCs w:val="14"/>
          <w:color w:val="auto"/>
        </w:rPr>
        <w:t>). Generally, a holder’s shareholding of, or right to acquire, 5% or more in a company’s nominal paid-up share capital qualifies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participation. A holder may also have a participation if such holder does not have a shareholding of</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38" w:right="1440" w:bottom="1440" w:gutter="0" w:footer="0" w:header="0"/>
        </w:sectPr>
      </w:pPr>
    </w:p>
    <w:bookmarkStart w:id="25" w:name="page26"/>
    <w:bookmarkEnd w:id="25"/>
    <w:p>
      <w:pPr>
        <w:ind w:left="980" w:right="51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5% or more but a related entity (statutorily defined term) has a participation or if the company in which the shares are held is a related entity (statutorily defined term);</w:t>
      </w:r>
    </w:p>
    <w:p>
      <w:pPr>
        <w:spacing w:after="0" w:line="52" w:lineRule="exact"/>
        <w:rPr>
          <w:sz w:val="20"/>
          <w:szCs w:val="20"/>
          <w:color w:val="auto"/>
        </w:rPr>
      </w:pPr>
    </w:p>
    <w:p>
      <w:pPr>
        <w:ind w:left="980" w:hanging="425"/>
        <w:spacing w:after="0"/>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which is or who is entitled to or required to apply the dividend withholding tax exemption</w:t>
      </w:r>
    </w:p>
    <w:p>
      <w:pPr>
        <w:spacing w:after="0" w:line="21" w:lineRule="exact"/>
        <w:rPr>
          <w:rFonts w:ascii="Times New Roman" w:cs="Times New Roman" w:eastAsia="Times New Roman" w:hAnsi="Times New Roman"/>
          <w:sz w:val="14"/>
          <w:szCs w:val="14"/>
          <w:color w:val="auto"/>
        </w:rPr>
      </w:pPr>
    </w:p>
    <w:p>
      <w:pPr>
        <w:ind w:left="980" w:right="25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inhoudingsvrijstelling</w:t>
      </w:r>
      <w:r>
        <w:rPr>
          <w:rFonts w:ascii="Times New Roman" w:cs="Times New Roman" w:eastAsia="Times New Roman" w:hAnsi="Times New Roman"/>
          <w:sz w:val="14"/>
          <w:szCs w:val="14"/>
          <w:color w:val="auto"/>
        </w:rPr>
        <w:t>) with respect to any income (</w:t>
      </w:r>
      <w:r>
        <w:rPr>
          <w:rFonts w:ascii="Times New Roman" w:cs="Times New Roman" w:eastAsia="Times New Roman" w:hAnsi="Times New Roman"/>
          <w:sz w:val="14"/>
          <w:szCs w:val="14"/>
          <w:i w:val="1"/>
          <w:iCs w:val="1"/>
          <w:color w:val="auto"/>
        </w:rPr>
        <w:t>opbrengst</w:t>
      </w:r>
      <w:r>
        <w:rPr>
          <w:rFonts w:ascii="Times New Roman" w:cs="Times New Roman" w:eastAsia="Times New Roman" w:hAnsi="Times New Roman"/>
          <w:sz w:val="14"/>
          <w:szCs w:val="14"/>
          <w:color w:val="auto"/>
        </w:rPr>
        <w:t>) derived from the ordinary shares (as defined in Article 4 of the Dutch Dividend Withholding Tax Act 1965 (</w:t>
      </w:r>
      <w:r>
        <w:rPr>
          <w:rFonts w:ascii="Times New Roman" w:cs="Times New Roman" w:eastAsia="Times New Roman" w:hAnsi="Times New Roman"/>
          <w:sz w:val="14"/>
          <w:szCs w:val="14"/>
          <w:i w:val="1"/>
          <w:iCs w:val="1"/>
          <w:color w:val="auto"/>
        </w:rPr>
        <w:t>Wet op de dividendbelasting</w:t>
      </w:r>
      <w:r>
        <w:rPr>
          <w:rFonts w:ascii="Times New Roman" w:cs="Times New Roman" w:eastAsia="Times New Roman" w:hAnsi="Times New Roman"/>
          <w:sz w:val="14"/>
          <w:szCs w:val="14"/>
          <w:color w:val="auto"/>
        </w:rPr>
        <w:t>). Generally, a holder of our ordinary shares may be entitled or required to apply, subject to certain other requirements, the dividend withholding tax exemption if it is an entity and holds an interest of 5% or more in our nominal paid-up share capital;</w:t>
      </w:r>
    </w:p>
    <w:p>
      <w:pPr>
        <w:spacing w:after="0" w:line="68" w:lineRule="exact"/>
        <w:rPr>
          <w:rFonts w:ascii="Times New Roman" w:cs="Times New Roman" w:eastAsia="Times New Roman" w:hAnsi="Times New Roman"/>
          <w:sz w:val="14"/>
          <w:szCs w:val="14"/>
          <w:color w:val="auto"/>
        </w:rPr>
      </w:pPr>
    </w:p>
    <w:p>
      <w:pPr>
        <w:ind w:left="980" w:right="239" w:hanging="425"/>
        <w:spacing w:after="0" w:line="257" w:lineRule="auto"/>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funds, investment institutions (</w:t>
      </w:r>
      <w:r>
        <w:rPr>
          <w:rFonts w:ascii="Times New Roman" w:cs="Times New Roman" w:eastAsia="Times New Roman" w:hAnsi="Times New Roman"/>
          <w:sz w:val="14"/>
          <w:szCs w:val="14"/>
          <w:i w:val="1"/>
          <w:iCs w:val="1"/>
          <w:color w:val="auto"/>
        </w:rPr>
        <w:t>fiscale beleggingsinstellingen</w:t>
      </w:r>
      <w:r>
        <w:rPr>
          <w:rFonts w:ascii="Times New Roman" w:cs="Times New Roman" w:eastAsia="Times New Roman" w:hAnsi="Times New Roman"/>
          <w:sz w:val="14"/>
          <w:szCs w:val="14"/>
          <w:color w:val="auto"/>
        </w:rPr>
        <w:t>), tax exempt investment institutions (</w:t>
      </w:r>
      <w:r>
        <w:rPr>
          <w:rFonts w:ascii="Times New Roman" w:cs="Times New Roman" w:eastAsia="Times New Roman" w:hAnsi="Times New Roman"/>
          <w:sz w:val="14"/>
          <w:szCs w:val="14"/>
          <w:i w:val="1"/>
          <w:iCs w:val="1"/>
          <w:color w:val="auto"/>
        </w:rPr>
        <w:t>vrijgestelde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beleggingsinstellingen</w:t>
      </w:r>
      <w:r>
        <w:rPr>
          <w:rFonts w:ascii="Times New Roman" w:cs="Times New Roman" w:eastAsia="Times New Roman" w:hAnsi="Times New Roman"/>
          <w:sz w:val="14"/>
          <w:szCs w:val="14"/>
          <w:color w:val="auto"/>
        </w:rPr>
        <w:t>) (each as defined in the Dutch Corporate Income Tax Act 1969) and other entities that are, in whole or in part,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70" w:lineRule="exact"/>
        <w:rPr>
          <w:rFonts w:ascii="Times New Roman" w:cs="Times New Roman" w:eastAsia="Times New Roman" w:hAnsi="Times New Roman"/>
          <w:sz w:val="14"/>
          <w:szCs w:val="14"/>
          <w:color w:val="auto"/>
        </w:rPr>
      </w:pPr>
    </w:p>
    <w:p>
      <w:pPr>
        <w:ind w:left="980" w:right="239" w:hanging="425"/>
        <w:spacing w:after="0" w:line="296" w:lineRule="auto"/>
        <w:tabs>
          <w:tab w:leader="none" w:pos="9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holder of our ordinary shares or pre-funded warrants if such holder is an individual for whom the ordinary shares or pre-funded warrants or any benefit derived from the ordinary shares or pre-funded warrants is a remuneration or deemed to be a remuneration for (employment) activities performed by such holder or certain individuals related to such holders (as defined in the Dutch Income Tax Act 2001); and</w:t>
      </w:r>
    </w:p>
    <w:p>
      <w:pPr>
        <w:spacing w:after="0" w:line="45" w:lineRule="exact"/>
        <w:rPr>
          <w:rFonts w:ascii="Times New Roman" w:cs="Times New Roman" w:eastAsia="Times New Roman" w:hAnsi="Times New Roman"/>
          <w:sz w:val="13"/>
          <w:szCs w:val="13"/>
          <w:color w:val="auto"/>
        </w:rPr>
      </w:pPr>
    </w:p>
    <w:p>
      <w:pPr>
        <w:ind w:left="980" w:hanging="425"/>
        <w:spacing w:after="0"/>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outstanding options or restricted stock units.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Withholding Tax on Dividends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Regular Dutch Dividend Withholding Tax</w:t>
      </w:r>
    </w:p>
    <w:p>
      <w:pPr>
        <w:spacing w:after="0" w:line="93" w:lineRule="exact"/>
        <w:rPr>
          <w:sz w:val="20"/>
          <w:szCs w:val="20"/>
          <w:color w:val="auto"/>
        </w:rPr>
      </w:pPr>
    </w:p>
    <w:p>
      <w:pPr>
        <w:ind w:left="220" w:right="579" w:firstLine="343"/>
        <w:spacing w:after="0" w:line="323" w:lineRule="auto"/>
        <w:rPr>
          <w:sz w:val="20"/>
          <w:szCs w:val="20"/>
          <w:color w:val="auto"/>
        </w:rPr>
      </w:pPr>
      <w:r>
        <w:rPr>
          <w:rFonts w:ascii="Times New Roman" w:cs="Times New Roman" w:eastAsia="Times New Roman" w:hAnsi="Times New Roman"/>
          <w:sz w:val="13"/>
          <w:szCs w:val="13"/>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expression “dividends distributed” includes, among other things:</w:t>
      </w:r>
    </w:p>
    <w:p>
      <w:pPr>
        <w:spacing w:after="0" w:line="102" w:lineRule="exact"/>
        <w:rPr>
          <w:sz w:val="20"/>
          <w:szCs w:val="20"/>
          <w:color w:val="auto"/>
        </w:rPr>
      </w:pPr>
    </w:p>
    <w:p>
      <w:pPr>
        <w:ind w:left="980" w:right="279" w:hanging="341"/>
        <w:spacing w:after="0" w:line="282" w:lineRule="auto"/>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in cash or in kind, deemed and constructive distributions and repayments of paid-in capital not recognized for Dutch dividend withholding tax purposes;</w:t>
      </w:r>
    </w:p>
    <w:p>
      <w:pPr>
        <w:spacing w:after="0" w:line="52" w:lineRule="exact"/>
        <w:rPr>
          <w:rFonts w:ascii="Times New Roman" w:cs="Times New Roman" w:eastAsia="Times New Roman" w:hAnsi="Times New Roman"/>
          <w:sz w:val="14"/>
          <w:szCs w:val="14"/>
          <w:color w:val="auto"/>
        </w:rPr>
      </w:pPr>
    </w:p>
    <w:p>
      <w:pPr>
        <w:ind w:left="980" w:right="379" w:hanging="341"/>
        <w:spacing w:after="0" w:line="296" w:lineRule="auto"/>
        <w:tabs>
          <w:tab w:leader="none" w:pos="9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liquidation proceeds, proceeds of redemption of our ordinary shares, or proceeds of the repurchase of ordinary shares (other than as temporary portfolio investment; </w:t>
      </w:r>
      <w:r>
        <w:rPr>
          <w:rFonts w:ascii="Times New Roman" w:cs="Times New Roman" w:eastAsia="Times New Roman" w:hAnsi="Times New Roman"/>
          <w:sz w:val="13"/>
          <w:szCs w:val="13"/>
          <w:i w:val="1"/>
          <w:iCs w:val="1"/>
          <w:color w:val="auto"/>
        </w:rPr>
        <w:t>tijdelijke belegging</w:t>
      </w:r>
      <w:r>
        <w:rPr>
          <w:rFonts w:ascii="Times New Roman" w:cs="Times New Roman" w:eastAsia="Times New Roman" w:hAnsi="Times New Roman"/>
          <w:sz w:val="13"/>
          <w:szCs w:val="13"/>
          <w:color w:val="auto"/>
        </w:rPr>
        <w:t>) by us or one of our subsidiaries or other affiliated entities, in each case to the extent such proceeds exceed the average paid-in capital of those ordinary shares as recognized for Dutch dividend withholding tax purposes;</w:t>
      </w:r>
    </w:p>
    <w:p>
      <w:pPr>
        <w:spacing w:after="0" w:line="45" w:lineRule="exact"/>
        <w:rPr>
          <w:rFonts w:ascii="Times New Roman" w:cs="Times New Roman" w:eastAsia="Times New Roman" w:hAnsi="Times New Roman"/>
          <w:sz w:val="13"/>
          <w:szCs w:val="13"/>
          <w:color w:val="auto"/>
        </w:rPr>
      </w:pPr>
    </w:p>
    <w:p>
      <w:pPr>
        <w:ind w:left="980" w:right="619" w:hanging="341"/>
        <w:spacing w:after="0" w:line="282" w:lineRule="auto"/>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par value of our ordinary shares issued or an increase of the par value of ordinary shares, to the extent that no related contribution, recognized for Dutch dividend withholding tax purposes, has been made or will be made; and</w:t>
      </w:r>
    </w:p>
    <w:p>
      <w:pPr>
        <w:spacing w:after="0" w:line="52" w:lineRule="exact"/>
        <w:rPr>
          <w:rFonts w:ascii="Times New Roman" w:cs="Times New Roman" w:eastAsia="Times New Roman" w:hAnsi="Times New Roman"/>
          <w:sz w:val="14"/>
          <w:szCs w:val="14"/>
          <w:color w:val="auto"/>
        </w:rPr>
      </w:pPr>
    </w:p>
    <w:p>
      <w:pPr>
        <w:ind w:left="980" w:right="259" w:hanging="341"/>
        <w:spacing w:after="0" w:line="261" w:lineRule="auto"/>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4"/>
          <w:szCs w:val="14"/>
          <w:i w:val="1"/>
          <w:iCs w:val="1"/>
          <w:color w:val="auto"/>
        </w:rPr>
        <w:t>zuivere winst</w:t>
      </w:r>
      <w:r>
        <w:rPr>
          <w:rFonts w:ascii="Times New Roman" w:cs="Times New Roman" w:eastAsia="Times New Roman" w:hAnsi="Times New Roman"/>
          <w:sz w:val="14"/>
          <w:szCs w:val="14"/>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40" w:lineRule="exact"/>
        <w:rPr>
          <w:sz w:val="20"/>
          <w:szCs w:val="20"/>
          <w:color w:val="auto"/>
        </w:rPr>
      </w:pPr>
    </w:p>
    <w:p>
      <w:pPr>
        <w:ind w:left="220" w:right="399" w:firstLine="343"/>
        <w:spacing w:after="0" w:line="282" w:lineRule="auto"/>
        <w:rPr>
          <w:sz w:val="20"/>
          <w:szCs w:val="20"/>
          <w:color w:val="auto"/>
        </w:rPr>
      </w:pPr>
      <w:r>
        <w:rPr>
          <w:rFonts w:ascii="Times New Roman" w:cs="Times New Roman" w:eastAsia="Times New Roman" w:hAnsi="Times New Roman"/>
          <w:sz w:val="14"/>
          <w:szCs w:val="14"/>
          <w:color w:val="auto"/>
        </w:rPr>
        <w:t>Corporate legal entities that are resident or deemed to be resident of the Netherlands for Dutch corporate income tax purposes (“Dutch Resident Entities”) generally are entitled to an exemption from, or a credit for, any</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40" w:right="1440" w:bottom="1440" w:gutter="0" w:footer="0" w:header="0"/>
        </w:sectPr>
      </w:pPr>
    </w:p>
    <w:bookmarkStart w:id="26" w:name="page27"/>
    <w:bookmarkEnd w:id="26"/>
    <w:p>
      <w:pPr>
        <w:ind w:left="22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42" w:lineRule="exact"/>
        <w:rPr>
          <w:sz w:val="20"/>
          <w:szCs w:val="20"/>
          <w:color w:val="auto"/>
        </w:rPr>
      </w:pPr>
    </w:p>
    <w:p>
      <w:pPr>
        <w:ind w:left="220" w:right="379" w:firstLine="343"/>
        <w:spacing w:after="0" w:line="266" w:lineRule="auto"/>
        <w:rPr>
          <w:sz w:val="20"/>
          <w:szCs w:val="20"/>
          <w:color w:val="auto"/>
        </w:rPr>
      </w:pPr>
      <w:r>
        <w:rPr>
          <w:rFonts w:ascii="Times New Roman" w:cs="Times New Roman" w:eastAsia="Times New Roman" w:hAnsi="Times New Roman"/>
          <w:sz w:val="14"/>
          <w:szCs w:val="14"/>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European Union law, or treaties for the avoidance of double taxation in effect between the Netherlands and such other country.</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Dividend stripping</w:t>
      </w:r>
    </w:p>
    <w:p>
      <w:pPr>
        <w:spacing w:after="0" w:line="93" w:lineRule="exact"/>
        <w:rPr>
          <w:sz w:val="20"/>
          <w:szCs w:val="20"/>
          <w:color w:val="auto"/>
        </w:rPr>
      </w:pPr>
    </w:p>
    <w:p>
      <w:pPr>
        <w:ind w:left="220" w:right="279" w:firstLine="343"/>
        <w:spacing w:after="0" w:line="253" w:lineRule="auto"/>
        <w:rPr>
          <w:sz w:val="20"/>
          <w:szCs w:val="20"/>
          <w:color w:val="auto"/>
        </w:rPr>
      </w:pPr>
      <w:r>
        <w:rPr>
          <w:rFonts w:ascii="Times New Roman" w:cs="Times New Roman" w:eastAsia="Times New Roman" w:hAnsi="Times New Roman"/>
          <w:sz w:val="14"/>
          <w:szCs w:val="14"/>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cs="Times New Roman" w:eastAsia="Times New Roman" w:hAnsi="Times New Roman"/>
          <w:sz w:val="14"/>
          <w:szCs w:val="14"/>
          <w:i w:val="1"/>
          <w:iCs w:val="1"/>
          <w:color w:val="auto"/>
        </w:rPr>
        <w:t>uiteindelijk gerechtigde</w:t>
      </w:r>
      <w:r>
        <w:rPr>
          <w:rFonts w:ascii="Times New Roman" w:cs="Times New Roman" w:eastAsia="Times New Roman" w:hAnsi="Times New Roman"/>
          <w:sz w:val="14"/>
          <w:szCs w:val="14"/>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us rests on the Dutch tax authorities. If, however, a shareholder would receive dividends, including dividends on our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our ordinary shares, it has been codified that the record date is used when determining the person who is entitled to the dividend.</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Pre-Funded Warrants</w:t>
      </w:r>
    </w:p>
    <w:p>
      <w:pPr>
        <w:spacing w:after="0" w:line="93" w:lineRule="exact"/>
        <w:rPr>
          <w:sz w:val="20"/>
          <w:szCs w:val="20"/>
          <w:color w:val="auto"/>
        </w:rPr>
      </w:pPr>
    </w:p>
    <w:p>
      <w:pPr>
        <w:ind w:left="220" w:right="379" w:firstLine="343"/>
        <w:spacing w:after="0" w:line="258" w:lineRule="auto"/>
        <w:rPr>
          <w:sz w:val="20"/>
          <w:szCs w:val="20"/>
          <w:color w:val="auto"/>
        </w:rPr>
      </w:pPr>
      <w:r>
        <w:rPr>
          <w:rFonts w:ascii="Times New Roman" w:cs="Times New Roman" w:eastAsia="Times New Roman" w:hAnsi="Times New Roman"/>
          <w:sz w:val="14"/>
          <w:szCs w:val="14"/>
          <w:color w:val="auto"/>
        </w:rPr>
        <w:t>The exercise of the pre-funded warrants does in our view not give rise to Dutch dividend withholding tax (or Dutch conditional dividend withholding tax as described below), except to the extent (i) the purchase price for the pre-funded warrant (consisting of the pre-funded purchase price and the exercise price) is below the par value of our ordinary shares (currently, the par value per ordinary share is €0.12 and the purchase price is the price per share at which ordinary shares are being sold to the public in this offering, minus $0.01) and (ii) such difference is not charged against our share premium reserve recognized for Dutch (conditional) dividend withholding tax purposes.</w:t>
      </w:r>
    </w:p>
    <w:p>
      <w:pPr>
        <w:spacing w:after="0" w:line="143" w:lineRule="exact"/>
        <w:rPr>
          <w:sz w:val="20"/>
          <w:szCs w:val="20"/>
          <w:color w:val="auto"/>
        </w:rPr>
      </w:pPr>
    </w:p>
    <w:p>
      <w:pPr>
        <w:jc w:val="both"/>
        <w:ind w:left="220" w:right="299" w:firstLine="343"/>
        <w:spacing w:after="0" w:line="282" w:lineRule="auto"/>
        <w:rPr>
          <w:sz w:val="20"/>
          <w:szCs w:val="20"/>
          <w:color w:val="auto"/>
        </w:rPr>
      </w:pPr>
      <w:r>
        <w:rPr>
          <w:rFonts w:ascii="Times New Roman" w:cs="Times New Roman" w:eastAsia="Times New Roman" w:hAnsi="Times New Roman"/>
          <w:sz w:val="14"/>
          <w:szCs w:val="14"/>
          <w:color w:val="auto"/>
        </w:rPr>
        <w:t>If any Dutch (conditional) dividend withholding tax due is not effectively withheld for the account of the relevant holder of a pre-funded warrant, Dutch (conditional) dividend withholding tax shall be due by us on a grossed-up basis.</w:t>
      </w:r>
    </w:p>
    <w:p>
      <w:pPr>
        <w:spacing w:after="0" w:line="126" w:lineRule="exact"/>
        <w:rPr>
          <w:sz w:val="20"/>
          <w:szCs w:val="20"/>
          <w:color w:val="auto"/>
        </w:rPr>
      </w:pPr>
    </w:p>
    <w:p>
      <w:pPr>
        <w:jc w:val="both"/>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In addition, it cannot be excluded that payments made in consideration for a repurchase or redemption of a pre-funded warrant or a full or partial cash settlement of the pre-funded warrants, if any, are in part subject to Dutch (conditional) dividend withholding tax. To date, no authoritative case law of the Dutch courts has been made publicly available in this respect.</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Exceptions and relief from Dutch dividend withholding tax may apply as set forth in the preceding paragraphs.</w:t>
      </w:r>
    </w:p>
    <w:p>
      <w:pPr>
        <w:spacing w:after="0" w:line="1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40" w:right="1440" w:bottom="1440" w:gutter="0" w:footer="0" w:header="0"/>
        </w:sectPr>
      </w:pPr>
    </w:p>
    <w:bookmarkStart w:id="27" w:name="page28"/>
    <w:bookmarkEnd w:id="27"/>
    <w:p>
      <w:pPr>
        <w:ind w:left="2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Conditional Withholding Tax on Dividends</w:t>
      </w:r>
    </w:p>
    <w:p>
      <w:pPr>
        <w:spacing w:after="0" w:line="93" w:lineRule="exact"/>
        <w:rPr>
          <w:sz w:val="20"/>
          <w:szCs w:val="20"/>
          <w:color w:val="auto"/>
        </w:rPr>
      </w:pPr>
    </w:p>
    <w:p>
      <w:pPr>
        <w:ind w:left="220" w:right="379" w:firstLine="343"/>
        <w:spacing w:after="0" w:line="282" w:lineRule="auto"/>
        <w:rPr>
          <w:sz w:val="20"/>
          <w:szCs w:val="20"/>
          <w:color w:val="auto"/>
        </w:rPr>
      </w:pPr>
      <w:r>
        <w:rPr>
          <w:rFonts w:ascii="Times New Roman" w:cs="Times New Roman" w:eastAsia="Times New Roman" w:hAnsi="Times New Roman"/>
          <w:sz w:val="14"/>
          <w:szCs w:val="14"/>
          <w:color w:val="auto"/>
        </w:rPr>
        <w:t>In addition to the regular Dutch dividend withholding tax as described above, a Dutch conditional withholding tax will be imposed on dividends distributed by us to a Related Entity (as defined below), if such Related Entity:</w:t>
      </w:r>
    </w:p>
    <w:p>
      <w:pPr>
        <w:spacing w:after="0" w:line="50" w:lineRule="exact"/>
        <w:rPr>
          <w:sz w:val="20"/>
          <w:szCs w:val="20"/>
          <w:color w:val="auto"/>
        </w:rPr>
      </w:pPr>
    </w:p>
    <w:p>
      <w:pPr>
        <w:ind w:left="980" w:right="599" w:hanging="425"/>
        <w:spacing w:after="0" w:line="268" w:lineRule="auto"/>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considered to be resident (</w:t>
      </w:r>
      <w:r>
        <w:rPr>
          <w:rFonts w:ascii="Times New Roman" w:cs="Times New Roman" w:eastAsia="Times New Roman" w:hAnsi="Times New Roman"/>
          <w:sz w:val="14"/>
          <w:szCs w:val="14"/>
          <w:i w:val="1"/>
          <w:iCs w:val="1"/>
          <w:color w:val="auto"/>
        </w:rPr>
        <w:t>gevestigd</w:t>
      </w:r>
      <w:r>
        <w:rPr>
          <w:rFonts w:ascii="Times New Roman" w:cs="Times New Roman" w:eastAsia="Times New Roman" w:hAnsi="Times New Roman"/>
          <w:sz w:val="14"/>
          <w:szCs w:val="14"/>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4"/>
          <w:szCs w:val="14"/>
          <w:i w:val="1"/>
          <w:iCs w:val="1"/>
          <w:color w:val="auto"/>
        </w:rPr>
        <w:t>Regeling laagbelastende staten en niet-coöperatieve rechtsgebieden voor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belastingdoeleinden</w:t>
      </w:r>
      <w:r>
        <w:rPr>
          <w:rFonts w:ascii="Times New Roman" w:cs="Times New Roman" w:eastAsia="Times New Roman" w:hAnsi="Times New Roman"/>
          <w:sz w:val="14"/>
          <w:szCs w:val="14"/>
          <w:color w:val="auto"/>
        </w:rPr>
        <w:t>) (a “Listed Jurisdiction”); or</w:t>
      </w:r>
    </w:p>
    <w:p>
      <w:pPr>
        <w:spacing w:after="0" w:line="61" w:lineRule="exact"/>
        <w:rPr>
          <w:rFonts w:ascii="Times New Roman" w:cs="Times New Roman" w:eastAsia="Times New Roman" w:hAnsi="Times New Roman"/>
          <w:sz w:val="14"/>
          <w:szCs w:val="14"/>
          <w:color w:val="auto"/>
        </w:rPr>
      </w:pPr>
    </w:p>
    <w:p>
      <w:pPr>
        <w:ind w:left="980" w:hanging="425"/>
        <w:spacing w:after="0"/>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 permanent establishment located in a Listed Jurisdiction to which the ordinary shares are attributable; or</w:t>
      </w:r>
    </w:p>
    <w:p>
      <w:pPr>
        <w:spacing w:after="0" w:line="101" w:lineRule="exact"/>
        <w:rPr>
          <w:rFonts w:ascii="Times New Roman" w:cs="Times New Roman" w:eastAsia="Times New Roman" w:hAnsi="Times New Roman"/>
          <w:sz w:val="14"/>
          <w:szCs w:val="14"/>
          <w:color w:val="auto"/>
        </w:rPr>
      </w:pPr>
    </w:p>
    <w:p>
      <w:pPr>
        <w:ind w:left="980" w:right="359" w:hanging="425"/>
        <w:spacing w:after="0" w:line="282" w:lineRule="auto"/>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52" w:lineRule="exact"/>
        <w:rPr>
          <w:rFonts w:ascii="Times New Roman" w:cs="Times New Roman" w:eastAsia="Times New Roman" w:hAnsi="Times New Roman"/>
          <w:sz w:val="14"/>
          <w:szCs w:val="14"/>
          <w:color w:val="auto"/>
        </w:rPr>
      </w:pPr>
    </w:p>
    <w:p>
      <w:pPr>
        <w:ind w:left="980" w:right="419" w:hanging="425"/>
        <w:spacing w:after="0" w:line="282" w:lineRule="auto"/>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considered to be the beneficial owner of the ordinary shares in its jurisdiction of residence because such jurisdiction treats another entity as the beneficial owner of the ordinary shares (a hybrid mismatch); or</w:t>
      </w:r>
    </w:p>
    <w:p>
      <w:pPr>
        <w:spacing w:after="0" w:line="52" w:lineRule="exact"/>
        <w:rPr>
          <w:rFonts w:ascii="Times New Roman" w:cs="Times New Roman" w:eastAsia="Times New Roman" w:hAnsi="Times New Roman"/>
          <w:sz w:val="14"/>
          <w:szCs w:val="14"/>
          <w:color w:val="auto"/>
        </w:rPr>
      </w:pPr>
    </w:p>
    <w:p>
      <w:pPr>
        <w:ind w:left="980" w:hanging="425"/>
        <w:spacing w:after="0"/>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resident in any jurisdiction (also a hybrid mismatch); or</w:t>
      </w:r>
    </w:p>
    <w:p>
      <w:pPr>
        <w:spacing w:after="0" w:line="101" w:lineRule="exact"/>
        <w:rPr>
          <w:rFonts w:ascii="Times New Roman" w:cs="Times New Roman" w:eastAsia="Times New Roman" w:hAnsi="Times New Roman"/>
          <w:sz w:val="14"/>
          <w:szCs w:val="14"/>
          <w:color w:val="auto"/>
        </w:rPr>
      </w:pPr>
    </w:p>
    <w:p>
      <w:pPr>
        <w:ind w:left="980" w:right="359" w:hanging="425"/>
        <w:spacing w:after="0" w:line="258" w:lineRule="auto"/>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reverse hybrid (within the meaning of Article 2(11) of the Dutch Corporate Income Tax Act 1969), if and to the extent (x) there is a participant in the reverse hybrid holding a Qualifying Interest in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 (</w:t>
      </w:r>
      <w:r>
        <w:rPr>
          <w:rFonts w:ascii="Times New Roman" w:cs="Times New Roman" w:eastAsia="Times New Roman" w:hAnsi="Times New Roman"/>
          <w:sz w:val="14"/>
          <w:szCs w:val="14"/>
          <w:i w:val="1"/>
          <w:iCs w:val="1"/>
          <w:color w:val="auto"/>
        </w:rPr>
        <w:t>Wet bronbelasting 2021</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of this section:</w:t>
      </w:r>
    </w:p>
    <w:p>
      <w:pPr>
        <w:spacing w:after="0" w:line="102" w:lineRule="exact"/>
        <w:rPr>
          <w:sz w:val="20"/>
          <w:szCs w:val="20"/>
          <w:color w:val="auto"/>
        </w:rPr>
      </w:pPr>
    </w:p>
    <w:p>
      <w:pPr>
        <w:ind w:left="980" w:right="339" w:hanging="341"/>
        <w:spacing w:after="0" w:line="282"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Entity” means an entity (i) that has a Qualifying Interest in us or (ii) in which a third party has a Qualifying Interest if such third party also has a Qualifying Interest in us.</w:t>
      </w:r>
    </w:p>
    <w:p>
      <w:pPr>
        <w:spacing w:after="0" w:line="52" w:lineRule="exact"/>
        <w:rPr>
          <w:rFonts w:ascii="Times New Roman" w:cs="Times New Roman" w:eastAsia="Times New Roman" w:hAnsi="Times New Roman"/>
          <w:sz w:val="14"/>
          <w:szCs w:val="14"/>
          <w:color w:val="auto"/>
        </w:rPr>
      </w:pPr>
    </w:p>
    <w:p>
      <w:pPr>
        <w:ind w:left="980" w:right="239" w:hanging="341"/>
        <w:spacing w:after="0" w:line="261"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Interest” means a direct or indirectly held interest—either by an entity individually or, if an entity is part of a Qualifying Unity, jointly—that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 w:cs="Times New Roman" w:eastAsia="Times New Roman" w:hAnsi="Times New Roman"/>
          <w:sz w:val="14"/>
          <w:szCs w:val="14"/>
          <w:i w:val="1"/>
          <w:iCs w:val="1"/>
          <w:color w:val="auto"/>
        </w:rPr>
        <w:t>vrijheid van vestiging</w:t>
      </w:r>
      <w:r>
        <w:rPr>
          <w:rFonts w:ascii="Times New Roman" w:cs="Times New Roman" w:eastAsia="Times New Roman" w:hAnsi="Times New Roman"/>
          <w:sz w:val="14"/>
          <w:szCs w:val="14"/>
          <w:color w:val="auto"/>
        </w:rPr>
        <w:t>)).</w:t>
      </w:r>
    </w:p>
    <w:p>
      <w:pPr>
        <w:spacing w:after="0" w:line="66" w:lineRule="exact"/>
        <w:rPr>
          <w:rFonts w:ascii="Times New Roman" w:cs="Times New Roman" w:eastAsia="Times New Roman" w:hAnsi="Times New Roman"/>
          <w:sz w:val="14"/>
          <w:szCs w:val="14"/>
          <w:color w:val="auto"/>
        </w:rPr>
      </w:pPr>
    </w:p>
    <w:p>
      <w:pPr>
        <w:ind w:left="980" w:right="659" w:hanging="341"/>
        <w:spacing w:after="0" w:line="282"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Unity” means entities acting together with the main purpose or one of the main purposes of avoiding Dutch conditional withholding tax at the level of any of those entities (</w:t>
      </w:r>
      <w:r>
        <w:rPr>
          <w:rFonts w:ascii="Times New Roman" w:cs="Times New Roman" w:eastAsia="Times New Roman" w:hAnsi="Times New Roman"/>
          <w:sz w:val="14"/>
          <w:szCs w:val="14"/>
          <w:i w:val="1"/>
          <w:iCs w:val="1"/>
          <w:color w:val="auto"/>
        </w:rPr>
        <w:t>kwalificerende eenheid</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220" w:right="399" w:firstLine="343"/>
        <w:spacing w:after="0" w:line="258" w:lineRule="auto"/>
        <w:rPr>
          <w:sz w:val="20"/>
          <w:szCs w:val="20"/>
          <w:color w:val="auto"/>
        </w:rPr>
      </w:pPr>
      <w:r>
        <w:rPr>
          <w:rFonts w:ascii="Times New Roman" w:cs="Times New Roman" w:eastAsia="Times New Roman" w:hAnsi="Times New Roman"/>
          <w:sz w:val="14"/>
          <w:szCs w:val="14"/>
          <w:color w:val="auto"/>
        </w:rPr>
        <w:t>The Dutch conditional withholding tax on dividends will be imposed at the highest Dutch corporate income tax rate in effect at the time of the distribution (2025: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(2025: 25.8%).</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8" w:right="1440" w:bottom="1440" w:gutter="0" w:footer="0" w:header="0"/>
        </w:sectPr>
      </w:pPr>
    </w:p>
    <w:bookmarkStart w:id="28" w:name="page29"/>
    <w:bookmarkEnd w:id="28"/>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Taxes on Income and Capital Gains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Dutch Resident Entities</w:t>
      </w:r>
    </w:p>
    <w:p>
      <w:pPr>
        <w:spacing w:after="0" w:line="93" w:lineRule="exact"/>
        <w:rPr>
          <w:sz w:val="20"/>
          <w:szCs w:val="20"/>
          <w:color w:val="auto"/>
        </w:rPr>
      </w:pPr>
    </w:p>
    <w:p>
      <w:pPr>
        <w:jc w:val="both"/>
        <w:ind w:left="220" w:right="399" w:firstLine="343"/>
        <w:spacing w:after="0" w:line="261" w:lineRule="auto"/>
        <w:rPr>
          <w:sz w:val="20"/>
          <w:szCs w:val="20"/>
          <w:color w:val="auto"/>
        </w:rPr>
      </w:pPr>
      <w:r>
        <w:rPr>
          <w:rFonts w:ascii="Times New Roman" w:cs="Times New Roman" w:eastAsia="Times New Roman" w:hAnsi="Times New Roman"/>
          <w:sz w:val="14"/>
          <w:szCs w:val="14"/>
          <w:color w:val="auto"/>
        </w:rPr>
        <w:t>Generally, if the holder of ordinary shares or pre-funded warrants is a Dutch Resident Entity, any income derived or deemed to be derived from the ordinary shares and pre-funded warrants or any capital gains realized on the disposal or exercise, as applicable, or deemed disposal of the ordinary shares or pre-funded warrants is subject to Dutch corporate income tax at a rate of 19% with respect to taxable profits up to €200,000 and 25.8% with respect to taxable profits in excess of that amount (rates and brackets for 2025).</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Dutch Resident Individuals</w:t>
      </w:r>
    </w:p>
    <w:p>
      <w:pPr>
        <w:spacing w:after="0" w:line="93" w:lineRule="exact"/>
        <w:rPr>
          <w:sz w:val="20"/>
          <w:szCs w:val="20"/>
          <w:color w:val="auto"/>
        </w:rPr>
      </w:pPr>
    </w:p>
    <w:p>
      <w:pPr>
        <w:jc w:val="both"/>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If the holder of our ordinary shares or pre-funded warrants is a Dutch Resident Individual, any income derived or deemed to be derived from the ordinary shares or pre-funded warrants or any capital gains realized on the disposal or deemed disposal or exercise, as applicable, of the ordinary shares or pre-funded warrants is subject to Dutch personal income tax at the progressive rates (with a maximum of 49.50% in 2025), if:</w:t>
      </w:r>
    </w:p>
    <w:p>
      <w:pPr>
        <w:spacing w:after="0" w:line="63" w:lineRule="exact"/>
        <w:rPr>
          <w:sz w:val="20"/>
          <w:szCs w:val="20"/>
          <w:color w:val="auto"/>
        </w:rPr>
      </w:pPr>
    </w:p>
    <w:p>
      <w:pPr>
        <w:ind w:left="980" w:right="239" w:hanging="425"/>
        <w:spacing w:after="0" w:line="266" w:lineRule="auto"/>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or pre-funded warrants are attributable to an enterprise from which the holder of ordinary shares or pre-funded warrants derives a share of the profit, whether as an entrepreneur (</w:t>
      </w:r>
      <w:r>
        <w:rPr>
          <w:rFonts w:ascii="Times New Roman" w:cs="Times New Roman" w:eastAsia="Times New Roman" w:hAnsi="Times New Roman"/>
          <w:sz w:val="14"/>
          <w:szCs w:val="14"/>
          <w:i w:val="1"/>
          <w:iCs w:val="1"/>
          <w:color w:val="auto"/>
        </w:rPr>
        <w:t>ondernemer</w:t>
      </w:r>
      <w:r>
        <w:rPr>
          <w:rFonts w:ascii="Times New Roman" w:cs="Times New Roman" w:eastAsia="Times New Roman" w:hAnsi="Times New Roman"/>
          <w:sz w:val="14"/>
          <w:szCs w:val="14"/>
          <w:color w:val="auto"/>
        </w:rPr>
        <w:t>) or as a person who has a co-entitlement to the net worth (</w:t>
      </w:r>
      <w:r>
        <w:rPr>
          <w:rFonts w:ascii="Times New Roman" w:cs="Times New Roman" w:eastAsia="Times New Roman" w:hAnsi="Times New Roman"/>
          <w:sz w:val="14"/>
          <w:szCs w:val="14"/>
          <w:i w:val="1"/>
          <w:iCs w:val="1"/>
          <w:color w:val="auto"/>
        </w:rPr>
        <w:t>medegerechtigd tot het vermogen</w:t>
      </w:r>
      <w:r>
        <w:rPr>
          <w:rFonts w:ascii="Times New Roman" w:cs="Times New Roman" w:eastAsia="Times New Roman" w:hAnsi="Times New Roman"/>
          <w:sz w:val="14"/>
          <w:szCs w:val="14"/>
          <w:color w:val="auto"/>
        </w:rPr>
        <w:t>) of such enterprise without being a shareholder (as defined in the Dutch Income Tax Act 2001); or</w:t>
      </w:r>
    </w:p>
    <w:p>
      <w:pPr>
        <w:spacing w:after="0" w:line="63" w:lineRule="exact"/>
        <w:rPr>
          <w:rFonts w:ascii="Times New Roman" w:cs="Times New Roman" w:eastAsia="Times New Roman" w:hAnsi="Times New Roman"/>
          <w:sz w:val="14"/>
          <w:szCs w:val="14"/>
          <w:color w:val="auto"/>
        </w:rPr>
      </w:pPr>
    </w:p>
    <w:p>
      <w:pPr>
        <w:jc w:val="both"/>
        <w:ind w:left="980" w:right="419" w:hanging="425"/>
        <w:spacing w:after="0" w:line="266" w:lineRule="auto"/>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ordinary shares or pre-funded warrants is considered to perform activities with respect to the ordinary shares or pre-funded warrants that go beyond ordinary asset management (</w:t>
      </w:r>
      <w:r>
        <w:rPr>
          <w:rFonts w:ascii="Times New Roman" w:cs="Times New Roman" w:eastAsia="Times New Roman" w:hAnsi="Times New Roman"/>
          <w:sz w:val="14"/>
          <w:szCs w:val="14"/>
          <w:i w:val="1"/>
          <w:iCs w:val="1"/>
          <w:color w:val="auto"/>
        </w:rPr>
        <w:t>normaal, actief vermogensbeheer</w:t>
      </w:r>
      <w:r>
        <w:rPr>
          <w:rFonts w:ascii="Times New Roman" w:cs="Times New Roman" w:eastAsia="Times New Roman" w:hAnsi="Times New Roman"/>
          <w:sz w:val="14"/>
          <w:szCs w:val="14"/>
          <w:color w:val="auto"/>
        </w:rPr>
        <w:t>) or otherwise derives benefits from the ordinary shares or pre-funded warrants that are taxable as benefits from miscellaneous activities (</w:t>
      </w:r>
      <w:r>
        <w:rPr>
          <w:rFonts w:ascii="Times New Roman" w:cs="Times New Roman" w:eastAsia="Times New Roman" w:hAnsi="Times New Roman"/>
          <w:sz w:val="14"/>
          <w:szCs w:val="14"/>
          <w:i w:val="1"/>
          <w:iCs w:val="1"/>
          <w:color w:val="auto"/>
        </w:rPr>
        <w:t>resultaat uit overige werkzaamheden</w:t>
      </w:r>
      <w:r>
        <w:rPr>
          <w:rFonts w:ascii="Times New Roman" w:cs="Times New Roman" w:eastAsia="Times New Roman" w:hAnsi="Times New Roman"/>
          <w:sz w:val="14"/>
          <w:szCs w:val="14"/>
          <w:color w:val="auto"/>
        </w:rPr>
        <w:t>).</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Taxation of savings and investments</w:t>
      </w:r>
    </w:p>
    <w:p>
      <w:pPr>
        <w:spacing w:after="0" w:line="93"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If the above-mentioned conditions (i) and (ii) do not apply to the Dutch Resident Individual, the ordinary shares and pre-funded warrants will be subject to an annual Dutch income tax under the regime for savings and investments (</w:t>
      </w:r>
      <w:r>
        <w:rPr>
          <w:rFonts w:ascii="Times New Roman" w:cs="Times New Roman" w:eastAsia="Times New Roman" w:hAnsi="Times New Roman"/>
          <w:sz w:val="14"/>
          <w:szCs w:val="14"/>
          <w:i w:val="1"/>
          <w:iCs w:val="1"/>
          <w:color w:val="auto"/>
        </w:rPr>
        <w:t>inkomen uit sparen en beleggen</w:t>
      </w:r>
      <w:r>
        <w:rPr>
          <w:rFonts w:ascii="Times New Roman" w:cs="Times New Roman" w:eastAsia="Times New Roman" w:hAnsi="Times New Roman"/>
          <w:sz w:val="14"/>
          <w:szCs w:val="14"/>
          <w:color w:val="auto"/>
        </w:rPr>
        <w:t>). Taxation only occurs insofar the Dutch Resident Individual’s net investment assets for the year exceed a statutory threshold (</w:t>
      </w:r>
      <w:r>
        <w:rPr>
          <w:rFonts w:ascii="Times New Roman" w:cs="Times New Roman" w:eastAsia="Times New Roman" w:hAnsi="Times New Roman"/>
          <w:sz w:val="14"/>
          <w:szCs w:val="14"/>
          <w:i w:val="1"/>
          <w:iCs w:val="1"/>
          <w:color w:val="auto"/>
        </w:rPr>
        <w:t>heffingvrij vermogen</w:t>
      </w:r>
      <w:r>
        <w:rPr>
          <w:rFonts w:ascii="Times New Roman" w:cs="Times New Roman" w:eastAsia="Times New Roman" w:hAnsi="Times New Roman"/>
          <w:sz w:val="14"/>
          <w:szCs w:val="14"/>
          <w:color w:val="auto"/>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4"/>
          <w:szCs w:val="14"/>
          <w:i w:val="1"/>
          <w:iCs w:val="1"/>
          <w:color w:val="auto"/>
        </w:rPr>
        <w:t>peildatum</w:t>
      </w:r>
      <w:r>
        <w:rPr>
          <w:rFonts w:ascii="Times New Roman" w:cs="Times New Roman" w:eastAsia="Times New Roman" w:hAnsi="Times New Roman"/>
          <w:sz w:val="14"/>
          <w:szCs w:val="14"/>
          <w:color w:val="auto"/>
        </w:rPr>
        <w:t>). Actual income or capital gains realized in respect of the ordinary shares or pre-funded warrants are in principle not subject to Dutch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tax.</w:t>
      </w:r>
    </w:p>
    <w:p>
      <w:pPr>
        <w:spacing w:after="0" w:line="142"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The Dutch Resident Individual’s assets and liabilities taxed under this regime, including the ordinary shares or pre-funded warrants, are allocated over the following three categories: (a) bank savings (</w:t>
      </w:r>
      <w:r>
        <w:rPr>
          <w:rFonts w:ascii="Times New Roman" w:cs="Times New Roman" w:eastAsia="Times New Roman" w:hAnsi="Times New Roman"/>
          <w:sz w:val="14"/>
          <w:szCs w:val="14"/>
          <w:i w:val="1"/>
          <w:iCs w:val="1"/>
          <w:color w:val="auto"/>
        </w:rPr>
        <w:t>banktegoeden</w:t>
      </w:r>
      <w:r>
        <w:rPr>
          <w:rFonts w:ascii="Times New Roman" w:cs="Times New Roman" w:eastAsia="Times New Roman" w:hAnsi="Times New Roman"/>
          <w:sz w:val="14"/>
          <w:szCs w:val="14"/>
          <w:color w:val="auto"/>
        </w:rPr>
        <w:t>), (b) other investments (</w:t>
      </w:r>
      <w:r>
        <w:rPr>
          <w:rFonts w:ascii="Times New Roman" w:cs="Times New Roman" w:eastAsia="Times New Roman" w:hAnsi="Times New Roman"/>
          <w:sz w:val="14"/>
          <w:szCs w:val="14"/>
          <w:i w:val="1"/>
          <w:iCs w:val="1"/>
          <w:color w:val="auto"/>
        </w:rPr>
        <w:t>overige bezittingen</w:t>
      </w:r>
      <w:r>
        <w:rPr>
          <w:rFonts w:ascii="Times New Roman" w:cs="Times New Roman" w:eastAsia="Times New Roman" w:hAnsi="Times New Roman"/>
          <w:sz w:val="14"/>
          <w:szCs w:val="14"/>
          <w:color w:val="auto"/>
        </w:rPr>
        <w:t>), including the ordinary shares or pre-funded warrants, and (c) liabilities (</w:t>
      </w:r>
      <w:r>
        <w:rPr>
          <w:rFonts w:ascii="Times New Roman" w:cs="Times New Roman" w:eastAsia="Times New Roman" w:hAnsi="Times New Roman"/>
          <w:sz w:val="14"/>
          <w:szCs w:val="14"/>
          <w:i w:val="1"/>
          <w:iCs w:val="1"/>
          <w:color w:val="auto"/>
        </w:rPr>
        <w:t>schulden</w:t>
      </w:r>
      <w:r>
        <w:rPr>
          <w:rFonts w:ascii="Times New Roman" w:cs="Times New Roman" w:eastAsia="Times New Roman" w:hAnsi="Times New Roman"/>
          <w:sz w:val="14"/>
          <w:szCs w:val="14"/>
          <w:color w:val="auto"/>
        </w:rPr>
        <w:t>). The taxable benefit for the year (</w:t>
      </w:r>
      <w:r>
        <w:rPr>
          <w:rFonts w:ascii="Times New Roman" w:cs="Times New Roman" w:eastAsia="Times New Roman" w:hAnsi="Times New Roman"/>
          <w:sz w:val="14"/>
          <w:szCs w:val="14"/>
          <w:i w:val="1"/>
          <w:iCs w:val="1"/>
          <w:color w:val="auto"/>
        </w:rPr>
        <w:t>voordeel uit sparen en beleggen</w:t>
      </w:r>
      <w:r>
        <w:rPr>
          <w:rFonts w:ascii="Times New Roman" w:cs="Times New Roman" w:eastAsia="Times New Roman" w:hAnsi="Times New Roman"/>
          <w:sz w:val="14"/>
          <w:szCs w:val="14"/>
          <w:color w:val="auto"/>
        </w:rPr>
        <w:t>) is equal to the product of (x) the total deemed return divided by the sum of bank savings, other investments and liabilities and (y) the sum of bank savings, other investments and liabilities minus the statutory threshold, and is taxed at a flat rate of 36% (rate for 2025).</w:t>
      </w:r>
    </w:p>
    <w:p>
      <w:pPr>
        <w:spacing w:after="0" w:line="143" w:lineRule="exact"/>
        <w:rPr>
          <w:sz w:val="20"/>
          <w:szCs w:val="20"/>
          <w:color w:val="auto"/>
        </w:rPr>
      </w:pPr>
    </w:p>
    <w:p>
      <w:pPr>
        <w:ind w:left="220" w:right="439" w:firstLine="343"/>
        <w:spacing w:after="0" w:line="261" w:lineRule="auto"/>
        <w:rPr>
          <w:sz w:val="20"/>
          <w:szCs w:val="20"/>
          <w:color w:val="auto"/>
        </w:rPr>
      </w:pPr>
      <w:r>
        <w:rPr>
          <w:rFonts w:ascii="Times New Roman" w:cs="Times New Roman" w:eastAsia="Times New Roman" w:hAnsi="Times New Roman"/>
          <w:sz w:val="14"/>
          <w:szCs w:val="14"/>
          <w:color w:val="auto"/>
        </w:rPr>
        <w:t>The deemed return applicable to other investments, including the ordinary shares and pre-funded warrants, is set at 5.88% for the calendar year 2025. Transactions in the three-month period before and after January 1 of the relevant calendar year implemented to arbitrate between the deemed return percentages applicable to bank savings, other investments and liabilities will for this purpose be ignored if the holder of the ordinary shares or pre-funded warrants cannot sufficiently demonstrate that such transactions are implemented for other than tax reasons.</w:t>
      </w:r>
    </w:p>
    <w:p>
      <w:pPr>
        <w:spacing w:after="0" w:line="138" w:lineRule="exact"/>
        <w:rPr>
          <w:sz w:val="20"/>
          <w:szCs w:val="20"/>
          <w:color w:val="auto"/>
        </w:rPr>
      </w:pPr>
    </w:p>
    <w:p>
      <w:pPr>
        <w:ind w:left="220" w:right="459" w:firstLine="343"/>
        <w:spacing w:after="0" w:line="285" w:lineRule="auto"/>
        <w:rPr>
          <w:sz w:val="20"/>
          <w:szCs w:val="20"/>
          <w:color w:val="auto"/>
        </w:rPr>
      </w:pPr>
      <w:r>
        <w:rPr>
          <w:rFonts w:ascii="Times New Roman" w:cs="Times New Roman" w:eastAsia="Times New Roman" w:hAnsi="Times New Roman"/>
          <w:sz w:val="14"/>
          <w:szCs w:val="14"/>
          <w:color w:val="auto"/>
        </w:rPr>
        <w:t>On June 6 and 14, 2024, the Dutch Supreme Court (</w:t>
      </w:r>
      <w:r>
        <w:rPr>
          <w:rFonts w:ascii="Times New Roman" w:cs="Times New Roman" w:eastAsia="Times New Roman" w:hAnsi="Times New Roman"/>
          <w:sz w:val="14"/>
          <w:szCs w:val="14"/>
          <w:i w:val="1"/>
          <w:iCs w:val="1"/>
          <w:color w:val="auto"/>
        </w:rPr>
        <w:t>Hoge Raad</w:t>
      </w:r>
      <w:r>
        <w:rPr>
          <w:rFonts w:ascii="Times New Roman" w:cs="Times New Roman" w:eastAsia="Times New Roman" w:hAnsi="Times New Roman"/>
          <w:sz w:val="14"/>
          <w:szCs w:val="14"/>
          <w:color w:val="auto"/>
        </w:rPr>
        <w:t>) ruled that the current Dutch income tax regime for savings and investments in certain specific circumstances contravenes with Section 1 of the First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38" w:right="1440" w:bottom="1440" w:gutter="0" w:footer="0" w:header="0"/>
        </w:sectPr>
      </w:pPr>
    </w:p>
    <w:bookmarkStart w:id="29" w:name="page30"/>
    <w:bookmarkEnd w:id="29"/>
    <w:p>
      <w:pPr>
        <w:ind w:left="220" w:right="2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Protocol to the European Convention on Human Rights in combination with Section 14 of the European Convention on Human Rights (the “Rulings”). This is, in short, the case in the event the deemed return on the investment assets exceeds the actual return realized in respect thereof (calculated in accordance with the rules set out in the Rulings and successfully demonstrated by the taxpayer). The rules set out in the Rulings have been implemented in Dutch tax law by the Dutch Box 3 Rebuttal Scheme Act (</w:t>
      </w:r>
      <w:r>
        <w:rPr>
          <w:rFonts w:ascii="Times New Roman" w:cs="Times New Roman" w:eastAsia="Times New Roman" w:hAnsi="Times New Roman"/>
          <w:sz w:val="14"/>
          <w:szCs w:val="14"/>
          <w:i w:val="1"/>
          <w:iCs w:val="1"/>
          <w:color w:val="auto"/>
        </w:rPr>
        <w:t>Wet tegenbewijsregeling box 3</w:t>
      </w:r>
      <w:r>
        <w:rPr>
          <w:rFonts w:ascii="Times New Roman" w:cs="Times New Roman" w:eastAsia="Times New Roman" w:hAnsi="Times New Roman"/>
          <w:sz w:val="14"/>
          <w:szCs w:val="14"/>
          <w:color w:val="auto"/>
        </w:rPr>
        <w:t>). Holders of our ordinary shares and pre-funded warrants are advised to consult their own tax advisor to ensure that the tax in respect of their ordinary shares and pre-funded warrants is levied in accordance with the applicable Dutch tax rules at the relevant time.</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Non-residents of the Netherlands</w:t>
      </w:r>
    </w:p>
    <w:p>
      <w:pPr>
        <w:spacing w:after="0" w:line="93" w:lineRule="exact"/>
        <w:rPr>
          <w:sz w:val="20"/>
          <w:szCs w:val="20"/>
          <w:color w:val="auto"/>
        </w:rPr>
      </w:pPr>
    </w:p>
    <w:p>
      <w:pPr>
        <w:jc w:val="both"/>
        <w:ind w:left="220" w:right="279" w:firstLine="343"/>
        <w:spacing w:after="0" w:line="266" w:lineRule="auto"/>
        <w:rPr>
          <w:sz w:val="20"/>
          <w:szCs w:val="20"/>
          <w:color w:val="auto"/>
        </w:rPr>
      </w:pPr>
      <w:r>
        <w:rPr>
          <w:rFonts w:ascii="Times New Roman" w:cs="Times New Roman" w:eastAsia="Times New Roman" w:hAnsi="Times New Roman"/>
          <w:sz w:val="14"/>
          <w:szCs w:val="14"/>
          <w:color w:val="auto"/>
        </w:rPr>
        <w:t>A holder of our ordinary shares or pre-funded warrants that is neither a Dutch Resident Entity nor a Dutch Resident Individual will not be subject to Dutch income tax in respect of income derived or deemed to be derived from our ordinary shares or pre-funded warrants or in respect of capital gains realized on the disposal or deemed disposal or exercise, as applicable, of the ordinary shares or pre-funded warrants, provided that:</w:t>
      </w:r>
    </w:p>
    <w:p>
      <w:pPr>
        <w:spacing w:after="0" w:line="63" w:lineRule="exact"/>
        <w:rPr>
          <w:sz w:val="20"/>
          <w:szCs w:val="20"/>
          <w:color w:val="auto"/>
        </w:rPr>
      </w:pPr>
    </w:p>
    <w:p>
      <w:pPr>
        <w:ind w:left="980" w:right="419" w:hanging="425"/>
        <w:spacing w:after="0" w:line="261" w:lineRule="auto"/>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or pre-funded warrants are attributable; and</w:t>
      </w:r>
    </w:p>
    <w:p>
      <w:pPr>
        <w:spacing w:after="0" w:line="66" w:lineRule="exact"/>
        <w:rPr>
          <w:rFonts w:ascii="Times New Roman" w:cs="Times New Roman" w:eastAsia="Times New Roman" w:hAnsi="Times New Roman"/>
          <w:sz w:val="14"/>
          <w:szCs w:val="14"/>
          <w:color w:val="auto"/>
        </w:rPr>
      </w:pPr>
    </w:p>
    <w:p>
      <w:pPr>
        <w:ind w:left="980" w:right="339" w:hanging="425"/>
        <w:spacing w:after="0" w:line="266" w:lineRule="auto"/>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holder is an individual, such holder does not carry out any activities in the Netherlands with respect to the ordinary shares or pre-funded warrants that go beyond ordinary asset management and does not otherwise derive benefits from the ordinary shares or pre-funded warrants that are taxable as benefits from miscellaneous activities in the Netherlands.</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Gift and Inheritance Taxes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Residents of the Netherlands</w:t>
      </w:r>
    </w:p>
    <w:p>
      <w:pPr>
        <w:spacing w:after="0" w:line="93" w:lineRule="exact"/>
        <w:rPr>
          <w:sz w:val="20"/>
          <w:szCs w:val="20"/>
          <w:color w:val="auto"/>
        </w:rPr>
      </w:pPr>
    </w:p>
    <w:p>
      <w:pPr>
        <w:ind w:left="220" w:right="259" w:firstLine="343"/>
        <w:spacing w:after="0" w:line="266" w:lineRule="auto"/>
        <w:rPr>
          <w:sz w:val="20"/>
          <w:szCs w:val="20"/>
          <w:color w:val="auto"/>
        </w:rPr>
      </w:pPr>
      <w:r>
        <w:rPr>
          <w:rFonts w:ascii="Times New Roman" w:cs="Times New Roman" w:eastAsia="Times New Roman" w:hAnsi="Times New Roman"/>
          <w:sz w:val="14"/>
          <w:szCs w:val="14"/>
          <w:color w:val="auto"/>
        </w:rPr>
        <w:t>Gift or inheritance taxes will arise in the Netherlands with respect to a transfer of ordinary shares or pre-funded warrants by way of a gift by, or on the death of, a holder of such ordinary shares or pre-funded warrants who is resident or deemed resident of the Netherlands at the time of the gift or the holder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s death.</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Non-residents of the Netherlands</w:t>
      </w:r>
    </w:p>
    <w:p>
      <w:pPr>
        <w:spacing w:after="0" w:line="93" w:lineRule="exact"/>
        <w:rPr>
          <w:sz w:val="20"/>
          <w:szCs w:val="20"/>
          <w:color w:val="auto"/>
        </w:rPr>
      </w:pPr>
    </w:p>
    <w:p>
      <w:pPr>
        <w:ind w:left="220" w:right="279" w:firstLine="343"/>
        <w:spacing w:after="0" w:line="323" w:lineRule="auto"/>
        <w:rPr>
          <w:sz w:val="20"/>
          <w:szCs w:val="20"/>
          <w:color w:val="auto"/>
        </w:rPr>
      </w:pPr>
      <w:r>
        <w:rPr>
          <w:rFonts w:ascii="Times New Roman" w:cs="Times New Roman" w:eastAsia="Times New Roman" w:hAnsi="Times New Roman"/>
          <w:sz w:val="13"/>
          <w:szCs w:val="13"/>
          <w:color w:val="auto"/>
        </w:rPr>
        <w:t>No gift or inheritance taxes will arise in the Netherlands with respect to a transfer of our ordinary shares or pre-funded warrants by way of gift by, or on the death of, a holder of our ordinary shares or pre-funded warrants who is neither resident nor deemed to be resident of the Netherlands, unless:</w:t>
      </w:r>
    </w:p>
    <w:p>
      <w:pPr>
        <w:spacing w:after="0" w:line="28" w:lineRule="exact"/>
        <w:rPr>
          <w:sz w:val="20"/>
          <w:szCs w:val="20"/>
          <w:color w:val="auto"/>
        </w:rPr>
      </w:pPr>
    </w:p>
    <w:p>
      <w:pPr>
        <w:ind w:left="980" w:right="299" w:hanging="425"/>
        <w:spacing w:after="0" w:line="266"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gift of our ordinary shares or pre-funded warrants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63" w:lineRule="exact"/>
        <w:rPr>
          <w:rFonts w:ascii="Times New Roman" w:cs="Times New Roman" w:eastAsia="Times New Roman" w:hAnsi="Times New Roman"/>
          <w:sz w:val="14"/>
          <w:szCs w:val="14"/>
          <w:color w:val="auto"/>
        </w:rPr>
      </w:pPr>
    </w:p>
    <w:p>
      <w:pPr>
        <w:ind w:left="980" w:right="619" w:hanging="425"/>
        <w:spacing w:after="0" w:line="282"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gift of our ordinary shares or pre-funded warrants made under a condition precedent, the holder of ordinary shares or pre-funded warrants is resident or deemed to be resident of the Netherlands at the time the condition is fulfilled; or</w:t>
      </w:r>
    </w:p>
    <w:p>
      <w:pPr>
        <w:spacing w:after="0" w:line="52" w:lineRule="exact"/>
        <w:rPr>
          <w:rFonts w:ascii="Times New Roman" w:cs="Times New Roman" w:eastAsia="Times New Roman" w:hAnsi="Times New Roman"/>
          <w:sz w:val="14"/>
          <w:szCs w:val="14"/>
          <w:color w:val="auto"/>
        </w:rPr>
      </w:pPr>
    </w:p>
    <w:p>
      <w:pPr>
        <w:ind w:left="980" w:right="439" w:hanging="425"/>
        <w:spacing w:after="0" w:line="282"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is otherwise construed as a gift or inheritance made by, or on behalf of, a person who, at the time of the gift or death, is or is deemed to be resident of the Netherlands.</w:t>
      </w:r>
    </w:p>
    <w:p>
      <w:pPr>
        <w:spacing w:after="0" w:line="126" w:lineRule="exact"/>
        <w:rPr>
          <w:sz w:val="20"/>
          <w:szCs w:val="20"/>
          <w:color w:val="auto"/>
        </w:rPr>
      </w:pPr>
    </w:p>
    <w:p>
      <w:pPr>
        <w:jc w:val="both"/>
        <w:ind w:left="220" w:right="459" w:firstLine="343"/>
        <w:spacing w:after="0" w:line="266" w:lineRule="auto"/>
        <w:rPr>
          <w:sz w:val="20"/>
          <w:szCs w:val="20"/>
          <w:color w:val="auto"/>
        </w:rPr>
      </w:pPr>
      <w:r>
        <w:rPr>
          <w:rFonts w:ascii="Times New Roman" w:cs="Times New Roman" w:eastAsia="Times New Roman" w:hAnsi="Times New Roman"/>
          <w:sz w:val="14"/>
          <w:szCs w:val="14"/>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40" w:right="1440" w:bottom="1440" w:gutter="0" w:footer="0" w:header="0"/>
        </w:sectPr>
      </w:pPr>
    </w:p>
    <w:bookmarkStart w:id="30" w:name="page31"/>
    <w:bookmarkEnd w:id="30"/>
    <w:p>
      <w:pPr>
        <w:ind w:left="220" w:right="35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Value Added Tax (“VAT”)</w:t>
      </w:r>
    </w:p>
    <w:p>
      <w:pPr>
        <w:spacing w:after="0" w:line="93" w:lineRule="exact"/>
        <w:rPr>
          <w:sz w:val="20"/>
          <w:szCs w:val="20"/>
          <w:color w:val="auto"/>
        </w:rPr>
      </w:pPr>
    </w:p>
    <w:p>
      <w:pPr>
        <w:ind w:left="220" w:right="659" w:firstLine="343"/>
        <w:spacing w:after="0" w:line="282" w:lineRule="auto"/>
        <w:rPr>
          <w:sz w:val="20"/>
          <w:szCs w:val="20"/>
          <w:color w:val="auto"/>
        </w:rPr>
      </w:pPr>
      <w:r>
        <w:rPr>
          <w:rFonts w:ascii="Times New Roman" w:cs="Times New Roman" w:eastAsia="Times New Roman" w:hAnsi="Times New Roman"/>
          <w:sz w:val="14"/>
          <w:szCs w:val="14"/>
          <w:color w:val="auto"/>
        </w:rPr>
        <w:t>No Dutch VAT will be payable by a holder of our ordinary shares or pre-funded warrants in respect of any payment in consideration for the holding or disposal or exercise, as applicable, of our ordinary shares or pre-funded warrants.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Other Taxes and Duties</w:t>
      </w:r>
    </w:p>
    <w:p>
      <w:pPr>
        <w:spacing w:after="0" w:line="93" w:lineRule="exact"/>
        <w:rPr>
          <w:sz w:val="20"/>
          <w:szCs w:val="20"/>
          <w:color w:val="auto"/>
        </w:rPr>
      </w:pPr>
    </w:p>
    <w:p>
      <w:pPr>
        <w:ind w:left="220" w:right="339" w:firstLine="343"/>
        <w:spacing w:after="0" w:line="323" w:lineRule="auto"/>
        <w:rPr>
          <w:sz w:val="20"/>
          <w:szCs w:val="20"/>
          <w:color w:val="auto"/>
        </w:rPr>
      </w:pPr>
      <w:r>
        <w:rPr>
          <w:rFonts w:ascii="Times New Roman" w:cs="Times New Roman" w:eastAsia="Times New Roman" w:hAnsi="Times New Roman"/>
          <w:sz w:val="13"/>
          <w:szCs w:val="13"/>
          <w:color w:val="auto"/>
        </w:rPr>
        <w:t>No Dutch documentation taxes (commonly referred to as stamp duties) will be payable by a holder of our ordinary shares or pre-funded warrants in respect of any payment in consideration for the holding or disposal or exercise, as applicable, of our ordinary shares or pre-funded warrants.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40"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UNDERWRITING</w:t>
      </w:r>
    </w:p>
    <w:p>
      <w:pPr>
        <w:spacing w:after="0" w:line="177" w:lineRule="exact"/>
        <w:rPr>
          <w:sz w:val="20"/>
          <w:szCs w:val="20"/>
          <w:color w:val="auto"/>
        </w:rPr>
      </w:pPr>
    </w:p>
    <w:p>
      <w:pPr>
        <w:ind w:left="220" w:right="319" w:firstLine="343"/>
        <w:spacing w:after="0" w:line="266" w:lineRule="auto"/>
        <w:rPr>
          <w:sz w:val="20"/>
          <w:szCs w:val="20"/>
          <w:color w:val="auto"/>
        </w:rPr>
      </w:pPr>
      <w:r>
        <w:rPr>
          <w:rFonts w:ascii="Times New Roman" w:cs="Times New Roman" w:eastAsia="Times New Roman" w:hAnsi="Times New Roman"/>
          <w:sz w:val="14"/>
          <w:szCs w:val="14"/>
          <w:color w:val="auto"/>
        </w:rPr>
        <w:t>Under the terms and subject to the conditions in an underwriting agreement dated the date of this prospectus supplement, the underwriters named below, for whom Morgan Stanley &amp; Co. LLC and Leerink Partners LLC are acting as representatives, have severally agreed to purchase, and we have agreed to sell to them, severally, the number of ordinary shares and pre-funded warrants indicated below:</w:t>
      </w:r>
    </w:p>
    <w:p>
      <w:pPr>
        <w:spacing w:after="0" w:line="142" w:lineRule="exact"/>
        <w:rPr>
          <w:sz w:val="20"/>
          <w:szCs w:val="20"/>
          <w:color w:val="auto"/>
        </w:rPr>
      </w:pPr>
    </w:p>
    <w:tbl>
      <w:tblPr>
        <w:tblLayout w:type="fixed"/>
        <w:tblInd w:w="124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6"/>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520" w:type="dxa"/>
            <w:vAlign w:val="bottom"/>
            <w:vMerge w:val="restart"/>
          </w:tcPr>
          <w:p>
            <w:pPr>
              <w:spacing w:after="0"/>
              <w:rPr>
                <w:sz w:val="10"/>
                <w:szCs w:val="10"/>
                <w:color w:val="auto"/>
              </w:rPr>
            </w:pPr>
          </w:p>
        </w:tc>
        <w:tc>
          <w:tcPr>
            <w:tcW w:w="9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72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Pre-Funded</w:t>
            </w:r>
          </w:p>
        </w:tc>
        <w:tc>
          <w:tcPr>
            <w:tcW w:w="0" w:type="dxa"/>
            <w:vAlign w:val="bottom"/>
          </w:tcPr>
          <w:p>
            <w:pPr>
              <w:spacing w:after="0"/>
              <w:rPr>
                <w:sz w:val="1"/>
                <w:szCs w:val="1"/>
                <w:color w:val="auto"/>
              </w:rPr>
            </w:pPr>
          </w:p>
        </w:tc>
      </w:tr>
      <w:tr>
        <w:trPr>
          <w:trHeight w:val="144"/>
        </w:trPr>
        <w:tc>
          <w:tcPr>
            <w:tcW w:w="30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9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0" w:type="dxa"/>
            <w:vAlign w:val="bottom"/>
          </w:tcPr>
          <w:p>
            <w:pPr>
              <w:spacing w:after="0"/>
              <w:rPr>
                <w:sz w:val="1"/>
                <w:szCs w:val="1"/>
                <w:color w:val="auto"/>
              </w:rPr>
            </w:pPr>
          </w:p>
        </w:tc>
      </w:tr>
      <w:tr>
        <w:trPr>
          <w:trHeight w:val="149"/>
        </w:trPr>
        <w:tc>
          <w:tcPr>
            <w:tcW w:w="48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Morgan Stanley &amp; Co. LLC</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2,990,625</w:t>
            </w: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181,250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Leerink Partners LLC</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2,578,125</w:t>
            </w:r>
          </w:p>
        </w:tc>
        <w:tc>
          <w:tcPr>
            <w:tcW w:w="3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156,250</w:t>
            </w:r>
          </w:p>
        </w:tc>
        <w:tc>
          <w:tcPr>
            <w:tcW w:w="0" w:type="dxa"/>
            <w:vAlign w:val="bottom"/>
          </w:tcPr>
          <w:p>
            <w:pPr>
              <w:spacing w:after="0"/>
              <w:rPr>
                <w:sz w:val="1"/>
                <w:szCs w:val="1"/>
                <w:color w:val="auto"/>
              </w:rPr>
            </w:pPr>
          </w:p>
        </w:tc>
      </w:tr>
      <w:tr>
        <w:trPr>
          <w:trHeight w:val="168"/>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Cantor Fitzgerald &amp; Co.</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1,443,750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87,500</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Oppenheirmer &amp; Co. Inc.</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618,750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37,500</w:t>
            </w:r>
          </w:p>
        </w:tc>
        <w:tc>
          <w:tcPr>
            <w:tcW w:w="0" w:type="dxa"/>
            <w:vAlign w:val="bottom"/>
          </w:tcPr>
          <w:p>
            <w:pPr>
              <w:spacing w:after="0"/>
              <w:rPr>
                <w:sz w:val="1"/>
                <w:szCs w:val="1"/>
                <w:color w:val="auto"/>
              </w:rPr>
            </w:pPr>
          </w:p>
        </w:tc>
      </w:tr>
      <w:tr>
        <w:trPr>
          <w:trHeight w:val="168"/>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Van Lanschot Kempen (USA) Inc.</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618,750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37,500</w:t>
            </w:r>
          </w:p>
        </w:tc>
        <w:tc>
          <w:tcPr>
            <w:tcW w:w="0" w:type="dxa"/>
            <w:vAlign w:val="bottom"/>
          </w:tcPr>
          <w:p>
            <w:pPr>
              <w:spacing w:after="0"/>
              <w:rPr>
                <w:sz w:val="1"/>
                <w:szCs w:val="1"/>
                <w:color w:val="auto"/>
              </w:rPr>
            </w:pPr>
          </w:p>
        </w:tc>
      </w:tr>
      <w:tr>
        <w:trPr>
          <w:trHeight w:val="169"/>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8,250,000</w:t>
            </w:r>
          </w:p>
        </w:tc>
        <w:tc>
          <w:tcPr>
            <w:tcW w:w="3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3"/>
          <w:szCs w:val="13"/>
          <w:color w:val="auto"/>
        </w:rPr>
        <w:t>The underwriters and the representatives are collectively referred to as the “underwriters” and the “representatives,” respectively. The underwriters are offering the ordinary shares and pre-funded warrants subject to their acceptance of the ordinary shares and pre-funded warrants from us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shares are taken.</w:t>
      </w:r>
    </w:p>
    <w:p>
      <w:pPr>
        <w:spacing w:after="0" w:line="127" w:lineRule="exact"/>
        <w:rPr>
          <w:sz w:val="20"/>
          <w:szCs w:val="20"/>
          <w:color w:val="auto"/>
        </w:rPr>
      </w:pPr>
    </w:p>
    <w:p>
      <w:pPr>
        <w:ind w:left="220" w:right="539" w:firstLine="343"/>
        <w:spacing w:after="0" w:line="282" w:lineRule="auto"/>
        <w:rPr>
          <w:sz w:val="20"/>
          <w:szCs w:val="20"/>
          <w:color w:val="auto"/>
        </w:rPr>
      </w:pPr>
      <w:r>
        <w:rPr>
          <w:rFonts w:ascii="Times New Roman" w:cs="Times New Roman" w:eastAsia="Times New Roman" w:hAnsi="Times New Roman"/>
          <w:sz w:val="14"/>
          <w:szCs w:val="14"/>
          <w:color w:val="auto"/>
        </w:rPr>
        <w:t>Certain of the underwriters may offer and sell the ordinary shares through one or more of their respective affiliates or other registered broker-dealers or selling agents.</w:t>
      </w:r>
    </w:p>
    <w:p>
      <w:pPr>
        <w:spacing w:after="0" w:line="126"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The underwriters initially propose to offer part of the ordinary shares and pre-funded warrants directly to the public at the offering prices listed on the cover page of this prospectus supplement and part to certain dealers at a price that represents a concession not in excess of $0.72 per ordinary share and $0.00 per pre-funded warrant under the public offering price. After the initial offering of the ordinary shares and pre-funded warrants, the offering price and other selling terms may from time to time be varied by the representatives. We have granted to the underwriters an option, exercisable for 30 days from the date of this prospectus supplement, to purchase up to 1,312,500 additional ordinary shares at the public offering price listed on the cover page of this prospectus supplement, less underwriting discounts and commissions. The number of ordinary shares subject to the underwriters’ option equals 15% of the total number of ordinary shares plus the number of ordinary shares underlying the pre-funded warrants.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and pre-funded warrants listed next to the names of all underwriters in the preceding table.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38" w:right="1440" w:bottom="1440" w:gutter="0" w:footer="0" w:header="0"/>
        </w:sectPr>
      </w:pPr>
    </w:p>
    <w:bookmarkStart w:id="32" w:name="page33"/>
    <w:bookmarkEnd w:id="32"/>
    <w:p>
      <w:pPr>
        <w:jc w:val="both"/>
        <w:ind w:left="220" w:right="259" w:firstLine="343"/>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following table shows the per ordinary share, per pre-funded warrant and total public offering price, underwriting discounts and commissions, and proceeds before expenses to us. These amounts are shown assuming both no exercise and full exercise of the underwriters’ option to purchase up to an additional 1,312,500 ordinary shares.</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135"/>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6"/>
              </w:rPr>
              <w:t>Per</w:t>
            </w:r>
          </w:p>
        </w:tc>
        <w:tc>
          <w:tcPr>
            <w:tcW w:w="10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6"/>
              </w:rPr>
              <w:t>Per</w:t>
            </w: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No</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Full</w:t>
            </w:r>
          </w:p>
        </w:tc>
        <w:tc>
          <w:tcPr>
            <w:tcW w:w="0" w:type="dxa"/>
            <w:vAlign w:val="bottom"/>
          </w:tcPr>
          <w:p>
            <w:pPr>
              <w:spacing w:after="0"/>
              <w:rPr>
                <w:sz w:val="1"/>
                <w:szCs w:val="1"/>
                <w:color w:val="auto"/>
              </w:rPr>
            </w:pPr>
          </w:p>
        </w:tc>
      </w:tr>
      <w:tr>
        <w:trPr>
          <w:trHeight w:val="116"/>
        </w:trPr>
        <w:tc>
          <w:tcPr>
            <w:tcW w:w="3960" w:type="dxa"/>
            <w:vAlign w:val="bottom"/>
          </w:tcPr>
          <w:p>
            <w:pPr>
              <w:spacing w:after="0"/>
              <w:rPr>
                <w:sz w:val="10"/>
                <w:szCs w:val="10"/>
                <w:color w:val="auto"/>
              </w:rPr>
            </w:pPr>
          </w:p>
        </w:tc>
        <w:tc>
          <w:tcPr>
            <w:tcW w:w="88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102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Pre-Funded</w:t>
            </w: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Warrant</w:t>
            </w:r>
          </w:p>
        </w:tc>
        <w:tc>
          <w:tcPr>
            <w:tcW w:w="6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0" w:type="dxa"/>
            <w:vAlign w:val="bottom"/>
          </w:tcPr>
          <w:p>
            <w:pPr>
              <w:spacing w:after="0"/>
              <w:rPr>
                <w:sz w:val="1"/>
                <w:szCs w:val="1"/>
                <w:color w:val="auto"/>
              </w:rPr>
            </w:pPr>
          </w:p>
        </w:tc>
      </w:tr>
      <w:tr>
        <w:trPr>
          <w:trHeight w:val="159"/>
        </w:trPr>
        <w:tc>
          <w:tcPr>
            <w:tcW w:w="3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20.00</w:t>
            </w:r>
          </w:p>
        </w:tc>
        <w:tc>
          <w:tcPr>
            <w:tcW w:w="4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19.99</w:t>
            </w:r>
          </w:p>
        </w:tc>
        <w:tc>
          <w:tcPr>
            <w:tcW w:w="4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174,995,000</w:t>
            </w:r>
          </w:p>
        </w:tc>
        <w:tc>
          <w:tcPr>
            <w:tcW w:w="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201,245,000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 to be paid by us: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1.20</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10,500,000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12,075,000</w:t>
            </w:r>
          </w:p>
        </w:tc>
        <w:tc>
          <w:tcPr>
            <w:tcW w:w="0" w:type="dxa"/>
            <w:vAlign w:val="bottom"/>
          </w:tcPr>
          <w:p>
            <w:pPr>
              <w:spacing w:after="0"/>
              <w:rPr>
                <w:sz w:val="1"/>
                <w:szCs w:val="1"/>
                <w:color w:val="auto"/>
              </w:rPr>
            </w:pPr>
          </w:p>
        </w:tc>
      </w:tr>
      <w:tr>
        <w:trPr>
          <w:trHeight w:val="16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4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18.79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164,495,000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189,170,000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0" w:right="259" w:firstLine="343"/>
        <w:spacing w:after="0" w:line="323" w:lineRule="auto"/>
        <w:rPr>
          <w:sz w:val="20"/>
          <w:szCs w:val="20"/>
          <w:color w:val="auto"/>
        </w:rPr>
      </w:pPr>
      <w:r>
        <w:rPr>
          <w:rFonts w:ascii="Times New Roman" w:cs="Times New Roman" w:eastAsia="Times New Roman" w:hAnsi="Times New Roman"/>
          <w:sz w:val="13"/>
          <w:szCs w:val="13"/>
          <w:color w:val="auto"/>
        </w:rPr>
        <w:t>The estimated offering expenses payable by us, exclusive of the underwriting discounts and commissions, are approximately $1,000,000. We have agreed to reimburse the underwriters for expense relating to clearance of this offering with the Financial Industry Regulatory Authority up to $15,000.</w:t>
      </w:r>
    </w:p>
    <w:p>
      <w:pPr>
        <w:spacing w:after="0" w:line="102" w:lineRule="exact"/>
        <w:rPr>
          <w:sz w:val="20"/>
          <w:szCs w:val="20"/>
          <w:color w:val="auto"/>
        </w:rPr>
      </w:pPr>
    </w:p>
    <w:p>
      <w:pPr>
        <w:ind w:left="220" w:right="519" w:firstLine="343"/>
        <w:spacing w:after="0" w:line="282" w:lineRule="auto"/>
        <w:rPr>
          <w:sz w:val="20"/>
          <w:szCs w:val="20"/>
          <w:color w:val="auto"/>
        </w:rPr>
      </w:pPr>
      <w:r>
        <w:rPr>
          <w:rFonts w:ascii="Times New Roman" w:cs="Times New Roman" w:eastAsia="Times New Roman" w:hAnsi="Times New Roman"/>
          <w:sz w:val="14"/>
          <w:szCs w:val="14"/>
          <w:color w:val="auto"/>
        </w:rPr>
        <w:t>The underwriters have informed us that they do not intend sales to discretionary accounts to exceed 5% of the total number of ordinary shares offered by them.</w:t>
      </w:r>
    </w:p>
    <w:p>
      <w:pPr>
        <w:spacing w:after="0" w:line="1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Our ordinary shares trade on The Nasdaq Global Select Market under the symbol “PHVS”.</w:t>
      </w:r>
    </w:p>
    <w:p>
      <w:pPr>
        <w:spacing w:after="0" w:line="175" w:lineRule="exact"/>
        <w:rPr>
          <w:sz w:val="20"/>
          <w:szCs w:val="20"/>
          <w:color w:val="auto"/>
        </w:rPr>
      </w:pPr>
    </w:p>
    <w:p>
      <w:pPr>
        <w:ind w:left="220" w:right="279" w:firstLine="343"/>
        <w:spacing w:after="0" w:line="282" w:lineRule="auto"/>
        <w:rPr>
          <w:sz w:val="20"/>
          <w:szCs w:val="20"/>
          <w:color w:val="auto"/>
        </w:rPr>
      </w:pPr>
      <w:r>
        <w:rPr>
          <w:rFonts w:ascii="Times New Roman" w:cs="Times New Roman" w:eastAsia="Times New Roman" w:hAnsi="Times New Roman"/>
          <w:sz w:val="14"/>
          <w:szCs w:val="14"/>
          <w:color w:val="auto"/>
        </w:rPr>
        <w:t>We have agreed that, without the prior written consent of the representatives, we will not, and will not publicly disclose an intention to, during the period ending 90 days after the date of this prospectus supplement (the “restricted period”):</w:t>
      </w:r>
    </w:p>
    <w:p>
      <w:pPr>
        <w:spacing w:after="0" w:line="52" w:lineRule="exact"/>
        <w:rPr>
          <w:sz w:val="20"/>
          <w:szCs w:val="20"/>
          <w:color w:val="auto"/>
        </w:rPr>
      </w:pPr>
    </w:p>
    <w:p>
      <w:pPr>
        <w:jc w:val="both"/>
        <w:ind w:left="980" w:right="279" w:hanging="341"/>
        <w:spacing w:after="0" w:line="266"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w:t>
      </w:r>
    </w:p>
    <w:p>
      <w:pPr>
        <w:spacing w:after="0" w:line="63" w:lineRule="exact"/>
        <w:rPr>
          <w:rFonts w:ascii="Times New Roman" w:cs="Times New Roman" w:eastAsia="Times New Roman" w:hAnsi="Times New Roman"/>
          <w:sz w:val="14"/>
          <w:szCs w:val="14"/>
          <w:color w:val="auto"/>
        </w:rPr>
      </w:pPr>
    </w:p>
    <w:p>
      <w:pPr>
        <w:ind w:left="980" w:right="339" w:hanging="341"/>
        <w:spacing w:after="0" w:line="282"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registration statement with the SEC relating to the offering of any ordinary shares or any securities convertible into or exercisable or exchangeable for ordinary shares; or</w:t>
      </w:r>
    </w:p>
    <w:p>
      <w:pPr>
        <w:spacing w:after="0" w:line="52" w:lineRule="exact"/>
        <w:rPr>
          <w:rFonts w:ascii="Times New Roman" w:cs="Times New Roman" w:eastAsia="Times New Roman" w:hAnsi="Times New Roman"/>
          <w:sz w:val="14"/>
          <w:szCs w:val="14"/>
          <w:color w:val="auto"/>
        </w:rPr>
      </w:pPr>
    </w:p>
    <w:p>
      <w:pPr>
        <w:ind w:left="980" w:right="359" w:hanging="341"/>
        <w:spacing w:after="0" w:line="282"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arrangement that transfers to another, in whole or in part, any of the economic consequences of ownership of the ordinary shares.</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whether any such transaction described above is to be settled by delivery of ordinary shares or such other securities, in cash or otherwise.</w:t>
      </w:r>
    </w:p>
    <w:p>
      <w:pPr>
        <w:spacing w:after="0" w:line="175" w:lineRule="exact"/>
        <w:rPr>
          <w:sz w:val="20"/>
          <w:szCs w:val="20"/>
          <w:color w:val="auto"/>
        </w:rPr>
      </w:pPr>
    </w:p>
    <w:p>
      <w:pPr>
        <w:ind w:left="220" w:right="419" w:firstLine="343"/>
        <w:spacing w:after="0" w:line="282"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do not apply to us in certain circumstances, subject to certain limitations and conditions set forth in the underwriting agreement, including:</w:t>
      </w:r>
    </w:p>
    <w:p>
      <w:pPr>
        <w:spacing w:after="0" w:line="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the issuance and sale of the ordinary shares in this offering, including upon exercise of the pre-funded warrants offered in this offering;</w:t>
      </w:r>
    </w:p>
    <w:p>
      <w:pPr>
        <w:spacing w:after="0" w:line="91" w:lineRule="exact"/>
        <w:rPr>
          <w:sz w:val="20"/>
          <w:szCs w:val="20"/>
          <w:color w:val="auto"/>
        </w:rPr>
      </w:pPr>
    </w:p>
    <w:p>
      <w:pPr>
        <w:ind w:left="560" w:right="259" w:firstLine="329"/>
        <w:spacing w:after="0" w:line="282" w:lineRule="auto"/>
        <w:rPr>
          <w:sz w:val="20"/>
          <w:szCs w:val="20"/>
          <w:color w:val="auto"/>
        </w:rPr>
      </w:pPr>
      <w:r>
        <w:rPr>
          <w:rFonts w:ascii="Times New Roman" w:cs="Times New Roman" w:eastAsia="Times New Roman" w:hAnsi="Times New Roman"/>
          <w:sz w:val="14"/>
          <w:szCs w:val="14"/>
          <w:color w:val="auto"/>
        </w:rPr>
        <w:t>b)  the issuance of our ordinary shares upon the exercise of an option, award, restricted stock unit or warrant or the conversion of a security outstanding on the date of this prospectus supplement;</w:t>
      </w:r>
    </w:p>
    <w:p>
      <w:pPr>
        <w:spacing w:after="0" w:line="42" w:lineRule="exact"/>
        <w:rPr>
          <w:sz w:val="20"/>
          <w:szCs w:val="20"/>
          <w:color w:val="auto"/>
        </w:rPr>
      </w:pPr>
    </w:p>
    <w:p>
      <w:pPr>
        <w:ind w:left="560" w:right="279" w:firstLine="329"/>
        <w:spacing w:after="0" w:line="258" w:lineRule="auto"/>
        <w:rPr>
          <w:sz w:val="20"/>
          <w:szCs w:val="20"/>
          <w:color w:val="auto"/>
        </w:rPr>
      </w:pPr>
      <w:r>
        <w:rPr>
          <w:rFonts w:ascii="Times New Roman" w:cs="Times New Roman" w:eastAsia="Times New Roman" w:hAnsi="Times New Roman"/>
          <w:sz w:val="14"/>
          <w:szCs w:val="14"/>
          <w:color w:val="auto"/>
        </w:rPr>
        <w:t>c)  facilitating the establishment of a trading plan on behalf of a shareholder, officer or director of the Company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may be made under such plan during the restricted period;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40" w:right="1440" w:bottom="1440" w:gutter="0" w:footer="0" w:header="0"/>
        </w:sectPr>
      </w:pPr>
    </w:p>
    <w:bookmarkStart w:id="33" w:name="page34"/>
    <w:bookmarkEnd w:id="33"/>
    <w:p>
      <w:pPr>
        <w:ind w:left="9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   the filing by us of any registration statement on Form S-8 (or any successor form) with the SEC;</w:t>
      </w:r>
    </w:p>
    <w:p>
      <w:pPr>
        <w:spacing w:after="0" w:line="91" w:lineRule="exact"/>
        <w:rPr>
          <w:sz w:val="20"/>
          <w:szCs w:val="20"/>
          <w:color w:val="auto"/>
        </w:rPr>
      </w:pPr>
    </w:p>
    <w:p>
      <w:pPr>
        <w:ind w:left="560" w:right="459" w:firstLine="329"/>
        <w:spacing w:after="0" w:line="266" w:lineRule="auto"/>
        <w:rPr>
          <w:sz w:val="20"/>
          <w:szCs w:val="20"/>
          <w:color w:val="auto"/>
        </w:rPr>
      </w:pPr>
      <w:r>
        <w:rPr>
          <w:rFonts w:ascii="Times New Roman" w:cs="Times New Roman" w:eastAsia="Times New Roman" w:hAnsi="Times New Roman"/>
          <w:sz w:val="14"/>
          <w:szCs w:val="14"/>
          <w:color w:val="auto"/>
        </w:rPr>
        <w:t>e)  sales of ordinary shares on behalf of our officers named in the registration statement of which this prospectus supplement and the accompanying prospectus forms a part to satisfy the withholding taxes payable upon the vesting, exercise or settlement of such officer’s equity awards pursuant to employee benefit plans described in this prospectus supplement; or</w:t>
      </w:r>
    </w:p>
    <w:p>
      <w:pPr>
        <w:spacing w:after="0" w:line="53" w:lineRule="exact"/>
        <w:rPr>
          <w:sz w:val="20"/>
          <w:szCs w:val="20"/>
          <w:color w:val="auto"/>
        </w:rPr>
      </w:pPr>
    </w:p>
    <w:p>
      <w:pPr>
        <w:ind w:left="560" w:right="259" w:firstLine="329"/>
        <w:spacing w:after="0" w:line="261" w:lineRule="auto"/>
        <w:rPr>
          <w:sz w:val="20"/>
          <w:szCs w:val="20"/>
          <w:color w:val="auto"/>
        </w:rPr>
      </w:pPr>
      <w:r>
        <w:rPr>
          <w:rFonts w:ascii="Times New Roman" w:cs="Times New Roman" w:eastAsia="Times New Roman" w:hAnsi="Times New Roman"/>
          <w:sz w:val="14"/>
          <w:szCs w:val="14"/>
          <w:color w:val="auto"/>
        </w:rPr>
        <w:t>f)  the sale or issuance of or entry into an agreement to sell or issue ordinary shares or securities convertible into or exercisable for ordinary shares in connection with any (i) mergers, (ii) acquisition of securities, businesses, property, technologies or other assets, (iii) joint ventures,</w:t>
      </w:r>
    </w:p>
    <w:p>
      <w:pPr>
        <w:spacing w:after="0" w:line="1" w:lineRule="exact"/>
        <w:rPr>
          <w:sz w:val="20"/>
          <w:szCs w:val="20"/>
          <w:color w:val="auto"/>
        </w:rPr>
      </w:pPr>
    </w:p>
    <w:p>
      <w:pPr>
        <w:ind w:left="560" w:right="259" w:firstLine="2"/>
        <w:spacing w:after="0" w:line="254" w:lineRule="auto"/>
        <w:tabs>
          <w:tab w:leader="none" w:pos="7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alliances, commercial relationships or other collaborations, or (v) the assumption of employee benefit plans in connection with mergers or acquisitions; provided that the aggregate number of ordinary shares or securities convertible into or exercisable for ordinary shares that we may sell or issue or agree to sell or issue shall not exceed 10% of the total number of ordinary shares immediately following the completion of this offering.</w:t>
      </w:r>
    </w:p>
    <w:p>
      <w:pPr>
        <w:spacing w:after="0" w:line="144"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Our directors and officers have agreed that, without the prior written consent of the representatives, they will not, and will not publicly disclose an intention to, during the restricted period: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(2) enter into any swap or other arrangement that transfers to another, in whole or in part, any of the economic consequences of ownership of the ordinary shares, or (3) make any demand for or exercise any right with respect to the registration of any ordinary shares or any security convertible into or exercisable or exchangeable for ordinary shares. These restrictions do not apply in certain circumstances, subject to certain limitations and conditions set forth in the lock-up agreements, including:</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the registration of the offer and sale of ordinary shares pursuant to the underwriting agreement;</w:t>
      </w:r>
    </w:p>
    <w:p>
      <w:pPr>
        <w:spacing w:after="0" w:line="91" w:lineRule="exact"/>
        <w:rPr>
          <w:sz w:val="20"/>
          <w:szCs w:val="20"/>
          <w:color w:val="auto"/>
        </w:rPr>
      </w:pPr>
    </w:p>
    <w:p>
      <w:pPr>
        <w:jc w:val="both"/>
        <w:ind w:left="560" w:right="379" w:firstLine="329"/>
        <w:spacing w:after="0" w:line="282" w:lineRule="auto"/>
        <w:rPr>
          <w:sz w:val="20"/>
          <w:szCs w:val="20"/>
          <w:color w:val="auto"/>
        </w:rPr>
      </w:pPr>
      <w:r>
        <w:rPr>
          <w:rFonts w:ascii="Times New Roman" w:cs="Times New Roman" w:eastAsia="Times New Roman" w:hAnsi="Times New Roman"/>
          <w:sz w:val="14"/>
          <w:szCs w:val="14"/>
          <w:color w:val="auto"/>
        </w:rPr>
        <w:t>b)  transactions relating to ordinary shares or other securities acquired in this offering or open market transactions after the completion of this offering;</w:t>
      </w:r>
    </w:p>
    <w:p>
      <w:pPr>
        <w:spacing w:after="0" w:line="42" w:lineRule="exact"/>
        <w:rPr>
          <w:sz w:val="20"/>
          <w:szCs w:val="20"/>
          <w:color w:val="auto"/>
        </w:rPr>
      </w:pPr>
    </w:p>
    <w:p>
      <w:pPr>
        <w:ind w:left="560" w:right="239" w:firstLine="329"/>
        <w:spacing w:after="0" w:line="282" w:lineRule="auto"/>
        <w:rPr>
          <w:sz w:val="20"/>
          <w:szCs w:val="20"/>
          <w:color w:val="auto"/>
        </w:rPr>
      </w:pPr>
      <w:r>
        <w:rPr>
          <w:rFonts w:ascii="Times New Roman" w:cs="Times New Roman" w:eastAsia="Times New Roman" w:hAnsi="Times New Roman"/>
          <w:sz w:val="14"/>
          <w:szCs w:val="14"/>
          <w:color w:val="auto"/>
        </w:rPr>
        <w:t>c)  transfers of ordinary shares or any security convertible into ordinary shares as a bona fide gift or gifts or by will, testamentary document or intestate succession;</w:t>
      </w:r>
    </w:p>
    <w:p>
      <w:pPr>
        <w:spacing w:after="0" w:line="42" w:lineRule="exact"/>
        <w:rPr>
          <w:sz w:val="20"/>
          <w:szCs w:val="20"/>
          <w:color w:val="auto"/>
        </w:rPr>
      </w:pPr>
    </w:p>
    <w:p>
      <w:pPr>
        <w:ind w:left="560" w:right="579" w:firstLine="329"/>
        <w:spacing w:after="0" w:line="282" w:lineRule="auto"/>
        <w:rPr>
          <w:sz w:val="20"/>
          <w:szCs w:val="20"/>
          <w:color w:val="auto"/>
        </w:rPr>
      </w:pPr>
      <w:r>
        <w:rPr>
          <w:rFonts w:ascii="Times New Roman" w:cs="Times New Roman" w:eastAsia="Times New Roman" w:hAnsi="Times New Roman"/>
          <w:sz w:val="14"/>
          <w:szCs w:val="14"/>
          <w:color w:val="auto"/>
        </w:rPr>
        <w:t>d)  distributions of ordinary shares or any security convertible into ordinary shares to limited partners, members, trust beneficiaries or stockholders of such director, officer or holder;</w:t>
      </w:r>
    </w:p>
    <w:p>
      <w:pPr>
        <w:spacing w:after="0" w:line="42" w:lineRule="exact"/>
        <w:rPr>
          <w:sz w:val="20"/>
          <w:szCs w:val="20"/>
          <w:color w:val="auto"/>
        </w:rPr>
      </w:pPr>
    </w:p>
    <w:p>
      <w:pPr>
        <w:jc w:val="both"/>
        <w:ind w:left="560" w:right="379" w:firstLine="329"/>
        <w:spacing w:after="0" w:line="266" w:lineRule="auto"/>
        <w:rPr>
          <w:sz w:val="20"/>
          <w:szCs w:val="20"/>
          <w:color w:val="auto"/>
        </w:rPr>
      </w:pPr>
      <w:r>
        <w:rPr>
          <w:rFonts w:ascii="Times New Roman" w:cs="Times New Roman" w:eastAsia="Times New Roman" w:hAnsi="Times New Roman"/>
          <w:sz w:val="14"/>
          <w:szCs w:val="14"/>
          <w:color w:val="auto"/>
        </w:rPr>
        <w:t>e)  if such director, officer or holder is a corporation, partnership, limited liability company, trust or other business entity, to any direct or indirect affiliate (as defined in Rule 405 promulgated under the Securities Act) of such party or any investment fund or other entity controlled or managed by, or under common control or management with, such party or any investment fund or other entity that controls such party;</w:t>
      </w:r>
    </w:p>
    <w:p>
      <w:pPr>
        <w:spacing w:after="0" w:line="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f)   solely by operation of law, pursuant to a qualified domestic order or in connection with a divorce settlement;</w:t>
      </w:r>
    </w:p>
    <w:p>
      <w:pPr>
        <w:spacing w:after="0" w:line="91" w:lineRule="exact"/>
        <w:rPr>
          <w:sz w:val="20"/>
          <w:szCs w:val="20"/>
          <w:color w:val="auto"/>
        </w:rPr>
      </w:pPr>
    </w:p>
    <w:p>
      <w:pPr>
        <w:ind w:left="560" w:right="439" w:firstLine="329"/>
        <w:spacing w:after="0" w:line="266" w:lineRule="auto"/>
        <w:rPr>
          <w:sz w:val="20"/>
          <w:szCs w:val="20"/>
          <w:color w:val="auto"/>
        </w:rPr>
      </w:pPr>
      <w:r>
        <w:rPr>
          <w:rFonts w:ascii="Times New Roman" w:cs="Times New Roman" w:eastAsia="Times New Roman" w:hAnsi="Times New Roman"/>
          <w:sz w:val="14"/>
          <w:szCs w:val="14"/>
          <w:color w:val="auto"/>
        </w:rPr>
        <w:t>g)  to any trust for the direct or indirect benefit of the undersigned or the immediate family of such party (for purposes of this agreement “immediate family” shall mean any relationship by blood, marriage or adoption, not more remote than first cousin), provided that any such transfer shall not involve a disposition for value;</w:t>
      </w:r>
    </w:p>
    <w:p>
      <w:pPr>
        <w:spacing w:after="0" w:line="53" w:lineRule="exact"/>
        <w:rPr>
          <w:sz w:val="20"/>
          <w:szCs w:val="20"/>
          <w:color w:val="auto"/>
        </w:rPr>
      </w:pPr>
    </w:p>
    <w:p>
      <w:pPr>
        <w:ind w:left="560" w:right="239" w:firstLine="329"/>
        <w:spacing w:after="0" w:line="258" w:lineRule="auto"/>
        <w:rPr>
          <w:sz w:val="20"/>
          <w:szCs w:val="20"/>
          <w:color w:val="auto"/>
        </w:rPr>
      </w:pPr>
      <w:r>
        <w:rPr>
          <w:rFonts w:ascii="Times New Roman" w:cs="Times New Roman" w:eastAsia="Times New Roman" w:hAnsi="Times New Roman"/>
          <w:sz w:val="14"/>
          <w:szCs w:val="14"/>
          <w:color w:val="auto"/>
        </w:rPr>
        <w:t xml:space="preserve">h)  facilitating the establishment of a trading plan on behalf of a shareholder, officer or director of us pursuant to Rule 10b5-1 under the Exchange Act for the transfer of ordinary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plan does not provide for the transfer of ordinary shares during the restricted period and to the extent a public announcement or filing under the Exchange Act, if any, is required of or voluntarily made by or on behalf of such party or us regarding the establishment of such plan, such announcement or filing shall include a statement to the effect that no transfer of ordinary shares may be made under such plan during the restricted period;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9019"/>
          </w:cols>
          <w:pgMar w:left="1440" w:top="240" w:right="1440" w:bottom="1440" w:gutter="0" w:footer="0" w:header="0"/>
        </w:sectPr>
      </w:pPr>
    </w:p>
    <w:bookmarkStart w:id="34" w:name="page35"/>
    <w:bookmarkEnd w:id="34"/>
    <w:p>
      <w:pPr>
        <w:ind w:left="560" w:right="299" w:firstLine="32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  transfers to us of ordinary shares or any security convertible into ordinary shares in connection with the “net” or “cashless” exercise of options or warrants or the vesting, exercise or settlement of any other equity-based award during the restricted period, in each case, granted pursuant to our equity incentive plans described in this prospectus supplement and the accompanying prospectus, including any ordinary shares withheld by us or any of our subsidiaries to pay the applicable exercise price or withholding taxes associated with such awards;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(i) the restrictions contained in this agreement shall apply to ordinary shares issued upon such exercise, conversion, vesting or settlement and (ii) for any options or other awards that expire, vest or become settled during the restricted period while we are unable to transfer shares for purposes of satisfying any tax or other governmental withholding obligations, the restrictions contained in this agreement shall not apply to shares sold or otherwise withheld for that purpose;</w:t>
      </w:r>
    </w:p>
    <w:p>
      <w:pPr>
        <w:spacing w:after="0" w:line="60" w:lineRule="exact"/>
        <w:rPr>
          <w:sz w:val="20"/>
          <w:szCs w:val="20"/>
          <w:color w:val="auto"/>
        </w:rPr>
      </w:pPr>
    </w:p>
    <w:p>
      <w:pPr>
        <w:ind w:left="560" w:right="259" w:firstLine="329"/>
        <w:spacing w:after="0" w:line="255" w:lineRule="auto"/>
        <w:rPr>
          <w:sz w:val="20"/>
          <w:szCs w:val="20"/>
          <w:color w:val="auto"/>
        </w:rPr>
      </w:pPr>
      <w:r>
        <w:rPr>
          <w:rFonts w:ascii="Times New Roman" w:cs="Times New Roman" w:eastAsia="Times New Roman" w:hAnsi="Times New Roman"/>
          <w:sz w:val="14"/>
          <w:szCs w:val="14"/>
          <w:color w:val="auto"/>
        </w:rPr>
        <w:t xml:space="preserve">j)  pursuant to a bona fide third-party tender offer, merger, consolidation or other similar transaction made to all holders of our securities involving a change of control of us and approved by our board of directors,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that such tender offer, merger, consolidation or other such transaction is not completed, such securities held by the undersigned shall remain subject to the provisions of this agreement (for purposes hereof “change of control” shall mean the transfer, whether by tender offer, merger, consolidation, spin-off or other such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the outstanding voting securities of us (or the surviving entity));</w:t>
      </w:r>
    </w:p>
    <w:p>
      <w:pPr>
        <w:spacing w:after="0" w:line="63" w:lineRule="exact"/>
        <w:rPr>
          <w:sz w:val="20"/>
          <w:szCs w:val="20"/>
          <w:color w:val="auto"/>
        </w:rPr>
      </w:pPr>
    </w:p>
    <w:p>
      <w:pPr>
        <w:ind w:left="560" w:right="539" w:firstLine="329"/>
        <w:spacing w:after="0" w:line="282" w:lineRule="auto"/>
        <w:rPr>
          <w:sz w:val="20"/>
          <w:szCs w:val="20"/>
          <w:color w:val="auto"/>
        </w:rPr>
      </w:pPr>
      <w:r>
        <w:rPr>
          <w:rFonts w:ascii="Times New Roman" w:cs="Times New Roman" w:eastAsia="Times New Roman" w:hAnsi="Times New Roman"/>
          <w:sz w:val="14"/>
          <w:szCs w:val="14"/>
          <w:color w:val="auto"/>
        </w:rPr>
        <w:t>k)  to us pursuant to arrangements under which we have the option to repurchase such party’s ordinary shares, which arrangements are described in this prospectus supplement and the accompanying prospectus; and</w:t>
      </w:r>
    </w:p>
    <w:p>
      <w:pPr>
        <w:spacing w:after="0" w:line="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l)   transfers made with the prior written consent of the representatives.</w:t>
      </w:r>
    </w:p>
    <w:p>
      <w:pPr>
        <w:spacing w:after="0" w:line="175" w:lineRule="exact"/>
        <w:rPr>
          <w:sz w:val="20"/>
          <w:szCs w:val="20"/>
          <w:color w:val="auto"/>
        </w:rPr>
      </w:pPr>
    </w:p>
    <w:p>
      <w:pPr>
        <w:ind w:left="220" w:right="239" w:firstLine="343"/>
        <w:spacing w:after="0" w:line="282" w:lineRule="auto"/>
        <w:rPr>
          <w:sz w:val="20"/>
          <w:szCs w:val="20"/>
          <w:color w:val="auto"/>
        </w:rPr>
      </w:pPr>
      <w:r>
        <w:rPr>
          <w:rFonts w:ascii="Times New Roman" w:cs="Times New Roman" w:eastAsia="Times New Roman" w:hAnsi="Times New Roman"/>
          <w:sz w:val="14"/>
          <w:szCs w:val="14"/>
          <w:color w:val="auto"/>
        </w:rPr>
        <w:t>The representatives, in their sole discretion, may release the ordinary shares and other securities subject to the lock-up agreements described above in whole or in part at any time.</w:t>
      </w:r>
    </w:p>
    <w:p>
      <w:pPr>
        <w:spacing w:after="0" w:line="126"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and the underwriters have agreed to indemnify each other against certain liabilities, including liabilities under the Securities Act.</w:t>
      </w:r>
    </w:p>
    <w:p>
      <w:pPr>
        <w:spacing w:after="0" w:line="175" w:lineRule="exact"/>
        <w:rPr>
          <w:sz w:val="20"/>
          <w:szCs w:val="20"/>
          <w:color w:val="auto"/>
        </w:rPr>
      </w:pPr>
    </w:p>
    <w:p>
      <w:pPr>
        <w:ind w:left="220" w:right="279" w:firstLine="343"/>
        <w:spacing w:after="0" w:line="266" w:lineRule="auto"/>
        <w:rPr>
          <w:sz w:val="20"/>
          <w:szCs w:val="20"/>
          <w:color w:val="auto"/>
        </w:rPr>
      </w:pPr>
      <w:r>
        <w:rPr>
          <w:rFonts w:ascii="Times New Roman" w:cs="Times New Roman" w:eastAsia="Times New Roman" w:hAnsi="Times New Roman"/>
          <w:sz w:val="14"/>
          <w:szCs w:val="14"/>
          <w:color w:val="auto"/>
        </w:rPr>
        <w:t>A prospectus supplement in electronic format may be made available on websites maintained by one or more underwriters, or selling group members, if any, participating in this offering. The representatives may agree to allocate to the underwriters a number of ordinary shares for sale to their online brokerage account holders. Internet distributions will be allocated on the same basis as other allocations.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9019"/>
          </w:cols>
          <w:pgMar w:left="1440" w:top="240" w:right="1440" w:bottom="1440" w:gutter="0" w:footer="0" w:header="0"/>
        </w:sectPr>
      </w:pPr>
    </w:p>
    <w:bookmarkStart w:id="35" w:name="page36"/>
    <w:bookmarkEnd w:id="35"/>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Other Relationships</w:t>
      </w:r>
    </w:p>
    <w:p>
      <w:pPr>
        <w:spacing w:after="0" w:line="93"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we are party to a sales agreement with Leerink Partners LLC pursuant to which we may offer and sell ordinary shares having an aggregate offering price of up to $175.0 million from time to time in “at-the-market” offerings.</w:t>
      </w:r>
    </w:p>
    <w:p>
      <w:pPr>
        <w:spacing w:after="0" w:line="142"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9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ordinary shares must be made in accordance with an exemption from, or in a transaction not subject to, the prospectus requirements of applicable securities laws.</w:t>
      </w:r>
    </w:p>
    <w:p>
      <w:pPr>
        <w:spacing w:after="0" w:line="140" w:lineRule="exact"/>
        <w:rPr>
          <w:sz w:val="20"/>
          <w:szCs w:val="20"/>
          <w:color w:val="auto"/>
        </w:rPr>
      </w:pPr>
    </w:p>
    <w:p>
      <w:pPr>
        <w:ind w:left="220" w:right="399" w:firstLine="343"/>
        <w:spacing w:after="0" w:line="258"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3" w:lineRule="exact"/>
        <w:rPr>
          <w:sz w:val="20"/>
          <w:szCs w:val="20"/>
          <w:color w:val="auto"/>
        </w:rPr>
      </w:pPr>
    </w:p>
    <w:p>
      <w:pPr>
        <w:ind w:left="220" w:right="419" w:firstLine="343"/>
        <w:spacing w:after="0" w:line="282"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3"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ordinary shares in any Member State of the European Economic Area (the “EEA”) (each, a “Relevant State”) will be made pursuant to an exemption under the Prospectus Regulation from the requirement to publish a prospectus for offers of ordinary shares. Accordingly, any person making or intending to make an offer in any Relevant State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9019"/>
          </w:cols>
          <w:pgMar w:left="1440" w:top="238" w:right="1440" w:bottom="1440" w:gutter="0" w:footer="0" w:header="0"/>
        </w:sectPr>
      </w:pPr>
    </w:p>
    <w:bookmarkStart w:id="36" w:name="page37"/>
    <w:bookmarkEnd w:id="36"/>
    <w:p>
      <w:pPr>
        <w:ind w:left="220" w:right="3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3 of the Prospectus Regulation in relation to such offer. Neither we nor the underwriters have authorized, nor do we or they authorize, the making of any offer of ordinary shares in the EEA in circumstances in which an obligation arises for us or the underwriters to publish a prospectus for such offer.</w:t>
      </w:r>
    </w:p>
    <w:p>
      <w:pPr>
        <w:spacing w:after="0" w:line="137" w:lineRule="exact"/>
        <w:rPr>
          <w:sz w:val="20"/>
          <w:szCs w:val="20"/>
          <w:color w:val="auto"/>
        </w:rPr>
      </w:pPr>
    </w:p>
    <w:p>
      <w:pPr>
        <w:ind w:left="220" w:right="559" w:firstLine="343"/>
        <w:spacing w:after="0" w:line="258" w:lineRule="auto"/>
        <w:rPr>
          <w:sz w:val="20"/>
          <w:szCs w:val="20"/>
          <w:color w:val="auto"/>
        </w:rPr>
      </w:pPr>
      <w:r>
        <w:rPr>
          <w:rFonts w:ascii="Times New Roman" w:cs="Times New Roman" w:eastAsia="Times New Roman" w:hAnsi="Times New Roman"/>
          <w:sz w:val="14"/>
          <w:szCs w:val="14"/>
          <w:color w:val="auto"/>
        </w:rPr>
        <w:t>In relation to each Relevant State, no ordinary shares which are the subject of the offering contemplated by this prospectus supplement, the accompanying prospectus or any related free writing prospectus have been offered or will be offered to the public in that Relevant State prior to the publication of a prospectus in relation to such ordinary shares which has been approved by the competent authority in that Relevant State or, where appropriate, approved in each applicable Relevant State and notified to the competent authority in each Relevant State, all in accordance with the Prospectus Regulation, except that such ordinary shares may be offered to the public in that Relevant State at any time:</w:t>
      </w:r>
    </w:p>
    <w:p>
      <w:pPr>
        <w:spacing w:after="0" w:line="69" w:lineRule="exact"/>
        <w:rPr>
          <w:sz w:val="20"/>
          <w:szCs w:val="20"/>
          <w:color w:val="auto"/>
        </w:rPr>
      </w:pPr>
    </w:p>
    <w:p>
      <w:pPr>
        <w:ind w:left="1140" w:hanging="501"/>
        <w:spacing w:after="0"/>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101" w:lineRule="exact"/>
        <w:rPr>
          <w:rFonts w:ascii="Times New Roman" w:cs="Times New Roman" w:eastAsia="Times New Roman" w:hAnsi="Times New Roman"/>
          <w:sz w:val="14"/>
          <w:szCs w:val="14"/>
          <w:color w:val="auto"/>
        </w:rPr>
      </w:pPr>
    </w:p>
    <w:p>
      <w:pPr>
        <w:ind w:left="1140" w:right="619" w:hanging="501"/>
        <w:spacing w:after="0" w:line="282" w:lineRule="auto"/>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relevant underwriters nominated by us for any such offer; or</w:t>
      </w:r>
    </w:p>
    <w:p>
      <w:pPr>
        <w:spacing w:after="0" w:line="52" w:lineRule="exact"/>
        <w:rPr>
          <w:rFonts w:ascii="Times New Roman" w:cs="Times New Roman" w:eastAsia="Times New Roman" w:hAnsi="Times New Roman"/>
          <w:sz w:val="14"/>
          <w:szCs w:val="14"/>
          <w:color w:val="auto"/>
        </w:rPr>
      </w:pPr>
    </w:p>
    <w:p>
      <w:pPr>
        <w:ind w:left="1140" w:hanging="501"/>
        <w:spacing w:after="0"/>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5" w:lineRule="exact"/>
        <w:rPr>
          <w:sz w:val="20"/>
          <w:szCs w:val="20"/>
          <w:color w:val="auto"/>
        </w:rPr>
      </w:pPr>
    </w:p>
    <w:p>
      <w:pPr>
        <w:ind w:left="220" w:right="419" w:firstLine="343"/>
        <w:spacing w:after="0" w:line="282" w:lineRule="auto"/>
        <w:rPr>
          <w:sz w:val="20"/>
          <w:szCs w:val="20"/>
          <w:color w:val="auto"/>
        </w:rPr>
      </w:pPr>
      <w:r>
        <w:rPr>
          <w:rFonts w:ascii="Times New Roman" w:cs="Times New Roman" w:eastAsia="Times New Roman" w:hAnsi="Times New Roman"/>
          <w:sz w:val="14"/>
          <w:szCs w:val="14"/>
          <w:color w:val="auto"/>
        </w:rPr>
        <w:t>provided that no such offer of ordinary shares shall require us or any underwriter to publish a prospectus pursuant to Article 3 of the Prospectus Regulation.</w:t>
      </w:r>
    </w:p>
    <w:p>
      <w:pPr>
        <w:spacing w:after="0" w:line="126" w:lineRule="exact"/>
        <w:rPr>
          <w:sz w:val="20"/>
          <w:szCs w:val="20"/>
          <w:color w:val="auto"/>
        </w:rPr>
      </w:pPr>
    </w:p>
    <w:p>
      <w:pPr>
        <w:ind w:left="220" w:right="579" w:firstLine="343"/>
        <w:spacing w:after="0" w:line="282" w:lineRule="auto"/>
        <w:rPr>
          <w:sz w:val="20"/>
          <w:szCs w:val="20"/>
          <w:color w:val="auto"/>
        </w:rPr>
      </w:pPr>
      <w:r>
        <w:rPr>
          <w:rFonts w:ascii="Times New Roman" w:cs="Times New Roman" w:eastAsia="Times New Roman" w:hAnsi="Times New Roman"/>
          <w:sz w:val="14"/>
          <w:szCs w:val="14"/>
          <w:color w:val="auto"/>
        </w:rPr>
        <w:t>Each person who initially acquires any ordinary shares or to whom any offer is made will be deemed to have represented, acknowledged and agreed to and with each of the underwriters and us that it is a “qualified investor” as defined in the Prospectus Regulation.</w:t>
      </w:r>
    </w:p>
    <w:p>
      <w:pPr>
        <w:spacing w:after="0" w:line="126"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3"/>
          <w:szCs w:val="13"/>
          <w:color w:val="auto"/>
        </w:rPr>
        <w:t>In the case of any ordinary shares being offered to a financial intermediary as that term is used in Article 5(1) of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a Relevant State to qualified investors as so defined in the Prospectus Regulation or in circumstances in which the prior consent of the underwriters has been obtained to each such proposed offer or resale.</w:t>
      </w:r>
    </w:p>
    <w:p>
      <w:pPr>
        <w:spacing w:after="0" w:line="127" w:lineRule="exact"/>
        <w:rPr>
          <w:sz w:val="20"/>
          <w:szCs w:val="20"/>
          <w:color w:val="auto"/>
        </w:rPr>
      </w:pPr>
    </w:p>
    <w:p>
      <w:pPr>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For the purposes of this provision, the expression “offered to the public” in relation to any ordinary shares in any Relevant State means the communication in any form and by any means of sufficient information on the terms of the offer and the ordinary shares to be offered so as to enable an investor to decide to purchase or subscribe for any ordinary shares.</w:t>
      </w:r>
    </w:p>
    <w:p>
      <w:pPr>
        <w:spacing w:after="0" w:line="137"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Pre-funded warrants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the Prospectus Regulation. Consequently, no key information document required by Regulation (EU) No 1286/2014 (as amended, the “PRIIPs Regulation”) for offering or selling the pre-funded warrants or otherwise making them available to retail investors in the EEA has been prepared and therefore offering or selling the pre-funded warrants or otherwise making them available to any retail investor in the EEA may be unlawful under the PRIIPs Regulation.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9019"/>
          </w:cols>
          <w:pgMar w:left="1440" w:top="240" w:right="1440" w:bottom="1440" w:gutter="0" w:footer="0" w:header="0"/>
        </w:sectPr>
      </w:pPr>
    </w:p>
    <w:bookmarkStart w:id="37" w:name="page38"/>
    <w:bookmarkEnd w:id="37"/>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United Kingdom</w:t>
      </w:r>
    </w:p>
    <w:p>
      <w:pPr>
        <w:spacing w:after="0" w:line="9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In the United Kingdom, none of this prospectus supplement, the accompanying prospectus and any related free writing prospectus is a prospectus for the purposes of Regulation (EU) 2017/1129 as it forms part of domestic law in the United Kingdom (the “UK Prospectus Regulation”). This prospectus supplement, the accompanying prospectus and any related free writing prospectus have been prepared on the basis that any offer of ordinary shares in the United Kingdom will be made pursuant to an exemption under the UK Prospectus Regulation from the requirement to publish a prospectus for offers of ordinary shares. Accordingly, any person making or intending to make an offer in the United Kingdom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 Section 85 of the United Kingdom’s Financial Services and Markets Act 2000, as amended (the “FSMA”) in relation to such offer. Neither we nor the underwriters have authorized, nor do we or they authorize, the making of any offer of the ordinary shares in the United Kingdom in circumstances in which an obligation arises for us or the underwriters to publish a prospectus for such offer.</w:t>
      </w:r>
    </w:p>
    <w:p>
      <w:pPr>
        <w:spacing w:after="0" w:line="145" w:lineRule="exact"/>
        <w:rPr>
          <w:sz w:val="20"/>
          <w:szCs w:val="20"/>
          <w:color w:val="auto"/>
        </w:rPr>
      </w:pPr>
    </w:p>
    <w:p>
      <w:pPr>
        <w:ind w:left="220" w:right="259" w:firstLine="343"/>
        <w:spacing w:after="0" w:line="252" w:lineRule="auto"/>
        <w:rPr>
          <w:sz w:val="20"/>
          <w:szCs w:val="20"/>
          <w:color w:val="auto"/>
        </w:rPr>
      </w:pPr>
      <w:r>
        <w:rPr>
          <w:rFonts w:ascii="Times New Roman" w:cs="Times New Roman" w:eastAsia="Times New Roman" w:hAnsi="Times New Roman"/>
          <w:sz w:val="14"/>
          <w:szCs w:val="14"/>
          <w:color w:val="auto"/>
        </w:rPr>
        <w:t>The communication of this prospectus supplement, the accompanying prospectus, any related free writing prospectus and any other document or materials relating to the issue of the ordinary shares offered hereby is not being made, and this prospectus supplement, the accompanying prospectus, any related free writing prospectus and such other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other persons to whom it may otherwise lawfully be communicated or distributed under the Financial Promotion Order (all such persons together being referred to as “relevant persons”). This prospectus supplement, the accompanying prospectus, any related free writing prospectus and any such other documents and/or materials are directed only at relevant persons and must not be acted on or relied on by persons who are not relevant persons. Any investment or investment activity to which this prospectus supplement, the accompany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ordinary shares offered hereby or any of their contents.</w:t>
      </w:r>
    </w:p>
    <w:p>
      <w:pPr>
        <w:spacing w:after="0" w:line="152" w:lineRule="exact"/>
        <w:rPr>
          <w:sz w:val="20"/>
          <w:szCs w:val="20"/>
          <w:color w:val="auto"/>
        </w:rPr>
      </w:pPr>
    </w:p>
    <w:p>
      <w:pPr>
        <w:jc w:val="both"/>
        <w:ind w:left="220" w:right="439" w:firstLine="343"/>
        <w:spacing w:after="0" w:line="266" w:lineRule="auto"/>
        <w:rPr>
          <w:sz w:val="20"/>
          <w:szCs w:val="20"/>
          <w:color w:val="auto"/>
        </w:rPr>
      </w:pPr>
      <w:r>
        <w:rPr>
          <w:rFonts w:ascii="Times New Roman" w:cs="Times New Roman" w:eastAsia="Times New Roman" w:hAnsi="Times New Roman"/>
          <w:sz w:val="14"/>
          <w:szCs w:val="14"/>
          <w:color w:val="auto"/>
        </w:rPr>
        <w:t>Any invitation or inducement to engage in investment activity (within the meaning of Section 21 of the FSMA) in connection with the issue or sale of the ordinary shares may only be communicated or caused to be communicated in circumstances in which Section 21(1) of the FSMA does not apply to us.</w:t>
      </w:r>
    </w:p>
    <w:p>
      <w:pPr>
        <w:spacing w:after="0" w:line="137" w:lineRule="exact"/>
        <w:rPr>
          <w:sz w:val="20"/>
          <w:szCs w:val="20"/>
          <w:color w:val="auto"/>
        </w:rPr>
      </w:pPr>
    </w:p>
    <w:p>
      <w:pPr>
        <w:ind w:left="220" w:right="259" w:firstLine="343"/>
        <w:spacing w:after="0" w:line="282"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to anything done by any person in relation to the ordinary shares in, from or otherwise involving the United Kingdom.</w:t>
      </w:r>
    </w:p>
    <w:p>
      <w:pPr>
        <w:spacing w:after="0" w:line="126"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No ordinary shares which are the subject of the offering contemplated by this prospectus supplement or any related free writing prospectus have been offered or will be offered to the public in the United Kingdom prior to the publication of a prospectus in relation to such ordinary shares which has been approved by the United Kingdom’s Financial Conduct Authority, except that such ordinary shares may be offered to the public in the United Kingdom at any time:</w:t>
      </w:r>
    </w:p>
    <w:p>
      <w:pPr>
        <w:spacing w:after="0" w:line="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to any legal entity which is a qualified investor as defined under Article 2 of the UK Prospectus Regulation;</w:t>
      </w:r>
    </w:p>
    <w:p>
      <w:pPr>
        <w:spacing w:after="0" w:line="1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9019"/>
          </w:cols>
          <w:pgMar w:left="1440" w:top="238" w:right="1440" w:bottom="1440" w:gutter="0" w:footer="0" w:header="0"/>
        </w:sectPr>
      </w:pPr>
    </w:p>
    <w:bookmarkStart w:id="38" w:name="page39"/>
    <w:bookmarkEnd w:id="38"/>
    <w:p>
      <w:pPr>
        <w:ind w:left="560" w:right="359" w:firstLine="32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  to fewer than 150 natural or legal persons (other than qualified investors as defined under Article 2 of the UK Prospectus Regulation) in the United Kingdom, subject to obtaining the prior consent of the relevant underwriters nominated by us for any such offer; or</w:t>
      </w:r>
    </w:p>
    <w:p>
      <w:pPr>
        <w:spacing w:after="0" w:line="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   in any other circumstances falling within Section 86 of the FSMA,</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provided that no such offer of the ordinary shares shall require us or any underwriter to publish a prospectus pursuant to Section 85 of the FSMA.</w:t>
      </w:r>
    </w:p>
    <w:p>
      <w:pPr>
        <w:spacing w:after="0" w:line="175" w:lineRule="exact"/>
        <w:rPr>
          <w:sz w:val="20"/>
          <w:szCs w:val="20"/>
          <w:color w:val="auto"/>
        </w:rPr>
      </w:pPr>
    </w:p>
    <w:p>
      <w:pPr>
        <w:ind w:left="220" w:right="579" w:firstLine="343"/>
        <w:spacing w:after="0" w:line="282" w:lineRule="auto"/>
        <w:rPr>
          <w:sz w:val="20"/>
          <w:szCs w:val="20"/>
          <w:color w:val="auto"/>
        </w:rPr>
      </w:pPr>
      <w:r>
        <w:rPr>
          <w:rFonts w:ascii="Times New Roman" w:cs="Times New Roman" w:eastAsia="Times New Roman" w:hAnsi="Times New Roman"/>
          <w:sz w:val="14"/>
          <w:szCs w:val="14"/>
          <w:color w:val="auto"/>
        </w:rPr>
        <w:t>Each person who initially acquires any ordinary shares or to whom any offer is made will be deemed to have represented, acknowledged and agreed to and with each of the underwriters and us that it is a “qualified investor” as defined in the UK Prospectus Regulation.</w:t>
      </w:r>
    </w:p>
    <w:p>
      <w:pPr>
        <w:spacing w:after="0" w:line="126"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the United Kingdom to qualified investors as so defined in the UK Prospectus Regulation or in circumstances in which the prior consent of the underwriters has been obtained to each such proposed offer or resale.</w:t>
      </w:r>
    </w:p>
    <w:p>
      <w:pPr>
        <w:spacing w:after="0" w:line="142" w:lineRule="exact"/>
        <w:rPr>
          <w:sz w:val="20"/>
          <w:szCs w:val="20"/>
          <w:color w:val="auto"/>
        </w:rPr>
      </w:pPr>
    </w:p>
    <w:p>
      <w:pPr>
        <w:ind w:left="220" w:right="319" w:firstLine="343"/>
        <w:spacing w:after="0" w:line="266" w:lineRule="auto"/>
        <w:rPr>
          <w:sz w:val="20"/>
          <w:szCs w:val="20"/>
          <w:color w:val="auto"/>
        </w:rPr>
      </w:pPr>
      <w:r>
        <w:rPr>
          <w:rFonts w:ascii="Times New Roman" w:cs="Times New Roman" w:eastAsia="Times New Roman" w:hAnsi="Times New Roman"/>
          <w:sz w:val="14"/>
          <w:szCs w:val="14"/>
          <w:color w:val="auto"/>
        </w:rPr>
        <w:t>For the purposes of this provision, the expression “offered to the public” in relation to any ordinary shares means the communication in any form and by any means of sufficient information on the terms of the offer and the ordinary shares to be offered so as to enable an investor to decide to purchase or subscribe for any ordinary shares.</w:t>
      </w:r>
    </w:p>
    <w:p>
      <w:pPr>
        <w:spacing w:after="0" w:line="137"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Pre-funded warrants are not intended to be offered, sold or otherwise made available to and should not be offered, sold or otherwise made available to any retail investor in the United Kingdom. For these purposes, a “retail investor” means a person who is one (or more) of: (i) a retail client, as defined in point (8) of Article 2 of Regulation (EU) No 2017/565 as it forms part of domestic law in the United Kingdom;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in the United Kingdom or (iii) not a qualified investor as defined in Article 2 of the UK Prospectus Regulation. Consequently, no key information document required by Regulation (EU) No 1286/2014 as it forms part of domestic law in the United Kingdom (the “UK PRIIPs Regulation”) for offering or selling the pre-funded warrants or otherwise making them available to retail investors in the United Kingdom has been prepared and therefore offering or selling the pre-funded warrants or otherwise making them available to any retail investor in the United Kingdom may be unlawful under the UK PRIIPs Regulation.</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93" w:lineRule="exact"/>
        <w:rPr>
          <w:sz w:val="20"/>
          <w:szCs w:val="20"/>
          <w:color w:val="auto"/>
        </w:rPr>
      </w:pPr>
    </w:p>
    <w:p>
      <w:pPr>
        <w:jc w:val="both"/>
        <w:ind w:left="220" w:right="319" w:firstLine="343"/>
        <w:spacing w:after="0" w:line="277" w:lineRule="auto"/>
        <w:rPr>
          <w:sz w:val="20"/>
          <w:szCs w:val="20"/>
          <w:color w:val="auto"/>
        </w:rPr>
      </w:pPr>
      <w:r>
        <w:rPr>
          <w:rFonts w:ascii="Times New Roman" w:cs="Times New Roman" w:eastAsia="Times New Roman" w:hAnsi="Times New Roman"/>
          <w:sz w:val="13"/>
          <w:szCs w:val="13"/>
          <w:color w:val="auto"/>
        </w:rPr>
        <w:t>Our ordinary shares have not been and will not be offered or sold in Hong Kong by means of any document other than (i) in circumstances which do not constitute an offer to the public within the meaning of the Companies (Winding Up and Miscellaneous Provisions) Ordinance (Cap.32, Laws of Hong Kong) (the “C(WUMP)O”), (ii) to “professional investors” as defined in the Securities and Futures Ordinance (Cap.571, Laws of Hong Kong)</w:t>
      </w:r>
    </w:p>
    <w:p>
      <w:pPr>
        <w:spacing w:after="0" w:line="1" w:lineRule="exact"/>
        <w:rPr>
          <w:sz w:val="20"/>
          <w:szCs w:val="20"/>
          <w:color w:val="auto"/>
        </w:rPr>
      </w:pPr>
    </w:p>
    <w:p>
      <w:pPr>
        <w:ind w:left="220" w:right="239"/>
        <w:spacing w:after="0" w:line="252" w:lineRule="auto"/>
        <w:rPr>
          <w:sz w:val="20"/>
          <w:szCs w:val="20"/>
          <w:color w:val="auto"/>
        </w:rPr>
      </w:pPr>
      <w:r>
        <w:rPr>
          <w:rFonts w:ascii="Times New Roman" w:cs="Times New Roman" w:eastAsia="Times New Roman" w:hAnsi="Times New Roman"/>
          <w:sz w:val="14"/>
          <w:szCs w:val="14"/>
          <w:color w:val="auto"/>
        </w:rPr>
        <w:t>(the “SFO”) and any rules made thereunder or (iii) in other circumstances which do not result in the document being a “prospectus” as defined in the C(WUMP)O. No advertisement, invitation or document relating to our ordinary shares have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our ordinary shares which are or are intended to be disposed of only to persons outside Hong Kong or only to “professional investors” as defined in of the SFO and any rules made thereunder.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9019"/>
          </w:cols>
          <w:pgMar w:left="1440" w:top="240" w:right="1440" w:bottom="1440" w:gutter="0" w:footer="0" w:header="0"/>
        </w:sectPr>
      </w:pPr>
    </w:p>
    <w:bookmarkStart w:id="39" w:name="page40"/>
    <w:bookmarkEnd w:id="39"/>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Japan</w:t>
      </w:r>
    </w:p>
    <w:p>
      <w:pPr>
        <w:spacing w:after="0" w:line="93" w:lineRule="exact"/>
        <w:rPr>
          <w:sz w:val="20"/>
          <w:szCs w:val="20"/>
          <w:color w:val="auto"/>
        </w:rPr>
      </w:pPr>
    </w:p>
    <w:p>
      <w:pPr>
        <w:ind w:left="220" w:right="299" w:firstLine="343"/>
        <w:spacing w:after="0" w:line="282"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or the FIEL, has been made or will be made with respect to the solicitation of the application for the acquisition of the ordinary shares.</w:t>
      </w:r>
    </w:p>
    <w:p>
      <w:pPr>
        <w:spacing w:after="0" w:line="126"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For Qualified Institutional Investors or QII</w:t>
      </w:r>
    </w:p>
    <w:p>
      <w:pPr>
        <w:spacing w:after="0" w:line="93"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For Non-QII Investors</w:t>
      </w:r>
    </w:p>
    <w:p>
      <w:pPr>
        <w:spacing w:after="0" w:line="93"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93"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has not been and will not be registered as a prospectus under the Securities and Futures Act 2001 (the “SFA”) by the Monetary Authority of Singapore, and the offer of our ordinary shares in Singapore is made primarily pursuant to the exemptions under Section 274 and 275 of the SFA. Accordingly, this prospectus supplement, the accompanying prospectus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w:t>
      </w:r>
    </w:p>
    <w:p>
      <w:pPr>
        <w:spacing w:after="0" w:line="3" w:lineRule="exact"/>
        <w:rPr>
          <w:sz w:val="20"/>
          <w:szCs w:val="20"/>
          <w:color w:val="auto"/>
        </w:rPr>
      </w:pPr>
    </w:p>
    <w:p>
      <w:pPr>
        <w:ind w:left="220" w:right="559"/>
        <w:spacing w:after="0" w:line="254" w:lineRule="auto"/>
        <w:rPr>
          <w:sz w:val="20"/>
          <w:szCs w:val="20"/>
          <w:color w:val="auto"/>
        </w:rPr>
      </w:pPr>
      <w:r>
        <w:rPr>
          <w:rFonts w:ascii="Times New Roman" w:cs="Times New Roman" w:eastAsia="Times New Roman" w:hAnsi="Times New Roman"/>
          <w:sz w:val="14"/>
          <w:szCs w:val="14"/>
          <w:color w:val="auto"/>
        </w:rPr>
        <w:t>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44" w:lineRule="exact"/>
        <w:rPr>
          <w:sz w:val="20"/>
          <w:szCs w:val="20"/>
          <w:color w:val="auto"/>
        </w:rPr>
      </w:pPr>
    </w:p>
    <w:p>
      <w:pPr>
        <w:ind w:left="220" w:right="359" w:firstLine="343"/>
        <w:spacing w:after="0" w:line="282" w:lineRule="auto"/>
        <w:rPr>
          <w:sz w:val="20"/>
          <w:szCs w:val="20"/>
          <w:color w:val="auto"/>
        </w:rPr>
      </w:pPr>
      <w:r>
        <w:rPr>
          <w:rFonts w:ascii="Times New Roman" w:cs="Times New Roman" w:eastAsia="Times New Roman" w:hAnsi="Times New Roman"/>
          <w:sz w:val="14"/>
          <w:szCs w:val="14"/>
          <w:color w:val="auto"/>
        </w:rPr>
        <w:t>It is a condition of the offer that where our ordinary shares are subscribed for or acquired pursuant to an offer made in reliance on Section 275 of the SFA by a Relevant Person which is:</w:t>
      </w:r>
    </w:p>
    <w:p>
      <w:pPr>
        <w:spacing w:after="0" w:line="42" w:lineRule="exact"/>
        <w:rPr>
          <w:sz w:val="20"/>
          <w:szCs w:val="20"/>
          <w:color w:val="auto"/>
        </w:rPr>
      </w:pPr>
    </w:p>
    <w:p>
      <w:pPr>
        <w:ind w:left="560" w:right="479" w:firstLine="329"/>
        <w:spacing w:after="0" w:line="282" w:lineRule="auto"/>
        <w:rPr>
          <w:sz w:val="20"/>
          <w:szCs w:val="20"/>
          <w:color w:val="auto"/>
        </w:rPr>
      </w:pPr>
      <w:r>
        <w:rPr>
          <w:rFonts w:ascii="Times New Roman" w:cs="Times New Roman" w:eastAsia="Times New Roman" w:hAnsi="Times New Roman"/>
          <w:sz w:val="14"/>
          <w:szCs w:val="14"/>
          <w:color w:val="auto"/>
        </w:rPr>
        <w:t>(a)  a corporation (which is not an Accredited Investor), the sole business of which is to hold investments and the entire share capital of which is owned by one or more individuals, each of whom is an Accredited Investor; or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9019"/>
          </w:cols>
          <w:pgMar w:left="1440" w:top="238" w:right="1440" w:bottom="1440" w:gutter="0" w:footer="0" w:header="0"/>
        </w:sectPr>
      </w:pPr>
    </w:p>
    <w:bookmarkStart w:id="40" w:name="page41"/>
    <w:bookmarkEnd w:id="40"/>
    <w:p>
      <w:pPr>
        <w:ind w:left="560" w:right="419" w:firstLine="32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(b)  a trust (where the trustee is not an Accredited Investor), the sole purpose of which is to hold investments and each beneficiary of the trust is an individual who is an Accredited Investor,</w:t>
      </w:r>
    </w:p>
    <w:p>
      <w:pPr>
        <w:spacing w:after="0" w:line="126" w:lineRule="exact"/>
        <w:rPr>
          <w:sz w:val="20"/>
          <w:szCs w:val="20"/>
          <w:color w:val="auto"/>
        </w:rPr>
      </w:pPr>
    </w:p>
    <w:p>
      <w:pPr>
        <w:ind w:left="220" w:right="259" w:firstLine="343"/>
        <w:spacing w:after="0" w:line="266" w:lineRule="auto"/>
        <w:rPr>
          <w:sz w:val="20"/>
          <w:szCs w:val="20"/>
          <w:color w:val="auto"/>
        </w:rPr>
      </w:pPr>
      <w:r>
        <w:rPr>
          <w:rFonts w:ascii="Times New Roman" w:cs="Times New Roman" w:eastAsia="Times New Roman" w:hAnsi="Times New Roman"/>
          <w:sz w:val="14"/>
          <w:szCs w:val="14"/>
          <w:color w:val="auto"/>
        </w:rPr>
        <w:t>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our ordinary shares except:</w:t>
      </w:r>
    </w:p>
    <w:p>
      <w:pPr>
        <w:spacing w:after="0" w:line="53" w:lineRule="exact"/>
        <w:rPr>
          <w:sz w:val="20"/>
          <w:szCs w:val="20"/>
          <w:color w:val="auto"/>
        </w:rPr>
      </w:pPr>
    </w:p>
    <w:p>
      <w:pPr>
        <w:ind w:left="560" w:right="419" w:firstLine="329"/>
        <w:spacing w:after="0" w:line="282" w:lineRule="auto"/>
        <w:rPr>
          <w:sz w:val="20"/>
          <w:szCs w:val="20"/>
          <w:color w:val="auto"/>
        </w:rPr>
      </w:pPr>
      <w:r>
        <w:rPr>
          <w:rFonts w:ascii="Times New Roman" w:cs="Times New Roman" w:eastAsia="Times New Roman" w:hAnsi="Times New Roman"/>
          <w:sz w:val="14"/>
          <w:szCs w:val="14"/>
          <w:color w:val="auto"/>
        </w:rPr>
        <w:t>1.  to an Institutional Investor, an Accredited Investor, a Relevant Person, or which arises from an offer referred to in Section 275(1A) of the SFA (in the case of that corporation) or Section 276(4)(c)(ii) of the SFA (in the case of that trust);</w:t>
      </w:r>
    </w:p>
    <w:p>
      <w:pPr>
        <w:spacing w:after="0" w:line="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2.   where no consideration is or will be given for the transfer;</w:t>
      </w:r>
    </w:p>
    <w:p>
      <w:pPr>
        <w:spacing w:after="0" w:line="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3.   where the transfer is by operation of law;</w:t>
      </w:r>
    </w:p>
    <w:p>
      <w:pPr>
        <w:spacing w:after="0" w:line="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4.   as specified in Section 276(7) of the SFA; or</w:t>
      </w:r>
    </w:p>
    <w:p>
      <w:pPr>
        <w:spacing w:after="0" w:line="91" w:lineRule="exact"/>
        <w:rPr>
          <w:sz w:val="20"/>
          <w:szCs w:val="20"/>
          <w:color w:val="auto"/>
        </w:rPr>
      </w:pPr>
    </w:p>
    <w:p>
      <w:pPr>
        <w:ind w:left="560" w:right="679" w:firstLine="329"/>
        <w:spacing w:after="0" w:line="282" w:lineRule="auto"/>
        <w:rPr>
          <w:sz w:val="20"/>
          <w:szCs w:val="20"/>
          <w:color w:val="auto"/>
        </w:rPr>
      </w:pPr>
      <w:r>
        <w:rPr>
          <w:rFonts w:ascii="Times New Roman" w:cs="Times New Roman" w:eastAsia="Times New Roman" w:hAnsi="Times New Roman"/>
          <w:sz w:val="14"/>
          <w:szCs w:val="14"/>
          <w:color w:val="auto"/>
        </w:rPr>
        <w:t>5.  as specified in Regulation 37A of the Securities and Futures (Offers of Investments) (Securities and Securities-based Derivatives Contracts) Regulations 2018.</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3"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t>The ordinary shares may not be publicly offered, directly or indirectly, in Switzerland within the meaning of the Swiss Financial Services Act (“FinSA”) and no application has or will be made to admit the ordinary shares to trading on any trading venue (exchange or multilateral trading facility) in Switzerland. Neither this prospectus supplement, the accompanying prospectus nor any other offering or marketing material relating to the ordinary shares constitute a prospectus pursuant to the FinSA, and neither this prospectus supplement, the accompanying prospectus nor any other offering or marketing material relating to the ordinary shares may be publicly distributed or otherwise made publicly available in Switzerland.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9019"/>
          </w:cols>
          <w:pgMar w:left="1440" w:top="240"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LEGAL MATTERS</w:t>
      </w:r>
    </w:p>
    <w:p>
      <w:pPr>
        <w:spacing w:after="0" w:line="177" w:lineRule="exact"/>
        <w:rPr>
          <w:sz w:val="20"/>
          <w:szCs w:val="20"/>
          <w:color w:val="auto"/>
        </w:rPr>
      </w:pPr>
    </w:p>
    <w:p>
      <w:pPr>
        <w:ind w:left="220" w:right="399" w:firstLine="343"/>
        <w:spacing w:after="0" w:line="261" w:lineRule="auto"/>
        <w:rPr>
          <w:sz w:val="20"/>
          <w:szCs w:val="20"/>
          <w:color w:val="auto"/>
        </w:rPr>
      </w:pPr>
      <w:r>
        <w:rPr>
          <w:rFonts w:ascii="Times New Roman" w:cs="Times New Roman" w:eastAsia="Times New Roman" w:hAnsi="Times New Roman"/>
          <w:sz w:val="14"/>
          <w:szCs w:val="14"/>
          <w:color w:val="auto"/>
        </w:rPr>
        <w:t>The validity of the ordinary shares and certain other matters of Dutch law will be passed upon for us by NautaDutilh N.V. The validity of the pre-funded warrants and certain other matters of U.S. federal and New York State law will be passed upon for us by Kirkland &amp; Ellis LLP, New York, New York. Sidley Austin LLP, San Francisco, California, and Loyens &amp; Loeff N.V., Amsterdam, The Netherlands are counsel to the underwriters in connection with this offering.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9019"/>
          </w:cols>
          <w:pgMar w:left="1440" w:top="238"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EXPERTS</w:t>
      </w:r>
    </w:p>
    <w:p>
      <w:pPr>
        <w:spacing w:after="0" w:line="177"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2024 have been so incorporated in reliance on the report of PricewaterhouseCoopers Accountants N.V., an independent registered public accounting firm, given on the authority of said firm as experts in auditing and accounting.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9019"/>
          </w:cols>
          <w:pgMar w:left="1440" w:top="238"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WHERE YOU CAN FIND MORE INFORMATION</w:t>
      </w:r>
    </w:p>
    <w:p>
      <w:pPr>
        <w:spacing w:after="0" w:line="177"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We have filed with the U.S. Securities and Exchange Commission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http://www.pharvaris.com. Our website is not a part of this prospectus supplement and is not incorporated by reference in this prospectus supplement.</w:t>
      </w:r>
    </w:p>
    <w:p>
      <w:pPr>
        <w:spacing w:after="0" w:line="140"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9019"/>
          </w:cols>
          <w:pgMar w:left="1440" w:top="238"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INCORPORATION BY REFERENCE</w:t>
      </w:r>
    </w:p>
    <w:p>
      <w:pPr>
        <w:spacing w:after="0" w:line="177" w:lineRule="exact"/>
        <w:rPr>
          <w:sz w:val="20"/>
          <w:szCs w:val="20"/>
          <w:color w:val="auto"/>
        </w:rPr>
      </w:pPr>
    </w:p>
    <w:p>
      <w:pPr>
        <w:ind w:left="220" w:right="299"/>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incorporate by reference the following documents or information that we have filed with the SEC:</w:t>
      </w:r>
    </w:p>
    <w:p>
      <w:pPr>
        <w:spacing w:after="0" w:line="102" w:lineRule="exact"/>
        <w:rPr>
          <w:sz w:val="20"/>
          <w:szCs w:val="20"/>
          <w:color w:val="auto"/>
        </w:rPr>
      </w:pPr>
    </w:p>
    <w:p>
      <w:pPr>
        <w:ind w:left="980" w:hanging="341"/>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5">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April 7, 2025.</w:t>
      </w:r>
    </w:p>
    <w:p>
      <w:pPr>
        <w:spacing w:after="0" w:line="101" w:lineRule="exact"/>
        <w:rPr>
          <w:rFonts w:ascii="Times New Roman" w:cs="Times New Roman" w:eastAsia="Times New Roman" w:hAnsi="Times New Roman"/>
          <w:sz w:val="14"/>
          <w:szCs w:val="14"/>
          <w:color w:val="auto"/>
        </w:rPr>
      </w:pPr>
    </w:p>
    <w:p>
      <w:pPr>
        <w:ind w:left="980" w:right="299" w:hanging="341"/>
        <w:spacing w:after="0" w:line="282" w:lineRule="auto"/>
        <w:tabs>
          <w:tab w:leader="none" w:pos="980" w:val="left"/>
        </w:tabs>
        <w:numPr>
          <w:ilvl w:val="0"/>
          <w:numId w:val="24"/>
        </w:numPr>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auto"/>
          </w:rPr>
          <w:t xml:space="preserve">Our Current Reports on Form 6-K, filed on </w:t>
        </w:r>
        <w:r>
          <w:rPr>
            <w:rFonts w:ascii="Times New Roman" w:cs="Times New Roman" w:eastAsia="Times New Roman" w:hAnsi="Times New Roman"/>
            <w:sz w:val="14"/>
            <w:szCs w:val="14"/>
            <w:u w:val="single" w:color="auto"/>
            <w:color w:val="0000EE"/>
          </w:rPr>
          <w:t>January 13, 2025</w:t>
        </w:r>
        <w:r>
          <w:rPr>
            <w:rFonts w:ascii="Times New Roman" w:cs="Times New Roman" w:eastAsia="Times New Roman" w:hAnsi="Times New Roman"/>
            <w:sz w:val="14"/>
            <w:szCs w:val="14"/>
            <w:color w:val="auto"/>
          </w:rPr>
          <w:t xml:space="preserve"> (other than Exhibit 99.2), </w:t>
        </w:r>
        <w:r>
          <w:rPr>
            <w:rFonts w:ascii="Times New Roman" w:cs="Times New Roman" w:eastAsia="Times New Roman" w:hAnsi="Times New Roman"/>
            <w:sz w:val="14"/>
            <w:szCs w:val="14"/>
            <w:u w:val="single" w:color="auto"/>
            <w:color w:val="0000EE"/>
          </w:rPr>
          <w:t>May 13, 2025</w:t>
        </w:r>
        <w:r>
          <w:rPr>
            <w:rFonts w:ascii="Times New Roman" w:cs="Times New Roman" w:eastAsia="Times New Roman" w:hAnsi="Times New Roman"/>
            <w:sz w:val="14"/>
            <w:szCs w:val="14"/>
            <w:color w:val="auto"/>
          </w:rPr>
          <w:t xml:space="preserve"> (other than Exhibit 99.1), </w:t>
        </w:r>
        <w:r>
          <w:rPr>
            <w:rFonts w:ascii="Times New Roman" w:cs="Times New Roman" w:eastAsia="Times New Roman" w:hAnsi="Times New Roman"/>
            <w:sz w:val="14"/>
            <w:szCs w:val="14"/>
            <w:u w:val="single" w:color="auto"/>
            <w:color w:val="0000EE"/>
          </w:rPr>
          <w:t>June 10,</w:t>
        </w:r>
      </w:hyperlink>
      <w:r>
        <w:rPr>
          <w:rFonts w:ascii="Times New Roman" w:cs="Times New Roman" w:eastAsia="Times New Roman" w:hAnsi="Times New Roman"/>
          <w:sz w:val="14"/>
          <w:szCs w:val="14"/>
          <w:color w:val="auto"/>
        </w:rPr>
        <w:t xml:space="preserve"> </w:t>
      </w:r>
      <w:hyperlink r:id="rId56">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(other than Exhibit 99.4) and</w:t>
        </w:r>
        <w:r>
          <w:rPr>
            <w:rFonts w:ascii="Times New Roman" w:cs="Times New Roman" w:eastAsia="Times New Roman" w:hAnsi="Times New Roman"/>
            <w:sz w:val="14"/>
            <w:szCs w:val="14"/>
            <w:color w:val="0000EE"/>
          </w:rPr>
          <w:t xml:space="preserve"> </w:t>
        </w:r>
      </w:hyperlink>
      <w:hyperlink r:id="rId57">
        <w:r>
          <w:rPr>
            <w:rFonts w:ascii="Times New Roman" w:cs="Times New Roman" w:eastAsia="Times New Roman" w:hAnsi="Times New Roman"/>
            <w:sz w:val="14"/>
            <w:szCs w:val="14"/>
            <w:u w:val="single" w:color="auto"/>
            <w:color w:val="0000EE"/>
          </w:rPr>
          <w:t>June 27, 2025</w:t>
        </w:r>
      </w:hyperlink>
      <w:hyperlink r:id="rId56">
        <w:r>
          <w:rPr>
            <w:rFonts w:ascii="Times New Roman" w:cs="Times New Roman" w:eastAsia="Times New Roman" w:hAnsi="Times New Roman"/>
            <w:sz w:val="14"/>
            <w:szCs w:val="14"/>
            <w:color w:val="000000"/>
          </w:rPr>
          <w:t>.</w:t>
        </w:r>
      </w:hyperlink>
    </w:p>
    <w:p>
      <w:pPr>
        <w:spacing w:after="0" w:line="52" w:lineRule="exact"/>
        <w:rPr>
          <w:rFonts w:ascii="Times New Roman" w:cs="Times New Roman" w:eastAsia="Times New Roman" w:hAnsi="Times New Roman"/>
          <w:sz w:val="14"/>
          <w:szCs w:val="14"/>
          <w:color w:val="0000EE"/>
        </w:rPr>
      </w:pPr>
    </w:p>
    <w:p>
      <w:pPr>
        <w:ind w:left="980" w:right="479" w:hanging="341"/>
        <w:spacing w:after="0" w:line="266"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contained in our registration statement on Form 8-A filed with the SEC on </w:t>
      </w:r>
      <w:hyperlink r:id="rId58">
        <w:r>
          <w:rPr>
            <w:rFonts w:ascii="Times New Roman" w:cs="Times New Roman" w:eastAsia="Times New Roman" w:hAnsi="Times New Roman"/>
            <w:sz w:val="14"/>
            <w:szCs w:val="14"/>
            <w:u w:val="single" w:color="auto"/>
            <w:color w:val="0000EE"/>
          </w:rPr>
          <w:t>February 4, 2021</w:t>
        </w:r>
      </w:hyperlink>
      <w:r>
        <w:rPr>
          <w:rFonts w:ascii="Times New Roman" w:cs="Times New Roman" w:eastAsia="Times New Roman" w:hAnsi="Times New Roman"/>
          <w:sz w:val="14"/>
          <w:szCs w:val="14"/>
          <w:color w:val="auto"/>
        </w:rPr>
        <w:t xml:space="preserve">, as updated by the description of our ordinary shares filed as </w:t>
      </w:r>
      <w:hyperlink r:id="rId59">
        <w:r>
          <w:rPr>
            <w:rFonts w:ascii="Times New Roman" w:cs="Times New Roman" w:eastAsia="Times New Roman" w:hAnsi="Times New Roman"/>
            <w:sz w:val="14"/>
            <w:szCs w:val="14"/>
            <w:u w:val="single" w:color="auto"/>
            <w:color w:val="0000EE"/>
          </w:rPr>
          <w:t>Exhibit 2.1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20-F for the fiscal year ended December 31, 2024.</w:t>
      </w:r>
    </w:p>
    <w:p>
      <w:pPr>
        <w:spacing w:after="0" w:line="137" w:lineRule="exact"/>
        <w:rPr>
          <w:rFonts w:ascii="Times New Roman" w:cs="Times New Roman" w:eastAsia="Times New Roman" w:hAnsi="Times New Roman"/>
          <w:sz w:val="14"/>
          <w:szCs w:val="14"/>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All annual reports we file with the SEC pursuant to the Exchange Act on Form 20-F on or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40" w:lineRule="exact"/>
        <w:rPr>
          <w:rFonts w:ascii="Times New Roman" w:cs="Times New Roman" w:eastAsia="Times New Roman" w:hAnsi="Times New Roman"/>
          <w:sz w:val="14"/>
          <w:szCs w:val="14"/>
          <w:color w:val="auto"/>
        </w:rPr>
      </w:pPr>
    </w:p>
    <w:p>
      <w:pPr>
        <w:ind w:left="220" w:right="359" w:firstLine="343"/>
        <w:spacing w:after="0" w:line="277" w:lineRule="auto"/>
        <w:rPr>
          <w:sz w:val="20"/>
          <w:szCs w:val="20"/>
          <w:color w:val="auto"/>
        </w:rPr>
      </w:pPr>
      <w:r>
        <w:rPr>
          <w:rFonts w:ascii="Times New Roman" w:cs="Times New Roman" w:eastAsia="Times New Roman" w:hAnsi="Times New Roman"/>
          <w:sz w:val="13"/>
          <w:szCs w:val="13"/>
          <w:color w:val="auto"/>
        </w:rPr>
        <w:t>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w:t>
      </w:r>
    </w:p>
    <w:p>
      <w:pPr>
        <w:spacing w:after="0" w:line="1" w:lineRule="exact"/>
        <w:rPr>
          <w:rFonts w:ascii="Times New Roman" w:cs="Times New Roman" w:eastAsia="Times New Roman" w:hAnsi="Times New Roman"/>
          <w:sz w:val="14"/>
          <w:szCs w:val="14"/>
          <w:color w:val="auto"/>
        </w:rPr>
      </w:pPr>
    </w:p>
    <w:p>
      <w:pPr>
        <w:ind w:left="220"/>
        <w:spacing w:after="0"/>
        <w:rPr>
          <w:sz w:val="20"/>
          <w:szCs w:val="20"/>
          <w:color w:val="auto"/>
        </w:rPr>
      </w:pPr>
      <w:r>
        <w:rPr>
          <w:rFonts w:ascii="Times New Roman" w:cs="Times New Roman" w:eastAsia="Times New Roman" w:hAnsi="Times New Roman"/>
          <w:sz w:val="14"/>
          <w:szCs w:val="14"/>
          <w:color w:val="auto"/>
        </w:rPr>
        <w:t>(0)71 203 6410.</w:t>
      </w:r>
    </w:p>
    <w:p>
      <w:pPr>
        <w:spacing w:after="0" w:line="108"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9019"/>
          </w:cols>
          <w:pgMar w:left="1440" w:top="238" w:right="1440" w:bottom="1440" w:gutter="0" w:footer="0" w:header="0"/>
        </w:sectPr>
      </w:pPr>
    </w:p>
    <w:bookmarkStart w:id="45" w:name="page46"/>
    <w:bookmarkEnd w:id="45"/>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PROSPECTUS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Ordinary shares, Debt Securities,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141605</wp:posOffset>
            </wp:positionV>
            <wp:extent cx="1694180" cy="280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69418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Pharvaris N.V.</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187960</wp:posOffset>
            </wp:positionV>
            <wp:extent cx="11468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We may offer, from time to time, in one or more offerings, ordinary shares, senior debt securities, subordinated debt securities, warrants, purchase contracts or units,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as well as the documents incorporated by reference herein or therein, carefully before you make your investment decision.</w:t>
      </w:r>
    </w:p>
    <w:p>
      <w:pPr>
        <w:spacing w:after="0" w:line="147" w:lineRule="exact"/>
        <w:rPr>
          <w:sz w:val="20"/>
          <w:szCs w:val="20"/>
          <w:color w:val="auto"/>
        </w:rPr>
      </w:pPr>
    </w:p>
    <w:p>
      <w:pPr>
        <w:ind w:left="220" w:right="379" w:firstLine="343"/>
        <w:spacing w:after="0" w:line="266" w:lineRule="auto"/>
        <w:rPr>
          <w:sz w:val="20"/>
          <w:szCs w:val="20"/>
          <w:color w:val="auto"/>
        </w:rPr>
      </w:pPr>
      <w:r>
        <w:rPr>
          <w:rFonts w:ascii="Times New Roman" w:cs="Times New Roman" w:eastAsia="Times New Roman" w:hAnsi="Times New Roman"/>
          <w:sz w:val="14"/>
          <w:szCs w:val="14"/>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37 of this prospectus.</w:t>
      </w:r>
    </w:p>
    <w:p>
      <w:pPr>
        <w:spacing w:after="0" w:line="135" w:lineRule="exact"/>
        <w:rPr>
          <w:sz w:val="20"/>
          <w:szCs w:val="20"/>
          <w:color w:val="auto"/>
        </w:rPr>
      </w:pPr>
    </w:p>
    <w:p>
      <w:pPr>
        <w:ind w:left="220" w:right="679" w:firstLine="343"/>
        <w:spacing w:after="0" w:line="285" w:lineRule="auto"/>
        <w:rPr>
          <w:sz w:val="20"/>
          <w:szCs w:val="20"/>
          <w:color w:val="auto"/>
        </w:rPr>
      </w:pPr>
      <w:r>
        <w:rPr>
          <w:rFonts w:ascii="Times New Roman" w:cs="Times New Roman" w:eastAsia="Times New Roman" w:hAnsi="Times New Roman"/>
          <w:sz w:val="14"/>
          <w:szCs w:val="14"/>
          <w:b w:val="1"/>
          <w:bCs w:val="1"/>
          <w:color w:val="auto"/>
        </w:rPr>
        <w:t>YOU SHOULD READ THIS PROSPECTUS AND ANY SUPPLEMENT TO THIS PROSPECTUS CAREFULLY BEFORE YOU INVEST.</w:t>
      </w:r>
    </w:p>
    <w:p>
      <w:pPr>
        <w:spacing w:after="0" w:line="124" w:lineRule="exact"/>
        <w:rPr>
          <w:sz w:val="20"/>
          <w:szCs w:val="20"/>
          <w:color w:val="auto"/>
        </w:rPr>
      </w:pPr>
    </w:p>
    <w:p>
      <w:pPr>
        <w:ind w:left="220" w:right="659" w:firstLine="343"/>
        <w:spacing w:after="0" w:line="282" w:lineRule="auto"/>
        <w:rPr>
          <w:sz w:val="20"/>
          <w:szCs w:val="20"/>
          <w:color w:val="auto"/>
        </w:rPr>
      </w:pPr>
      <w:r>
        <w:rPr>
          <w:rFonts w:ascii="Times New Roman" w:cs="Times New Roman" w:eastAsia="Times New Roman" w:hAnsi="Times New Roman"/>
          <w:sz w:val="14"/>
          <w:szCs w:val="14"/>
          <w:color w:val="auto"/>
        </w:rPr>
        <w:t>Our ordinary shares are listed on The Nasdaq Global Select Market under the symbol “PHVS.” On April 11, 2024, the last sale price of our ordinary shares as reported by The Nasdaq Global Select Market was $22.31 per ordinary share.</w:t>
      </w:r>
    </w:p>
    <w:p>
      <w:pPr>
        <w:spacing w:after="0" w:line="126" w:lineRule="exact"/>
        <w:rPr>
          <w:sz w:val="20"/>
          <w:szCs w:val="20"/>
          <w:color w:val="auto"/>
        </w:rPr>
      </w:pPr>
    </w:p>
    <w:p>
      <w:pPr>
        <w:ind w:left="220" w:right="379" w:firstLine="343"/>
        <w:spacing w:after="0" w:line="266" w:lineRule="auto"/>
        <w:rPr>
          <w:sz w:val="20"/>
          <w:szCs w:val="20"/>
          <w:color w:val="auto"/>
        </w:rPr>
      </w:pPr>
      <w:r>
        <w:rPr>
          <w:rFonts w:ascii="Times New Roman" w:cs="Times New Roman" w:eastAsia="Times New Roman" w:hAnsi="Times New Roman"/>
          <w:sz w:val="14"/>
          <w:szCs w:val="14"/>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w:t>
      </w:r>
    </w:p>
    <w:p>
      <w:pPr>
        <w:spacing w:after="0" w:line="135" w:lineRule="exact"/>
        <w:rPr>
          <w:sz w:val="20"/>
          <w:szCs w:val="20"/>
          <w:color w:val="auto"/>
        </w:rPr>
      </w:pPr>
    </w:p>
    <w:p>
      <w:pPr>
        <w:ind w:left="220" w:right="399"/>
        <w:spacing w:after="0" w:line="285"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161290</wp:posOffset>
            </wp:positionV>
            <wp:extent cx="11468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396" w:lineRule="exact"/>
        <w:rPr>
          <w:sz w:val="20"/>
          <w:szCs w:val="20"/>
          <w:color w:val="auto"/>
        </w:rPr>
      </w:pPr>
    </w:p>
    <w:p>
      <w:pPr>
        <w:ind w:left="220" w:right="399"/>
        <w:spacing w:after="0" w:line="326" w:lineRule="auto"/>
        <w:rPr>
          <w:sz w:val="20"/>
          <w:szCs w:val="20"/>
          <w:color w:val="auto"/>
        </w:rPr>
      </w:pPr>
      <w:r>
        <w:rPr>
          <w:rFonts w:ascii="Times New Roman" w:cs="Times New Roman" w:eastAsia="Times New Roman" w:hAnsi="Times New Roman"/>
          <w:sz w:val="13"/>
          <w:szCs w:val="13"/>
          <w:b w:val="1"/>
          <w:bCs w:val="1"/>
          <w:color w:val="auto"/>
        </w:rPr>
        <w:t>Investing in our securities involves risks. 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7 of this prospectus. In addition, please review any additional risk factors in the accompanying prospectus supplement, any free writing prospectus and any documents we 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139700</wp:posOffset>
            </wp:positionV>
            <wp:extent cx="11468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12, 2024.</w:t>
      </w:r>
    </w:p>
    <w:p>
      <w:pPr>
        <w:sectPr>
          <w:pgSz w:w="11900" w:h="16838" w:orient="portrait"/>
          <w:cols w:equalWidth="0" w:num="1">
            <w:col w:w="9019"/>
          </w:cols>
          <w:pgMar w:left="1440" w:top="238" w:right="1440" w:bottom="1440" w:gutter="0" w:footer="0" w:header="0"/>
        </w:sectPr>
      </w:pPr>
    </w:p>
    <w:bookmarkStart w:id="46" w:name="page47"/>
    <w:bookmarkEnd w:id="46"/>
    <w:p>
      <w:pPr>
        <w:ind w:left="220" w:right="239"/>
        <w:spacing w:after="0" w:line="25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60" w:type="dxa"/>
            <w:vAlign w:val="bottom"/>
          </w:tcPr>
          <w:p>
            <w:pPr>
              <w:spacing w:after="0"/>
              <w:rPr>
                <w:sz w:val="16"/>
                <w:szCs w:val="16"/>
                <w:color w:val="auto"/>
              </w:rPr>
            </w:pPr>
          </w:p>
        </w:tc>
      </w:tr>
      <w:tr>
        <w:trPr>
          <w:trHeight w:val="326"/>
        </w:trPr>
        <w:tc>
          <w:tcPr>
            <w:tcW w:w="1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ABOUT THIS PROSPECTUS</w:t>
            </w:r>
          </w:p>
        </w:tc>
        <w:tc>
          <w:tcPr>
            <w:tcW w:w="562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8"/>
        </w:trPr>
        <w:tc>
          <w:tcPr>
            <w:tcW w:w="736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8"/>
        </w:trPr>
        <w:tc>
          <w:tcPr>
            <w:tcW w:w="736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106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4"/>
              </w:rPr>
              <w:t>PHARVARIS N.V.</w:t>
            </w:r>
          </w:p>
        </w:tc>
        <w:tc>
          <w:tcPr>
            <w:tcW w:w="3080" w:type="dxa"/>
            <w:vAlign w:val="bottom"/>
            <w:tcBorders>
              <w:top w:val="single" w:sz="8" w:color="0000EE"/>
            </w:tcBorders>
            <w:gridSpan w:val="13"/>
          </w:tcPr>
          <w:p>
            <w:pPr>
              <w:spacing w:after="0"/>
              <w:rPr>
                <w:sz w:val="12"/>
                <w:szCs w:val="12"/>
                <w:color w:val="auto"/>
              </w:rPr>
            </w:pPr>
          </w:p>
        </w:tc>
        <w:tc>
          <w:tcPr>
            <w:tcW w:w="3220" w:type="dxa"/>
            <w:vAlign w:val="bottom"/>
            <w:gridSpan w:val="3"/>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r>
      <w:tr>
        <w:trPr>
          <w:trHeight w:val="148"/>
        </w:trPr>
        <w:tc>
          <w:tcPr>
            <w:tcW w:w="98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7"/>
              </w:rPr>
              <w:t>RISK FACTORS</w:t>
            </w:r>
          </w:p>
        </w:tc>
        <w:tc>
          <w:tcPr>
            <w:tcW w:w="6380" w:type="dxa"/>
            <w:vAlign w:val="bottom"/>
            <w:gridSpan w:val="17"/>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r>
      <w:tr>
        <w:trPr>
          <w:trHeight w:val="148"/>
        </w:trPr>
        <w:tc>
          <w:tcPr>
            <w:tcW w:w="736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8"/>
        </w:trPr>
        <w:tc>
          <w:tcPr>
            <w:tcW w:w="4440" w:type="dxa"/>
            <w:vAlign w:val="bottom"/>
            <w:tcBorders>
              <w:bottom w:val="single" w:sz="8" w:color="0000EE"/>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SHARE CAPITAL AND ARTICLES OF ASSOCIATION</w:t>
            </w:r>
          </w:p>
        </w:tc>
        <w:tc>
          <w:tcPr>
            <w:tcW w:w="2920" w:type="dxa"/>
            <w:vAlign w:val="bottom"/>
            <w:gridSpan w:val="2"/>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r>
      <w:tr>
        <w:trPr>
          <w:trHeight w:val="148"/>
        </w:trPr>
        <w:tc>
          <w:tcPr>
            <w:tcW w:w="736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COMPARISON OF DUTCH LAW AND OUR ARTICLES OF ASSOCIATION AND U.S. CORPORATE LAW</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w:t>
            </w:r>
          </w:p>
        </w:tc>
      </w:tr>
      <w:tr>
        <w:trPr>
          <w:trHeight w:val="148"/>
        </w:trPr>
        <w:tc>
          <w:tcPr>
            <w:tcW w:w="2360" w:type="dxa"/>
            <w:vAlign w:val="bottom"/>
            <w:tcBorders>
              <w:top w:val="single" w:sz="8" w:color="0000EE"/>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DEBT SECURITIES</w:t>
            </w:r>
          </w:p>
        </w:tc>
        <w:tc>
          <w:tcPr>
            <w:tcW w:w="3960" w:type="dxa"/>
            <w:vAlign w:val="bottom"/>
            <w:tcBorders>
              <w:top w:val="single" w:sz="8" w:color="0000EE"/>
            </w:tcBorders>
            <w:gridSpan w:val="6"/>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28</w:t>
            </w:r>
          </w:p>
        </w:tc>
      </w:tr>
      <w:tr>
        <w:trPr>
          <w:trHeight w:val="148"/>
        </w:trPr>
        <w:tc>
          <w:tcPr>
            <w:tcW w:w="736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DESCRIPTION OF WARRANTS</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32</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8"/>
        </w:trPr>
        <w:tc>
          <w:tcPr>
            <w:tcW w:w="276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PURCHASE CONTRACTS</w:t>
            </w:r>
          </w:p>
        </w:tc>
        <w:tc>
          <w:tcPr>
            <w:tcW w:w="4600" w:type="dxa"/>
            <w:vAlign w:val="bottom"/>
            <w:gridSpan w:val="6"/>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33</w:t>
            </w:r>
          </w:p>
        </w:tc>
      </w:tr>
      <w:tr>
        <w:trPr>
          <w:trHeight w:val="148"/>
        </w:trPr>
        <w:tc>
          <w:tcPr>
            <w:tcW w:w="736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DESCRIPTION OF UNITS</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34</w:t>
            </w:r>
          </w:p>
        </w:tc>
      </w:tr>
      <w:tr>
        <w:trPr>
          <w:trHeight w:val="148"/>
        </w:trPr>
        <w:tc>
          <w:tcPr>
            <w:tcW w:w="1520" w:type="dxa"/>
            <w:vAlign w:val="bottom"/>
            <w:tcBorders>
              <w:top w:val="single" w:sz="8" w:color="0000EE"/>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8"/>
              </w:rPr>
              <w:t>FORMS OF SECURITIES</w:t>
            </w:r>
          </w:p>
        </w:tc>
        <w:tc>
          <w:tcPr>
            <w:tcW w:w="40" w:type="dxa"/>
            <w:vAlign w:val="bottom"/>
            <w:tcBorders>
              <w:top w:val="single" w:sz="8" w:color="0000EE"/>
            </w:tcBorders>
          </w:tcPr>
          <w:p>
            <w:pPr>
              <w:spacing w:after="0"/>
              <w:rPr>
                <w:sz w:val="12"/>
                <w:szCs w:val="12"/>
                <w:color w:val="auto"/>
              </w:rPr>
            </w:pPr>
          </w:p>
        </w:tc>
        <w:tc>
          <w:tcPr>
            <w:tcW w:w="5800" w:type="dxa"/>
            <w:vAlign w:val="bottom"/>
            <w:gridSpan w:val="12"/>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35</w:t>
            </w:r>
          </w:p>
        </w:tc>
      </w:tr>
      <w:tr>
        <w:trPr>
          <w:trHeight w:val="148"/>
        </w:trPr>
        <w:tc>
          <w:tcPr>
            <w:tcW w:w="160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5760" w:type="dxa"/>
            <w:vAlign w:val="bottom"/>
            <w:gridSpan w:val="11"/>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37</w:t>
            </w:r>
          </w:p>
        </w:tc>
      </w:tr>
      <w:tr>
        <w:trPr>
          <w:trHeight w:val="148"/>
        </w:trPr>
        <w:tc>
          <w:tcPr>
            <w:tcW w:w="736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39</w:t>
            </w:r>
          </w:p>
        </w:tc>
      </w:tr>
      <w:tr>
        <w:trPr>
          <w:trHeight w:val="148"/>
        </w:trPr>
        <w:tc>
          <w:tcPr>
            <w:tcW w:w="2120" w:type="dxa"/>
            <w:vAlign w:val="bottom"/>
            <w:tcBorders>
              <w:top w:val="single" w:sz="8" w:color="0000EE"/>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9"/>
              </w:rPr>
              <w:t>ENFORCEMENT OF JUDGMENTS</w:t>
            </w:r>
          </w:p>
        </w:tc>
        <w:tc>
          <w:tcPr>
            <w:tcW w:w="1900" w:type="dxa"/>
            <w:vAlign w:val="bottom"/>
            <w:tcBorders>
              <w:top w:val="single" w:sz="8" w:color="0000EE"/>
            </w:tcBorders>
            <w:gridSpan w:val="4"/>
          </w:tcPr>
          <w:p>
            <w:pPr>
              <w:spacing w:after="0"/>
              <w:rPr>
                <w:sz w:val="12"/>
                <w:szCs w:val="12"/>
                <w:color w:val="auto"/>
              </w:rPr>
            </w:pPr>
          </w:p>
        </w:tc>
        <w:tc>
          <w:tcPr>
            <w:tcW w:w="3340" w:type="dxa"/>
            <w:vAlign w:val="bottom"/>
            <w:gridSpan w:val="4"/>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70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8"/>
              </w:rPr>
              <w:t>EXPENSES</w:t>
            </w:r>
          </w:p>
        </w:tc>
        <w:tc>
          <w:tcPr>
            <w:tcW w:w="6660" w:type="dxa"/>
            <w:vAlign w:val="bottom"/>
            <w:gridSpan w:val="18"/>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41</w:t>
            </w:r>
          </w:p>
        </w:tc>
      </w:tr>
      <w:tr>
        <w:trPr>
          <w:trHeight w:val="148"/>
        </w:trPr>
        <w:tc>
          <w:tcPr>
            <w:tcW w:w="1140" w:type="dxa"/>
            <w:vAlign w:val="bottom"/>
            <w:tcBorders>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6220" w:type="dxa"/>
            <w:vAlign w:val="bottom"/>
            <w:gridSpan w:val="15"/>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41</w:t>
            </w:r>
          </w:p>
        </w:tc>
      </w:tr>
      <w:tr>
        <w:trPr>
          <w:trHeight w:val="148"/>
        </w:trPr>
        <w:tc>
          <w:tcPr>
            <w:tcW w:w="600" w:type="dxa"/>
            <w:vAlign w:val="bottom"/>
            <w:tcBorders>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6760" w:type="dxa"/>
            <w:vAlign w:val="bottom"/>
            <w:gridSpan w:val="19"/>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41</w:t>
            </w:r>
          </w:p>
        </w:tc>
      </w:tr>
    </w:tbl>
    <w:p>
      <w:pPr>
        <w:sectPr>
          <w:pgSz w:w="11900" w:h="16838" w:orient="portrait"/>
          <w:cols w:equalWidth="0" w:num="1">
            <w:col w:w="9019"/>
          </w:cols>
          <w:pgMar w:left="1440" w:top="238"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ABOUT THIS PROSPECTUS</w:t>
      </w:r>
    </w:p>
    <w:p>
      <w:pPr>
        <w:spacing w:after="0" w:line="177" w:lineRule="exact"/>
        <w:rPr>
          <w:sz w:val="20"/>
          <w:szCs w:val="20"/>
          <w:color w:val="auto"/>
        </w:rPr>
      </w:pPr>
    </w:p>
    <w:p>
      <w:pPr>
        <w:ind w:left="220" w:right="399" w:firstLine="343"/>
        <w:spacing w:after="0" w:line="266"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Under the automatic shelf process, we may offer and sell, from time to time, any combination of the securities described in this prospectus in one or more offerings.</w:t>
      </w:r>
    </w:p>
    <w:p>
      <w:pPr>
        <w:spacing w:after="0" w:line="137"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w:t>
      </w:r>
    </w:p>
    <w:p>
      <w:pPr>
        <w:spacing w:after="0" w:line="147" w:lineRule="exact"/>
        <w:rPr>
          <w:sz w:val="20"/>
          <w:szCs w:val="20"/>
          <w:color w:val="auto"/>
        </w:rPr>
      </w:pPr>
    </w:p>
    <w:p>
      <w:pPr>
        <w:ind w:left="220" w:right="679" w:firstLine="343"/>
        <w:spacing w:after="0" w:line="282" w:lineRule="auto"/>
        <w:rPr>
          <w:sz w:val="20"/>
          <w:szCs w:val="20"/>
          <w:color w:val="auto"/>
        </w:rPr>
      </w:pPr>
      <w:r>
        <w:rPr>
          <w:rFonts w:ascii="Times New Roman" w:cs="Times New Roman" w:eastAsia="Times New Roman" w:hAnsi="Times New Roman"/>
          <w:sz w:val="14"/>
          <w:szCs w:val="14"/>
          <w:color w:val="auto"/>
        </w:rPr>
        <w:t>We have filed or incorporated by reference exhibits to the registration statement of which this prospectus forms a part. You should read the exhibits carefully for provisions that may be important to you.</w:t>
      </w:r>
    </w:p>
    <w:p>
      <w:pPr>
        <w:spacing w:after="0" w:line="126"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You should read this prospectus, any prospectus supplement and free writing prospectus together with the additional information described herein under the heading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w:t>
      </w:r>
    </w:p>
    <w:p>
      <w:pPr>
        <w:spacing w:after="0" w:line="140" w:lineRule="exact"/>
        <w:rPr>
          <w:sz w:val="20"/>
          <w:szCs w:val="20"/>
          <w:color w:val="auto"/>
        </w:rPr>
      </w:pPr>
    </w:p>
    <w:p>
      <w:pPr>
        <w:ind w:left="220" w:right="399" w:firstLine="343"/>
        <w:spacing w:after="0" w:line="296" w:lineRule="auto"/>
        <w:rPr>
          <w:sz w:val="20"/>
          <w:szCs w:val="20"/>
          <w:color w:val="auto"/>
        </w:rPr>
      </w:pPr>
      <w:r>
        <w:rPr>
          <w:rFonts w:ascii="Times New Roman" w:cs="Times New Roman" w:eastAsia="Times New Roman" w:hAnsi="Times New Roman"/>
          <w:sz w:val="13"/>
          <w:szCs w:val="13"/>
          <w:color w:val="auto"/>
        </w:rPr>
        <w:t>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You should not assume that the information contained in this prospectus is accurate as of any other date.</w:t>
      </w:r>
    </w:p>
    <w:p>
      <w:pPr>
        <w:spacing w:after="0" w:line="1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WHERE YOU CAN FIND MORE INFORMATION</w:t>
      </w:r>
    </w:p>
    <w:p>
      <w:pPr>
        <w:spacing w:after="0" w:line="177" w:lineRule="exact"/>
        <w:rPr>
          <w:sz w:val="20"/>
          <w:szCs w:val="20"/>
          <w:color w:val="auto"/>
        </w:rPr>
      </w:pPr>
    </w:p>
    <w:p>
      <w:pPr>
        <w:ind w:left="220" w:right="499" w:firstLine="343"/>
        <w:spacing w:after="0" w:line="282" w:lineRule="auto"/>
        <w:rPr>
          <w:sz w:val="20"/>
          <w:szCs w:val="20"/>
          <w:color w:val="auto"/>
        </w:rPr>
      </w:pPr>
      <w:r>
        <w:rPr>
          <w:rFonts w:ascii="Times New Roman" w:cs="Times New Roman" w:eastAsia="Times New Roman" w:hAnsi="Times New Roman"/>
          <w:sz w:val="14"/>
          <w:szCs w:val="14"/>
          <w:color w:val="auto"/>
        </w:rPr>
        <w:t>We file annual reports on Form 20-F, reports on Form 6-K, and other information with the SEC under the Securities Exchange Act of 1934, as amended, or the Exchange Act.</w:t>
      </w:r>
    </w:p>
    <w:p>
      <w:pPr>
        <w:spacing w:after="0" w:line="126" w:lineRule="exact"/>
        <w:rPr>
          <w:sz w:val="20"/>
          <w:szCs w:val="20"/>
          <w:color w:val="auto"/>
        </w:rPr>
      </w:pPr>
    </w:p>
    <w:p>
      <w:pPr>
        <w:ind w:left="220" w:right="279" w:firstLine="343"/>
        <w:spacing w:after="0" w:line="282" w:lineRule="auto"/>
        <w:rPr>
          <w:sz w:val="20"/>
          <w:szCs w:val="20"/>
          <w:color w:val="auto"/>
        </w:rPr>
      </w:pPr>
      <w:r>
        <w:rPr>
          <w:rFonts w:ascii="Times New Roman" w:cs="Times New Roman" w:eastAsia="Times New Roman" w:hAnsi="Times New Roman"/>
          <w:sz w:val="14"/>
          <w:szCs w:val="14"/>
          <w:color w:val="auto"/>
        </w:rPr>
        <w:t xml:space="preserve">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SPECIAL NOTE REGARDING FORWARD-LOOKING STATEMENTS</w:t>
      </w:r>
    </w:p>
    <w:p>
      <w:pPr>
        <w:spacing w:after="0" w:line="177"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44" w:lineRule="exact"/>
        <w:rPr>
          <w:sz w:val="20"/>
          <w:szCs w:val="20"/>
          <w:color w:val="auto"/>
        </w:rPr>
      </w:pPr>
    </w:p>
    <w:p>
      <w:pPr>
        <w:ind w:left="220" w:right="739" w:firstLine="343"/>
        <w:spacing w:after="0" w:line="282" w:lineRule="auto"/>
        <w:rPr>
          <w:sz w:val="20"/>
          <w:szCs w:val="20"/>
          <w:color w:val="auto"/>
        </w:rPr>
      </w:pPr>
      <w:r>
        <w:rPr>
          <w:rFonts w:ascii="Times New Roman" w:cs="Times New Roman" w:eastAsia="Times New Roman" w:hAnsi="Times New Roman"/>
          <w:sz w:val="14"/>
          <w:szCs w:val="14"/>
          <w:color w:val="auto"/>
        </w:rPr>
        <w:t>The following represent some, but not necessarily all, of the factors that could cause actual results to differ from historical results or those anticipated or predicted by our forward-looking statements:</w:t>
      </w:r>
    </w:p>
    <w:p>
      <w:pPr>
        <w:spacing w:after="0" w:line="52" w:lineRule="exact"/>
        <w:rPr>
          <w:sz w:val="20"/>
          <w:szCs w:val="20"/>
          <w:color w:val="auto"/>
        </w:rPr>
      </w:pPr>
    </w:p>
    <w:p>
      <w:pPr>
        <w:jc w:val="both"/>
        <w:ind w:left="980" w:right="299" w:hanging="341"/>
        <w:spacing w:after="0" w:line="266"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63" w:lineRule="exact"/>
        <w:rPr>
          <w:rFonts w:ascii="Times New Roman" w:cs="Times New Roman" w:eastAsia="Times New Roman" w:hAnsi="Times New Roman"/>
          <w:sz w:val="14"/>
          <w:szCs w:val="14"/>
          <w:color w:val="auto"/>
        </w:rPr>
      </w:pPr>
    </w:p>
    <w:p>
      <w:pPr>
        <w:ind w:left="980" w:right="29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progress, or success of our clinical development programs, especially for PHVS416 (immediate-release deucrictibant capsules) and PHVS719 (extended-release deucrictibant tablets), which are in late-stage global clinical trials;</w:t>
      </w:r>
    </w:p>
    <w:p>
      <w:pPr>
        <w:spacing w:after="0" w:line="52" w:lineRule="exact"/>
        <w:rPr>
          <w:rFonts w:ascii="Times New Roman" w:cs="Times New Roman" w:eastAsia="Times New Roman" w:hAnsi="Times New Roman"/>
          <w:sz w:val="14"/>
          <w:szCs w:val="14"/>
          <w:color w:val="auto"/>
        </w:rPr>
      </w:pPr>
    </w:p>
    <w:p>
      <w:pPr>
        <w:ind w:left="980" w:right="65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replicate the efficacy and safety demonstrated in the RAPIDe-1 and CHAPTER-1 Phase 2 study in ongoing and future nonclinical studies and clinical trials;</w:t>
      </w:r>
    </w:p>
    <w:p>
      <w:pPr>
        <w:spacing w:after="0" w:line="52" w:lineRule="exact"/>
        <w:rPr>
          <w:rFonts w:ascii="Times New Roman" w:cs="Times New Roman" w:eastAsia="Times New Roman" w:hAnsi="Times New Roman"/>
          <w:sz w:val="14"/>
          <w:szCs w:val="14"/>
          <w:color w:val="auto"/>
        </w:rPr>
      </w:pPr>
    </w:p>
    <w:p>
      <w:pPr>
        <w:ind w:left="980" w:right="31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52" w:lineRule="exact"/>
        <w:rPr>
          <w:rFonts w:ascii="Times New Roman" w:cs="Times New Roman" w:eastAsia="Times New Roman" w:hAnsi="Times New Roman"/>
          <w:sz w:val="14"/>
          <w:szCs w:val="14"/>
          <w:color w:val="auto"/>
        </w:rPr>
      </w:pPr>
    </w:p>
    <w:p>
      <w:pPr>
        <w:ind w:left="980" w:right="45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costs and other limitations involved in obtaining regulatory approval for our product candidates PHVS416 and PHVS719 or any other product candidate that we may develop in the future;</w:t>
      </w:r>
    </w:p>
    <w:p>
      <w:pPr>
        <w:spacing w:after="0" w:line="52" w:lineRule="exact"/>
        <w:rPr>
          <w:rFonts w:ascii="Times New Roman" w:cs="Times New Roman" w:eastAsia="Times New Roman" w:hAnsi="Times New Roman"/>
          <w:sz w:val="14"/>
          <w:szCs w:val="14"/>
          <w:color w:val="auto"/>
        </w:rPr>
      </w:pPr>
    </w:p>
    <w:p>
      <w:pPr>
        <w:ind w:left="980" w:right="51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commercialize and achieve market acceptance for our product candidates PHVS416 and PHVS719 or any of our other product candidates that we may develop in the future, if approved;</w:t>
      </w:r>
    </w:p>
    <w:p>
      <w:pPr>
        <w:spacing w:after="0" w:line="52" w:lineRule="exact"/>
        <w:rPr>
          <w:rFonts w:ascii="Times New Roman" w:cs="Times New Roman" w:eastAsia="Times New Roman" w:hAnsi="Times New Roman"/>
          <w:sz w:val="14"/>
          <w:szCs w:val="14"/>
          <w:color w:val="auto"/>
        </w:rPr>
      </w:pPr>
    </w:p>
    <w:p>
      <w:pPr>
        <w:ind w:left="980" w:right="71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commercial capabilities or enter into agreements with third parties to market, sell and distribute our product candidates;</w:t>
      </w:r>
    </w:p>
    <w:p>
      <w:pPr>
        <w:spacing w:after="0" w:line="52" w:lineRule="exact"/>
        <w:rPr>
          <w:rFonts w:ascii="Times New Roman" w:cs="Times New Roman" w:eastAsia="Times New Roman" w:hAnsi="Times New Roman"/>
          <w:sz w:val="14"/>
          <w:szCs w:val="14"/>
          <w:color w:val="auto"/>
        </w:rPr>
      </w:pPr>
    </w:p>
    <w:p>
      <w:pPr>
        <w:ind w:left="980" w:right="27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 parties to perform critical activities related to the research, nonclinical safety and toxicology studies, development and manufacturing of our product candidates;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FDA and other government agencies;</w:t>
      </w:r>
    </w:p>
    <w:p>
      <w:pPr>
        <w:spacing w:after="0" w:line="101" w:lineRule="exact"/>
        <w:rPr>
          <w:rFonts w:ascii="Times New Roman" w:cs="Times New Roman" w:eastAsia="Times New Roman" w:hAnsi="Times New Roman"/>
          <w:sz w:val="14"/>
          <w:szCs w:val="14"/>
          <w:color w:val="auto"/>
        </w:rPr>
      </w:pPr>
    </w:p>
    <w:p>
      <w:pPr>
        <w:ind w:left="980" w:right="379" w:hanging="341"/>
        <w:spacing w:after="0" w:line="282"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time and uncertainty involved in the development and consistent manufacturing and supply of our product candidates, some or all of which may never reach the regulatory approval stage;</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when needed and on acceptable terms;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any new licensing agreements or to maintain any licensing agreements with respect to our product candidates;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collaboration partners and licensees, whose actions we cannot control;</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private insurers and other payors to provide reimbursement for our products;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the European Union and other jurisdictions;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50" w:name="page51"/>
    <w:bookmarkEnd w:id="50"/>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outcome and timing of price negotiations with governmental authorities;</w:t>
      </w:r>
    </w:p>
    <w:p>
      <w:pPr>
        <w:spacing w:after="0" w:line="101" w:lineRule="exact"/>
        <w:rPr>
          <w:rFonts w:ascii="Times New Roman" w:cs="Times New Roman" w:eastAsia="Times New Roman" w:hAnsi="Times New Roman"/>
          <w:sz w:val="14"/>
          <w:szCs w:val="14"/>
          <w:color w:val="auto"/>
        </w:rPr>
      </w:pPr>
    </w:p>
    <w:p>
      <w:pPr>
        <w:ind w:left="980" w:right="679" w:hanging="341"/>
        <w:spacing w:after="0" w:line="282"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the pharmaceutical industry, including with respect to existing therapies, emerging potentially competitive therapies and with competitive generic products;</w:t>
      </w:r>
    </w:p>
    <w:p>
      <w:pPr>
        <w:spacing w:after="0" w:line="52" w:lineRule="exact"/>
        <w:rPr>
          <w:rFonts w:ascii="Times New Roman" w:cs="Times New Roman" w:eastAsia="Times New Roman" w:hAnsi="Times New Roman"/>
          <w:sz w:val="14"/>
          <w:szCs w:val="14"/>
          <w:color w:val="auto"/>
        </w:rPr>
      </w:pPr>
    </w:p>
    <w:p>
      <w:pPr>
        <w:ind w:left="980" w:right="279" w:hanging="341"/>
        <w:spacing w:after="0" w:line="282"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know-how and operate our business without infringing the intellectual property rights or regulatory exclusivity of others;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side effects or adverse events associated with the use of our product candidates;</w:t>
      </w:r>
    </w:p>
    <w:p>
      <w:pPr>
        <w:spacing w:after="0" w:line="101" w:lineRule="exact"/>
        <w:rPr>
          <w:rFonts w:ascii="Times New Roman" w:cs="Times New Roman" w:eastAsia="Times New Roman" w:hAnsi="Times New Roman"/>
          <w:sz w:val="14"/>
          <w:szCs w:val="14"/>
          <w:color w:val="auto"/>
        </w:rPr>
      </w:pPr>
    </w:p>
    <w:p>
      <w:pPr>
        <w:ind w:left="980" w:right="459" w:hanging="341"/>
        <w:spacing w:after="0" w:line="282"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defend against costly and damaging liability claims resulting from the testing of our product candidates in the clinic or, if, approved, any commercial sales;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personnel;</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market sizes and anticipated uses of our product candidates;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future performance;</w:t>
      </w:r>
    </w:p>
    <w:p>
      <w:pPr>
        <w:spacing w:after="0" w:line="101" w:lineRule="exact"/>
        <w:rPr>
          <w:rFonts w:ascii="Times New Roman" w:cs="Times New Roman" w:eastAsia="Times New Roman" w:hAnsi="Times New Roman"/>
          <w:sz w:val="14"/>
          <w:szCs w:val="14"/>
          <w:color w:val="auto"/>
        </w:rPr>
      </w:pPr>
    </w:p>
    <w:p>
      <w:pPr>
        <w:ind w:left="980" w:right="819" w:hanging="341"/>
        <w:spacing w:after="0" w:line="282"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anticipated operating losses, future revenues, expenses, capital requirements and our needs for additional financing;</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or future laws and regulations in a cost-efficient manner;</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negative consequences from changes in applicable laws and regulations, including tax laws;</w:t>
      </w:r>
    </w:p>
    <w:p>
      <w:pPr>
        <w:spacing w:after="0" w:line="101" w:lineRule="exact"/>
        <w:rPr>
          <w:rFonts w:ascii="Times New Roman" w:cs="Times New Roman" w:eastAsia="Times New Roman" w:hAnsi="Times New Roman"/>
          <w:sz w:val="14"/>
          <w:szCs w:val="14"/>
          <w:color w:val="auto"/>
        </w:rPr>
      </w:pPr>
    </w:p>
    <w:p>
      <w:pPr>
        <w:ind w:left="980" w:right="419" w:hanging="341"/>
        <w:spacing w:after="0" w:line="282"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remediate the material weaknesses in our internal control over financial reporting and to maintain an effective system of internal control over financial reporting;</w:t>
      </w:r>
    </w:p>
    <w:p>
      <w:pPr>
        <w:spacing w:after="0" w:line="52" w:lineRule="exact"/>
        <w:rPr>
          <w:rFonts w:ascii="Times New Roman" w:cs="Times New Roman" w:eastAsia="Times New Roman" w:hAnsi="Times New Roman"/>
          <w:sz w:val="14"/>
          <w:szCs w:val="14"/>
          <w:color w:val="auto"/>
        </w:rPr>
      </w:pPr>
    </w:p>
    <w:p>
      <w:pPr>
        <w:ind w:left="980" w:right="259" w:hanging="341"/>
        <w:spacing w:after="0" w:line="282"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an emerging growth company under the Jumpstart Our Business Startups Act, or the JOBS Act, or a foreign private issuer;</w:t>
      </w:r>
    </w:p>
    <w:p>
      <w:pPr>
        <w:spacing w:after="0" w:line="52" w:lineRule="exact"/>
        <w:rPr>
          <w:rFonts w:ascii="Times New Roman" w:cs="Times New Roman" w:eastAsia="Times New Roman" w:hAnsi="Times New Roman"/>
          <w:sz w:val="14"/>
          <w:szCs w:val="14"/>
          <w:color w:val="auto"/>
        </w:rPr>
      </w:pPr>
    </w:p>
    <w:p>
      <w:pPr>
        <w:ind w:left="980" w:right="519" w:hanging="341"/>
        <w:spacing w:after="0" w:line="282" w:lineRule="auto"/>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uncertainty in general market, political and economic conditions, including as a result of inflation and the current conflict between Russia and Ukraine and the Hamas attack against Israel and the ensuing war; and</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discussed herein under “Risk Factors” or incorporated herein by reference.</w:t>
      </w:r>
    </w:p>
    <w:p>
      <w:pPr>
        <w:spacing w:after="0" w:line="175"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PHARVARIS N.V.</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3"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w:t>
      </w:r>
    </w:p>
    <w:p>
      <w:pPr>
        <w:spacing w:after="0" w:line="148" w:lineRule="exact"/>
        <w:rPr>
          <w:sz w:val="20"/>
          <w:szCs w:val="20"/>
          <w:color w:val="auto"/>
        </w:rPr>
      </w:pPr>
    </w:p>
    <w:p>
      <w:pPr>
        <w:ind w:left="220" w:right="419" w:firstLine="343"/>
        <w:spacing w:after="0" w:line="261" w:lineRule="auto"/>
        <w:rPr>
          <w:sz w:val="20"/>
          <w:szCs w:val="20"/>
          <w:color w:val="auto"/>
        </w:rPr>
      </w:pPr>
      <w:r>
        <w:rPr>
          <w:rFonts w:ascii="Times New Roman" w:cs="Times New Roman" w:eastAsia="Times New Roman" w:hAnsi="Times New Roman"/>
          <w:sz w:val="14"/>
          <w:szCs w:val="14"/>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w:t>
      </w:r>
    </w:p>
    <w:p>
      <w:pPr>
        <w:spacing w:after="0" w:line="140"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220" w:right="519" w:firstLine="343"/>
        <w:spacing w:after="0" w:line="266" w:lineRule="auto"/>
        <w:rPr>
          <w:sz w:val="20"/>
          <w:szCs w:val="20"/>
          <w:color w:val="auto"/>
        </w:rPr>
      </w:pPr>
      <w:r>
        <w:rPr>
          <w:rFonts w:ascii="Times New Roman" w:cs="Times New Roman" w:eastAsia="Times New Roman" w:hAnsi="Times New Roman"/>
          <w:sz w:val="14"/>
          <w:szCs w:val="14"/>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4"/>
          <w:szCs w:val="14"/>
          <w:i w:val="1"/>
          <w:iCs w:val="1"/>
          <w:color w:val="auto"/>
        </w:rPr>
        <w:t>www.pharvaris.com</w:t>
      </w:r>
      <w:r>
        <w:rPr>
          <w:rFonts w:ascii="Times New Roman" w:cs="Times New Roman" w:eastAsia="Times New Roman" w:hAnsi="Times New Roman"/>
          <w:sz w:val="14"/>
          <w:szCs w:val="14"/>
          <w:color w:val="auto"/>
        </w:rPr>
        <w:t>. The information contained on our website is not a part of this prospectus.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52" w:name="page53"/>
    <w:bookmarkEnd w:id="52"/>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Implications of Being an “Emerging Growth Company” and a Foreign Private Issuer</w:t>
      </w:r>
    </w:p>
    <w:p>
      <w:pPr>
        <w:spacing w:after="0" w:line="93" w:lineRule="exact"/>
        <w:rPr>
          <w:sz w:val="20"/>
          <w:szCs w:val="20"/>
          <w:color w:val="auto"/>
        </w:rPr>
      </w:pPr>
    </w:p>
    <w:p>
      <w:pPr>
        <w:ind w:left="220" w:right="399" w:firstLine="343"/>
        <w:spacing w:after="0" w:line="296" w:lineRule="auto"/>
        <w:rPr>
          <w:sz w:val="20"/>
          <w:szCs w:val="20"/>
          <w:color w:val="auto"/>
        </w:rPr>
      </w:pPr>
      <w:r>
        <w:rPr>
          <w:rFonts w:ascii="Times New Roman" w:cs="Times New Roman" w:eastAsia="Times New Roman" w:hAnsi="Times New Roman"/>
          <w:sz w:val="13"/>
          <w:szCs w:val="13"/>
          <w:color w:val="auto"/>
        </w:rPr>
        <w:t>We qualify as an “emerging growth company” as defined in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 or the Sarbanes-Oxley Act.</w:t>
      </w:r>
    </w:p>
    <w:p>
      <w:pPr>
        <w:spacing w:after="0" w:line="119"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We may take advantage of these provisions until such time that we cease to qualify as an emerging growth company. We would cease to qualify as an emerging growth company upon the earliest of: (i) the last day of the fiscal year (A) in which we had more than $1.235 billion in annual revenue,</w:t>
      </w:r>
    </w:p>
    <w:p>
      <w:pPr>
        <w:spacing w:after="0" w:line="1" w:lineRule="exact"/>
        <w:rPr>
          <w:sz w:val="20"/>
          <w:szCs w:val="20"/>
          <w:color w:val="auto"/>
        </w:rPr>
      </w:pPr>
    </w:p>
    <w:p>
      <w:pPr>
        <w:ind w:left="220" w:right="259" w:hanging="1"/>
        <w:spacing w:after="0" w:line="253" w:lineRule="auto"/>
        <w:tabs>
          <w:tab w:leader="none" w:pos="44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deemed to be a “large accelerated filer” under the rules of the SEC, or (C) following the fifth anniversary of the date of the completion 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45" w:lineRule="exact"/>
        <w:rPr>
          <w:sz w:val="20"/>
          <w:szCs w:val="20"/>
          <w:color w:val="auto"/>
        </w:rPr>
      </w:pPr>
    </w:p>
    <w:p>
      <w:pPr>
        <w:jc w:val="both"/>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We also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63" w:lineRule="exact"/>
        <w:rPr>
          <w:sz w:val="20"/>
          <w:szCs w:val="20"/>
          <w:color w:val="auto"/>
        </w:rPr>
      </w:pPr>
    </w:p>
    <w:p>
      <w:pPr>
        <w:ind w:left="980" w:hanging="341"/>
        <w:spacing w:after="0"/>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under the Exchange Act requiring domestic filers to issue financial statements prepared under U.S. GAAP;</w:t>
      </w:r>
    </w:p>
    <w:p>
      <w:pPr>
        <w:spacing w:after="0" w:line="101" w:lineRule="exact"/>
        <w:rPr>
          <w:rFonts w:ascii="Times New Roman" w:cs="Times New Roman" w:eastAsia="Times New Roman" w:hAnsi="Times New Roman"/>
          <w:sz w:val="14"/>
          <w:szCs w:val="14"/>
          <w:color w:val="auto"/>
        </w:rPr>
      </w:pPr>
    </w:p>
    <w:p>
      <w:pPr>
        <w:ind w:left="980" w:right="359" w:hanging="341"/>
        <w:spacing w:after="0" w:line="282" w:lineRule="auto"/>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sections of the Exchange Act regulating the solicitation of proxies, consents or authorizations in respect of a security registered under the Exchange Act;</w:t>
      </w:r>
    </w:p>
    <w:p>
      <w:pPr>
        <w:spacing w:after="0" w:line="52" w:lineRule="exact"/>
        <w:rPr>
          <w:rFonts w:ascii="Times New Roman" w:cs="Times New Roman" w:eastAsia="Times New Roman" w:hAnsi="Times New Roman"/>
          <w:sz w:val="14"/>
          <w:szCs w:val="14"/>
          <w:color w:val="auto"/>
        </w:rPr>
      </w:pPr>
    </w:p>
    <w:p>
      <w:pPr>
        <w:ind w:left="980" w:right="499" w:hanging="341"/>
        <w:spacing w:after="0" w:line="282" w:lineRule="auto"/>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sections of the Exchange Act requiring insiders to file public reports of their stock ownership and trading activities and liability for insiders who profit from trades made in a short period of time; and</w:t>
      </w:r>
    </w:p>
    <w:p>
      <w:pPr>
        <w:spacing w:after="0" w:line="52" w:lineRule="exact"/>
        <w:rPr>
          <w:rFonts w:ascii="Times New Roman" w:cs="Times New Roman" w:eastAsia="Times New Roman" w:hAnsi="Times New Roman"/>
          <w:sz w:val="14"/>
          <w:szCs w:val="14"/>
          <w:color w:val="auto"/>
        </w:rPr>
      </w:pPr>
    </w:p>
    <w:p>
      <w:pPr>
        <w:ind w:left="980" w:right="379" w:hanging="341"/>
        <w:spacing w:after="0" w:line="282" w:lineRule="auto"/>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26"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40"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RISK FACTORS</w:t>
      </w:r>
    </w:p>
    <w:p>
      <w:pPr>
        <w:spacing w:after="0" w:line="177" w:lineRule="exact"/>
        <w:rPr>
          <w:sz w:val="20"/>
          <w:szCs w:val="20"/>
          <w:color w:val="auto"/>
        </w:rPr>
      </w:pPr>
    </w:p>
    <w:p>
      <w:pPr>
        <w:ind w:left="220" w:right="399" w:firstLine="343"/>
        <w:spacing w:after="0" w:line="258" w:lineRule="auto"/>
        <w:rPr>
          <w:sz w:val="20"/>
          <w:szCs w:val="20"/>
          <w:color w:val="auto"/>
        </w:rPr>
      </w:pPr>
      <w:r>
        <w:rPr>
          <w:rFonts w:ascii="Times New Roman" w:cs="Times New Roman" w:eastAsia="Times New Roman" w:hAnsi="Times New Roman"/>
          <w:sz w:val="14"/>
          <w:szCs w:val="14"/>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USE OF PROCEEDS</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The use of proceeds will be specified in the applicable prospectus supplement or free writing prospectus.</w:t>
      </w:r>
    </w:p>
    <w:p>
      <w:pPr>
        <w:spacing w:after="0" w:line="1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8"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SHARE CAPITAL AND ARTICLES OF ASSOCIATION</w:t>
      </w:r>
    </w:p>
    <w:p>
      <w:pPr>
        <w:spacing w:after="0" w:line="175" w:lineRule="exact"/>
        <w:rPr>
          <w:sz w:val="20"/>
          <w:szCs w:val="20"/>
          <w:color w:val="auto"/>
        </w:rPr>
      </w:pPr>
    </w:p>
    <w:p>
      <w:pPr>
        <w:ind w:left="220" w:right="23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of which an English translation is included as an exhibit to this registration statement. We urge you to read the full text of Pharvaris’ articles of association.</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Ordinary Shares of the Registrant</w:t>
      </w:r>
    </w:p>
    <w:p>
      <w:pPr>
        <w:spacing w:after="0" w:line="93" w:lineRule="exact"/>
        <w:rPr>
          <w:sz w:val="20"/>
          <w:szCs w:val="20"/>
          <w:color w:val="auto"/>
        </w:rPr>
      </w:pPr>
    </w:p>
    <w:p>
      <w:pPr>
        <w:ind w:left="220" w:right="579" w:firstLine="343"/>
        <w:spacing w:after="0" w:line="282" w:lineRule="auto"/>
        <w:rPr>
          <w:sz w:val="20"/>
          <w:szCs w:val="20"/>
          <w:color w:val="auto"/>
        </w:rPr>
      </w:pPr>
      <w:r>
        <w:rPr>
          <w:rFonts w:ascii="Times New Roman" w:cs="Times New Roman" w:eastAsia="Times New Roman" w:hAnsi="Times New Roman"/>
          <w:sz w:val="14"/>
          <w:szCs w:val="14"/>
          <w:color w:val="auto"/>
        </w:rPr>
        <w:t>As of the date of this prospectus, we have only one class of securities registered under Section 12 of the Securities Exchange Act of 1934, as amended; our registered ordinary shares.</w:t>
      </w:r>
    </w:p>
    <w:p>
      <w:pPr>
        <w:spacing w:after="0" w:line="124" w:lineRule="exact"/>
        <w:rPr>
          <w:sz w:val="20"/>
          <w:szCs w:val="20"/>
          <w:color w:val="auto"/>
        </w:rPr>
      </w:pPr>
    </w:p>
    <w:p>
      <w:pPr>
        <w:jc w:val="both"/>
        <w:ind w:left="220" w:right="319" w:firstLine="343"/>
        <w:spacing w:after="0" w:line="285" w:lineRule="auto"/>
        <w:rPr>
          <w:sz w:val="20"/>
          <w:szCs w:val="20"/>
          <w:color w:val="auto"/>
        </w:rPr>
      </w:pPr>
      <w:r>
        <w:rPr>
          <w:rFonts w:ascii="Times New Roman" w:cs="Times New Roman" w:eastAsia="Times New Roman" w:hAnsi="Times New Roman"/>
          <w:sz w:val="14"/>
          <w:szCs w:val="14"/>
          <w:color w:val="auto"/>
        </w:rPr>
        <w:t>We are registered with the Trade Register of the Chamber of Commerce (</w:t>
      </w:r>
      <w:r>
        <w:rPr>
          <w:rFonts w:ascii="Times New Roman" w:cs="Times New Roman" w:eastAsia="Times New Roman" w:hAnsi="Times New Roman"/>
          <w:sz w:val="14"/>
          <w:szCs w:val="14"/>
          <w:i w:val="1"/>
          <w:iCs w:val="1"/>
          <w:color w:val="auto"/>
        </w:rPr>
        <w:t>Kamer van Koophandel</w:t>
      </w:r>
      <w:r>
        <w:rPr>
          <w:rFonts w:ascii="Times New Roman" w:cs="Times New Roman" w:eastAsia="Times New Roman" w:hAnsi="Times New Roman"/>
          <w:sz w:val="14"/>
          <w:szCs w:val="14"/>
          <w:color w:val="auto"/>
        </w:rPr>
        <w:t>) under number 64239411. Our corporate seat is in Leiden, the Netherlands, and our registered office is also in Leiden, the Netherlands.</w:t>
      </w:r>
    </w:p>
    <w:p>
      <w:pPr>
        <w:spacing w:after="0" w:line="124" w:lineRule="exact"/>
        <w:rPr>
          <w:sz w:val="20"/>
          <w:szCs w:val="20"/>
          <w:color w:val="auto"/>
        </w:rPr>
      </w:pPr>
    </w:p>
    <w:p>
      <w:pPr>
        <w:jc w:val="both"/>
        <w:ind w:left="220" w:right="319" w:firstLine="343"/>
        <w:spacing w:after="0" w:line="266" w:lineRule="auto"/>
        <w:rPr>
          <w:sz w:val="20"/>
          <w:szCs w:val="20"/>
          <w:color w:val="auto"/>
        </w:rPr>
      </w:pPr>
      <w:r>
        <w:rPr>
          <w:rFonts w:ascii="Times New Roman" w:cs="Times New Roman" w:eastAsia="Times New Roman" w:hAnsi="Times New Roman"/>
          <w:sz w:val="14"/>
          <w:szCs w:val="14"/>
          <w:color w:val="auto"/>
        </w:rPr>
        <w:t>The following description of our ordinary shares is a summary and does not purport to be complete. It is subject to and qualified in its entirety by reference to our Articles of Association, which are incorporated herein by reference to Exhibit 3.1 to the Company’s Registration Statement on Form 6-K filed with the SEC March 6, 2024.</w:t>
      </w:r>
    </w:p>
    <w:p>
      <w:pPr>
        <w:spacing w:after="0" w:line="250" w:lineRule="exact"/>
        <w:rPr>
          <w:sz w:val="20"/>
          <w:szCs w:val="20"/>
          <w:color w:val="auto"/>
        </w:rPr>
      </w:pPr>
    </w:p>
    <w:p>
      <w:pPr>
        <w:ind w:left="560" w:hanging="341"/>
        <w:spacing w:after="0"/>
        <w:tabs>
          <w:tab w:leader="none" w:pos="56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Ordinary Shares</w:t>
      </w:r>
    </w:p>
    <w:p>
      <w:pPr>
        <w:spacing w:after="0" w:line="91" w:lineRule="exact"/>
        <w:rPr>
          <w:sz w:val="20"/>
          <w:szCs w:val="20"/>
          <w:color w:val="auto"/>
        </w:rPr>
      </w:pPr>
    </w:p>
    <w:p>
      <w:pPr>
        <w:ind w:left="220" w:right="279" w:firstLine="343"/>
        <w:spacing w:after="0" w:line="268" w:lineRule="auto"/>
        <w:rPr>
          <w:sz w:val="20"/>
          <w:szCs w:val="20"/>
          <w:color w:val="auto"/>
        </w:rPr>
      </w:pPr>
      <w:r>
        <w:rPr>
          <w:rFonts w:ascii="Times New Roman" w:cs="Times New Roman" w:eastAsia="Times New Roman" w:hAnsi="Times New Roman"/>
          <w:sz w:val="14"/>
          <w:szCs w:val="14"/>
          <w:color w:val="auto"/>
        </w:rPr>
        <w:t>Our ordinary shares shall be in registered form (</w:t>
      </w:r>
      <w:r>
        <w:rPr>
          <w:rFonts w:ascii="Times New Roman" w:cs="Times New Roman" w:eastAsia="Times New Roman" w:hAnsi="Times New Roman"/>
          <w:sz w:val="14"/>
          <w:szCs w:val="14"/>
          <w:i w:val="1"/>
          <w:iCs w:val="1"/>
          <w:color w:val="auto"/>
        </w:rPr>
        <w:t>op naam</w:t>
      </w:r>
      <w:r>
        <w:rPr>
          <w:rFonts w:ascii="Times New Roman" w:cs="Times New Roman" w:eastAsia="Times New Roman" w:hAnsi="Times New Roman"/>
          <w:sz w:val="14"/>
          <w:szCs w:val="14"/>
          <w:color w:val="auto"/>
        </w:rPr>
        <w:t>). We may issue share certificates (</w:t>
      </w:r>
      <w:r>
        <w:rPr>
          <w:rFonts w:ascii="Times New Roman" w:cs="Times New Roman" w:eastAsia="Times New Roman" w:hAnsi="Times New Roman"/>
          <w:sz w:val="14"/>
          <w:szCs w:val="14"/>
          <w:i w:val="1"/>
          <w:iCs w:val="1"/>
          <w:color w:val="auto"/>
        </w:rPr>
        <w:t>aandeelbewijzen</w:t>
      </w:r>
      <w:r>
        <w:rPr>
          <w:rFonts w:ascii="Times New Roman" w:cs="Times New Roman" w:eastAsia="Times New Roman" w:hAnsi="Times New Roman"/>
          <w:sz w:val="14"/>
          <w:szCs w:val="14"/>
          <w:color w:val="auto"/>
        </w:rPr>
        <w:t>) for registered shares in such form as may be approved by our board of directors, or the Board. Our authorized share capital amounts to €14,100,000, divided into 117,500,000 ordinary shares, each with a nominal value of €0.12.</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Under Dutch law, our authorized share capital is the maximum capital that we may issue without amending our Articles of Association.</w:t>
      </w:r>
    </w:p>
    <w:p>
      <w:pPr>
        <w:spacing w:after="0" w:line="175" w:lineRule="exact"/>
        <w:rPr>
          <w:sz w:val="20"/>
          <w:szCs w:val="20"/>
          <w:color w:val="auto"/>
        </w:rPr>
      </w:pPr>
    </w:p>
    <w:p>
      <w:pPr>
        <w:ind w:left="220" w:right="239" w:firstLine="343"/>
        <w:spacing w:after="0" w:line="266" w:lineRule="auto"/>
        <w:rPr>
          <w:sz w:val="20"/>
          <w:szCs w:val="20"/>
          <w:color w:val="auto"/>
        </w:rPr>
      </w:pPr>
      <w:r>
        <w:rPr>
          <w:rFonts w:ascii="Times New Roman" w:cs="Times New Roman" w:eastAsia="Times New Roman" w:hAnsi="Times New Roman"/>
          <w:sz w:val="14"/>
          <w:szCs w:val="14"/>
          <w:color w:val="auto"/>
        </w:rPr>
        <w:t>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following summarizes the main rights of holders of our ordinary shares:</w:t>
      </w:r>
    </w:p>
    <w:p>
      <w:pPr>
        <w:spacing w:after="0" w:line="102" w:lineRule="exact"/>
        <w:rPr>
          <w:sz w:val="20"/>
          <w:szCs w:val="20"/>
          <w:color w:val="auto"/>
        </w:rPr>
      </w:pPr>
    </w:p>
    <w:p>
      <w:pPr>
        <w:ind w:left="980" w:right="659" w:hanging="425"/>
        <w:spacing w:after="0" w:line="282"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ordinary shares is entitled to one vote per share on all matters to be voted on by shareholders generally, including the appointment of directors;</w:t>
      </w:r>
    </w:p>
    <w:p>
      <w:pPr>
        <w:spacing w:after="0" w:line="52" w:lineRule="exact"/>
        <w:rPr>
          <w:rFonts w:ascii="Times New Roman" w:cs="Times New Roman" w:eastAsia="Times New Roman" w:hAnsi="Times New Roman"/>
          <w:sz w:val="14"/>
          <w:szCs w:val="14"/>
          <w:color w:val="auto"/>
        </w:rPr>
      </w:pPr>
    </w:p>
    <w:p>
      <w:pPr>
        <w:ind w:left="980" w:hanging="425"/>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cumulative voting rights;</w:t>
      </w:r>
    </w:p>
    <w:p>
      <w:pPr>
        <w:spacing w:after="0" w:line="101" w:lineRule="exact"/>
        <w:rPr>
          <w:rFonts w:ascii="Times New Roman" w:cs="Times New Roman" w:eastAsia="Times New Roman" w:hAnsi="Times New Roman"/>
          <w:sz w:val="14"/>
          <w:szCs w:val="14"/>
          <w:color w:val="auto"/>
        </w:rPr>
      </w:pPr>
    </w:p>
    <w:p>
      <w:pPr>
        <w:ind w:left="980" w:right="319" w:hanging="425"/>
        <w:spacing w:after="0" w:line="282"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our ordinary shares are entitled to dividends and other distributions as may be declared from time to time by us out of funds legally available for that purpose, if any;</w:t>
      </w:r>
    </w:p>
    <w:p>
      <w:pPr>
        <w:spacing w:after="0" w:line="52" w:lineRule="exact"/>
        <w:rPr>
          <w:rFonts w:ascii="Times New Roman" w:cs="Times New Roman" w:eastAsia="Times New Roman" w:hAnsi="Times New Roman"/>
          <w:sz w:val="14"/>
          <w:szCs w:val="14"/>
          <w:color w:val="auto"/>
        </w:rPr>
      </w:pPr>
    </w:p>
    <w:p>
      <w:pPr>
        <w:ind w:left="980" w:right="499" w:hanging="425"/>
        <w:spacing w:after="0" w:line="282"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our liquidation or dissolution, the holders of ordinary shares will be entitled to share ratably in the distribution of all of our assets remaining available for distribution after satisfaction of all our liabilities; and</w:t>
      </w:r>
    </w:p>
    <w:p>
      <w:pPr>
        <w:spacing w:after="0" w:line="52" w:lineRule="exact"/>
        <w:rPr>
          <w:rFonts w:ascii="Times New Roman" w:cs="Times New Roman" w:eastAsia="Times New Roman" w:hAnsi="Times New Roman"/>
          <w:sz w:val="14"/>
          <w:szCs w:val="14"/>
          <w:color w:val="auto"/>
        </w:rPr>
      </w:pPr>
    </w:p>
    <w:p>
      <w:pPr>
        <w:ind w:left="980" w:right="339" w:hanging="425"/>
        <w:spacing w:after="0" w:line="266"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56" w:name="page57"/>
    <w:bookmarkEnd w:id="5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Shareholders’ Register</w:t>
      </w:r>
    </w:p>
    <w:p>
      <w:pPr>
        <w:spacing w:after="0" w:line="93"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on registered shares belonging to another or a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such shares.</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Corporate Objectives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Pursuant to the Articles of Association, our corporate objectives are:</w:t>
      </w:r>
    </w:p>
    <w:p>
      <w:pPr>
        <w:spacing w:after="0" w:line="102" w:lineRule="exact"/>
        <w:rPr>
          <w:sz w:val="20"/>
          <w:szCs w:val="20"/>
          <w:color w:val="auto"/>
        </w:rPr>
      </w:pPr>
    </w:p>
    <w:p>
      <w:pPr>
        <w:ind w:left="980" w:hanging="341"/>
        <w:spacing w:after="0"/>
        <w:tabs>
          <w:tab w:leader="none" w:pos="9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discover, develop and commercialize treatments, including for hereditary angioedema;</w:t>
      </w:r>
    </w:p>
    <w:p>
      <w:pPr>
        <w:spacing w:after="0" w:line="101" w:lineRule="exact"/>
        <w:rPr>
          <w:rFonts w:ascii="Times New Roman" w:cs="Times New Roman" w:eastAsia="Times New Roman" w:hAnsi="Times New Roman"/>
          <w:sz w:val="14"/>
          <w:szCs w:val="14"/>
          <w:color w:val="auto"/>
        </w:rPr>
      </w:pPr>
    </w:p>
    <w:p>
      <w:pPr>
        <w:ind w:left="980" w:right="439" w:hanging="341"/>
        <w:spacing w:after="0" w:line="266" w:lineRule="auto"/>
        <w:tabs>
          <w:tab w:leader="none" w:pos="9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63" w:lineRule="exact"/>
        <w:rPr>
          <w:rFonts w:ascii="Times New Roman" w:cs="Times New Roman" w:eastAsia="Times New Roman" w:hAnsi="Times New Roman"/>
          <w:sz w:val="14"/>
          <w:szCs w:val="14"/>
          <w:color w:val="auto"/>
        </w:rPr>
      </w:pPr>
    </w:p>
    <w:p>
      <w:pPr>
        <w:ind w:left="980" w:right="799" w:hanging="341"/>
        <w:spacing w:after="0" w:line="282" w:lineRule="auto"/>
        <w:tabs>
          <w:tab w:leader="none" w:pos="9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incorporate, participate in, finance or hold any other interest in and to conduct the management or supervision of other entities, companies, partnerships and businesses;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acquire, to manage, to invest, to exploit, to encumber and to dispose of assets and liabilities;</w:t>
      </w:r>
    </w:p>
    <w:p>
      <w:pPr>
        <w:spacing w:after="0" w:line="101" w:lineRule="exact"/>
        <w:rPr>
          <w:rFonts w:ascii="Times New Roman" w:cs="Times New Roman" w:eastAsia="Times New Roman" w:hAnsi="Times New Roman"/>
          <w:sz w:val="14"/>
          <w:szCs w:val="14"/>
          <w:color w:val="auto"/>
        </w:rPr>
      </w:pPr>
    </w:p>
    <w:p>
      <w:pPr>
        <w:ind w:left="980" w:right="259" w:hanging="341"/>
        <w:spacing w:after="0" w:line="282" w:lineRule="auto"/>
        <w:tabs>
          <w:tab w:leader="none" w:pos="9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furnish guarantees, to provide security, to warrant performance in any other way and to assume liability, whether jointly and severally or otherwise, in respect of obligations of group companies or other parties; and</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do anything which, in the widest sense, is connected with or may be conducive to the objects described above.</w:t>
      </w:r>
    </w:p>
    <w:p>
      <w:pPr>
        <w:spacing w:after="0" w:line="288" w:lineRule="exact"/>
        <w:rPr>
          <w:rFonts w:ascii="Times New Roman" w:cs="Times New Roman" w:eastAsia="Times New Roman" w:hAnsi="Times New Roman"/>
          <w:sz w:val="14"/>
          <w:szCs w:val="14"/>
          <w:color w:val="auto"/>
        </w:rPr>
      </w:pPr>
    </w:p>
    <w:p>
      <w:pPr>
        <w:ind w:left="560" w:hanging="341"/>
        <w:spacing w:after="0"/>
        <w:tabs>
          <w:tab w:leader="none" w:pos="56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 to our Articles of Association</w:t>
      </w:r>
    </w:p>
    <w:p>
      <w:pPr>
        <w:spacing w:after="0" w:line="93"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 amendment to our Articles of Association would require a resolution of the general meeting upon proposal by the Board.</w:t>
      </w:r>
    </w:p>
    <w:p>
      <w:pPr>
        <w:spacing w:after="0" w:line="288" w:lineRule="exact"/>
        <w:rPr>
          <w:rFonts w:ascii="Times New Roman" w:cs="Times New Roman" w:eastAsia="Times New Roman" w:hAnsi="Times New Roman"/>
          <w:sz w:val="14"/>
          <w:szCs w:val="14"/>
          <w:b w:val="1"/>
          <w:bCs w:val="1"/>
          <w:color w:val="auto"/>
        </w:rPr>
      </w:pPr>
    </w:p>
    <w:p>
      <w:pPr>
        <w:ind w:left="560" w:hanging="341"/>
        <w:spacing w:after="0"/>
        <w:tabs>
          <w:tab w:leader="none" w:pos="56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Limitations on the Rights to Own Ordinary Shares</w:t>
      </w:r>
    </w:p>
    <w:p>
      <w:pPr>
        <w:spacing w:after="0" w:line="93"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ordinary shares may be issued to individuals, corporations, trusts, estates of deceased individuals, partnerships and unincorporated</w:t>
      </w:r>
    </w:p>
    <w:p>
      <w:pPr>
        <w:spacing w:after="0" w:line="22" w:lineRule="exact"/>
        <w:rPr>
          <w:sz w:val="20"/>
          <w:szCs w:val="20"/>
          <w:color w:val="auto"/>
        </w:rPr>
      </w:pPr>
    </w:p>
    <w:p>
      <w:pPr>
        <w:ind w:left="220" w:right="539"/>
        <w:spacing w:after="0" w:line="261" w:lineRule="auto"/>
        <w:rPr>
          <w:sz w:val="20"/>
          <w:szCs w:val="20"/>
          <w:color w:val="auto"/>
        </w:rPr>
      </w:pPr>
      <w:r>
        <w:rPr>
          <w:rFonts w:ascii="Times New Roman" w:cs="Times New Roman" w:eastAsia="Times New Roman" w:hAnsi="Times New Roman"/>
          <w:sz w:val="14"/>
          <w:szCs w:val="14"/>
          <w:color w:val="auto"/>
        </w:rPr>
        <w:t>associations of persons. Our Articles of Association contain no limitation on the rights to own our ordinary shares and no limitation on the rights of nonresidents of the Netherlands or foreign shareholders to hold or exercise voting rights.</w:t>
      </w:r>
    </w:p>
    <w:p>
      <w:pPr>
        <w:spacing w:after="0" w:line="253" w:lineRule="exact"/>
        <w:rPr>
          <w:sz w:val="20"/>
          <w:szCs w:val="20"/>
          <w:color w:val="auto"/>
        </w:rPr>
      </w:pPr>
    </w:p>
    <w:p>
      <w:pPr>
        <w:ind w:left="560" w:hanging="341"/>
        <w:spacing w:after="0"/>
        <w:tabs>
          <w:tab w:leader="none" w:pos="56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Limitation on Liability and Indemnification Matters</w:t>
      </w:r>
    </w:p>
    <w:p>
      <w:pPr>
        <w:spacing w:after="0" w:line="93"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69" w:lineRule="exact"/>
        <w:rPr>
          <w:sz w:val="20"/>
          <w:szCs w:val="20"/>
          <w:color w:val="auto"/>
        </w:rPr>
      </w:pPr>
    </w:p>
    <w:p>
      <w:pPr>
        <w:ind w:left="980" w:right="519" w:hanging="341"/>
        <w:spacing w:after="0" w:line="282"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competent court or arbitral tribunal has established, without having (or no longer having) the possibility for appeal, that the acts or omissions of such indemnified person that led to the financial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57" w:name="page58"/>
    <w:bookmarkEnd w:id="57"/>
    <w:p>
      <w:pPr>
        <w:ind w:left="980" w:right="4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63" w:lineRule="exact"/>
        <w:rPr>
          <w:sz w:val="20"/>
          <w:szCs w:val="20"/>
          <w:color w:val="auto"/>
        </w:rPr>
      </w:pPr>
    </w:p>
    <w:p>
      <w:pPr>
        <w:ind w:left="980" w:right="319" w:hanging="341"/>
        <w:spacing w:after="0" w:line="282" w:lineRule="auto"/>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52" w:lineRule="exact"/>
        <w:rPr>
          <w:rFonts w:ascii="Times New Roman" w:cs="Times New Roman" w:eastAsia="Times New Roman" w:hAnsi="Times New Roman"/>
          <w:sz w:val="14"/>
          <w:szCs w:val="14"/>
          <w:color w:val="auto"/>
        </w:rPr>
      </w:pPr>
    </w:p>
    <w:p>
      <w:pPr>
        <w:ind w:left="980" w:right="279" w:hanging="341"/>
        <w:spacing w:after="0" w:line="261" w:lineRule="auto"/>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66" w:lineRule="exact"/>
        <w:rPr>
          <w:rFonts w:ascii="Times New Roman" w:cs="Times New Roman" w:eastAsia="Times New Roman" w:hAnsi="Times New Roman"/>
          <w:sz w:val="14"/>
          <w:szCs w:val="14"/>
          <w:color w:val="auto"/>
        </w:rPr>
      </w:pPr>
    </w:p>
    <w:p>
      <w:pPr>
        <w:ind w:left="980" w:right="279" w:hanging="341"/>
        <w:spacing w:after="0" w:line="282" w:lineRule="auto"/>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financial losses, damages or expenses incurred in connection with a settlement of any proceedings effected without the Company’s prior consent.</w:t>
      </w:r>
    </w:p>
    <w:p>
      <w:pPr>
        <w:spacing w:after="0" w:line="126" w:lineRule="exact"/>
        <w:rPr>
          <w:sz w:val="20"/>
          <w:szCs w:val="20"/>
          <w:color w:val="auto"/>
        </w:rPr>
      </w:pPr>
    </w:p>
    <w:p>
      <w:pPr>
        <w:ind w:left="220" w:right="779" w:firstLine="343"/>
        <w:spacing w:after="0" w:line="282" w:lineRule="auto"/>
        <w:rPr>
          <w:sz w:val="20"/>
          <w:szCs w:val="20"/>
          <w:color w:val="auto"/>
        </w:rPr>
      </w:pPr>
      <w:r>
        <w:rPr>
          <w:rFonts w:ascii="Times New Roman" w:cs="Times New Roman" w:eastAsia="Times New Roman" w:hAnsi="Times New Roman"/>
          <w:sz w:val="14"/>
          <w:szCs w:val="14"/>
          <w:color w:val="auto"/>
        </w:rPr>
        <w:t>Under our Articles of Association, our Board may stipulate additional terms, conditions and restrictions in relation to the indemnification described above.</w:t>
      </w:r>
    </w:p>
    <w:p>
      <w:pPr>
        <w:spacing w:after="0" w:line="239" w:lineRule="exact"/>
        <w:rPr>
          <w:sz w:val="20"/>
          <w:szCs w:val="20"/>
          <w:color w:val="auto"/>
        </w:rPr>
      </w:pPr>
    </w:p>
    <w:p>
      <w:pPr>
        <w:ind w:left="560" w:hanging="341"/>
        <w:spacing w:after="0"/>
        <w:tabs>
          <w:tab w:leader="none" w:pos="56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Shareholders’ Meetings and Consents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General Meeting</w:t>
      </w:r>
    </w:p>
    <w:p>
      <w:pPr>
        <w:spacing w:after="0" w:line="93"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General meetings may be held in the Netherlands, in any of the locations specified in our Articles of Association. If and when allowed pursuant to applicable law, those who convene the general meeting may also 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has decreased to an amount equal to or lower than half of our paid-in and called-up share capital, in order to discuss the measures to be taken if so required.</w:t>
      </w:r>
    </w:p>
    <w:p>
      <w:pPr>
        <w:spacing w:after="0" w:line="142"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47"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42" w:lineRule="exact"/>
        <w:rPr>
          <w:sz w:val="20"/>
          <w:szCs w:val="20"/>
          <w:color w:val="auto"/>
        </w:rPr>
      </w:pPr>
    </w:p>
    <w:p>
      <w:pPr>
        <w:jc w:val="both"/>
        <w:ind w:left="220" w:right="419" w:firstLine="343"/>
        <w:spacing w:after="0" w:line="266" w:lineRule="auto"/>
        <w:rPr>
          <w:sz w:val="20"/>
          <w:szCs w:val="20"/>
          <w:color w:val="auto"/>
        </w:rPr>
      </w:pPr>
      <w:r>
        <w:rPr>
          <w:rFonts w:ascii="Times New Roman" w:cs="Times New Roman" w:eastAsia="Times New Roman" w:hAnsi="Times New Roman"/>
          <w:sz w:val="14"/>
          <w:szCs w:val="14"/>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58" w:name="page59"/>
    <w:bookmarkEnd w:id="58"/>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44"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w:t>
      </w:r>
    </w:p>
    <w:p>
      <w:pPr>
        <w:spacing w:after="0" w:line="142"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0" w:lineRule="exact"/>
        <w:rPr>
          <w:sz w:val="20"/>
          <w:szCs w:val="20"/>
          <w:color w:val="auto"/>
        </w:rPr>
      </w:pPr>
    </w:p>
    <w:p>
      <w:pPr>
        <w:ind w:left="980" w:right="439" w:hanging="341"/>
        <w:spacing w:after="0" w:line="282" w:lineRule="auto"/>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cannot reasonably believe that a continuation of the cooling-off period would contribute to careful policy-making; or</w:t>
      </w:r>
    </w:p>
    <w:p>
      <w:pPr>
        <w:spacing w:after="0" w:line="101" w:lineRule="exact"/>
        <w:rPr>
          <w:rFonts w:ascii="Times New Roman" w:cs="Times New Roman" w:eastAsia="Times New Roman" w:hAnsi="Times New Roman"/>
          <w:sz w:val="14"/>
          <w:szCs w:val="14"/>
          <w:color w:val="auto"/>
        </w:rPr>
      </w:pPr>
    </w:p>
    <w:p>
      <w:pPr>
        <w:jc w:val="both"/>
        <w:ind w:left="980" w:right="279" w:hanging="341"/>
        <w:spacing w:after="0" w:line="266" w:lineRule="auto"/>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7"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All shareholders and others with meeting rights under Dutch law are authorized to attend the general</w:t>
      </w:r>
    </w:p>
    <w:p>
      <w:pPr>
        <w:spacing w:after="0" w:line="1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59" w:name="page60"/>
    <w:bookmarkEnd w:id="59"/>
    <w:p>
      <w:pPr>
        <w:ind w:left="220" w:right="2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Quorum and voting requirements</w:t>
      </w:r>
    </w:p>
    <w:p>
      <w:pPr>
        <w:spacing w:after="0" w:line="93"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and the holders of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the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44"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w:t>
      </w:r>
    </w:p>
    <w:p>
      <w:pPr>
        <w:spacing w:after="0" w:line="256" w:lineRule="exact"/>
        <w:rPr>
          <w:sz w:val="20"/>
          <w:szCs w:val="20"/>
          <w:color w:val="auto"/>
        </w:rPr>
      </w:pPr>
    </w:p>
    <w:p>
      <w:pPr>
        <w:ind w:left="560" w:hanging="341"/>
        <w:spacing w:after="0"/>
        <w:tabs>
          <w:tab w:leader="none" w:pos="56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Board</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Appointment of directors</w:t>
      </w:r>
    </w:p>
    <w:p>
      <w:pPr>
        <w:spacing w:after="0" w:line="93" w:lineRule="exact"/>
        <w:rPr>
          <w:sz w:val="20"/>
          <w:szCs w:val="20"/>
          <w:color w:val="auto"/>
        </w:rPr>
      </w:pPr>
    </w:p>
    <w:p>
      <w:pPr>
        <w:ind w:left="220" w:right="499" w:firstLine="343"/>
        <w:spacing w:after="0" w:line="261" w:lineRule="auto"/>
        <w:rPr>
          <w:sz w:val="20"/>
          <w:szCs w:val="20"/>
          <w:color w:val="auto"/>
        </w:rPr>
      </w:pPr>
      <w:r>
        <w:rPr>
          <w:rFonts w:ascii="Times New Roman" w:cs="Times New Roman" w:eastAsia="Times New Roman" w:hAnsi="Times New Roman"/>
          <w:sz w:val="14"/>
          <w:szCs w:val="14"/>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40" w:lineRule="exact"/>
        <w:rPr>
          <w:sz w:val="20"/>
          <w:szCs w:val="20"/>
          <w:color w:val="auto"/>
        </w:rPr>
      </w:pPr>
    </w:p>
    <w:p>
      <w:pPr>
        <w:jc w:val="both"/>
        <w:ind w:left="220" w:right="339" w:firstLine="343"/>
        <w:spacing w:after="0" w:line="266" w:lineRule="auto"/>
        <w:rPr>
          <w:sz w:val="20"/>
          <w:szCs w:val="20"/>
          <w:color w:val="auto"/>
        </w:rPr>
      </w:pPr>
      <w:r>
        <w:rPr>
          <w:rFonts w:ascii="Times New Roman" w:cs="Times New Roman" w:eastAsia="Times New Roman" w:hAnsi="Times New Roman"/>
          <w:sz w:val="14"/>
          <w:szCs w:val="14"/>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Duties and liabilities of directors</w:t>
      </w:r>
    </w:p>
    <w:p>
      <w:pPr>
        <w:spacing w:after="0" w:line="9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The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60" w:name="page61"/>
    <w:bookmarkEnd w:id="60"/>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Subject to certain limitations under Dutch law, our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42" w:lineRule="exact"/>
        <w:rPr>
          <w:sz w:val="20"/>
          <w:szCs w:val="20"/>
          <w:color w:val="auto"/>
        </w:rPr>
      </w:pPr>
    </w:p>
    <w:p>
      <w:pPr>
        <w:ind w:left="220" w:right="299" w:firstLine="343"/>
        <w:spacing w:after="0" w:line="282" w:lineRule="auto"/>
        <w:rPr>
          <w:sz w:val="20"/>
          <w:szCs w:val="20"/>
          <w:color w:val="auto"/>
        </w:rPr>
      </w:pPr>
      <w:r>
        <w:rPr>
          <w:rFonts w:ascii="Times New Roman" w:cs="Times New Roman" w:eastAsia="Times New Roman" w:hAnsi="Times New Roman"/>
          <w:sz w:val="14"/>
          <w:szCs w:val="14"/>
          <w:color w:val="auto"/>
        </w:rPr>
        <w:t>Our Board is entitled to represent our company. The power to represent our company also vests in our chief executive officer individually, as well as in any other two executive directors acting jointly.</w:t>
      </w:r>
    </w:p>
    <w:p>
      <w:pPr>
        <w:spacing w:after="0" w:line="239" w:lineRule="exact"/>
        <w:rPr>
          <w:sz w:val="20"/>
          <w:szCs w:val="20"/>
          <w:color w:val="auto"/>
        </w:rPr>
      </w:pPr>
    </w:p>
    <w:p>
      <w:pPr>
        <w:ind w:left="560" w:hanging="341"/>
        <w:spacing w:after="0"/>
        <w:tabs>
          <w:tab w:leader="none" w:pos="56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Dividends and Other Distributions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Amount available for distribution</w:t>
      </w:r>
    </w:p>
    <w:p>
      <w:pPr>
        <w:spacing w:after="0" w:line="91" w:lineRule="exact"/>
        <w:rPr>
          <w:sz w:val="20"/>
          <w:szCs w:val="20"/>
          <w:color w:val="auto"/>
        </w:rPr>
      </w:pPr>
    </w:p>
    <w:p>
      <w:pPr>
        <w:ind w:left="220" w:right="319" w:firstLine="343"/>
        <w:spacing w:after="0" w:line="262" w:lineRule="auto"/>
        <w:rPr>
          <w:sz w:val="20"/>
          <w:szCs w:val="20"/>
          <w:color w:val="auto"/>
        </w:rPr>
      </w:pPr>
      <w:r>
        <w:rPr>
          <w:rFonts w:ascii="Times New Roman" w:cs="Times New Roman" w:eastAsia="Times New Roman" w:hAnsi="Times New Roman"/>
          <w:sz w:val="14"/>
          <w:szCs w:val="14"/>
          <w:color w:val="auto"/>
        </w:rPr>
        <w:t>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w:t>
      </w:r>
    </w:p>
    <w:p>
      <w:pPr>
        <w:spacing w:after="0" w:line="139" w:lineRule="exact"/>
        <w:rPr>
          <w:sz w:val="20"/>
          <w:szCs w:val="20"/>
          <w:color w:val="auto"/>
        </w:rPr>
      </w:pPr>
    </w:p>
    <w:p>
      <w:pPr>
        <w:ind w:left="220" w:right="399" w:firstLine="343"/>
        <w:spacing w:after="0" w:line="266" w:lineRule="auto"/>
        <w:rPr>
          <w:sz w:val="20"/>
          <w:szCs w:val="20"/>
          <w:color w:val="auto"/>
        </w:rPr>
      </w:pPr>
      <w:r>
        <w:rPr>
          <w:rFonts w:ascii="Times New Roman" w:cs="Times New Roman" w:eastAsia="Times New Roman" w:hAnsi="Times New Roman"/>
          <w:sz w:val="14"/>
          <w:szCs w:val="14"/>
          <w:color w:val="auto"/>
        </w:rPr>
        <w:t>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w:t>
      </w:r>
    </w:p>
    <w:p>
      <w:pPr>
        <w:spacing w:after="0" w:line="137" w:lineRule="exact"/>
        <w:rPr>
          <w:sz w:val="20"/>
          <w:szCs w:val="20"/>
          <w:color w:val="auto"/>
        </w:rPr>
      </w:pPr>
    </w:p>
    <w:p>
      <w:pPr>
        <w:ind w:left="220" w:right="279" w:firstLine="343"/>
        <w:spacing w:after="0" w:line="282" w:lineRule="auto"/>
        <w:rPr>
          <w:sz w:val="20"/>
          <w:szCs w:val="20"/>
          <w:color w:val="auto"/>
        </w:rPr>
      </w:pPr>
      <w:r>
        <w:rPr>
          <w:rFonts w:ascii="Times New Roman" w:cs="Times New Roman" w:eastAsia="Times New Roman" w:hAnsi="Times New Roman"/>
          <w:sz w:val="14"/>
          <w:szCs w:val="14"/>
          <w:color w:val="auto"/>
        </w:rPr>
        <w:t>Our Board is permitted, subject to certain requirements and applicable restrictions of Dutch law, to declare interim dividends without the approval of the general meeting.</w:t>
      </w:r>
    </w:p>
    <w:p>
      <w:pPr>
        <w:spacing w:after="0" w:line="126" w:lineRule="exact"/>
        <w:rPr>
          <w:sz w:val="20"/>
          <w:szCs w:val="20"/>
          <w:color w:val="auto"/>
        </w:rPr>
      </w:pPr>
    </w:p>
    <w:p>
      <w:pPr>
        <w:jc w:val="both"/>
        <w:ind w:left="220" w:right="239" w:firstLine="343"/>
        <w:spacing w:after="0" w:line="266" w:lineRule="auto"/>
        <w:rPr>
          <w:sz w:val="20"/>
          <w:szCs w:val="20"/>
          <w:color w:val="auto"/>
        </w:rPr>
      </w:pPr>
      <w:r>
        <w:rPr>
          <w:rFonts w:ascii="Times New Roman" w:cs="Times New Roman" w:eastAsia="Times New Roman" w:hAnsi="Times New Roman"/>
          <w:sz w:val="14"/>
          <w:szCs w:val="14"/>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Exchange controls</w:t>
      </w:r>
    </w:p>
    <w:p>
      <w:pPr>
        <w:spacing w:after="0" w:line="93"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4"/>
          <w:szCs w:val="14"/>
          <w:i w:val="1"/>
          <w:iCs w:val="1"/>
          <w:color w:val="auto"/>
        </w:rPr>
        <w:t>Sanctiewet 1977</w:t>
      </w:r>
      <w:r>
        <w:rPr>
          <w:rFonts w:ascii="Times New Roman" w:cs="Times New Roman" w:eastAsia="Times New Roman" w:hAnsi="Times New Roman"/>
          <w:sz w:val="14"/>
          <w:szCs w:val="14"/>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Squeeze-out procedures</w:t>
      </w:r>
    </w:p>
    <w:p>
      <w:pPr>
        <w:spacing w:after="0" w:line="93" w:lineRule="exact"/>
        <w:rPr>
          <w:sz w:val="20"/>
          <w:szCs w:val="20"/>
          <w:color w:val="auto"/>
        </w:rPr>
      </w:pPr>
    </w:p>
    <w:p>
      <w:pPr>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61" w:name="page62"/>
    <w:bookmarkEnd w:id="61"/>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by means of a writ of summons served upon each of the other shareholders in accordance with the provisions of the Dutch Code of Civil Procedure</w:t>
      </w:r>
    </w:p>
    <w:p>
      <w:pPr>
        <w:spacing w:after="0" w:line="22" w:lineRule="exact"/>
        <w:rPr>
          <w:sz w:val="20"/>
          <w:szCs w:val="20"/>
          <w:color w:val="auto"/>
        </w:rPr>
      </w:pPr>
    </w:p>
    <w:p>
      <w:pPr>
        <w:ind w:left="220" w:right="31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Wetboek van Burgerlijke Rechtsvordering</w:t>
      </w:r>
      <w:r>
        <w:rPr>
          <w:rFonts w:ascii="Times New Roman" w:cs="Times New Roman" w:eastAsia="Times New Roman" w:hAnsi="Times New Roman"/>
          <w:sz w:val="14"/>
          <w:szCs w:val="14"/>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61" w:lineRule="exact"/>
        <w:rPr>
          <w:sz w:val="20"/>
          <w:szCs w:val="20"/>
          <w:color w:val="auto"/>
        </w:rPr>
      </w:pPr>
    </w:p>
    <w:p>
      <w:pPr>
        <w:ind w:left="560" w:hanging="341"/>
        <w:spacing w:after="0"/>
        <w:tabs>
          <w:tab w:leader="none" w:pos="56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Dissolution and Liquidation</w:t>
      </w:r>
    </w:p>
    <w:p>
      <w:pPr>
        <w:spacing w:after="0" w:line="93"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Dutch Financial Reporting Supervision Act</w:t>
      </w:r>
    </w:p>
    <w:p>
      <w:pPr>
        <w:spacing w:after="0" w:line="91" w:lineRule="exact"/>
        <w:rPr>
          <w:sz w:val="20"/>
          <w:szCs w:val="20"/>
          <w:color w:val="auto"/>
        </w:rPr>
      </w:pPr>
    </w:p>
    <w:p>
      <w:pPr>
        <w:ind w:left="220" w:right="439"/>
        <w:spacing w:after="0" w:line="268" w:lineRule="auto"/>
        <w:rPr>
          <w:sz w:val="20"/>
          <w:szCs w:val="20"/>
          <w:color w:val="auto"/>
        </w:rPr>
      </w:pPr>
      <w:r>
        <w:rPr>
          <w:rFonts w:ascii="Times New Roman" w:cs="Times New Roman" w:eastAsia="Times New Roman" w:hAnsi="Times New Roman"/>
          <w:sz w:val="14"/>
          <w:szCs w:val="14"/>
          <w:color w:val="auto"/>
        </w:rPr>
        <w:t>On the basis of the Dutch Financial Reporting Supervision Act (</w:t>
      </w:r>
      <w:r>
        <w:rPr>
          <w:rFonts w:ascii="Times New Roman" w:cs="Times New Roman" w:eastAsia="Times New Roman" w:hAnsi="Times New Roman"/>
          <w:sz w:val="14"/>
          <w:szCs w:val="14"/>
          <w:i w:val="1"/>
          <w:iCs w:val="1"/>
          <w:color w:val="auto"/>
        </w:rPr>
        <w:t>Wet toezicht financiële verslaggeving</w:t>
      </w:r>
      <w:r>
        <w:rPr>
          <w:rFonts w:ascii="Times New Roman" w:cs="Times New Roman" w:eastAsia="Times New Roman" w:hAnsi="Times New Roman"/>
          <w:sz w:val="14"/>
          <w:szCs w:val="14"/>
          <w:color w:val="auto"/>
        </w:rPr>
        <w:t>), or the FRSA, the Dutch Authority for the Financial Markets (</w:t>
      </w:r>
      <w:r>
        <w:rPr>
          <w:rFonts w:ascii="Times New Roman" w:cs="Times New Roman" w:eastAsia="Times New Roman" w:hAnsi="Times New Roman"/>
          <w:sz w:val="14"/>
          <w:szCs w:val="14"/>
          <w:i w:val="1"/>
          <w:iCs w:val="1"/>
          <w:color w:val="auto"/>
        </w:rPr>
        <w:t>Stichting Autoriteit Financiële Markten</w:t>
      </w:r>
      <w:r>
        <w:rPr>
          <w:rFonts w:ascii="Times New Roman" w:cs="Times New Roman" w:eastAsia="Times New Roman" w:hAnsi="Times New Roman"/>
          <w:sz w:val="14"/>
          <w:szCs w:val="14"/>
          <w:color w:val="auto"/>
        </w:rPr>
        <w:t>), or AFM, supervises the application of financial reporting standards by Dutch companies whose securities are listed on a Dutch or foreign stock exchange.</w:t>
      </w:r>
    </w:p>
    <w:p>
      <w:pPr>
        <w:spacing w:after="0" w:line="135" w:lineRule="exact"/>
        <w:rPr>
          <w:sz w:val="20"/>
          <w:szCs w:val="20"/>
          <w:color w:val="auto"/>
        </w:rPr>
      </w:pPr>
    </w:p>
    <w:p>
      <w:pPr>
        <w:ind w:left="220" w:right="239" w:firstLine="343"/>
        <w:spacing w:after="0" w:line="281" w:lineRule="auto"/>
        <w:rPr>
          <w:sz w:val="20"/>
          <w:szCs w:val="20"/>
          <w:color w:val="auto"/>
        </w:rPr>
      </w:pPr>
      <w:r>
        <w:rPr>
          <w:rFonts w:ascii="Times New Roman" w:cs="Times New Roman" w:eastAsia="Times New Roman" w:hAnsi="Times New Roman"/>
          <w:sz w:val="13"/>
          <w:szCs w:val="13"/>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w:t>
      </w:r>
    </w:p>
    <w:p>
      <w:pPr>
        <w:spacing w:after="0" w:line="1" w:lineRule="exact"/>
        <w:rPr>
          <w:sz w:val="20"/>
          <w:szCs w:val="20"/>
          <w:color w:val="auto"/>
        </w:rPr>
      </w:pPr>
    </w:p>
    <w:p>
      <w:pPr>
        <w:ind w:left="220" w:right="299" w:hanging="1"/>
        <w:spacing w:after="0" w:line="254" w:lineRule="auto"/>
        <w:tabs>
          <w:tab w:leader="none" w:pos="42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COMPARISON OF DUTCH LAW AND OUR ARTICLES OF ASSOCIATION AND</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CORPORATE LAW</w:t>
      </w:r>
    </w:p>
    <w:p>
      <w:pPr>
        <w:spacing w:after="0" w:line="160"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Dutch Corporate Governance Code</w:t>
      </w:r>
    </w:p>
    <w:p>
      <w:pPr>
        <w:spacing w:after="0" w:line="91"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As a listed Dutch public company with limited liability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46"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43"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DCGC recommends against providing equity awards as part of the compensation of a non-executive director. However, consistent with U.S.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market practice, we have granted equity awards to our non-executive directors.</w:t>
      </w:r>
    </w:p>
    <w:p>
      <w:pPr>
        <w:spacing w:after="0" w:line="160" w:lineRule="exact"/>
        <w:rPr>
          <w:sz w:val="20"/>
          <w:szCs w:val="20"/>
          <w:color w:val="auto"/>
        </w:rPr>
      </w:pPr>
    </w:p>
    <w:p>
      <w:pPr>
        <w:ind w:left="220" w:right="239" w:firstLine="343"/>
        <w:spacing w:after="0" w:line="296" w:lineRule="auto"/>
        <w:rPr>
          <w:sz w:val="20"/>
          <w:szCs w:val="20"/>
          <w:color w:val="auto"/>
        </w:rPr>
      </w:pPr>
      <w:r>
        <w:rPr>
          <w:rFonts w:ascii="Times New Roman" w:cs="Times New Roman" w:eastAsia="Times New Roman" w:hAnsi="Times New Roman"/>
          <w:sz w:val="13"/>
          <w:szCs w:val="13"/>
          <w:color w:val="auto"/>
        </w:rPr>
        <w:t>Our equity incentive plan allows us to set the terms and conditions of equity awards granted thereunder. Under our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Duties of Directors</w:t>
      </w:r>
    </w:p>
    <w:p>
      <w:pPr>
        <w:spacing w:after="0" w:line="93" w:lineRule="exact"/>
        <w:rPr>
          <w:sz w:val="20"/>
          <w:szCs w:val="20"/>
          <w:color w:val="auto"/>
        </w:rPr>
      </w:pPr>
    </w:p>
    <w:p>
      <w:pPr>
        <w:ind w:left="220" w:right="55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We have a one-tier board structure consisting of a board of directors comprising one or more executive directors and one or more non-executive directors. Under Dutch law, our Board is charged with</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63" w:name="page64"/>
    <w:bookmarkEnd w:id="63"/>
    <w:p>
      <w:pPr>
        <w:ind w:left="220" w:right="31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applicable.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w:t>
      </w:r>
    </w:p>
    <w:p>
      <w:pPr>
        <w:spacing w:after="0" w:line="144" w:lineRule="exact"/>
        <w:rPr>
          <w:sz w:val="20"/>
          <w:szCs w:val="20"/>
          <w:color w:val="auto"/>
        </w:rPr>
      </w:pPr>
    </w:p>
    <w:p>
      <w:pPr>
        <w:ind w:left="220" w:right="279" w:firstLine="343"/>
        <w:spacing w:after="0" w:line="282" w:lineRule="auto"/>
        <w:rPr>
          <w:sz w:val="20"/>
          <w:szCs w:val="20"/>
          <w:color w:val="auto"/>
        </w:rPr>
      </w:pPr>
      <w:r>
        <w:rPr>
          <w:rFonts w:ascii="Times New Roman" w:cs="Times New Roman" w:eastAsia="Times New Roman" w:hAnsi="Times New Roman"/>
          <w:sz w:val="14"/>
          <w:szCs w:val="14"/>
          <w:color w:val="auto"/>
        </w:rPr>
        <w:t>Our Board is entitled to represent the Company. The power to represent our company also vests in our chief executive officer individually, as well as in any other two executive directors acting jointly.</w:t>
      </w:r>
    </w:p>
    <w:p>
      <w:pPr>
        <w:spacing w:after="0" w:line="126" w:lineRule="exact"/>
        <w:rPr>
          <w:sz w:val="20"/>
          <w:szCs w:val="20"/>
          <w:color w:val="auto"/>
        </w:rPr>
      </w:pPr>
    </w:p>
    <w:p>
      <w:pPr>
        <w:ind w:left="220" w:right="239" w:firstLine="343"/>
        <w:spacing w:after="0" w:line="266" w:lineRule="auto"/>
        <w:rPr>
          <w:sz w:val="20"/>
          <w:szCs w:val="20"/>
          <w:color w:val="auto"/>
        </w:rPr>
      </w:pPr>
      <w:r>
        <w:rPr>
          <w:rFonts w:ascii="Times New Roman" w:cs="Times New Roman" w:eastAsia="Times New Roman" w:hAnsi="Times New Roman"/>
          <w:sz w:val="14"/>
          <w:szCs w:val="14"/>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37"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Director terms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The DCGC provides the following best practice recommendations on the terms for tenure of our directors:</w:t>
      </w:r>
    </w:p>
    <w:p>
      <w:pPr>
        <w:spacing w:after="0" w:line="102" w:lineRule="exact"/>
        <w:rPr>
          <w:sz w:val="20"/>
          <w:szCs w:val="20"/>
          <w:color w:val="auto"/>
        </w:rPr>
      </w:pPr>
    </w:p>
    <w:p>
      <w:pPr>
        <w:ind w:left="980" w:right="379" w:hanging="341"/>
        <w:spacing w:after="0" w:line="282" w:lineRule="auto"/>
        <w:tabs>
          <w:tab w:leader="none" w:pos="9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directors should be appointed for a maximum period of four years, without limiting the number of consecutive terms executive directors may serve.</w:t>
      </w:r>
    </w:p>
    <w:p>
      <w:pPr>
        <w:spacing w:after="0" w:line="52" w:lineRule="exact"/>
        <w:rPr>
          <w:rFonts w:ascii="Times New Roman" w:cs="Times New Roman" w:eastAsia="Times New Roman" w:hAnsi="Times New Roman"/>
          <w:sz w:val="14"/>
          <w:szCs w:val="14"/>
          <w:color w:val="auto"/>
        </w:rPr>
      </w:pPr>
    </w:p>
    <w:p>
      <w:pPr>
        <w:ind w:left="980" w:right="299" w:hanging="341"/>
        <w:spacing w:after="0" w:line="266" w:lineRule="auto"/>
        <w:tabs>
          <w:tab w:leader="none" w:pos="9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w:t>
      </w:r>
    </w:p>
    <w:p>
      <w:pPr>
        <w:spacing w:after="0" w:line="137"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43"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64" w:name="page65"/>
    <w:bookmarkEnd w:id="64"/>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Director vacancies</w:t>
      </w:r>
    </w:p>
    <w:p>
      <w:pPr>
        <w:spacing w:after="0" w:line="93"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47"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Under Dutch law, directors are appointed and re-appointed by the general meeting. Under our Articles of Association, directors are appointed by the general meeting upon the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40"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w:t>
      </w:r>
    </w:p>
    <w:p>
      <w:pPr>
        <w:spacing w:after="0" w:line="1" w:lineRule="exact"/>
        <w:rPr>
          <w:sz w:val="20"/>
          <w:szCs w:val="20"/>
          <w:color w:val="auto"/>
        </w:rPr>
      </w:pPr>
    </w:p>
    <w:p>
      <w:pPr>
        <w:ind w:left="220" w:right="299" w:hanging="1"/>
        <w:spacing w:after="0" w:line="261" w:lineRule="auto"/>
        <w:tabs>
          <w:tab w:leader="none" w:pos="42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Conflict-of-interest transactions</w:t>
      </w:r>
    </w:p>
    <w:p>
      <w:pPr>
        <w:spacing w:after="0" w:line="93" w:lineRule="exact"/>
        <w:rPr>
          <w:sz w:val="20"/>
          <w:szCs w:val="20"/>
          <w:color w:val="auto"/>
        </w:rPr>
      </w:pPr>
    </w:p>
    <w:p>
      <w:pPr>
        <w:ind w:left="220" w:right="33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DCGC provides the following best practice recommendations in relation to conflicts of interests in respect of directors:</w:t>
      </w:r>
    </w:p>
    <w:p>
      <w:pPr>
        <w:spacing w:after="0" w:line="102" w:lineRule="exact"/>
        <w:rPr>
          <w:sz w:val="20"/>
          <w:szCs w:val="20"/>
          <w:color w:val="auto"/>
        </w:rPr>
      </w:pPr>
    </w:p>
    <w:p>
      <w:pPr>
        <w:ind w:left="980" w:right="379" w:hanging="341"/>
        <w:spacing w:after="0" w:line="258" w:lineRule="auto"/>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should report any conflict of interest or potential conflict of interest in a transaction that is of material significance to the company and/or to such person to the chairperson of the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w:t>
      </w:r>
    </w:p>
    <w:p>
      <w:pPr>
        <w:spacing w:after="0" w:line="69"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should decide, outside the presence of the director concerned, whether there is a conflict of interest;</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which there are conflicts of interest with directors should be agreed on terms that are customary in the market; and</w:t>
      </w:r>
    </w:p>
    <w:p>
      <w:pPr>
        <w:spacing w:after="0" w:line="101" w:lineRule="exact"/>
        <w:rPr>
          <w:rFonts w:ascii="Times New Roman" w:cs="Times New Roman" w:eastAsia="Times New Roman" w:hAnsi="Times New Roman"/>
          <w:sz w:val="14"/>
          <w:szCs w:val="14"/>
          <w:color w:val="auto"/>
        </w:rPr>
      </w:pPr>
    </w:p>
    <w:p>
      <w:pPr>
        <w:ind w:left="980" w:right="379" w:hanging="341"/>
        <w:spacing w:after="0" w:line="282" w:lineRule="auto"/>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to enter into transactions in which there are conflicts of interest with directors that are of material significance to the Company and/or to the relevant directors should require the approval of the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65" w:name="page66"/>
    <w:bookmarkEnd w:id="65"/>
    <w:p>
      <w:pPr>
        <w:ind w:left="980" w:right="49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Board. Such transactions should be published in our statutory annual report, together with a description of the conflict of interest and a declaration that the relevant best practice provisions of the DCGC have been complied with.</w:t>
      </w:r>
    </w:p>
    <w:p>
      <w:pPr>
        <w:spacing w:after="0" w:line="126" w:lineRule="exact"/>
        <w:rPr>
          <w:sz w:val="20"/>
          <w:szCs w:val="20"/>
          <w:color w:val="auto"/>
        </w:rPr>
      </w:pPr>
    </w:p>
    <w:p>
      <w:pPr>
        <w:ind w:left="220" w:right="77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transactions involving a Delaware corporation and an interested director of that corporation would not be voidable if:</w:t>
      </w:r>
    </w:p>
    <w:p>
      <w:pPr>
        <w:spacing w:after="0" w:line="52" w:lineRule="exact"/>
        <w:rPr>
          <w:sz w:val="20"/>
          <w:szCs w:val="20"/>
          <w:color w:val="auto"/>
        </w:rPr>
      </w:pPr>
    </w:p>
    <w:p>
      <w:pPr>
        <w:ind w:left="980" w:right="459" w:hanging="341"/>
        <w:spacing w:after="0" w:line="282"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52" w:lineRule="exact"/>
        <w:rPr>
          <w:rFonts w:ascii="Times New Roman" w:cs="Times New Roman" w:eastAsia="Times New Roman" w:hAnsi="Times New Roman"/>
          <w:sz w:val="14"/>
          <w:szCs w:val="14"/>
          <w:color w:val="auto"/>
        </w:rPr>
      </w:pPr>
    </w:p>
    <w:p>
      <w:pPr>
        <w:ind w:left="980" w:right="479" w:hanging="341"/>
        <w:spacing w:after="0" w:line="282"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are disclosed or known as to the director’s relationship or interest and the transaction is specifically approved in good faith by vote of the majority of shares entitled to vote thereon; or</w:t>
      </w:r>
    </w:p>
    <w:p>
      <w:pPr>
        <w:spacing w:after="0" w:line="52" w:lineRule="exact"/>
        <w:rPr>
          <w:rFonts w:ascii="Times New Roman" w:cs="Times New Roman" w:eastAsia="Times New Roman" w:hAnsi="Times New Roman"/>
          <w:sz w:val="14"/>
          <w:szCs w:val="14"/>
          <w:color w:val="auto"/>
        </w:rPr>
      </w:pPr>
    </w:p>
    <w:p>
      <w:pPr>
        <w:ind w:left="980" w:right="419" w:hanging="341"/>
        <w:spacing w:after="0" w:line="282"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fair to the corporation at the time it is authorized by the board of directors, a committee of the board of directors or the stockholders.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Proxy voting by directors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An absent director may issue a proxy for a specific Board meeting but only to another director in writing or by electronic means.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A director of a Delaware corporation may not issue a proxy representing the director’s voting rights as a director.</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Shareholders Rights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and the holders of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the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47" w:lineRule="exact"/>
        <w:rPr>
          <w:sz w:val="20"/>
          <w:szCs w:val="20"/>
          <w:color w:val="auto"/>
        </w:rPr>
      </w:pPr>
    </w:p>
    <w:p>
      <w:pPr>
        <w:ind w:left="220" w:right="239" w:firstLine="343"/>
        <w:spacing w:after="0" w:line="236" w:lineRule="auto"/>
        <w:rPr>
          <w:sz w:val="20"/>
          <w:szCs w:val="20"/>
          <w:color w:val="auto"/>
        </w:rPr>
      </w:pPr>
      <w:r>
        <w:rPr>
          <w:rFonts w:ascii="Times New Roman" w:cs="Times New Roman" w:eastAsia="Times New Roman" w:hAnsi="Times New Roman"/>
          <w:sz w:val="14"/>
          <w:szCs w:val="14"/>
          <w:color w:val="auto"/>
        </w:rPr>
        <w:t>For each general meeting, the Board may determine that a record date will be applied in order to establish which shareholders are entitled to attend and vote at the general meeting. Such record date shall be the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57" w:lineRule="exact"/>
        <w:rPr>
          <w:sz w:val="20"/>
          <w:szCs w:val="20"/>
          <w:color w:val="auto"/>
        </w:rPr>
      </w:pPr>
    </w:p>
    <w:p>
      <w:pPr>
        <w:ind w:left="220" w:right="59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each stockholder is entitled to one vote per share of stock, unless the certificate of incorporation provides otherwise. In addition, the certificate of incorporation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66" w:name="page67"/>
    <w:bookmarkEnd w:id="66"/>
    <w:p>
      <w:pPr>
        <w:ind w:left="220" w:right="2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37"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Shareholder proposals</w:t>
      </w:r>
    </w:p>
    <w:p>
      <w:pPr>
        <w:spacing w:after="0" w:line="93" w:lineRule="exact"/>
        <w:rPr>
          <w:sz w:val="20"/>
          <w:szCs w:val="20"/>
          <w:color w:val="auto"/>
        </w:rPr>
      </w:pPr>
    </w:p>
    <w:p>
      <w:pPr>
        <w:ind w:left="220" w:right="339" w:firstLine="343"/>
        <w:spacing w:after="0" w:line="255"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47" w:lineRule="exact"/>
        <w:rPr>
          <w:sz w:val="20"/>
          <w:szCs w:val="20"/>
          <w:color w:val="auto"/>
        </w:rPr>
      </w:pPr>
    </w:p>
    <w:p>
      <w:pPr>
        <w:ind w:left="220" w:right="359" w:firstLine="343"/>
        <w:spacing w:after="0" w:line="266" w:lineRule="auto"/>
        <w:rPr>
          <w:sz w:val="20"/>
          <w:szCs w:val="20"/>
          <w:color w:val="auto"/>
        </w:rPr>
      </w:pPr>
      <w:r>
        <w:rPr>
          <w:rFonts w:ascii="Times New Roman" w:cs="Times New Roman" w:eastAsia="Times New Roman" w:hAnsi="Times New Roman"/>
          <w:sz w:val="14"/>
          <w:szCs w:val="14"/>
          <w:color w:val="auto"/>
        </w:rPr>
        <w:t>The agenda for a general meeting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37" w:lineRule="exact"/>
        <w:rPr>
          <w:sz w:val="20"/>
          <w:szCs w:val="20"/>
          <w:color w:val="auto"/>
        </w:rPr>
      </w:pPr>
    </w:p>
    <w:p>
      <w:pPr>
        <w:ind w:left="220" w:right="279" w:firstLine="343"/>
        <w:spacing w:after="0" w:line="254" w:lineRule="auto"/>
        <w:rPr>
          <w:sz w:val="20"/>
          <w:szCs w:val="20"/>
          <w:color w:val="auto"/>
        </w:rPr>
      </w:pPr>
      <w:r>
        <w:rPr>
          <w:rFonts w:ascii="Times New Roman" w:cs="Times New Roman" w:eastAsia="Times New Roman" w:hAnsi="Times New Roman"/>
          <w:sz w:val="14"/>
          <w:szCs w:val="14"/>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47"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67" w:name="page68"/>
    <w:bookmarkEnd w:id="67"/>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1" w:lineRule="exact"/>
        <w:rPr>
          <w:sz w:val="20"/>
          <w:szCs w:val="20"/>
          <w:color w:val="auto"/>
        </w:rPr>
      </w:pPr>
    </w:p>
    <w:p>
      <w:pPr>
        <w:ind w:left="980" w:right="439" w:hanging="341"/>
        <w:spacing w:after="0" w:line="282" w:lineRule="auto"/>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cannot reasonably believe that a continuation of the cooling-off period would contribute to careful policy-making; or</w:t>
      </w:r>
    </w:p>
    <w:p>
      <w:pPr>
        <w:spacing w:after="0" w:line="101" w:lineRule="exact"/>
        <w:rPr>
          <w:rFonts w:ascii="Times New Roman" w:cs="Times New Roman" w:eastAsia="Times New Roman" w:hAnsi="Times New Roman"/>
          <w:sz w:val="14"/>
          <w:szCs w:val="14"/>
          <w:color w:val="auto"/>
        </w:rPr>
      </w:pPr>
    </w:p>
    <w:p>
      <w:pPr>
        <w:jc w:val="both"/>
        <w:ind w:left="980" w:right="279" w:hanging="341"/>
        <w:spacing w:after="0" w:line="266" w:lineRule="auto"/>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7"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Action by written consent</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shareholders’ resolutions may be adopted in writing without holding a meeting of shareholders, provided that</w:t>
      </w:r>
    </w:p>
    <w:p>
      <w:pPr>
        <w:spacing w:after="0" w:line="22" w:lineRule="exact"/>
        <w:rPr>
          <w:sz w:val="20"/>
          <w:szCs w:val="20"/>
          <w:color w:val="auto"/>
        </w:rPr>
      </w:pPr>
    </w:p>
    <w:p>
      <w:pPr>
        <w:ind w:left="220" w:right="419" w:hanging="1"/>
        <w:spacing w:after="0" w:line="254" w:lineRule="auto"/>
        <w:tabs>
          <w:tab w:leader="none" w:pos="38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44" w:lineRule="exact"/>
        <w:rPr>
          <w:sz w:val="20"/>
          <w:szCs w:val="20"/>
          <w:color w:val="auto"/>
        </w:rPr>
      </w:pPr>
    </w:p>
    <w:p>
      <w:pPr>
        <w:ind w:left="220" w:right="31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Although permitted by Delaware law, publicly listed companies do not typically permit stockholders of a corporation to take action by written consent.</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Appraisal rights</w:t>
      </w:r>
    </w:p>
    <w:p>
      <w:pPr>
        <w:spacing w:after="0" w:line="93"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68" w:name="page69"/>
    <w:bookmarkEnd w:id="68"/>
    <w:p>
      <w:pPr>
        <w:ind w:left="220" w:right="67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Delaware</w:t>
      </w:r>
      <w:r>
        <w:rPr>
          <w:rFonts w:ascii="Times New Roman" w:cs="Times New Roman" w:eastAsia="Times New Roman" w:hAnsi="Times New Roman"/>
          <w:sz w:val="14"/>
          <w:szCs w:val="14"/>
          <w:color w:val="auto"/>
        </w:rPr>
        <w:t>. The Delaware General Corporation Law provides for stockholder appraisal rights, or the right to demand payment in cash of the judicially determined fair value of the stockholder’s shares, in connection with certain mergers and consolidations.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Shareholder suits</w:t>
      </w:r>
    </w:p>
    <w:p>
      <w:pPr>
        <w:spacing w:after="0" w:line="93"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Our Articles of Association provide that the sole and exclusive forum for any complaint asserting a cause of action arising under the U.S.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Securities Act of 1933, as amended, to the fullest extent permitted by applicable law, shall be the U.S. federal district courts.</w:t>
      </w:r>
    </w:p>
    <w:p>
      <w:pPr>
        <w:spacing w:after="0" w:line="160"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Repurchase of shares</w:t>
      </w:r>
    </w:p>
    <w:p>
      <w:pPr>
        <w:spacing w:after="0" w:line="93" w:lineRule="exact"/>
        <w:rPr>
          <w:sz w:val="20"/>
          <w:szCs w:val="20"/>
          <w:color w:val="auto"/>
        </w:rPr>
      </w:pPr>
    </w:p>
    <w:p>
      <w:pPr>
        <w:ind w:left="220" w:right="279" w:firstLine="343"/>
        <w:spacing w:after="0" w:line="254"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or which are held by a subsidiary of the company, would not exceed 50% of its then-current issued share capital. Such company may only acquire its own shares if its general meeting has granted the Board the authority to effect such acquisitions.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69" w:name="page70"/>
    <w:bookmarkEnd w:id="69"/>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44" w:lineRule="exact"/>
        <w:rPr>
          <w:sz w:val="20"/>
          <w:szCs w:val="20"/>
          <w:color w:val="auto"/>
        </w:rPr>
      </w:pPr>
    </w:p>
    <w:p>
      <w:pPr>
        <w:ind w:left="220" w:right="279" w:firstLine="343"/>
        <w:spacing w:after="0" w:line="282" w:lineRule="auto"/>
        <w:rPr>
          <w:sz w:val="20"/>
          <w:szCs w:val="20"/>
          <w:color w:val="auto"/>
        </w:rPr>
      </w:pPr>
      <w:r>
        <w:rPr>
          <w:rFonts w:ascii="Times New Roman" w:cs="Times New Roman" w:eastAsia="Times New Roman" w:hAnsi="Times New Roman"/>
          <w:sz w:val="14"/>
          <w:szCs w:val="14"/>
          <w:color w:val="auto"/>
        </w:rPr>
        <w:t>No authorization of the general meeting is required if fully paid ordinary shares are acquired by us with the intention of transferring such ordinary shares to our employees under an applicable employee stock purchase plan.</w:t>
      </w:r>
    </w:p>
    <w:p>
      <w:pPr>
        <w:spacing w:after="0" w:line="126"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3" w:lineRule="exact"/>
        <w:rPr>
          <w:sz w:val="20"/>
          <w:szCs w:val="20"/>
          <w:color w:val="auto"/>
        </w:rPr>
      </w:pPr>
    </w:p>
    <w:p>
      <w:pPr>
        <w:ind w:left="220" w:right="41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various protective measures are possible and permissible within the boundaries set by Dutch law and Dutch case law.</w:t>
      </w:r>
    </w:p>
    <w:p>
      <w:pPr>
        <w:spacing w:after="0" w:line="42" w:lineRule="exact"/>
        <w:rPr>
          <w:sz w:val="20"/>
          <w:szCs w:val="20"/>
          <w:color w:val="auto"/>
        </w:rPr>
      </w:pPr>
    </w:p>
    <w:p>
      <w:pPr>
        <w:ind w:left="220" w:right="519" w:firstLine="343"/>
        <w:spacing w:after="0" w:line="282" w:lineRule="auto"/>
        <w:rPr>
          <w:sz w:val="20"/>
          <w:szCs w:val="20"/>
          <w:color w:val="auto"/>
        </w:rPr>
      </w:pPr>
      <w:r>
        <w:rPr>
          <w:rFonts w:ascii="Times New Roman" w:cs="Times New Roman" w:eastAsia="Times New Roman" w:hAnsi="Times New Roman"/>
          <w:sz w:val="14"/>
          <w:szCs w:val="14"/>
          <w:color w:val="auto"/>
        </w:rPr>
        <w:t>In this respect, certain provisions of our Articles of Association may make it more difficult for a third-party to acquire control of us or effect a change in the composition of our Board. These include:</w:t>
      </w:r>
    </w:p>
    <w:p>
      <w:pPr>
        <w:spacing w:after="0" w:line="52" w:lineRule="exact"/>
        <w:rPr>
          <w:sz w:val="20"/>
          <w:szCs w:val="20"/>
          <w:color w:val="auto"/>
        </w:rPr>
      </w:pPr>
    </w:p>
    <w:p>
      <w:pPr>
        <w:ind w:left="980" w:right="239" w:hanging="341"/>
        <w:spacing w:after="0" w:line="266" w:lineRule="auto"/>
        <w:tabs>
          <w:tab w:leader="none" w:pos="9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our directors can only be dismissed at the general meeting by a two-thirds majority of votes cast representing more than half of our issued share capital, unless the dismissal is proposed by our Board in which latter case a simple majority of the votes cast would be sufficient;</w:t>
      </w:r>
    </w:p>
    <w:p>
      <w:pPr>
        <w:spacing w:after="0" w:line="63" w:lineRule="exact"/>
        <w:rPr>
          <w:rFonts w:ascii="Times New Roman" w:cs="Times New Roman" w:eastAsia="Times New Roman" w:hAnsi="Times New Roman"/>
          <w:sz w:val="14"/>
          <w:szCs w:val="14"/>
          <w:color w:val="auto"/>
        </w:rPr>
      </w:pPr>
    </w:p>
    <w:p>
      <w:pPr>
        <w:ind w:left="980" w:right="579" w:hanging="341"/>
        <w:spacing w:after="0" w:line="266" w:lineRule="auto"/>
        <w:tabs>
          <w:tab w:leader="none" w:pos="9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w:t>
      </w:r>
    </w:p>
    <w:p>
      <w:pPr>
        <w:spacing w:after="0" w:line="63" w:lineRule="exact"/>
        <w:rPr>
          <w:rFonts w:ascii="Times New Roman" w:cs="Times New Roman" w:eastAsia="Times New Roman" w:hAnsi="Times New Roman"/>
          <w:sz w:val="14"/>
          <w:szCs w:val="14"/>
          <w:color w:val="auto"/>
        </w:rPr>
      </w:pPr>
    </w:p>
    <w:p>
      <w:pPr>
        <w:ind w:left="980" w:right="339" w:hanging="341"/>
        <w:spacing w:after="0" w:line="282" w:lineRule="auto"/>
        <w:tabs>
          <w:tab w:leader="none" w:pos="9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which allows the former chairperson of our Board or our former chief executive officer to be charged with our management if all of our directors are absent or incapacitated; and</w:t>
      </w:r>
    </w:p>
    <w:p>
      <w:pPr>
        <w:spacing w:after="0" w:line="52" w:lineRule="exact"/>
        <w:rPr>
          <w:rFonts w:ascii="Times New Roman" w:cs="Times New Roman" w:eastAsia="Times New Roman" w:hAnsi="Times New Roman"/>
          <w:sz w:val="14"/>
          <w:szCs w:val="14"/>
          <w:color w:val="auto"/>
        </w:rPr>
      </w:pPr>
    </w:p>
    <w:p>
      <w:pPr>
        <w:ind w:left="980" w:right="579" w:hanging="341"/>
        <w:spacing w:after="0" w:line="282" w:lineRule="auto"/>
        <w:tabs>
          <w:tab w:leader="none" w:pos="9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certain matters, including an amendment of our Articles of Association, may only be resolved upon by our general meeting if proposed by our Board.</w:t>
      </w:r>
    </w:p>
    <w:p>
      <w:pPr>
        <w:spacing w:after="0" w:line="126" w:lineRule="exact"/>
        <w:rPr>
          <w:sz w:val="20"/>
          <w:szCs w:val="20"/>
          <w:color w:val="auto"/>
        </w:rPr>
      </w:pPr>
    </w:p>
    <w:p>
      <w:pPr>
        <w:ind w:left="220" w:right="239" w:firstLine="343"/>
        <w:spacing w:after="0" w:line="282" w:lineRule="auto"/>
        <w:rPr>
          <w:sz w:val="20"/>
          <w:szCs w:val="20"/>
          <w:color w:val="auto"/>
        </w:rPr>
      </w:pPr>
      <w:r>
        <w:rPr>
          <w:rFonts w:ascii="Times New Roman" w:cs="Times New Roman" w:eastAsia="Times New Roman" w:hAnsi="Times New Roman"/>
          <w:sz w:val="14"/>
          <w:szCs w:val="14"/>
          <w:color w:val="auto"/>
        </w:rPr>
        <w:t>Dutch law also allows for staggered multi-year terms of our directors, as a result of which only part of our directors may be subject to appointment or re-appointment in any given year.</w:t>
      </w:r>
    </w:p>
    <w:p>
      <w:pPr>
        <w:spacing w:after="0" w:line="126" w:lineRule="exact"/>
        <w:rPr>
          <w:sz w:val="20"/>
          <w:szCs w:val="20"/>
          <w:color w:val="auto"/>
        </w:rPr>
      </w:pPr>
    </w:p>
    <w:p>
      <w:pPr>
        <w:jc w:val="both"/>
        <w:ind w:left="220" w:right="239" w:firstLine="343"/>
        <w:spacing w:after="0" w:line="323" w:lineRule="auto"/>
        <w:rPr>
          <w:sz w:val="20"/>
          <w:szCs w:val="20"/>
          <w:color w:val="auto"/>
        </w:rPr>
      </w:pPr>
      <w:r>
        <w:rPr>
          <w:rFonts w:ascii="Times New Roman" w:cs="Times New Roman" w:eastAsia="Times New Roman" w:hAnsi="Times New Roman"/>
          <w:sz w:val="13"/>
          <w:szCs w:val="13"/>
          <w:color w:val="auto"/>
        </w:rPr>
        <w:t>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70" w:name="page71"/>
    <w:bookmarkEnd w:id="70"/>
    <w:p>
      <w:pPr>
        <w:ind w:left="220" w:right="359" w:firstLine="343"/>
        <w:spacing w:after="0" w:line="266"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Delaware</w:t>
      </w:r>
      <w:r>
        <w:rPr>
          <w:rFonts w:ascii="Times New Roman" w:cs="Times New Roman" w:eastAsia="Times New Roman" w:hAnsi="Times New Roman"/>
          <w:sz w:val="14"/>
          <w:szCs w:val="14"/>
          <w:color w:val="auto"/>
        </w:rPr>
        <w:t>.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37" w:lineRule="exact"/>
        <w:rPr>
          <w:sz w:val="20"/>
          <w:szCs w:val="20"/>
          <w:color w:val="auto"/>
        </w:rPr>
      </w:pPr>
    </w:p>
    <w:p>
      <w:pPr>
        <w:ind w:left="220" w:right="299" w:firstLine="343"/>
        <w:spacing w:after="0" w:line="266" w:lineRule="auto"/>
        <w:rPr>
          <w:sz w:val="20"/>
          <w:szCs w:val="20"/>
          <w:color w:val="auto"/>
        </w:rPr>
      </w:pPr>
      <w:r>
        <w:rPr>
          <w:rFonts w:ascii="Times New Roman" w:cs="Times New Roman" w:eastAsia="Times New Roman" w:hAnsi="Times New Roman"/>
          <w:sz w:val="14"/>
          <w:szCs w:val="14"/>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63" w:lineRule="exact"/>
        <w:rPr>
          <w:sz w:val="20"/>
          <w:szCs w:val="20"/>
          <w:color w:val="auto"/>
        </w:rPr>
      </w:pPr>
    </w:p>
    <w:p>
      <w:pPr>
        <w:ind w:left="980" w:right="419" w:hanging="341"/>
        <w:spacing w:after="0" w:line="282" w:lineRule="auto"/>
        <w:tabs>
          <w:tab w:leader="none" w:pos="9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of the corporation approved either the business combination or the transaction which resulted in the stockholder becoming an interested stockholder;</w:t>
      </w:r>
    </w:p>
    <w:p>
      <w:pPr>
        <w:spacing w:after="0" w:line="52" w:lineRule="exact"/>
        <w:rPr>
          <w:rFonts w:ascii="Times New Roman" w:cs="Times New Roman" w:eastAsia="Times New Roman" w:hAnsi="Times New Roman"/>
          <w:sz w:val="14"/>
          <w:szCs w:val="14"/>
          <w:color w:val="auto"/>
        </w:rPr>
      </w:pPr>
    </w:p>
    <w:p>
      <w:pPr>
        <w:ind w:left="980" w:right="259" w:hanging="341"/>
        <w:spacing w:after="0" w:line="266" w:lineRule="auto"/>
        <w:tabs>
          <w:tab w:leader="none" w:pos="9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3" w:lineRule="exact"/>
        <w:rPr>
          <w:rFonts w:ascii="Times New Roman" w:cs="Times New Roman" w:eastAsia="Times New Roman" w:hAnsi="Times New Roman"/>
          <w:sz w:val="14"/>
          <w:szCs w:val="14"/>
          <w:color w:val="auto"/>
        </w:rPr>
      </w:pPr>
    </w:p>
    <w:p>
      <w:pPr>
        <w:ind w:left="980" w:right="359" w:hanging="341"/>
        <w:spacing w:after="0" w:line="282" w:lineRule="auto"/>
        <w:tabs>
          <w:tab w:leader="none" w:pos="9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26"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Inspection of Books and Records</w:t>
      </w:r>
    </w:p>
    <w:p>
      <w:pPr>
        <w:spacing w:after="0" w:line="93" w:lineRule="exact"/>
        <w:rPr>
          <w:sz w:val="20"/>
          <w:szCs w:val="20"/>
          <w:color w:val="auto"/>
        </w:rPr>
      </w:pPr>
    </w:p>
    <w:p>
      <w:pPr>
        <w:ind w:left="220" w:right="59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The Board must provide the general meeting all information that it requires, unless this would be contrary to an overriding interest of our Company. If the Board invokes such an overriding interest, it must give reasons.</w:t>
      </w:r>
    </w:p>
    <w:p>
      <w:pPr>
        <w:spacing w:after="0" w:line="126" w:lineRule="exact"/>
        <w:rPr>
          <w:sz w:val="20"/>
          <w:szCs w:val="20"/>
          <w:color w:val="auto"/>
        </w:rPr>
      </w:pPr>
    </w:p>
    <w:p>
      <w:pPr>
        <w:ind w:left="220" w:right="35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any stockholder may inspect for any proper purpose certain of the corporation’s books and records during the corporation’s usual hours of business.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Dismissal of Directors</w:t>
      </w:r>
    </w:p>
    <w:p>
      <w:pPr>
        <w:spacing w:after="0" w:line="93" w:lineRule="exact"/>
        <w:rPr>
          <w:sz w:val="20"/>
          <w:szCs w:val="20"/>
          <w:color w:val="auto"/>
        </w:rPr>
      </w:pPr>
    </w:p>
    <w:p>
      <w:pPr>
        <w:jc w:val="both"/>
        <w:ind w:left="220" w:right="27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40"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71" w:name="page72"/>
    <w:bookmarkEnd w:id="71"/>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Issuance of Shares</w:t>
      </w:r>
    </w:p>
    <w:p>
      <w:pPr>
        <w:spacing w:after="0" w:line="93" w:lineRule="exact"/>
        <w:rPr>
          <w:sz w:val="20"/>
          <w:szCs w:val="20"/>
          <w:color w:val="auto"/>
        </w:rPr>
      </w:pPr>
    </w:p>
    <w:p>
      <w:pPr>
        <w:ind w:left="220" w:right="279" w:firstLine="343"/>
        <w:spacing w:after="0" w:line="266"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w:t>
      </w:r>
    </w:p>
    <w:p>
      <w:pPr>
        <w:spacing w:after="0" w:line="137" w:lineRule="exact"/>
        <w:rPr>
          <w:sz w:val="20"/>
          <w:szCs w:val="20"/>
          <w:color w:val="auto"/>
        </w:rPr>
      </w:pPr>
    </w:p>
    <w:p>
      <w:pPr>
        <w:ind w:left="220" w:right="419" w:firstLine="343"/>
        <w:spacing w:after="0" w:line="266" w:lineRule="auto"/>
        <w:rPr>
          <w:sz w:val="20"/>
          <w:szCs w:val="20"/>
          <w:color w:val="auto"/>
        </w:rPr>
      </w:pPr>
      <w:r>
        <w:rPr>
          <w:rFonts w:ascii="Times New Roman" w:cs="Times New Roman" w:eastAsia="Times New Roman" w:hAnsi="Times New Roman"/>
          <w:sz w:val="14"/>
          <w:szCs w:val="14"/>
          <w:color w:val="auto"/>
        </w:rPr>
        <w:t>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w:t>
      </w:r>
    </w:p>
    <w:p>
      <w:pPr>
        <w:spacing w:after="0" w:line="137" w:lineRule="exact"/>
        <w:rPr>
          <w:sz w:val="20"/>
          <w:szCs w:val="20"/>
          <w:color w:val="auto"/>
        </w:rPr>
      </w:pPr>
    </w:p>
    <w:p>
      <w:pPr>
        <w:ind w:left="220" w:right="75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Pre-emptive Rights</w:t>
      </w:r>
    </w:p>
    <w:p>
      <w:pPr>
        <w:spacing w:after="0" w:line="93"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spacing w:after="0" w:line="143"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w:t>
      </w:r>
    </w:p>
    <w:p>
      <w:pPr>
        <w:spacing w:after="0" w:line="140" w:lineRule="exact"/>
        <w:rPr>
          <w:sz w:val="20"/>
          <w:szCs w:val="20"/>
          <w:color w:val="auto"/>
        </w:rPr>
      </w:pPr>
    </w:p>
    <w:p>
      <w:pPr>
        <w:ind w:left="220" w:right="359" w:firstLine="343"/>
        <w:spacing w:after="0" w:line="266" w:lineRule="auto"/>
        <w:rPr>
          <w:sz w:val="20"/>
          <w:szCs w:val="20"/>
          <w:color w:val="auto"/>
        </w:rPr>
      </w:pPr>
      <w:r>
        <w:rPr>
          <w:rFonts w:ascii="Times New Roman" w:cs="Times New Roman" w:eastAsia="Times New Roman" w:hAnsi="Times New Roman"/>
          <w:sz w:val="14"/>
          <w:szCs w:val="14"/>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w:t>
      </w:r>
    </w:p>
    <w:p>
      <w:pPr>
        <w:spacing w:after="0" w:line="137" w:lineRule="exact"/>
        <w:rPr>
          <w:sz w:val="20"/>
          <w:szCs w:val="20"/>
          <w:color w:val="auto"/>
        </w:rPr>
      </w:pPr>
    </w:p>
    <w:p>
      <w:pPr>
        <w:ind w:left="220" w:right="33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3"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w:t>
      </w:r>
    </w:p>
    <w:p>
      <w:pPr>
        <w:spacing w:after="0" w:line="142" w:lineRule="exact"/>
        <w:rPr>
          <w:sz w:val="20"/>
          <w:szCs w:val="20"/>
          <w:color w:val="auto"/>
        </w:rPr>
      </w:pPr>
    </w:p>
    <w:p>
      <w:pPr>
        <w:ind w:left="220" w:right="539" w:firstLine="343"/>
        <w:spacing w:after="0" w:line="282" w:lineRule="auto"/>
        <w:rPr>
          <w:sz w:val="20"/>
          <w:szCs w:val="20"/>
          <w:color w:val="auto"/>
        </w:rPr>
      </w:pPr>
      <w:r>
        <w:rPr>
          <w:rFonts w:ascii="Times New Roman" w:cs="Times New Roman" w:eastAsia="Times New Roman" w:hAnsi="Times New Roman"/>
          <w:sz w:val="14"/>
          <w:szCs w:val="14"/>
          <w:color w:val="auto"/>
        </w:rPr>
        <w:t>Under our Articles of Association, our Board may decide that all or part of the profits shown in our adopted statutory annual accounts will be added to our reserves. After reservation of any such profits, any remaining</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72" w:name="page73"/>
    <w:bookmarkEnd w:id="72"/>
    <w:p>
      <w:pPr>
        <w:ind w:left="220" w:right="2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w:t>
      </w:r>
    </w:p>
    <w:p>
      <w:pPr>
        <w:spacing w:after="0" w:line="137" w:lineRule="exact"/>
        <w:rPr>
          <w:sz w:val="20"/>
          <w:szCs w:val="20"/>
          <w:color w:val="auto"/>
        </w:rPr>
      </w:pPr>
    </w:p>
    <w:p>
      <w:pPr>
        <w:jc w:val="both"/>
        <w:ind w:left="220" w:right="239" w:firstLine="343"/>
        <w:spacing w:after="0" w:line="266" w:lineRule="auto"/>
        <w:rPr>
          <w:sz w:val="20"/>
          <w:szCs w:val="20"/>
          <w:color w:val="auto"/>
        </w:rPr>
      </w:pPr>
      <w:r>
        <w:rPr>
          <w:rFonts w:ascii="Times New Roman" w:cs="Times New Roman" w:eastAsia="Times New Roman" w:hAnsi="Times New Roman"/>
          <w:sz w:val="14"/>
          <w:szCs w:val="14"/>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220" w:right="379" w:firstLine="343"/>
        <w:spacing w:after="0" w:line="258"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Shareholder Vote on Certain Reorganizations</w:t>
      </w:r>
    </w:p>
    <w:p>
      <w:pPr>
        <w:spacing w:after="0" w:line="93" w:lineRule="exact"/>
        <w:rPr>
          <w:sz w:val="20"/>
          <w:szCs w:val="20"/>
          <w:color w:val="auto"/>
        </w:rPr>
      </w:pPr>
    </w:p>
    <w:p>
      <w:pPr>
        <w:ind w:left="220" w:right="419" w:firstLine="343"/>
        <w:spacing w:after="0" w:line="282"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the general meeting must approve resolutions of the Board relating to a significant change in the identity or the character of the Company or the business of the Company, which includes:</w:t>
      </w:r>
    </w:p>
    <w:p>
      <w:pPr>
        <w:spacing w:after="0" w:line="52" w:lineRule="exact"/>
        <w:rPr>
          <w:sz w:val="20"/>
          <w:szCs w:val="20"/>
          <w:color w:val="auto"/>
        </w:rPr>
      </w:pPr>
    </w:p>
    <w:p>
      <w:pPr>
        <w:ind w:left="980" w:hanging="341"/>
        <w:spacing w:after="0"/>
        <w:tabs>
          <w:tab w:leader="none" w:pos="9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of the business or virtually the entire business to a third-party;</w:t>
      </w:r>
    </w:p>
    <w:p>
      <w:pPr>
        <w:spacing w:after="0" w:line="101" w:lineRule="exact"/>
        <w:rPr>
          <w:rFonts w:ascii="Times New Roman" w:cs="Times New Roman" w:eastAsia="Times New Roman" w:hAnsi="Times New Roman"/>
          <w:sz w:val="14"/>
          <w:szCs w:val="14"/>
          <w:color w:val="auto"/>
        </w:rPr>
      </w:pPr>
    </w:p>
    <w:p>
      <w:pPr>
        <w:ind w:left="980" w:right="339" w:hanging="341"/>
        <w:spacing w:after="0" w:line="266" w:lineRule="auto"/>
        <w:tabs>
          <w:tab w:leader="none" w:pos="9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63" w:lineRule="exact"/>
        <w:rPr>
          <w:rFonts w:ascii="Times New Roman" w:cs="Times New Roman" w:eastAsia="Times New Roman" w:hAnsi="Times New Roman"/>
          <w:sz w:val="14"/>
          <w:szCs w:val="14"/>
          <w:color w:val="auto"/>
        </w:rPr>
      </w:pPr>
    </w:p>
    <w:p>
      <w:pPr>
        <w:ind w:left="980" w:right="359" w:hanging="341"/>
        <w:spacing w:after="0" w:line="296" w:lineRule="auto"/>
        <w:tabs>
          <w:tab w:leader="none" w:pos="9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19" w:lineRule="exact"/>
        <w:rPr>
          <w:sz w:val="20"/>
          <w:szCs w:val="20"/>
          <w:color w:val="auto"/>
        </w:rPr>
      </w:pPr>
    </w:p>
    <w:p>
      <w:pPr>
        <w:ind w:left="220" w:right="539" w:firstLine="343"/>
        <w:spacing w:after="0" w:line="282" w:lineRule="auto"/>
        <w:rPr>
          <w:sz w:val="20"/>
          <w:szCs w:val="20"/>
          <w:color w:val="auto"/>
        </w:rPr>
      </w:pPr>
      <w:r>
        <w:rPr>
          <w:rFonts w:ascii="Times New Roman" w:cs="Times New Roman" w:eastAsia="Times New Roman" w:hAnsi="Times New Roman"/>
          <w:sz w:val="14"/>
          <w:szCs w:val="14"/>
          <w:color w:val="auto"/>
        </w:rPr>
        <w:t>The absence of such approval shall result in the relevant resolution being null and void but shall not affect the powers of representation of the Board or of the executive directors.</w:t>
      </w:r>
    </w:p>
    <w:p>
      <w:pPr>
        <w:spacing w:after="0" w:line="126"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40"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73" w:name="page74"/>
    <w:bookmarkEnd w:id="73"/>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Remuneration of Directors</w:t>
      </w:r>
    </w:p>
    <w:p>
      <w:pPr>
        <w:spacing w:after="0" w:line="93"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47" w:lineRule="exact"/>
        <w:rPr>
          <w:sz w:val="20"/>
          <w:szCs w:val="20"/>
          <w:color w:val="auto"/>
        </w:rPr>
      </w:pPr>
    </w:p>
    <w:p>
      <w:pPr>
        <w:jc w:val="both"/>
        <w:ind w:left="220" w:right="259" w:firstLine="343"/>
        <w:spacing w:after="0" w:line="266"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8"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DEBT SECURITIES</w:t>
      </w:r>
    </w:p>
    <w:p>
      <w:pPr>
        <w:spacing w:after="0" w:line="177"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42" w:lineRule="exact"/>
        <w:rPr>
          <w:sz w:val="20"/>
          <w:szCs w:val="20"/>
          <w:color w:val="auto"/>
        </w:rPr>
      </w:pPr>
    </w:p>
    <w:p>
      <w:pPr>
        <w:ind w:left="220" w:right="279" w:firstLine="343"/>
        <w:spacing w:after="0" w:line="266" w:lineRule="auto"/>
        <w:rPr>
          <w:sz w:val="20"/>
          <w:szCs w:val="20"/>
          <w:color w:val="auto"/>
        </w:rPr>
      </w:pPr>
      <w:r>
        <w:rPr>
          <w:rFonts w:ascii="Times New Roman" w:cs="Times New Roman" w:eastAsia="Times New Roman" w:hAnsi="Times New Roman"/>
          <w:sz w:val="14"/>
          <w:szCs w:val="14"/>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37" w:lineRule="exact"/>
        <w:rPr>
          <w:sz w:val="20"/>
          <w:szCs w:val="20"/>
          <w:color w:val="auto"/>
        </w:rPr>
      </w:pPr>
    </w:p>
    <w:p>
      <w:pPr>
        <w:ind w:left="220" w:right="259" w:firstLine="343"/>
        <w:spacing w:after="0" w:line="266" w:lineRule="auto"/>
        <w:rPr>
          <w:sz w:val="20"/>
          <w:szCs w:val="20"/>
          <w:color w:val="auto"/>
        </w:rPr>
      </w:pPr>
      <w:r>
        <w:rPr>
          <w:rFonts w:ascii="Times New Roman" w:cs="Times New Roman" w:eastAsia="Times New Roman" w:hAnsi="Times New Roman"/>
          <w:sz w:val="14"/>
          <w:szCs w:val="14"/>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63" w:lineRule="exact"/>
        <w:rPr>
          <w:sz w:val="20"/>
          <w:szCs w:val="20"/>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classification as senior or subordinated debt securities;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of the specific series of debt securities relative to other outstanding indebtedness, including subsidiaries’ debt;</w:t>
      </w:r>
    </w:p>
    <w:p>
      <w:pPr>
        <w:spacing w:after="0" w:line="101" w:lineRule="exact"/>
        <w:rPr>
          <w:rFonts w:ascii="Times New Roman" w:cs="Times New Roman" w:eastAsia="Times New Roman" w:hAnsi="Times New Roman"/>
          <w:sz w:val="14"/>
          <w:szCs w:val="14"/>
          <w:color w:val="auto"/>
        </w:rPr>
      </w:pPr>
    </w:p>
    <w:p>
      <w:pPr>
        <w:ind w:left="980" w:right="859" w:hanging="341"/>
        <w:spacing w:after="0" w:line="282" w:lineRule="auto"/>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and authorized denominations;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may be payable;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at which the debt securities shall bear interest, if any;</w:t>
      </w:r>
    </w:p>
    <w:p>
      <w:pPr>
        <w:spacing w:after="0" w:line="101" w:lineRule="exact"/>
        <w:rPr>
          <w:rFonts w:ascii="Times New Roman" w:cs="Times New Roman" w:eastAsia="Times New Roman" w:hAnsi="Times New Roman"/>
          <w:sz w:val="14"/>
          <w:szCs w:val="14"/>
          <w:color w:val="auto"/>
        </w:rPr>
      </w:pPr>
    </w:p>
    <w:p>
      <w:pPr>
        <w:ind w:left="980" w:right="439" w:hanging="341"/>
        <w:spacing w:after="0" w:line="282" w:lineRule="auto"/>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shall accrue, on which such interest shall be payable, and on which a record shall be taken for the determination of holders of the debt securities to whom interest is payable;</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and interest shall be payable;</w:t>
      </w:r>
    </w:p>
    <w:p>
      <w:pPr>
        <w:spacing w:after="0" w:line="101" w:lineRule="exact"/>
        <w:rPr>
          <w:rFonts w:ascii="Times New Roman" w:cs="Times New Roman" w:eastAsia="Times New Roman" w:hAnsi="Times New Roman"/>
          <w:sz w:val="14"/>
          <w:szCs w:val="14"/>
          <w:color w:val="auto"/>
        </w:rPr>
      </w:pPr>
    </w:p>
    <w:p>
      <w:pPr>
        <w:ind w:left="980" w:right="339" w:hanging="341"/>
        <w:spacing w:after="0" w:line="323" w:lineRule="auto"/>
        <w:tabs>
          <w:tab w:leader="none" w:pos="9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28" w:lineRule="exact"/>
        <w:rPr>
          <w:rFonts w:ascii="Times New Roman" w:cs="Times New Roman" w:eastAsia="Times New Roman" w:hAnsi="Times New Roman"/>
          <w:sz w:val="13"/>
          <w:szCs w:val="13"/>
          <w:color w:val="auto"/>
        </w:rPr>
      </w:pPr>
    </w:p>
    <w:p>
      <w:pPr>
        <w:ind w:left="980" w:right="479" w:hanging="341"/>
        <w:spacing w:after="0" w:line="282" w:lineRule="auto"/>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of the Company to redeem, purchase or repay any debt securities pursuant to any mandatory redemption, sinking fund or other provisions or at the option of a holder of the debt securities;</w:t>
      </w:r>
    </w:p>
    <w:p>
      <w:pPr>
        <w:spacing w:after="0" w:line="52" w:lineRule="exact"/>
        <w:rPr>
          <w:rFonts w:ascii="Times New Roman" w:cs="Times New Roman" w:eastAsia="Times New Roman" w:hAnsi="Times New Roman"/>
          <w:sz w:val="14"/>
          <w:szCs w:val="14"/>
          <w:color w:val="auto"/>
        </w:rPr>
      </w:pPr>
    </w:p>
    <w:p>
      <w:pPr>
        <w:ind w:left="980" w:right="439" w:hanging="341"/>
        <w:spacing w:after="0" w:line="282" w:lineRule="auto"/>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and any higher integral multiple of $1,000, the denominations in which the debt securities will be issuable;</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the currency or currencies, in which payment of the principal and interest shall be payable;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global securities;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8" w:right="1440" w:bottom="1440" w:gutter="0" w:footer="0" w:header="0"/>
        </w:sectPr>
      </w:pPr>
    </w:p>
    <w:bookmarkStart w:id="75" w:name="page76"/>
    <w:bookmarkEnd w:id="75"/>
    <w:p>
      <w:pPr>
        <w:ind w:left="980" w:hanging="341"/>
        <w:spacing w:after="0"/>
        <w:tabs>
          <w:tab w:leader="none" w:pos="9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provisions, if any, for the defeasance of the debt securities;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U.S. federal income tax consequences; and</w:t>
      </w:r>
    </w:p>
    <w:p>
      <w:pPr>
        <w:spacing w:after="0" w:line="101" w:lineRule="exact"/>
        <w:rPr>
          <w:rFonts w:ascii="Times New Roman" w:cs="Times New Roman" w:eastAsia="Times New Roman" w:hAnsi="Times New Roman"/>
          <w:sz w:val="14"/>
          <w:szCs w:val="14"/>
          <w:color w:val="auto"/>
        </w:rPr>
      </w:pPr>
    </w:p>
    <w:p>
      <w:pPr>
        <w:ind w:left="980" w:right="259" w:hanging="341"/>
        <w:spacing w:after="0" w:line="282" w:lineRule="auto"/>
        <w:tabs>
          <w:tab w:leader="none" w:pos="9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specific terms, including any deletions from, modifications of or additions to the events of default or covenants described below or in the applicable indenture.</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Senior Debt</w:t>
      </w:r>
    </w:p>
    <w:p>
      <w:pPr>
        <w:spacing w:after="0" w:line="93" w:lineRule="exact"/>
        <w:rPr>
          <w:sz w:val="20"/>
          <w:szCs w:val="20"/>
          <w:color w:val="auto"/>
        </w:rPr>
      </w:pPr>
    </w:p>
    <w:p>
      <w:pPr>
        <w:ind w:left="220" w:right="619" w:firstLine="343"/>
        <w:spacing w:after="0" w:line="282" w:lineRule="auto"/>
        <w:rPr>
          <w:sz w:val="20"/>
          <w:szCs w:val="20"/>
          <w:color w:val="auto"/>
        </w:rPr>
      </w:pPr>
      <w:r>
        <w:rPr>
          <w:rFonts w:ascii="Times New Roman" w:cs="Times New Roman" w:eastAsia="Times New Roman" w:hAnsi="Times New Roman"/>
          <w:sz w:val="14"/>
          <w:szCs w:val="14"/>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Subordinated Debt</w:t>
      </w:r>
    </w:p>
    <w:p>
      <w:pPr>
        <w:spacing w:after="0" w:line="93"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74" w:lineRule="exact"/>
        <w:rPr>
          <w:sz w:val="20"/>
          <w:szCs w:val="20"/>
          <w:color w:val="auto"/>
        </w:rPr>
      </w:pPr>
    </w:p>
    <w:p>
      <w:pPr>
        <w:ind w:left="980" w:right="379" w:hanging="341"/>
        <w:spacing w:after="0" w:line="323" w:lineRule="auto"/>
        <w:tabs>
          <w:tab w:leader="none" w:pos="9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Dutch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28" w:lineRule="exact"/>
        <w:rPr>
          <w:rFonts w:ascii="Times New Roman" w:cs="Times New Roman" w:eastAsia="Times New Roman" w:hAnsi="Times New Roman"/>
          <w:sz w:val="13"/>
          <w:szCs w:val="13"/>
          <w:color w:val="auto"/>
        </w:rPr>
      </w:pPr>
    </w:p>
    <w:p>
      <w:pPr>
        <w:ind w:left="980" w:right="259" w:hanging="341"/>
        <w:spacing w:after="0" w:line="258" w:lineRule="auto"/>
        <w:tabs>
          <w:tab w:leader="none" w:pos="9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69" w:lineRule="exact"/>
        <w:rPr>
          <w:rFonts w:ascii="Times New Roman" w:cs="Times New Roman" w:eastAsia="Times New Roman" w:hAnsi="Times New Roman"/>
          <w:sz w:val="14"/>
          <w:szCs w:val="14"/>
          <w:color w:val="auto"/>
        </w:rPr>
      </w:pPr>
    </w:p>
    <w:p>
      <w:pPr>
        <w:ind w:left="980" w:right="259" w:hanging="341"/>
        <w:spacing w:after="0" w:line="266" w:lineRule="auto"/>
        <w:tabs>
          <w:tab w:leader="none" w:pos="9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Authentication and Delivery</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We will deliver the debt securities to the trustee for authentication, and the trustee will authenticate and deliver the debt securities upon our written</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order.</w:t>
      </w: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3" w:lineRule="exact"/>
        <w:rPr>
          <w:sz w:val="20"/>
          <w:szCs w:val="20"/>
          <w:color w:val="auto"/>
        </w:rPr>
      </w:pPr>
    </w:p>
    <w:p>
      <w:pPr>
        <w:ind w:left="220" w:right="339" w:firstLine="343"/>
        <w:spacing w:after="0" w:line="282" w:lineRule="auto"/>
        <w:rPr>
          <w:sz w:val="20"/>
          <w:szCs w:val="20"/>
          <w:color w:val="auto"/>
        </w:rPr>
      </w:pPr>
      <w:r>
        <w:rPr>
          <w:rFonts w:ascii="Times New Roman" w:cs="Times New Roman" w:eastAsia="Times New Roman" w:hAnsi="Times New Roman"/>
          <w:sz w:val="14"/>
          <w:szCs w:val="14"/>
          <w:color w:val="auto"/>
        </w:rPr>
        <w:t>When we use the term “Event of Default” in the indentures with respect to the debt securities of any series, set forth below are some examples of what we mean:</w:t>
      </w:r>
    </w:p>
    <w:p>
      <w:pPr>
        <w:spacing w:after="0" w:line="52" w:lineRule="exact"/>
        <w:rPr>
          <w:sz w:val="20"/>
          <w:szCs w:val="20"/>
          <w:color w:val="auto"/>
        </w:rPr>
      </w:pPr>
    </w:p>
    <w:p>
      <w:pPr>
        <w:ind w:left="4440" w:right="1339" w:hanging="3885"/>
        <w:spacing w:after="0" w:line="455" w:lineRule="auto"/>
        <w:tabs>
          <w:tab w:leader="none" w:pos="98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on the debt securities when it becomes due and payable at maturity or otherwise; 29</w:t>
      </w:r>
    </w:p>
    <w:p>
      <w:pPr>
        <w:sectPr>
          <w:pgSz w:w="11900" w:h="16838" w:orient="portrait"/>
          <w:cols w:equalWidth="0" w:num="1">
            <w:col w:w="9019"/>
          </w:cols>
          <w:pgMar w:left="1440" w:top="240" w:right="1440" w:bottom="1440" w:gutter="0" w:footer="0" w:header="0"/>
        </w:sectPr>
      </w:pPr>
    </w:p>
    <w:bookmarkStart w:id="76" w:name="page77"/>
    <w:bookmarkEnd w:id="76"/>
    <w:p>
      <w:pPr>
        <w:ind w:left="980" w:right="479" w:hanging="425"/>
        <w:spacing w:after="0" w:line="282" w:lineRule="auto"/>
        <w:tabs>
          <w:tab w:leader="none" w:pos="9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default in the payment of interest on the debt securities when it becomes due and payable, and such default continues for a period of 30 days;</w:t>
      </w:r>
    </w:p>
    <w:p>
      <w:pPr>
        <w:spacing w:after="0" w:line="52" w:lineRule="exact"/>
        <w:rPr>
          <w:rFonts w:ascii="Times New Roman" w:cs="Times New Roman" w:eastAsia="Times New Roman" w:hAnsi="Times New Roman"/>
          <w:sz w:val="14"/>
          <w:szCs w:val="14"/>
          <w:color w:val="auto"/>
        </w:rPr>
      </w:pPr>
    </w:p>
    <w:p>
      <w:pPr>
        <w:ind w:left="980" w:right="379" w:hanging="425"/>
        <w:spacing w:after="0" w:line="266" w:lineRule="auto"/>
        <w:tabs>
          <w:tab w:leader="none" w:pos="9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63" w:lineRule="exact"/>
        <w:rPr>
          <w:rFonts w:ascii="Times New Roman" w:cs="Times New Roman" w:eastAsia="Times New Roman" w:hAnsi="Times New Roman"/>
          <w:sz w:val="14"/>
          <w:szCs w:val="14"/>
          <w:color w:val="auto"/>
        </w:rPr>
      </w:pPr>
    </w:p>
    <w:p>
      <w:pPr>
        <w:ind w:left="980" w:right="259" w:hanging="425"/>
        <w:spacing w:after="0" w:line="282" w:lineRule="auto"/>
        <w:tabs>
          <w:tab w:leader="none" w:pos="9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certain events of bankruptcy, insolvency, or similar proceedings with respect to us or any substantial part of our property; or</w:t>
      </w:r>
    </w:p>
    <w:p>
      <w:pPr>
        <w:spacing w:after="0" w:line="52" w:lineRule="exact"/>
        <w:rPr>
          <w:rFonts w:ascii="Times New Roman" w:cs="Times New Roman" w:eastAsia="Times New Roman" w:hAnsi="Times New Roman"/>
          <w:sz w:val="14"/>
          <w:szCs w:val="14"/>
          <w:color w:val="auto"/>
        </w:rPr>
      </w:pPr>
    </w:p>
    <w:p>
      <w:pPr>
        <w:ind w:left="980" w:hanging="425"/>
        <w:spacing w:after="0"/>
        <w:tabs>
          <w:tab w:leader="none" w:pos="9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Events of Default that may be set forth in the applicable prospectus supplement.</w:t>
      </w:r>
    </w:p>
    <w:p>
      <w:pPr>
        <w:spacing w:after="0" w:line="175" w:lineRule="exact"/>
        <w:rPr>
          <w:sz w:val="20"/>
          <w:szCs w:val="20"/>
          <w:color w:val="auto"/>
        </w:rPr>
      </w:pPr>
    </w:p>
    <w:p>
      <w:pPr>
        <w:ind w:left="220" w:right="419" w:firstLine="343"/>
        <w:spacing w:after="0" w:line="258" w:lineRule="auto"/>
        <w:rPr>
          <w:sz w:val="20"/>
          <w:szCs w:val="20"/>
          <w:color w:val="auto"/>
        </w:rPr>
      </w:pPr>
      <w:r>
        <w:rPr>
          <w:rFonts w:ascii="Times New Roman" w:cs="Times New Roman" w:eastAsia="Times New Roman" w:hAnsi="Times New Roman"/>
          <w:sz w:val="14"/>
          <w:szCs w:val="14"/>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43" w:lineRule="exact"/>
        <w:rPr>
          <w:sz w:val="20"/>
          <w:szCs w:val="20"/>
          <w:color w:val="auto"/>
        </w:rPr>
      </w:pPr>
    </w:p>
    <w:p>
      <w:pPr>
        <w:ind w:left="220" w:right="319" w:firstLine="343"/>
        <w:spacing w:after="0" w:line="266" w:lineRule="auto"/>
        <w:rPr>
          <w:sz w:val="20"/>
          <w:szCs w:val="20"/>
          <w:color w:val="auto"/>
        </w:rPr>
      </w:pPr>
      <w:r>
        <w:rPr>
          <w:rFonts w:ascii="Times New Roman" w:cs="Times New Roman" w:eastAsia="Times New Roman" w:hAnsi="Times New Roman"/>
          <w:sz w:val="14"/>
          <w:szCs w:val="14"/>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37" w:lineRule="exact"/>
        <w:rPr>
          <w:sz w:val="20"/>
          <w:szCs w:val="20"/>
          <w:color w:val="auto"/>
        </w:rPr>
      </w:pPr>
    </w:p>
    <w:p>
      <w:pPr>
        <w:ind w:left="220" w:right="279" w:firstLine="343"/>
        <w:spacing w:after="0" w:line="266" w:lineRule="auto"/>
        <w:rPr>
          <w:sz w:val="20"/>
          <w:szCs w:val="20"/>
          <w:color w:val="auto"/>
        </w:rPr>
      </w:pPr>
      <w:r>
        <w:rPr>
          <w:rFonts w:ascii="Times New Roman" w:cs="Times New Roman" w:eastAsia="Times New Roman" w:hAnsi="Times New Roman"/>
          <w:sz w:val="14"/>
          <w:szCs w:val="14"/>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Satisfaction, Discharge and Defeasance</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may discharge our obligations under each indenture, except as to:</w:t>
      </w:r>
    </w:p>
    <w:p>
      <w:pPr>
        <w:spacing w:after="0" w:line="102" w:lineRule="exact"/>
        <w:rPr>
          <w:sz w:val="20"/>
          <w:szCs w:val="20"/>
          <w:color w:val="auto"/>
        </w:rPr>
      </w:pPr>
    </w:p>
    <w:p>
      <w:pPr>
        <w:ind w:left="980" w:hanging="341"/>
        <w:spacing w:after="0"/>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registration of transfer and exchange of debt securities, and our right of optional redemption, if any;</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substitution of mutilated, defaced, destroyed, lost or stolen debt securities;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holders of the debt securities to receive payments of principal and interest;</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obligations and immunities of the trustee; and</w:t>
      </w:r>
    </w:p>
    <w:p>
      <w:pPr>
        <w:spacing w:after="0" w:line="101" w:lineRule="exact"/>
        <w:rPr>
          <w:rFonts w:ascii="Times New Roman" w:cs="Times New Roman" w:eastAsia="Times New Roman" w:hAnsi="Times New Roman"/>
          <w:sz w:val="14"/>
          <w:szCs w:val="14"/>
          <w:color w:val="auto"/>
        </w:rPr>
      </w:pPr>
    </w:p>
    <w:p>
      <w:pPr>
        <w:ind w:left="980" w:right="439" w:hanging="341"/>
        <w:spacing w:after="0" w:line="282" w:lineRule="auto"/>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the holders of the debt securities as beneficiaries with respect to the property deposited with the trustee payable to them (as described below);</w:t>
      </w:r>
    </w:p>
    <w:p>
      <w:pPr>
        <w:spacing w:after="0" w:line="1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when:</w:t>
      </w:r>
    </w:p>
    <w:p>
      <w:pPr>
        <w:spacing w:after="0" w:line="102" w:lineRule="exact"/>
        <w:rPr>
          <w:sz w:val="20"/>
          <w:szCs w:val="20"/>
          <w:color w:val="auto"/>
        </w:rPr>
      </w:pPr>
    </w:p>
    <w:p>
      <w:pPr>
        <w:ind w:left="980" w:hanging="341"/>
        <w:spacing w:after="0"/>
        <w:tabs>
          <w:tab w:leader="none" w:pos="9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1" w:lineRule="exact"/>
        <w:rPr>
          <w:rFonts w:ascii="Times New Roman" w:cs="Times New Roman" w:eastAsia="Times New Roman" w:hAnsi="Times New Roman"/>
          <w:sz w:val="14"/>
          <w:szCs w:val="14"/>
          <w:color w:val="auto"/>
        </w:rPr>
      </w:pPr>
    </w:p>
    <w:p>
      <w:pPr>
        <w:ind w:left="1320" w:right="719" w:hanging="250"/>
        <w:spacing w:after="0" w:line="282" w:lineRule="auto"/>
        <w:tabs>
          <w:tab w:leader="none" w:pos="13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any series issued that have been authenticated and delivered have been delivered by us to the trustee for cancellation; or</w:t>
      </w:r>
    </w:p>
    <w:p>
      <w:pPr>
        <w:spacing w:after="0" w:line="52" w:lineRule="exact"/>
        <w:rPr>
          <w:rFonts w:ascii="Times New Roman" w:cs="Times New Roman" w:eastAsia="Times New Roman" w:hAnsi="Times New Roman"/>
          <w:sz w:val="14"/>
          <w:szCs w:val="14"/>
          <w:color w:val="auto"/>
        </w:rPr>
      </w:pPr>
    </w:p>
    <w:p>
      <w:pPr>
        <w:ind w:left="1320" w:right="519" w:hanging="250"/>
        <w:spacing w:after="0" w:line="261" w:lineRule="auto"/>
        <w:tabs>
          <w:tab w:leader="none" w:pos="13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77" w:name="page78"/>
    <w:bookmarkEnd w:id="77"/>
    <w:p>
      <w:pPr>
        <w:ind w:left="1340" w:right="71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sufficient to pay at maturity or upon redemption all debt securities of such series not delivered to the trustee for cancellation, including principal and interest due or to become due on or prior to such date of maturity or redemption;</w:t>
      </w:r>
    </w:p>
    <w:p>
      <w:pPr>
        <w:spacing w:after="0" w:line="52" w:lineRule="exact"/>
        <w:rPr>
          <w:sz w:val="20"/>
          <w:szCs w:val="20"/>
          <w:color w:val="auto"/>
        </w:rPr>
      </w:pPr>
    </w:p>
    <w:p>
      <w:pPr>
        <w:ind w:left="1320" w:hanging="250"/>
        <w:spacing w:after="0"/>
        <w:tabs>
          <w:tab w:leader="none" w:pos="1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then due and payable under such indenture; and</w:t>
      </w:r>
    </w:p>
    <w:p>
      <w:pPr>
        <w:spacing w:after="0" w:line="101" w:lineRule="exact"/>
        <w:rPr>
          <w:rFonts w:ascii="Times New Roman" w:cs="Times New Roman" w:eastAsia="Times New Roman" w:hAnsi="Times New Roman"/>
          <w:sz w:val="14"/>
          <w:szCs w:val="14"/>
          <w:color w:val="auto"/>
        </w:rPr>
      </w:pPr>
    </w:p>
    <w:p>
      <w:pPr>
        <w:ind w:left="1320" w:right="459" w:hanging="250"/>
        <w:spacing w:after="0" w:line="282" w:lineRule="auto"/>
        <w:tabs>
          <w:tab w:leader="none" w:pos="1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26" w:lineRule="exact"/>
        <w:rPr>
          <w:sz w:val="20"/>
          <w:szCs w:val="20"/>
          <w:color w:val="auto"/>
        </w:rPr>
      </w:pPr>
    </w:p>
    <w:p>
      <w:pPr>
        <w:ind w:left="220" w:right="359" w:firstLine="343"/>
        <w:spacing w:after="0" w:line="257" w:lineRule="auto"/>
        <w:rPr>
          <w:sz w:val="20"/>
          <w:szCs w:val="20"/>
          <w:color w:val="auto"/>
        </w:rPr>
      </w:pPr>
      <w:r>
        <w:rPr>
          <w:rFonts w:ascii="Times New Roman" w:cs="Times New Roman" w:eastAsia="Times New Roman" w:hAnsi="Times New Roman"/>
          <w:sz w:val="14"/>
          <w:szCs w:val="14"/>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order to exercise legal defeasance or covenant defeasance with respect to outstanding debt securities of any series:</w:t>
      </w:r>
    </w:p>
    <w:p>
      <w:pPr>
        <w:spacing w:after="0" w:line="102" w:lineRule="exact"/>
        <w:rPr>
          <w:sz w:val="20"/>
          <w:szCs w:val="20"/>
          <w:color w:val="auto"/>
        </w:rPr>
      </w:pPr>
    </w:p>
    <w:p>
      <w:pPr>
        <w:ind w:left="980" w:right="619" w:hanging="341"/>
        <w:spacing w:after="0" w:line="266"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63"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in an amount;</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obligations; or</w:t>
      </w:r>
    </w:p>
    <w:p>
      <w:pPr>
        <w:spacing w:after="0" w:line="101" w:lineRule="exact"/>
        <w:rPr>
          <w:rFonts w:ascii="Times New Roman" w:cs="Times New Roman" w:eastAsia="Times New Roman" w:hAnsi="Times New Roman"/>
          <w:sz w:val="14"/>
          <w:szCs w:val="14"/>
          <w:color w:val="auto"/>
        </w:rPr>
      </w:pPr>
    </w:p>
    <w:p>
      <w:pPr>
        <w:ind w:left="980" w:right="419" w:hanging="341"/>
        <w:spacing w:after="0" w:line="261"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money and U.S. government obligations, 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66" w:lineRule="exact"/>
        <w:rPr>
          <w:rFonts w:ascii="Times New Roman" w:cs="Times New Roman" w:eastAsia="Times New Roman" w:hAnsi="Times New Roman"/>
          <w:sz w:val="14"/>
          <w:szCs w:val="14"/>
          <w:color w:val="auto"/>
        </w:rPr>
      </w:pPr>
    </w:p>
    <w:p>
      <w:pPr>
        <w:jc w:val="both"/>
        <w:ind w:left="980" w:right="419" w:hanging="341"/>
        <w:spacing w:after="0" w:line="266"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63" w:lineRule="exact"/>
        <w:rPr>
          <w:rFonts w:ascii="Times New Roman" w:cs="Times New Roman" w:eastAsia="Times New Roman" w:hAnsi="Times New Roman"/>
          <w:sz w:val="14"/>
          <w:szCs w:val="14"/>
          <w:color w:val="auto"/>
        </w:rPr>
      </w:pPr>
    </w:p>
    <w:p>
      <w:pPr>
        <w:ind w:left="980" w:right="239" w:hanging="341"/>
        <w:spacing w:after="0" w:line="282"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relating to bankruptcy or insolvency and, in the case of a covenant defeasance, no other default has occurred and is continuing at any time;</w:t>
      </w:r>
    </w:p>
    <w:p>
      <w:pPr>
        <w:spacing w:after="0" w:line="52" w:lineRule="exact"/>
        <w:rPr>
          <w:rFonts w:ascii="Times New Roman" w:cs="Times New Roman" w:eastAsia="Times New Roman" w:hAnsi="Times New Roman"/>
          <w:sz w:val="14"/>
          <w:szCs w:val="14"/>
          <w:color w:val="auto"/>
        </w:rPr>
      </w:pPr>
    </w:p>
    <w:p>
      <w:pPr>
        <w:ind w:left="980" w:right="339" w:hanging="341"/>
        <w:spacing w:after="0" w:line="282"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52" w:lineRule="exact"/>
        <w:rPr>
          <w:rFonts w:ascii="Times New Roman" w:cs="Times New Roman" w:eastAsia="Times New Roman" w:hAnsi="Times New Roman"/>
          <w:sz w:val="14"/>
          <w:szCs w:val="14"/>
          <w:color w:val="auto"/>
        </w:rPr>
      </w:pPr>
    </w:p>
    <w:p>
      <w:pPr>
        <w:ind w:left="980" w:right="419" w:hanging="341"/>
        <w:spacing w:after="0" w:line="282"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stating that all conditions precedent with respect to the defeasance have been complied with.</w:t>
      </w:r>
    </w:p>
    <w:p>
      <w:pPr>
        <w:spacing w:after="0" w:line="126" w:lineRule="exact"/>
        <w:rPr>
          <w:sz w:val="20"/>
          <w:szCs w:val="20"/>
          <w:color w:val="auto"/>
        </w:rPr>
      </w:pPr>
    </w:p>
    <w:p>
      <w:pPr>
        <w:jc w:val="center"/>
        <w:ind w:left="220" w:right="619"/>
        <w:spacing w:after="0" w:line="455" w:lineRule="auto"/>
        <w:rPr>
          <w:sz w:val="20"/>
          <w:szCs w:val="20"/>
          <w:color w:val="auto"/>
        </w:rPr>
      </w:pPr>
      <w:r>
        <w:rPr>
          <w:rFonts w:ascii="Times New Roman" w:cs="Times New Roman" w:eastAsia="Times New Roman" w:hAnsi="Times New Roman"/>
          <w:sz w:val="14"/>
          <w:szCs w:val="14"/>
          <w:color w:val="auto"/>
        </w:rPr>
        <w:t>We are required to furnish to each trustee an annual statement as to compliance with all conditions and covenants under the indenture. 31</w:t>
      </w:r>
    </w:p>
    <w:p>
      <w:pPr>
        <w:sectPr>
          <w:pgSz w:w="11900" w:h="16838" w:orient="portrait"/>
          <w:cols w:equalWidth="0" w:num="1">
            <w:col w:w="9019"/>
          </w:cols>
          <w:pgMar w:left="1440" w:top="240"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WARRANTS</w:t>
      </w:r>
    </w:p>
    <w:p>
      <w:pPr>
        <w:spacing w:after="0" w:line="177" w:lineRule="exact"/>
        <w:rPr>
          <w:sz w:val="20"/>
          <w:szCs w:val="20"/>
          <w:color w:val="auto"/>
        </w:rPr>
      </w:pPr>
    </w:p>
    <w:p>
      <w:pPr>
        <w:jc w:val="both"/>
        <w:ind w:left="220" w:right="239" w:firstLine="343"/>
        <w:spacing w:after="0" w:line="266" w:lineRule="auto"/>
        <w:rPr>
          <w:sz w:val="20"/>
          <w:szCs w:val="20"/>
          <w:color w:val="auto"/>
        </w:rPr>
      </w:pPr>
      <w:r>
        <w:rPr>
          <w:rFonts w:ascii="Times New Roman" w:cs="Times New Roman" w:eastAsia="Times New Roman" w:hAnsi="Times New Roman"/>
          <w:sz w:val="14"/>
          <w:szCs w:val="14"/>
          <w:color w:val="auto"/>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37" w:lineRule="exact"/>
        <w:rPr>
          <w:sz w:val="20"/>
          <w:szCs w:val="20"/>
          <w:color w:val="auto"/>
        </w:rPr>
      </w:pPr>
    </w:p>
    <w:p>
      <w:pPr>
        <w:ind w:left="220" w:right="319" w:firstLine="343"/>
        <w:spacing w:after="0" w:line="282" w:lineRule="auto"/>
        <w:rPr>
          <w:sz w:val="20"/>
          <w:szCs w:val="20"/>
          <w:color w:val="auto"/>
        </w:rPr>
      </w:pPr>
      <w:r>
        <w:rPr>
          <w:rFonts w:ascii="Times New Roman" w:cs="Times New Roman" w:eastAsia="Times New Roman" w:hAnsi="Times New Roman"/>
          <w:sz w:val="14"/>
          <w:szCs w:val="14"/>
          <w:color w:val="auto"/>
        </w:rPr>
        <w:t>The prospectus supplement relating to any warrants we offer will include specific terms relating to the offering. These terms will include some or all of the following:</w:t>
      </w:r>
    </w:p>
    <w:p>
      <w:pPr>
        <w:spacing w:after="0" w:line="52" w:lineRule="exact"/>
        <w:rPr>
          <w:sz w:val="20"/>
          <w:szCs w:val="20"/>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 offered;</w:t>
      </w:r>
    </w:p>
    <w:p>
      <w:pPr>
        <w:spacing w:after="0" w:line="101" w:lineRule="exact"/>
        <w:rPr>
          <w:rFonts w:ascii="Times New Roman" w:cs="Times New Roman" w:eastAsia="Times New Roman" w:hAnsi="Times New Roman"/>
          <w:sz w:val="14"/>
          <w:szCs w:val="14"/>
          <w:color w:val="auto"/>
        </w:rPr>
      </w:pPr>
    </w:p>
    <w:p>
      <w:pPr>
        <w:ind w:left="980" w:right="319" w:hanging="341"/>
        <w:spacing w:after="0" w:line="282" w:lineRule="auto"/>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number and terms of the debt securities, ordinary shares or other securities purchasable upon exercise of the warrants and procedures by which those numbers may be adjusted;</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 warrants;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or periods during which the warrants are exercisable;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securities with which the warrants are issued;</w:t>
      </w:r>
    </w:p>
    <w:p>
      <w:pPr>
        <w:spacing w:after="0" w:line="101" w:lineRule="exact"/>
        <w:rPr>
          <w:rFonts w:ascii="Times New Roman" w:cs="Times New Roman" w:eastAsia="Times New Roman" w:hAnsi="Times New Roman"/>
          <w:sz w:val="14"/>
          <w:szCs w:val="14"/>
          <w:color w:val="auto"/>
        </w:rPr>
      </w:pPr>
    </w:p>
    <w:p>
      <w:pPr>
        <w:ind w:left="980" w:right="359" w:hanging="341"/>
        <w:spacing w:after="0" w:line="282" w:lineRule="auto"/>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warrants are issued as a unit with another security, the date on and after which the warrants and the other security will be separately transferable;</w:t>
      </w:r>
    </w:p>
    <w:p>
      <w:pPr>
        <w:spacing w:after="0" w:line="52" w:lineRule="exact"/>
        <w:rPr>
          <w:rFonts w:ascii="Times New Roman" w:cs="Times New Roman" w:eastAsia="Times New Roman" w:hAnsi="Times New Roman"/>
          <w:sz w:val="14"/>
          <w:szCs w:val="14"/>
          <w:color w:val="auto"/>
        </w:rPr>
      </w:pPr>
    </w:p>
    <w:p>
      <w:pPr>
        <w:ind w:left="980" w:right="339" w:hanging="341"/>
        <w:spacing w:after="0" w:line="282" w:lineRule="auto"/>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exercise price is not payable in U.S. dollars, the foreign currency, currency unit or composite currency in which the exercise price is denominated;</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minimum or maximum amount of warrants that may be exercised at any one time;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relating to the modification of the warrants;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procedures and limitations relating to the transferability, exchange or exercise of the warrants; and</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the warrants.</w:t>
      </w:r>
    </w:p>
    <w:p>
      <w:pPr>
        <w:spacing w:after="0" w:line="175" w:lineRule="exact"/>
        <w:rPr>
          <w:sz w:val="20"/>
          <w:szCs w:val="20"/>
          <w:color w:val="auto"/>
        </w:rPr>
      </w:pPr>
    </w:p>
    <w:p>
      <w:pPr>
        <w:ind w:left="220" w:right="519" w:firstLine="343"/>
        <w:spacing w:after="0" w:line="282" w:lineRule="auto"/>
        <w:rPr>
          <w:sz w:val="20"/>
          <w:szCs w:val="20"/>
          <w:color w:val="auto"/>
        </w:rPr>
      </w:pPr>
      <w:r>
        <w:rPr>
          <w:rFonts w:ascii="Times New Roman" w:cs="Times New Roman" w:eastAsia="Times New Roman" w:hAnsi="Times New Roman"/>
          <w:sz w:val="14"/>
          <w:szCs w:val="14"/>
          <w:color w:val="auto"/>
        </w:rPr>
        <w:t>The terms of any warrants to be issued and a description of the material provisions of the applicable warrant agreement will be set forth in the applicable prospectus supplement.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8"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PURCHASE CONTRACTS</w:t>
      </w:r>
    </w:p>
    <w:p>
      <w:pPr>
        <w:spacing w:after="0" w:line="177" w:lineRule="exact"/>
        <w:rPr>
          <w:sz w:val="20"/>
          <w:szCs w:val="20"/>
          <w:color w:val="auto"/>
        </w:rPr>
      </w:pPr>
    </w:p>
    <w:p>
      <w:pPr>
        <w:ind w:left="220" w:right="479" w:firstLine="343"/>
        <w:spacing w:after="0" w:line="282" w:lineRule="auto"/>
        <w:rPr>
          <w:sz w:val="20"/>
          <w:szCs w:val="20"/>
          <w:color w:val="auto"/>
        </w:rPr>
      </w:pPr>
      <w:r>
        <w:rPr>
          <w:rFonts w:ascii="Times New Roman" w:cs="Times New Roman" w:eastAsia="Times New Roman" w:hAnsi="Times New Roman"/>
          <w:sz w:val="14"/>
          <w:szCs w:val="14"/>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126"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Each purchase contract will entitle the holder thereof to purchase or sell, and obligate us to sell or purchase, on specified dates, such securities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47"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8"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UNITS</w:t>
      </w:r>
    </w:p>
    <w:p>
      <w:pPr>
        <w:spacing w:after="0" w:line="177" w:lineRule="exact"/>
        <w:rPr>
          <w:sz w:val="20"/>
          <w:szCs w:val="20"/>
          <w:color w:val="auto"/>
        </w:rPr>
      </w:pPr>
    </w:p>
    <w:p>
      <w:pPr>
        <w:ind w:left="220" w:right="539" w:firstLine="343"/>
        <w:spacing w:after="0" w:line="282" w:lineRule="auto"/>
        <w:rPr>
          <w:sz w:val="20"/>
          <w:szCs w:val="20"/>
          <w:color w:val="auto"/>
        </w:rPr>
      </w:pPr>
      <w:r>
        <w:rPr>
          <w:rFonts w:ascii="Times New Roman" w:cs="Times New Roman" w:eastAsia="Times New Roman" w:hAnsi="Times New Roman"/>
          <w:sz w:val="14"/>
          <w:szCs w:val="14"/>
          <w:color w:val="auto"/>
        </w:rPr>
        <w:t>As specified in the applicable prospectus supplement, we may issue units consisting of one or more ordinary shares, debt securities, warrants, purchase contracts or any combination of such securities. The applicable prospectus supplement will describe:</w:t>
      </w:r>
    </w:p>
    <w:p>
      <w:pPr>
        <w:spacing w:after="0" w:line="52" w:lineRule="exact"/>
        <w:rPr>
          <w:sz w:val="20"/>
          <w:szCs w:val="20"/>
          <w:color w:val="auto"/>
        </w:rPr>
      </w:pPr>
    </w:p>
    <w:p>
      <w:pPr>
        <w:ind w:left="980" w:right="699" w:hanging="341"/>
        <w:spacing w:after="0" w:line="282" w:lineRule="auto"/>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the ordinary shares, debt securities, warrants and/or purchase contracts comprising the units, including whether and under what circumstances the securities comprising the units may be traded separately;</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 and</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8"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FORMS OF SECURITIES</w:t>
      </w:r>
    </w:p>
    <w:p>
      <w:pPr>
        <w:spacing w:after="0" w:line="177"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Registered Global Securities</w:t>
      </w:r>
    </w:p>
    <w:p>
      <w:pPr>
        <w:spacing w:after="0" w:line="93"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42" w:lineRule="exact"/>
        <w:rPr>
          <w:sz w:val="20"/>
          <w:szCs w:val="20"/>
          <w:color w:val="auto"/>
        </w:rPr>
      </w:pPr>
    </w:p>
    <w:p>
      <w:pPr>
        <w:ind w:left="220" w:right="519" w:firstLine="343"/>
        <w:spacing w:after="0" w:line="266"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7" w:lineRule="exact"/>
        <w:rPr>
          <w:sz w:val="20"/>
          <w:szCs w:val="20"/>
          <w:color w:val="auto"/>
        </w:rPr>
      </w:pPr>
    </w:p>
    <w:p>
      <w:pPr>
        <w:ind w:left="220" w:right="319" w:firstLine="343"/>
        <w:spacing w:after="0" w:line="255" w:lineRule="auto"/>
        <w:rPr>
          <w:sz w:val="20"/>
          <w:szCs w:val="20"/>
          <w:color w:val="auto"/>
        </w:rPr>
      </w:pPr>
      <w:r>
        <w:rPr>
          <w:rFonts w:ascii="Times New Roman" w:cs="Times New Roman" w:eastAsia="Times New Roman" w:hAnsi="Times New Roman"/>
          <w:sz w:val="14"/>
          <w:szCs w:val="14"/>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44"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8" w:right="1440" w:bottom="1440" w:gutter="0" w:footer="0" w:header="0"/>
        </w:sectPr>
      </w:pPr>
    </w:p>
    <w:bookmarkStart w:id="82" w:name="page83"/>
    <w:bookmarkEnd w:id="82"/>
    <w:p>
      <w:pPr>
        <w:ind w:left="220" w:right="3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0"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Pharvaris N.V., its affiliates, the trustees, the warrant agents, the unit agents or any other agent of Pharvaris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2"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2"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PLAN OF DISTRIBUTION</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may sell the securities in one or more of the following ways (or in any combination) from time to time:</w:t>
      </w:r>
    </w:p>
    <w:p>
      <w:pPr>
        <w:spacing w:after="0" w:line="102" w:lineRule="exact"/>
        <w:rPr>
          <w:sz w:val="20"/>
          <w:szCs w:val="20"/>
          <w:color w:val="auto"/>
        </w:rPr>
      </w:pPr>
    </w:p>
    <w:p>
      <w:pPr>
        <w:ind w:left="980" w:hanging="341"/>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 limited number of purchasers or to a single purchaser;</w:t>
      </w:r>
    </w:p>
    <w:p>
      <w:pPr>
        <w:spacing w:after="0" w:line="101" w:lineRule="exact"/>
        <w:rPr>
          <w:rFonts w:ascii="Times New Roman" w:cs="Times New Roman" w:eastAsia="Times New Roman" w:hAnsi="Times New Roman"/>
          <w:sz w:val="14"/>
          <w:szCs w:val="14"/>
          <w:color w:val="auto"/>
        </w:rPr>
      </w:pPr>
    </w:p>
    <w:p>
      <w:pPr>
        <w:ind w:left="980" w:right="379" w:hanging="341"/>
        <w:spacing w:after="0" w:line="282" w:lineRule="auto"/>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to or through a market maker or into an existing trading market on an exchange or otherwise;</w:t>
      </w:r>
    </w:p>
    <w:p>
      <w:pPr>
        <w:spacing w:after="0" w:line="52"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by applicable law and described in the applicable prospectus supplement.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prospectus supplement will state the terms of the offering of the securities, including:</w:t>
      </w:r>
    </w:p>
    <w:p>
      <w:pPr>
        <w:spacing w:after="0" w:line="102" w:lineRule="exact"/>
        <w:rPr>
          <w:sz w:val="20"/>
          <w:szCs w:val="20"/>
          <w:color w:val="auto"/>
        </w:rPr>
      </w:pPr>
    </w:p>
    <w:p>
      <w:pPr>
        <w:ind w:left="980" w:hanging="341"/>
        <w:spacing w:after="0"/>
        <w:tabs>
          <w:tab w:leader="none" w:pos="9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such securities and the proceeds to be received by us, if any;</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Any public offering price and any discounts or concessions allowed or reallowed or paid to dealers may be changed from time to time.</w:t>
      </w:r>
    </w:p>
    <w:p>
      <w:pPr>
        <w:spacing w:after="0" w:line="175" w:lineRule="exact"/>
        <w:rPr>
          <w:sz w:val="20"/>
          <w:szCs w:val="20"/>
          <w:color w:val="auto"/>
        </w:rPr>
      </w:pPr>
    </w:p>
    <w:p>
      <w:pPr>
        <w:ind w:left="220" w:right="339" w:firstLine="343"/>
        <w:spacing w:after="0" w:line="282" w:lineRule="auto"/>
        <w:rPr>
          <w:sz w:val="20"/>
          <w:szCs w:val="20"/>
          <w:color w:val="auto"/>
        </w:rPr>
      </w:pPr>
      <w:r>
        <w:rPr>
          <w:rFonts w:ascii="Times New Roman" w:cs="Times New Roman" w:eastAsia="Times New Roman" w:hAnsi="Times New Roman"/>
          <w:sz w:val="14"/>
          <w:szCs w:val="14"/>
          <w:color w:val="auto"/>
        </w:rPr>
        <w:t>If underwriters are used in the sale, the securities will be acquired by the underwriters for their own account and may be resold from time to time in one or more transactions, including:</w:t>
      </w:r>
    </w:p>
    <w:p>
      <w:pPr>
        <w:spacing w:after="0" w:line="52" w:lineRule="exact"/>
        <w:rPr>
          <w:sz w:val="20"/>
          <w:szCs w:val="20"/>
          <w:color w:val="auto"/>
        </w:rPr>
      </w:pPr>
    </w:p>
    <w:p>
      <w:pPr>
        <w:ind w:left="980" w:hanging="341"/>
        <w:spacing w:after="0"/>
        <w:tabs>
          <w:tab w:leader="none" w:pos="9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transactions;</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public offering price or prices, which may be changed;</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101" w:lineRule="exact"/>
        <w:rPr>
          <w:rFonts w:ascii="Times New Roman" w:cs="Times New Roman" w:eastAsia="Times New Roman" w:hAnsi="Times New Roman"/>
          <w:sz w:val="14"/>
          <w:szCs w:val="14"/>
          <w:color w:val="auto"/>
        </w:rPr>
      </w:pPr>
    </w:p>
    <w:p>
      <w:pPr>
        <w:ind w:left="980" w:hanging="341"/>
        <w:spacing w:after="0"/>
        <w:tabs>
          <w:tab w:leader="none" w:pos="9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5" w:lineRule="exact"/>
        <w:rPr>
          <w:sz w:val="20"/>
          <w:szCs w:val="20"/>
          <w:color w:val="auto"/>
        </w:rPr>
      </w:pPr>
    </w:p>
    <w:p>
      <w:pPr>
        <w:ind w:left="220" w:right="819" w:firstLine="343"/>
        <w:spacing w:after="0" w:line="282" w:lineRule="auto"/>
        <w:rPr>
          <w:sz w:val="20"/>
          <w:szCs w:val="20"/>
          <w:color w:val="auto"/>
        </w:rPr>
      </w:pPr>
      <w:r>
        <w:rPr>
          <w:rFonts w:ascii="Times New Roman" w:cs="Times New Roman" w:eastAsia="Times New Roman" w:hAnsi="Times New Roman"/>
          <w:sz w:val="14"/>
          <w:szCs w:val="14"/>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26" w:lineRule="exact"/>
        <w:rPr>
          <w:sz w:val="20"/>
          <w:szCs w:val="20"/>
          <w:color w:val="auto"/>
        </w:rPr>
      </w:pPr>
    </w:p>
    <w:p>
      <w:pPr>
        <w:ind w:left="220" w:right="379" w:firstLine="343"/>
        <w:spacing w:after="0" w:line="266" w:lineRule="auto"/>
        <w:rPr>
          <w:sz w:val="20"/>
          <w:szCs w:val="20"/>
          <w:color w:val="auto"/>
        </w:rPr>
      </w:pPr>
      <w:r>
        <w:rPr>
          <w:rFonts w:ascii="Times New Roman" w:cs="Times New Roman" w:eastAsia="Times New Roman" w:hAnsi="Times New Roman"/>
          <w:sz w:val="14"/>
          <w:szCs w:val="14"/>
          <w:color w:val="auto"/>
        </w:rPr>
        <w:t>The securities may be sold through agents from time to time. The prospectus supplement will name any agent involved in the offer or sale of the securities and any commissions paid to them. Generally, any agent will be acting on commercially reasonable efforts basis for the period of its appointment.</w:t>
      </w:r>
    </w:p>
    <w:p>
      <w:pPr>
        <w:spacing w:after="0" w:line="137" w:lineRule="exact"/>
        <w:rPr>
          <w:sz w:val="20"/>
          <w:szCs w:val="20"/>
          <w:color w:val="auto"/>
        </w:rPr>
      </w:pPr>
    </w:p>
    <w:p>
      <w:pPr>
        <w:ind w:left="220" w:right="299" w:firstLine="343"/>
        <w:spacing w:after="0" w:line="296" w:lineRule="auto"/>
        <w:rPr>
          <w:sz w:val="20"/>
          <w:szCs w:val="20"/>
          <w:color w:val="auto"/>
        </w:rPr>
      </w:pPr>
      <w:r>
        <w:rPr>
          <w:rFonts w:ascii="Times New Roman" w:cs="Times New Roman" w:eastAsia="Times New Roman" w:hAnsi="Times New Roman"/>
          <w:sz w:val="13"/>
          <w:szCs w:val="13"/>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8" w:right="1440" w:bottom="1440" w:gutter="0" w:footer="0" w:header="0"/>
        </w:sectPr>
      </w:pPr>
    </w:p>
    <w:bookmarkStart w:id="84" w:name="page85"/>
    <w:bookmarkEnd w:id="84"/>
    <w:p>
      <w:pPr>
        <w:ind w:left="22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43"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40" w:lineRule="exact"/>
        <w:rPr>
          <w:sz w:val="20"/>
          <w:szCs w:val="20"/>
          <w:color w:val="auto"/>
        </w:rPr>
      </w:pPr>
    </w:p>
    <w:p>
      <w:pPr>
        <w:ind w:left="220" w:right="339" w:firstLine="343"/>
        <w:spacing w:after="0" w:line="282" w:lineRule="auto"/>
        <w:rPr>
          <w:sz w:val="20"/>
          <w:szCs w:val="20"/>
          <w:color w:val="auto"/>
        </w:rPr>
      </w:pPr>
      <w:r>
        <w:rPr>
          <w:rFonts w:ascii="Times New Roman" w:cs="Times New Roman" w:eastAsia="Times New Roman" w:hAnsi="Times New Roman"/>
          <w:sz w:val="14"/>
          <w:szCs w:val="14"/>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6" w:lineRule="exact"/>
        <w:rPr>
          <w:sz w:val="20"/>
          <w:szCs w:val="20"/>
          <w:color w:val="auto"/>
        </w:rPr>
      </w:pPr>
    </w:p>
    <w:p>
      <w:pPr>
        <w:ind w:left="220" w:right="599" w:firstLine="343"/>
        <w:spacing w:after="0" w:line="266" w:lineRule="auto"/>
        <w:rPr>
          <w:sz w:val="20"/>
          <w:szCs w:val="20"/>
          <w:color w:val="auto"/>
        </w:rPr>
      </w:pPr>
      <w:r>
        <w:rPr>
          <w:rFonts w:ascii="Times New Roman" w:cs="Times New Roman" w:eastAsia="Times New Roman" w:hAnsi="Times New Roman"/>
          <w:sz w:val="14"/>
          <w:szCs w:val="14"/>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37" w:lineRule="exact"/>
        <w:rPr>
          <w:sz w:val="20"/>
          <w:szCs w:val="20"/>
          <w:color w:val="auto"/>
        </w:rPr>
      </w:pPr>
    </w:p>
    <w:p>
      <w:pPr>
        <w:ind w:left="220" w:right="379" w:firstLine="343"/>
        <w:spacing w:after="0" w:line="282" w:lineRule="auto"/>
        <w:rPr>
          <w:sz w:val="20"/>
          <w:szCs w:val="20"/>
          <w:color w:val="auto"/>
        </w:rPr>
      </w:pPr>
      <w:r>
        <w:rPr>
          <w:rFonts w:ascii="Times New Roman" w:cs="Times New Roman" w:eastAsia="Times New Roman" w:hAnsi="Times New Roman"/>
          <w:sz w:val="14"/>
          <w:szCs w:val="14"/>
          <w:color w:val="auto"/>
        </w:rPr>
        <w:t>Underwriters and agents may be customers of, engage in transactions with, or perform services for us and our affiliates in the ordinary course of business.</w:t>
      </w:r>
    </w:p>
    <w:p>
      <w:pPr>
        <w:spacing w:after="0" w:line="126"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other than our ordinary shares,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INCORPORATION OF CERTAIN INFORMATION BY REFERENCE</w:t>
      </w:r>
    </w:p>
    <w:p>
      <w:pPr>
        <w:spacing w:after="0" w:line="177" w:lineRule="exact"/>
        <w:rPr>
          <w:sz w:val="20"/>
          <w:szCs w:val="20"/>
          <w:color w:val="auto"/>
        </w:rPr>
      </w:pPr>
    </w:p>
    <w:p>
      <w:pPr>
        <w:jc w:val="both"/>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incorporate by reference the following documents or information that we have filed with the SEC:</w:t>
      </w:r>
    </w:p>
    <w:p>
      <w:pPr>
        <w:spacing w:after="0" w:line="102" w:lineRule="exact"/>
        <w:rPr>
          <w:sz w:val="20"/>
          <w:szCs w:val="20"/>
          <w:color w:val="auto"/>
        </w:rPr>
      </w:pPr>
    </w:p>
    <w:p>
      <w:pPr>
        <w:ind w:left="980" w:hanging="341"/>
        <w:spacing w:after="0"/>
        <w:tabs>
          <w:tab w:leader="none" w:pos="9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20-F for the fiscal year ended December 31, 2023 filed on </w:t>
      </w:r>
      <w:hyperlink r:id="rId105">
        <w:r>
          <w:rPr>
            <w:rFonts w:ascii="Times New Roman" w:cs="Times New Roman" w:eastAsia="Times New Roman" w:hAnsi="Times New Roman"/>
            <w:sz w:val="14"/>
            <w:szCs w:val="14"/>
            <w:u w:val="single" w:color="auto"/>
            <w:color w:val="0000EE"/>
          </w:rPr>
          <w:t>April 10, 2024</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980" w:right="859" w:hanging="341"/>
        <w:spacing w:after="0" w:line="282" w:lineRule="auto"/>
        <w:tabs>
          <w:tab w:leader="none" w:pos="980" w:val="left"/>
        </w:tabs>
        <w:numPr>
          <w:ilvl w:val="0"/>
          <w:numId w:val="6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Forms 6-K filed on </w:t>
      </w:r>
      <w:hyperlink r:id="rId106">
        <w:r>
          <w:rPr>
            <w:rFonts w:ascii="Times New Roman" w:cs="Times New Roman" w:eastAsia="Times New Roman" w:hAnsi="Times New Roman"/>
            <w:sz w:val="14"/>
            <w:szCs w:val="14"/>
            <w:u w:val="single" w:color="auto"/>
            <w:color w:val="0000EE"/>
          </w:rPr>
          <w:t>January 8,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(other than exhibit 99.2), </w:t>
      </w:r>
      <w:hyperlink r:id="rId107">
        <w:r>
          <w:rPr>
            <w:rFonts w:ascii="Times New Roman" w:cs="Times New Roman" w:eastAsia="Times New Roman" w:hAnsi="Times New Roman"/>
            <w:sz w:val="14"/>
            <w:szCs w:val="14"/>
            <w:u w:val="single" w:color="auto"/>
            <w:color w:val="0000EE"/>
          </w:rPr>
          <w:t>January 22,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(other than exhibit 99.2), </w:t>
      </w:r>
      <w:hyperlink r:id="rId108">
        <w:r>
          <w:rPr>
            <w:rFonts w:ascii="Times New Roman" w:cs="Times New Roman" w:eastAsia="Times New Roman" w:hAnsi="Times New Roman"/>
            <w:sz w:val="14"/>
            <w:szCs w:val="14"/>
            <w:u w:val="single" w:color="auto"/>
            <w:color w:val="0000EE"/>
          </w:rPr>
          <w:t>February 7, 2024</w:t>
        </w:r>
      </w:hyperlink>
      <w:r>
        <w:rPr>
          <w:rFonts w:ascii="Times New Roman" w:cs="Times New Roman" w:eastAsia="Times New Roman" w:hAnsi="Times New Roman"/>
          <w:sz w:val="14"/>
          <w:szCs w:val="14"/>
          <w:color w:val="auto"/>
        </w:rPr>
        <w:t xml:space="preserve">, </w:t>
      </w:r>
      <w:hyperlink r:id="rId109">
        <w:r>
          <w:rPr>
            <w:rFonts w:ascii="Times New Roman" w:cs="Times New Roman" w:eastAsia="Times New Roman" w:hAnsi="Times New Roman"/>
            <w:sz w:val="14"/>
            <w:szCs w:val="14"/>
            <w:u w:val="single" w:color="auto"/>
            <w:color w:val="0000EE"/>
          </w:rPr>
          <w:t>February 16, 2024</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(other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than exhibits 99.4 and 99.5),</w:t>
      </w:r>
      <w:r>
        <w:rPr>
          <w:rFonts w:ascii="Times New Roman" w:cs="Times New Roman" w:eastAsia="Times New Roman" w:hAnsi="Times New Roman"/>
          <w:sz w:val="14"/>
          <w:szCs w:val="14"/>
          <w:color w:val="0000EE"/>
        </w:rPr>
        <w:t xml:space="preserve"> </w:t>
      </w:r>
      <w:hyperlink r:id="rId110">
        <w:r>
          <w:rPr>
            <w:rFonts w:ascii="Times New Roman" w:cs="Times New Roman" w:eastAsia="Times New Roman" w:hAnsi="Times New Roman"/>
            <w:sz w:val="14"/>
            <w:szCs w:val="14"/>
            <w:u w:val="single" w:color="auto"/>
            <w:color w:val="0000EE"/>
          </w:rPr>
          <w:t xml:space="preserve">March 6, 2024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11">
        <w:r>
          <w:rPr>
            <w:rFonts w:ascii="Times New Roman" w:cs="Times New Roman" w:eastAsia="Times New Roman" w:hAnsi="Times New Roman"/>
            <w:sz w:val="14"/>
            <w:szCs w:val="14"/>
            <w:u w:val="single" w:color="auto"/>
            <w:color w:val="0000EE"/>
          </w:rPr>
          <w:t xml:space="preserve">April 10, 2024 </w:t>
        </w:r>
      </w:hyperlink>
      <w:r>
        <w:rPr>
          <w:rFonts w:ascii="Times New Roman" w:cs="Times New Roman" w:eastAsia="Times New Roman" w:hAnsi="Times New Roman"/>
          <w:sz w:val="14"/>
          <w:szCs w:val="14"/>
          <w:color w:val="000000"/>
        </w:rPr>
        <w:t>(other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than exhibit 99.1);</w:t>
      </w:r>
    </w:p>
    <w:p>
      <w:pPr>
        <w:spacing w:after="0" w:line="52" w:lineRule="exact"/>
        <w:rPr>
          <w:rFonts w:ascii="Times New Roman" w:cs="Times New Roman" w:eastAsia="Times New Roman" w:hAnsi="Times New Roman"/>
          <w:sz w:val="14"/>
          <w:szCs w:val="14"/>
          <w:color w:val="0000EE"/>
        </w:rPr>
      </w:pPr>
    </w:p>
    <w:p>
      <w:pPr>
        <w:ind w:left="980" w:right="519" w:hanging="341"/>
        <w:spacing w:after="0" w:line="266" w:lineRule="auto"/>
        <w:tabs>
          <w:tab w:leader="none" w:pos="9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contained in our registration statement on </w:t>
      </w:r>
      <w:hyperlink r:id="rId58">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February 4, 2021, as updated by the description of our ordinary shares filed as </w:t>
      </w:r>
      <w:hyperlink r:id="rId112">
        <w:r>
          <w:rPr>
            <w:rFonts w:ascii="Times New Roman" w:cs="Times New Roman" w:eastAsia="Times New Roman" w:hAnsi="Times New Roman"/>
            <w:sz w:val="14"/>
            <w:szCs w:val="14"/>
            <w:u w:val="single" w:color="auto"/>
            <w:color w:val="0000EE"/>
          </w:rPr>
          <w:t>Exhibit 2.1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20-F for the fiscal year ended December 31, 2023.</w:t>
      </w:r>
    </w:p>
    <w:p>
      <w:pPr>
        <w:spacing w:after="0" w:line="137" w:lineRule="exact"/>
        <w:rPr>
          <w:rFonts w:ascii="Times New Roman" w:cs="Times New Roman" w:eastAsia="Times New Roman" w:hAnsi="Times New Roman"/>
          <w:sz w:val="14"/>
          <w:szCs w:val="14"/>
          <w:color w:val="auto"/>
        </w:rPr>
      </w:pPr>
    </w:p>
    <w:p>
      <w:pPr>
        <w:jc w:val="both"/>
        <w:ind w:left="220" w:right="439" w:firstLine="343"/>
        <w:spacing w:after="0" w:line="261" w:lineRule="auto"/>
        <w:rPr>
          <w:sz w:val="20"/>
          <w:szCs w:val="20"/>
          <w:color w:val="auto"/>
        </w:rPr>
      </w:pPr>
      <w:r>
        <w:rPr>
          <w:rFonts w:ascii="Times New Roman" w:cs="Times New Roman" w:eastAsia="Times New Roman" w:hAnsi="Times New Roman"/>
          <w:sz w:val="14"/>
          <w:szCs w:val="14"/>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40" w:lineRule="exact"/>
        <w:rPr>
          <w:rFonts w:ascii="Times New Roman" w:cs="Times New Roman" w:eastAsia="Times New Roman" w:hAnsi="Times New Roman"/>
          <w:sz w:val="14"/>
          <w:szCs w:val="14"/>
          <w:color w:val="auto"/>
        </w:rPr>
      </w:pPr>
    </w:p>
    <w:p>
      <w:pPr>
        <w:jc w:val="both"/>
        <w:ind w:left="220" w:right="279" w:firstLine="343"/>
        <w:spacing w:after="0" w:line="296" w:lineRule="auto"/>
        <w:rPr>
          <w:sz w:val="20"/>
          <w:szCs w:val="20"/>
          <w:color w:val="auto"/>
        </w:rPr>
      </w:pPr>
      <w:r>
        <w:rPr>
          <w:rFonts w:ascii="Times New Roman" w:cs="Times New Roman" w:eastAsia="Times New Roman" w:hAnsi="Times New Roman"/>
          <w:sz w:val="13"/>
          <w:szCs w:val="13"/>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w:t>
      </w:r>
    </w:p>
    <w:p>
      <w:pPr>
        <w:spacing w:after="0" w:line="6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8"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ENFORCEMENT OF JUDGMENTS</w:t>
      </w:r>
    </w:p>
    <w:p>
      <w:pPr>
        <w:spacing w:after="0" w:line="177" w:lineRule="exact"/>
        <w:rPr>
          <w:sz w:val="20"/>
          <w:szCs w:val="20"/>
          <w:color w:val="auto"/>
        </w:rPr>
      </w:pPr>
    </w:p>
    <w:p>
      <w:pPr>
        <w:ind w:left="220" w:right="319" w:firstLine="343"/>
        <w:spacing w:after="0" w:line="266" w:lineRule="auto"/>
        <w:rPr>
          <w:sz w:val="20"/>
          <w:szCs w:val="20"/>
          <w:color w:val="auto"/>
        </w:rPr>
      </w:pPr>
      <w:r>
        <w:rPr>
          <w:rFonts w:ascii="Times New Roman" w:cs="Times New Roman" w:eastAsia="Times New Roman" w:hAnsi="Times New Roman"/>
          <w:sz w:val="14"/>
          <w:szCs w:val="14"/>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4"/>
          <w:szCs w:val="14"/>
          <w:i w:val="1"/>
          <w:iCs w:val="1"/>
          <w:color w:val="auto"/>
        </w:rPr>
        <w:t>functionarissen</w:t>
      </w:r>
      <w:r>
        <w:rPr>
          <w:rFonts w:ascii="Times New Roman" w:cs="Times New Roman" w:eastAsia="Times New Roman" w:hAnsi="Times New Roman"/>
          <w:sz w:val="14"/>
          <w:szCs w:val="14"/>
          <w:color w:val="auto"/>
        </w:rPr>
        <w:t>) (including our directors and executive officers) are governed in certain respects by the laws of the Netherlands.</w:t>
      </w:r>
    </w:p>
    <w:p>
      <w:pPr>
        <w:spacing w:after="0" w:line="137" w:lineRule="exact"/>
        <w:rPr>
          <w:sz w:val="20"/>
          <w:szCs w:val="20"/>
          <w:color w:val="auto"/>
        </w:rPr>
      </w:pPr>
    </w:p>
    <w:p>
      <w:pPr>
        <w:jc w:val="both"/>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40" w:lineRule="exact"/>
        <w:rPr>
          <w:sz w:val="20"/>
          <w:szCs w:val="20"/>
          <w:color w:val="auto"/>
        </w:rPr>
      </w:pPr>
    </w:p>
    <w:p>
      <w:pPr>
        <w:ind w:left="220" w:right="239" w:firstLine="343"/>
        <w:spacing w:after="0" w:line="282" w:lineRule="auto"/>
        <w:rPr>
          <w:sz w:val="20"/>
          <w:szCs w:val="20"/>
          <w:color w:val="auto"/>
        </w:rPr>
      </w:pPr>
      <w:r>
        <w:rPr>
          <w:rFonts w:ascii="Times New Roman" w:cs="Times New Roman" w:eastAsia="Times New Roman" w:hAnsi="Times New Roman"/>
          <w:sz w:val="14"/>
          <w:szCs w:val="14"/>
          <w:color w:val="auto"/>
        </w:rPr>
        <w:t>Also, service of process against non-residents of the United States can in principle (absent, for example, a valid choice of domicile) not be effected in the United States.</w:t>
      </w:r>
    </w:p>
    <w:p>
      <w:pPr>
        <w:spacing w:after="0" w:line="126" w:lineRule="exact"/>
        <w:rPr>
          <w:sz w:val="20"/>
          <w:szCs w:val="20"/>
          <w:color w:val="auto"/>
        </w:rPr>
      </w:pPr>
    </w:p>
    <w:p>
      <w:pPr>
        <w:ind w:left="220" w:right="239" w:firstLine="343"/>
        <w:spacing w:after="0" w:line="252" w:lineRule="auto"/>
        <w:rPr>
          <w:sz w:val="20"/>
          <w:szCs w:val="20"/>
          <w:color w:val="auto"/>
        </w:rPr>
      </w:pPr>
      <w:r>
        <w:rPr>
          <w:rFonts w:ascii="Times New Roman" w:cs="Times New Roman" w:eastAsia="Times New Roman" w:hAnsi="Times New Roman"/>
          <w:sz w:val="14"/>
          <w:szCs w:val="14"/>
          <w:color w:val="auto"/>
        </w:rPr>
        <w:t>Furthermore, substantially all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4"/>
          <w:szCs w:val="14"/>
          <w:i w:val="1"/>
          <w:iCs w:val="1"/>
          <w:color w:val="auto"/>
        </w:rPr>
        <w:t>behoorlijke rechtspleging</w:t>
      </w:r>
      <w:r>
        <w:rPr>
          <w:rFonts w:ascii="Times New Roman" w:cs="Times New Roman" w:eastAsia="Times New Roman" w:hAnsi="Times New Roman"/>
          <w:sz w:val="14"/>
          <w:szCs w:val="14"/>
          <w:color w:val="auto"/>
        </w:rPr>
        <w:t>), (iii) binding effect of such United States judgment is not contrary to Dutch public order (</w:t>
      </w:r>
      <w:r>
        <w:rPr>
          <w:rFonts w:ascii="Times New Roman" w:cs="Times New Roman" w:eastAsia="Times New Roman" w:hAnsi="Times New Roman"/>
          <w:sz w:val="14"/>
          <w:szCs w:val="14"/>
          <w:i w:val="1"/>
          <w:iCs w:val="1"/>
          <w:color w:val="auto"/>
        </w:rPr>
        <w:t>openbare orde</w:t>
      </w:r>
      <w:r>
        <w:rPr>
          <w:rFonts w:ascii="Times New Roman" w:cs="Times New Roman" w:eastAsia="Times New Roman" w:hAnsi="Times New Roman"/>
          <w:sz w:val="14"/>
          <w:szCs w:val="14"/>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52" w:lineRule="exact"/>
        <w:rPr>
          <w:sz w:val="20"/>
          <w:szCs w:val="20"/>
          <w:color w:val="auto"/>
        </w:rPr>
      </w:pPr>
    </w:p>
    <w:p>
      <w:pPr>
        <w:ind w:left="220" w:right="459" w:firstLine="343"/>
        <w:spacing w:after="0" w:line="258" w:lineRule="auto"/>
        <w:rPr>
          <w:sz w:val="20"/>
          <w:szCs w:val="20"/>
          <w:color w:val="auto"/>
        </w:rPr>
      </w:pPr>
      <w:r>
        <w:rPr>
          <w:rFonts w:ascii="Times New Roman" w:cs="Times New Roman" w:eastAsia="Times New Roman" w:hAnsi="Times New Roman"/>
          <w:sz w:val="14"/>
          <w:szCs w:val="14"/>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8"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EXPENSES</w:t>
      </w:r>
    </w:p>
    <w:p>
      <w:pPr>
        <w:spacing w:after="0" w:line="177" w:lineRule="exact"/>
        <w:rPr>
          <w:sz w:val="20"/>
          <w:szCs w:val="20"/>
          <w:color w:val="auto"/>
        </w:rPr>
      </w:pPr>
    </w:p>
    <w:p>
      <w:pPr>
        <w:ind w:left="220" w:right="479" w:firstLine="343"/>
        <w:spacing w:after="0" w:line="266" w:lineRule="auto"/>
        <w:rPr>
          <w:sz w:val="20"/>
          <w:szCs w:val="20"/>
          <w:color w:val="auto"/>
        </w:rPr>
      </w:pPr>
      <w:r>
        <w:rPr>
          <w:rFonts w:ascii="Times New Roman" w:cs="Times New Roman" w:eastAsia="Times New Roman" w:hAnsi="Times New Roman"/>
          <w:sz w:val="14"/>
          <w:szCs w:val="14"/>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5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1"/>
          <w:szCs w:val="11"/>
          <w:b w:val="1"/>
          <w:bCs w:val="1"/>
          <w:color w:val="auto"/>
        </w:rPr>
        <w:t>Amount</w:t>
      </w:r>
    </w:p>
    <w:p>
      <w:pPr>
        <w:spacing w:after="0" w:line="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1"/>
          <w:szCs w:val="11"/>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-3175</wp:posOffset>
            </wp:positionV>
            <wp:extent cx="5270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527050" cy="6985"/>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p>
      <w:pPr>
        <w:spacing w:after="0" w:line="6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-92075</wp:posOffset>
            </wp:positionV>
            <wp:extent cx="3695065" cy="1066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3695065" cy="106680"/>
                    </a:xfrm>
                    <a:prstGeom prst="rect">
                      <a:avLst/>
                    </a:prstGeom>
                    <a:noFill/>
                  </pic:spPr>
                </pic:pic>
              </a:graphicData>
            </a:graphic>
          </wp:anchor>
        </w:drawing>
      </w:r>
    </w:p>
    <w:p>
      <w:pPr>
        <w:spacing w:after="0" w:line="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Printing and engraving expenses</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-101600</wp:posOffset>
            </wp:positionV>
            <wp:extent cx="3695065" cy="1066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695065" cy="106680"/>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-101600</wp:posOffset>
            </wp:positionV>
            <wp:extent cx="3695065" cy="1066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3695065" cy="106680"/>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114935</wp:posOffset>
            </wp:positionV>
            <wp:extent cx="6000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000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right"/>
        <w:ind w:right="1659"/>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            *</w:t>
      </w:r>
    </w:p>
    <w:p>
      <w:pPr>
        <w:spacing w:after="0" w:line="22"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2705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27050" cy="6985"/>
                    </a:xfrm>
                    <a:prstGeom prst="rect">
                      <a:avLst/>
                    </a:prstGeom>
                    <a:noFill/>
                  </pic:spPr>
                </pic:pic>
              </a:graphicData>
            </a:graphic>
          </wp:anchor>
        </w:drawing>
      </w:r>
    </w:p>
    <w:p>
      <w:pPr>
        <w:ind w:left="769" w:hanging="769"/>
        <w:spacing w:after="0"/>
        <w:tabs>
          <w:tab w:leader="none" w:pos="76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52705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2705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5270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527050" cy="698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811" w:space="720"/>
            <w:col w:w="2488"/>
          </w:cols>
          <w:pgMar w:left="1440" w:top="238" w:right="1440" w:bottom="1440" w:gutter="0" w:footer="0" w:header="0"/>
          <w:type w:val="continuous"/>
        </w:sectPr>
      </w:pPr>
    </w:p>
    <w:p>
      <w:pPr>
        <w:ind w:left="560" w:hanging="341"/>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validity of the ordinary shares and certain other matters of Dutch law will be passed upon for us by NautaDutilh N.V. Certain matters of U.S.</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federal and New York State law will be passed upon for us by Kirkland &amp; Ellis LLP, New York, New York.</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220" w:right="399" w:firstLine="343"/>
        <w:spacing w:after="0" w:line="266"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20-F for the year ended December 31, 2023 have been so incorporated in reliance on the report of PricewaterhouseCoopers Accountants N.V., an independent registered public accounting firm, given on the authority of said firm as experts in auditing and accounting.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8" w:right="1440"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1053465</wp:posOffset>
            </wp:positionH>
            <wp:positionV relativeFrom="page">
              <wp:posOffset>182245</wp:posOffset>
            </wp:positionV>
            <wp:extent cx="544195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441950" cy="13335"/>
                    </a:xfrm>
                    <a:prstGeom prst="rect">
                      <a:avLst/>
                    </a:prstGeom>
                    <a:noFill/>
                  </pic:spPr>
                </pic:pic>
              </a:graphicData>
            </a:graphic>
          </wp:anchor>
        </w:drawing>
        <w:drawing>
          <wp:anchor simplePos="0" relativeHeight="251657728" behindDoc="1" locked="0" layoutInCell="0" allowOverlap="1">
            <wp:simplePos x="0" y="0"/>
            <wp:positionH relativeFrom="page">
              <wp:posOffset>1053465</wp:posOffset>
            </wp:positionH>
            <wp:positionV relativeFrom="page">
              <wp:posOffset>222250</wp:posOffset>
            </wp:positionV>
            <wp:extent cx="54419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5441950" cy="6985"/>
                    </a:xfrm>
                    <a:prstGeom prst="rect">
                      <a:avLst/>
                    </a:prstGeom>
                    <a:noFill/>
                  </pic:spPr>
                </pic:pic>
              </a:graphicData>
            </a:graphic>
          </wp:anchor>
        </w:drawing>
        <w:t>8,250,000 ordinary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pre-funded warrants to purchase up to 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252095</wp:posOffset>
            </wp:positionV>
            <wp:extent cx="1854200" cy="273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1854200" cy="27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995680</wp:posOffset>
            </wp:positionV>
            <wp:extent cx="11468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184785</wp:posOffset>
            </wp:positionV>
            <wp:extent cx="114681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Oppenheimer &amp; Co.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Van Lanschot Kempen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341630</wp:posOffset>
            </wp:positionV>
            <wp:extent cx="544195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5441950" cy="698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388620</wp:posOffset>
            </wp:positionV>
            <wp:extent cx="544195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5441950" cy="13335"/>
                    </a:xfrm>
                    <a:prstGeom prst="rect">
                      <a:avLst/>
                    </a:prstGeom>
                    <a:noFill/>
                  </pic:spPr>
                </pic:pic>
              </a:graphicData>
            </a:graphic>
          </wp:anchor>
        </w:drawing>
      </w:r>
    </w:p>
    <w:p>
      <w:pPr>
        <w:sectPr>
          <w:pgSz w:w="11900" w:h="16838" w:orient="portrait"/>
          <w:cols w:equalWidth="0" w:num="1">
            <w:col w:w="9019"/>
          </w:cols>
          <w:pgMar w:left="1440" w:top="674" w:right="1440" w:bottom="1440" w:gutter="0" w:footer="0" w:header="0"/>
        </w:sectPr>
      </w:pPr>
    </w:p>
    <w:bookmarkStart w:id="89" w:name="page90"/>
    <w:bookmarkEnd w:id="89"/>
    <w:p>
      <w:pPr>
        <w:ind w:left="3464"/>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24"/>
        <w:spacing w:after="0"/>
        <w:rPr>
          <w:sz w:val="20"/>
          <w:szCs w:val="20"/>
          <w:color w:val="auto"/>
        </w:rPr>
      </w:pPr>
      <w:r>
        <w:rPr>
          <w:rFonts w:ascii="Arial" w:cs="Arial" w:eastAsia="Arial" w:hAnsi="Arial"/>
          <w:sz w:val="28"/>
          <w:szCs w:val="28"/>
          <w:b w:val="1"/>
          <w:bCs w:val="1"/>
          <w:color w:val="auto"/>
        </w:rPr>
        <w:t>F-3</w:t>
      </w:r>
    </w:p>
    <w:p>
      <w:pPr>
        <w:spacing w:after="0" w:line="98" w:lineRule="exact"/>
        <w:rPr>
          <w:sz w:val="20"/>
          <w:szCs w:val="20"/>
          <w:color w:val="auto"/>
        </w:rPr>
      </w:pPr>
    </w:p>
    <w:p>
      <w:pPr>
        <w:jc w:val="center"/>
        <w:ind w:right="196"/>
        <w:spacing w:after="0"/>
        <w:rPr>
          <w:sz w:val="20"/>
          <w:szCs w:val="20"/>
          <w:color w:val="auto"/>
        </w:rPr>
      </w:pPr>
      <w:r>
        <w:rPr>
          <w:rFonts w:ascii="Arial" w:cs="Arial" w:eastAsia="Arial" w:hAnsi="Arial"/>
          <w:sz w:val="28"/>
          <w:szCs w:val="28"/>
          <w:b w:val="1"/>
          <w:bCs w:val="1"/>
          <w:color w:val="auto"/>
        </w:rPr>
        <w:t>Pharvaris N.V.</w:t>
      </w:r>
    </w:p>
    <w:p>
      <w:pPr>
        <w:spacing w:after="0" w:line="127"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7214235" cy="45275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214235" cy="4527550"/>
                    </a:xfrm>
                    <a:prstGeom prst="rect">
                      <a:avLst/>
                    </a:prstGeom>
                    <a:noFill/>
                  </pic:spPr>
                </pic:pic>
              </a:graphicData>
            </a:graphic>
          </wp:anchor>
        </w:drawing>
      </w:r>
    </w:p>
    <w:p>
      <w:pPr>
        <w:sectPr>
          <w:pgSz w:w="11900" w:h="16838" w:orient="portrait"/>
          <w:cols w:equalWidth="0" w:num="1">
            <w:col w:w="11284"/>
          </w:cols>
          <w:pgMar w:left="336" w:top="142" w:right="279" w:bottom="1440" w:gutter="0" w:footer="0" w:header="0"/>
        </w:sectPr>
      </w:pPr>
    </w:p>
    <w:p>
      <w:pPr>
        <w:spacing w:after="0" w:line="89" w:lineRule="exact"/>
        <w:rPr>
          <w:sz w:val="20"/>
          <w:szCs w:val="20"/>
          <w:color w:val="auto"/>
        </w:rPr>
      </w:pPr>
    </w:p>
    <w:tbl>
      <w:tblPr>
        <w:tblLayout w:type="fixed"/>
        <w:tblInd w:w="4" w:type="dxa"/>
        <w:tblCellMar>
          <w:top w:w="0" w:type="dxa"/>
          <w:left w:w="0" w:type="dxa"/>
          <w:bottom w:w="0" w:type="dxa"/>
          <w:right w:w="0" w:type="dxa"/>
        </w:tblCellMar>
      </w:tblPr>
      <w:tr>
        <w:trPr>
          <w:trHeight w:val="651"/>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68"/>
        </w:trPr>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62"/>
        </w:trPr>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63"/>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gridSpan w:val="5"/>
          </w:tcPr>
          <w:p>
            <w:pPr>
              <w:ind w:left="24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Euro</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9,562,500</w:t>
            </w:r>
          </w:p>
        </w:tc>
        <w:tc>
          <w:tcPr>
            <w:tcW w:w="40" w:type="dxa"/>
            <w:vAlign w:val="bottom"/>
          </w:tcPr>
          <w:p>
            <w:pPr>
              <w:spacing w:after="0"/>
              <w:rPr>
                <w:sz w:val="8"/>
                <w:szCs w:val="8"/>
                <w:color w:val="auto"/>
              </w:rPr>
            </w:pPr>
          </w:p>
        </w:tc>
        <w:tc>
          <w:tcPr>
            <w:tcW w:w="78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5"/>
              </w:rPr>
              <w:t>$ 20.00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$ 29,280.38</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191,250,000.00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0.12 par</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Pre-</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funded</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2 Equity</w:t>
            </w:r>
          </w:p>
        </w:tc>
        <w:tc>
          <w:tcPr>
            <w:tcW w:w="20" w:type="dxa"/>
            <w:vAlign w:val="bottom"/>
          </w:tcPr>
          <w:p>
            <w:pPr>
              <w:spacing w:after="0"/>
              <w:rPr>
                <w:sz w:val="8"/>
                <w:szCs w:val="8"/>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auto"/>
              </w:rPr>
              <w:t>to</w:t>
            </w:r>
          </w:p>
        </w:tc>
        <w:tc>
          <w:tcPr>
            <w:tcW w:w="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457(r)</w:t>
            </w: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auto"/>
              </w:rPr>
              <w:t>500,000</w:t>
            </w:r>
          </w:p>
        </w:tc>
        <w:tc>
          <w:tcPr>
            <w:tcW w:w="820" w:type="dxa"/>
            <w:vAlign w:val="bottom"/>
            <w:gridSpan w:val="2"/>
            <w:vMerge w:val="restart"/>
          </w:tcPr>
          <w:p>
            <w:pPr>
              <w:ind w:left="260"/>
              <w:spacing w:after="0"/>
              <w:rPr>
                <w:sz w:val="20"/>
                <w:szCs w:val="20"/>
                <w:color w:val="auto"/>
              </w:rPr>
            </w:pPr>
            <w:r>
              <w:rPr>
                <w:rFonts w:ascii="Arial" w:cs="Arial" w:eastAsia="Arial" w:hAnsi="Arial"/>
                <w:sz w:val="17"/>
                <w:szCs w:val="17"/>
                <w:color w:val="auto"/>
                <w:w w:val="95"/>
              </w:rPr>
              <w:t>$ 20.00</w:t>
            </w:r>
          </w:p>
        </w:tc>
        <w:tc>
          <w:tcPr>
            <w:tcW w:w="1220" w:type="dxa"/>
            <w:vAlign w:val="bottom"/>
            <w:gridSpan w:val="2"/>
            <w:vMerge w:val="continue"/>
          </w:tcPr>
          <w:p>
            <w:pPr>
              <w:spacing w:after="0"/>
              <w:rPr>
                <w:sz w:val="8"/>
                <w:szCs w:val="8"/>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0.0001531</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$ 1,531.00</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800" w:type="dxa"/>
            <w:vAlign w:val="bottom"/>
          </w:tcPr>
          <w:p>
            <w:pPr>
              <w:spacing w:after="0" w:line="111" w:lineRule="exact"/>
              <w:rPr>
                <w:sz w:val="20"/>
                <w:szCs w:val="20"/>
                <w:color w:val="auto"/>
              </w:rPr>
            </w:pPr>
            <w:r>
              <w:rPr>
                <w:rFonts w:ascii="Arial" w:cs="Arial" w:eastAsia="Arial" w:hAnsi="Arial"/>
                <w:sz w:val="12"/>
                <w:szCs w:val="12"/>
                <w:color w:val="auto"/>
              </w:rPr>
              <w:t>be Paid</w:t>
            </w:r>
          </w:p>
        </w:tc>
        <w:tc>
          <w:tcPr>
            <w:tcW w:w="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10,000,000.00</w:t>
            </w:r>
          </w:p>
        </w:tc>
        <w:tc>
          <w:tcPr>
            <w:tcW w:w="84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684"/>
        <w:spacing w:after="0" w:line="232" w:lineRule="auto"/>
        <w:rPr>
          <w:sz w:val="20"/>
          <w:szCs w:val="20"/>
          <w:color w:val="auto"/>
        </w:rPr>
      </w:pPr>
      <w:r>
        <w:rPr>
          <w:rFonts w:ascii="Arial" w:cs="Arial" w:eastAsia="Arial" w:hAnsi="Arial"/>
          <w:sz w:val="17"/>
          <w:szCs w:val="17"/>
          <w:color w:val="auto"/>
        </w:rPr>
        <w:t>purchase</w:t>
      </w:r>
    </w:p>
    <w:p>
      <w:pPr>
        <w:ind w:left="1684"/>
        <w:spacing w:after="0" w:line="232" w:lineRule="auto"/>
        <w:rPr>
          <w:sz w:val="20"/>
          <w:szCs w:val="20"/>
          <w:color w:val="auto"/>
        </w:rPr>
      </w:pPr>
      <w:r>
        <w:rPr>
          <w:rFonts w:ascii="Arial" w:cs="Arial" w:eastAsia="Arial" w:hAnsi="Arial"/>
          <w:sz w:val="17"/>
          <w:szCs w:val="17"/>
          <w:color w:val="auto"/>
        </w:rPr>
        <w:t>ordinary</w:t>
      </w:r>
    </w:p>
    <w:p>
      <w:pPr>
        <w:ind w:left="1684"/>
        <w:spacing w:after="0"/>
        <w:rPr>
          <w:sz w:val="20"/>
          <w:szCs w:val="20"/>
          <w:color w:val="auto"/>
        </w:rPr>
      </w:pPr>
      <w:r>
        <w:rPr>
          <w:rFonts w:ascii="Arial" w:cs="Arial" w:eastAsia="Arial" w:hAnsi="Arial"/>
          <w:sz w:val="17"/>
          <w:szCs w:val="17"/>
          <w:color w:val="auto"/>
        </w:rPr>
        <w:t>shares</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7"/>
          <w:szCs w:val="17"/>
          <w:color w:val="auto"/>
        </w:rPr>
        <w:t>Fees</w:t>
      </w:r>
    </w:p>
    <w:p>
      <w:pPr>
        <w:spacing w:after="0" w:line="3" w:lineRule="exact"/>
        <w:rPr>
          <w:sz w:val="20"/>
          <w:szCs w:val="20"/>
          <w:color w:val="auto"/>
        </w:rPr>
      </w:pPr>
    </w:p>
    <w:p>
      <w:pPr>
        <w:ind w:left="4"/>
        <w:spacing w:after="0"/>
        <w:rPr>
          <w:sz w:val="20"/>
          <w:szCs w:val="20"/>
          <w:color w:val="auto"/>
        </w:rPr>
      </w:pPr>
      <w:r>
        <w:rPr>
          <w:rFonts w:ascii="Arial" w:cs="Arial" w:eastAsia="Arial" w:hAnsi="Arial"/>
          <w:sz w:val="17"/>
          <w:szCs w:val="17"/>
          <w:color w:val="auto"/>
        </w:rPr>
        <w:t>Previously</w:t>
      </w:r>
    </w:p>
    <w:p>
      <w:pPr>
        <w:ind w:left="4"/>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ind w:left="4644"/>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7"/>
          <w:szCs w:val="17"/>
          <w:color w:val="auto"/>
        </w:rPr>
        <w:t>Carry</w:t>
      </w:r>
    </w:p>
    <w:p>
      <w:pPr>
        <w:spacing w:after="0" w:line="3"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Forward</w:t>
      </w:r>
    </w:p>
    <w:p>
      <w:pPr>
        <w:ind w:left="4"/>
        <w:spacing w:after="0"/>
        <w:rPr>
          <w:sz w:val="20"/>
          <w:szCs w:val="20"/>
          <w:color w:val="auto"/>
        </w:rPr>
      </w:pPr>
      <w:r>
        <w:rPr>
          <w:rFonts w:ascii="Arial" w:cs="Arial" w:eastAsia="Arial" w:hAnsi="Arial"/>
          <w:sz w:val="17"/>
          <w:szCs w:val="17"/>
          <w:color w:val="auto"/>
        </w:rPr>
        <w:t>Securities</w:t>
      </w:r>
    </w:p>
    <w:p>
      <w:pPr>
        <w:spacing w:after="0" w:line="13" w:lineRule="exact"/>
        <w:rPr>
          <w:sz w:val="20"/>
          <w:szCs w:val="20"/>
          <w:color w:val="auto"/>
        </w:rPr>
      </w:pPr>
    </w:p>
    <w:tbl>
      <w:tblPr>
        <w:tblLayout w:type="fixed"/>
        <w:tblInd w:w="2484" w:type="dxa"/>
        <w:tblCellMar>
          <w:top w:w="0" w:type="dxa"/>
          <w:left w:w="0" w:type="dxa"/>
          <w:bottom w:w="0" w:type="dxa"/>
          <w:right w:w="0" w:type="dxa"/>
        </w:tblCellMar>
      </w:tblPr>
      <w:tr>
        <w:trPr>
          <w:trHeight w:val="195"/>
        </w:trPr>
        <w:tc>
          <w:tcPr>
            <w:tcW w:w="2200" w:type="dxa"/>
            <w:vAlign w:val="bottom"/>
          </w:tcPr>
          <w:p>
            <w:pPr>
              <w:spacing w:after="0"/>
              <w:rPr>
                <w:sz w:val="20"/>
                <w:szCs w:val="20"/>
                <w:color w:val="auto"/>
              </w:rPr>
            </w:pPr>
            <w:r>
              <w:rPr>
                <w:rFonts w:ascii="Arial" w:cs="Arial" w:eastAsia="Arial" w:hAnsi="Arial"/>
                <w:sz w:val="17"/>
                <w:szCs w:val="17"/>
                <w:color w:val="auto"/>
              </w:rPr>
              <w:t>Total Offering Amounts:</w:t>
            </w:r>
          </w:p>
        </w:tc>
        <w:tc>
          <w:tcPr>
            <w:tcW w:w="2100" w:type="dxa"/>
            <w:vAlign w:val="bottom"/>
          </w:tcPr>
          <w:p>
            <w:pPr>
              <w:jc w:val="right"/>
              <w:ind w:right="41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$ 30,811.38</w:t>
            </w:r>
          </w:p>
        </w:tc>
      </w:tr>
      <w:tr>
        <w:trPr>
          <w:trHeight w:val="222"/>
        </w:trPr>
        <w:tc>
          <w:tcPr>
            <w:tcW w:w="2200" w:type="dxa"/>
            <w:vAlign w:val="bottom"/>
          </w:tcPr>
          <w:p>
            <w:pPr>
              <w:spacing w:after="0"/>
              <w:rPr>
                <w:sz w:val="19"/>
                <w:szCs w:val="19"/>
                <w:color w:val="auto"/>
              </w:rPr>
            </w:pPr>
          </w:p>
        </w:tc>
        <w:tc>
          <w:tcPr>
            <w:tcW w:w="2100" w:type="dxa"/>
            <w:vAlign w:val="bottom"/>
          </w:tcPr>
          <w:p>
            <w:pPr>
              <w:jc w:val="right"/>
              <w:ind w:right="416"/>
              <w:spacing w:after="0"/>
              <w:rPr>
                <w:sz w:val="20"/>
                <w:szCs w:val="20"/>
                <w:color w:val="auto"/>
              </w:rPr>
            </w:pPr>
            <w:r>
              <w:rPr>
                <w:rFonts w:ascii="Arial" w:cs="Arial" w:eastAsia="Arial" w:hAnsi="Arial"/>
                <w:sz w:val="17"/>
                <w:szCs w:val="17"/>
                <w:color w:val="auto"/>
              </w:rPr>
              <w:t>201,250,000.00</w:t>
            </w:r>
          </w:p>
        </w:tc>
        <w:tc>
          <w:tcPr>
            <w:tcW w:w="1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2"/>
        <w:spacing w:after="0" w:line="219"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ind w:right="180" w:firstLine="131"/>
        <w:spacing w:after="0" w:line="187"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160"/>
        <w:spacing w:after="0" w:line="181" w:lineRule="auto"/>
        <w:tabs>
          <w:tab w:leader="none" w:pos="780" w:val="left"/>
        </w:tabs>
        <w:rPr>
          <w:sz w:val="20"/>
          <w:szCs w:val="20"/>
          <w:color w:val="auto"/>
        </w:rPr>
      </w:pPr>
      <w:r>
        <w:rPr>
          <w:rFonts w:ascii="Arial" w:cs="Arial" w:eastAsia="Arial" w:hAnsi="Arial"/>
          <w:sz w:val="22"/>
          <w:szCs w:val="22"/>
          <w:b w:val="1"/>
          <w:bCs w:val="1"/>
          <w:color w:val="auto"/>
          <w:vertAlign w:val="subscript"/>
        </w:rPr>
        <w:t>Date</w:t>
      </w:r>
      <w:r>
        <w:rPr>
          <w:sz w:val="20"/>
          <w:szCs w:val="20"/>
          <w:color w:val="auto"/>
        </w:rPr>
        <w:tab/>
      </w:r>
      <w:r>
        <w:rPr>
          <w:rFonts w:ascii="Arial" w:cs="Arial" w:eastAsia="Arial" w:hAnsi="Arial"/>
          <w:sz w:val="13"/>
          <w:szCs w:val="13"/>
          <w:b w:val="1"/>
          <w:bCs w:val="1"/>
          <w:color w:val="auto"/>
        </w:rPr>
        <w:t>Securities</w:t>
      </w:r>
    </w:p>
    <w:p>
      <w:pPr>
        <w:ind w:left="1000"/>
        <w:spacing w:after="0" w:line="232" w:lineRule="auto"/>
        <w:rPr>
          <w:sz w:val="20"/>
          <w:szCs w:val="20"/>
          <w:color w:val="auto"/>
        </w:rPr>
      </w:pPr>
      <w:r>
        <w:rPr>
          <w:rFonts w:ascii="Arial" w:cs="Arial" w:eastAsia="Arial" w:hAnsi="Arial"/>
          <w:sz w:val="17"/>
          <w:szCs w:val="17"/>
          <w:b w:val="1"/>
          <w:bCs w:val="1"/>
          <w:color w:val="auto"/>
        </w:rPr>
        <w:t>to be</w:t>
      </w:r>
    </w:p>
    <w:p>
      <w:pPr>
        <w:ind w:left="900"/>
        <w:spacing w:after="0" w:line="232" w:lineRule="auto"/>
        <w:rPr>
          <w:sz w:val="20"/>
          <w:szCs w:val="20"/>
          <w:color w:val="auto"/>
        </w:rPr>
      </w:pPr>
      <w:r>
        <w:rPr>
          <w:rFonts w:ascii="Arial" w:cs="Arial" w:eastAsia="Arial" w:hAnsi="Arial"/>
          <w:sz w:val="17"/>
          <w:szCs w:val="17"/>
          <w:b w:val="1"/>
          <w:bCs w:val="1"/>
          <w:color w:val="auto"/>
        </w:rPr>
        <w:t>Carried</w:t>
      </w:r>
    </w:p>
    <w:p>
      <w:pPr>
        <w:ind w:left="880"/>
        <w:spacing w:after="0"/>
        <w:rPr>
          <w:sz w:val="20"/>
          <w:szCs w:val="20"/>
          <w:color w:val="auto"/>
        </w:rPr>
      </w:pPr>
      <w:r>
        <w:rPr>
          <w:rFonts w:ascii="Arial" w:cs="Arial" w:eastAsia="Arial" w:hAnsi="Arial"/>
          <w:sz w:val="17"/>
          <w:szCs w:val="17"/>
          <w:b w:val="1"/>
          <w:bCs w:val="1"/>
          <w:color w:val="auto"/>
        </w:rPr>
        <w:t>Forward</w:t>
      </w:r>
    </w:p>
    <w:p>
      <w:pPr>
        <w:spacing w:after="0" w:line="4472" w:lineRule="exact"/>
        <w:rPr>
          <w:sz w:val="20"/>
          <w:szCs w:val="20"/>
          <w:color w:val="auto"/>
        </w:rPr>
      </w:pPr>
    </w:p>
    <w:p>
      <w:pPr>
        <w:sectPr>
          <w:pgSz w:w="11900" w:h="16838" w:orient="portrait"/>
          <w:cols w:equalWidth="0" w:num="2">
            <w:col w:w="9584" w:space="40"/>
            <w:col w:w="1660"/>
          </w:cols>
          <w:pgMar w:left="336" w:top="142" w:right="279" w:bottom="1440" w:gutter="0" w:footer="0" w:header="0"/>
          <w:type w:val="continuous"/>
        </w:sectPr>
      </w:pPr>
    </w:p>
    <w:tbl>
      <w:tblPr>
        <w:tblLayout w:type="fixed"/>
        <w:tblInd w:w="2224" w:type="dxa"/>
        <w:tblCellMar>
          <w:top w:w="0" w:type="dxa"/>
          <w:left w:w="0" w:type="dxa"/>
          <w:bottom w:w="0" w:type="dxa"/>
          <w:right w:w="0" w:type="dxa"/>
        </w:tblCellMar>
      </w:tblPr>
      <w:tr>
        <w:trPr>
          <w:trHeight w:val="222"/>
        </w:trPr>
        <w:tc>
          <w:tcPr>
            <w:tcW w:w="3540" w:type="dxa"/>
            <w:vAlign w:val="bottom"/>
          </w:tcPr>
          <w:p>
            <w:pPr>
              <w:jc w:val="right"/>
              <w:ind w:right="1436"/>
              <w:spacing w:after="0"/>
              <w:rPr>
                <w:sz w:val="20"/>
                <w:szCs w:val="20"/>
                <w:color w:val="auto"/>
              </w:rPr>
            </w:pPr>
            <w:r>
              <w:rPr>
                <w:rFonts w:ascii="Arial" w:cs="Arial" w:eastAsia="Arial" w:hAnsi="Arial"/>
                <w:sz w:val="17"/>
                <w:szCs w:val="17"/>
                <w:color w:val="auto"/>
                <w:w w:val="96"/>
              </w:rPr>
              <w:t>Total Fees Previously Paid:</w:t>
            </w:r>
          </w:p>
        </w:tc>
        <w:tc>
          <w:tcPr>
            <w:tcW w:w="23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40" w:type="dxa"/>
            <w:vAlign w:val="bottom"/>
          </w:tcPr>
          <w:p>
            <w:pPr>
              <w:jc w:val="right"/>
              <w:ind w:right="1436"/>
              <w:spacing w:after="0"/>
              <w:rPr>
                <w:sz w:val="20"/>
                <w:szCs w:val="20"/>
                <w:color w:val="auto"/>
              </w:rPr>
            </w:pPr>
            <w:r>
              <w:rPr>
                <w:rFonts w:ascii="Arial" w:cs="Arial" w:eastAsia="Arial" w:hAnsi="Arial"/>
                <w:sz w:val="17"/>
                <w:szCs w:val="17"/>
                <w:color w:val="auto"/>
              </w:rPr>
              <w:t>Total Fee Offsets:</w:t>
            </w:r>
          </w:p>
        </w:tc>
        <w:tc>
          <w:tcPr>
            <w:tcW w:w="23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40" w:type="dxa"/>
            <w:vAlign w:val="bottom"/>
          </w:tcPr>
          <w:p>
            <w:pPr>
              <w:jc w:val="right"/>
              <w:ind w:right="1436"/>
              <w:spacing w:after="0"/>
              <w:rPr>
                <w:sz w:val="20"/>
                <w:szCs w:val="20"/>
                <w:color w:val="auto"/>
              </w:rPr>
            </w:pPr>
            <w:r>
              <w:rPr>
                <w:rFonts w:ascii="Arial" w:cs="Arial" w:eastAsia="Arial" w:hAnsi="Arial"/>
                <w:sz w:val="17"/>
                <w:szCs w:val="17"/>
                <w:color w:val="auto"/>
              </w:rPr>
              <w:t>Net Fee Due:</w:t>
            </w:r>
          </w:p>
        </w:tc>
        <w:tc>
          <w:tcPr>
            <w:tcW w:w="2380" w:type="dxa"/>
            <w:vAlign w:val="bottom"/>
          </w:tcPr>
          <w:p>
            <w:pPr>
              <w:jc w:val="right"/>
              <w:spacing w:after="0"/>
              <w:rPr>
                <w:sz w:val="20"/>
                <w:szCs w:val="20"/>
                <w:color w:val="auto"/>
              </w:rPr>
            </w:pPr>
            <w:r>
              <w:rPr>
                <w:rFonts w:ascii="Arial" w:cs="Arial" w:eastAsia="Arial" w:hAnsi="Arial"/>
                <w:sz w:val="17"/>
                <w:szCs w:val="17"/>
                <w:color w:val="auto"/>
              </w:rPr>
              <w:t>$ 30,811.38</w:t>
            </w:r>
          </w:p>
        </w:tc>
      </w:tr>
    </w:tbl>
    <w:p>
      <w:pPr>
        <w:spacing w:after="0" w:line="25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184" w:right="240" w:hanging="184"/>
        <w:spacing w:after="0" w:line="229" w:lineRule="auto"/>
        <w:tabs>
          <w:tab w:leader="none" w:pos="184" w:val="left"/>
        </w:tabs>
        <w:numPr>
          <w:ilvl w:val="0"/>
          <w:numId w:val="67"/>
        </w:numPr>
        <w:rPr>
          <w:rFonts w:ascii="Arial" w:cs="Arial" w:eastAsia="Arial" w:hAnsi="Arial"/>
          <w:sz w:val="21"/>
          <w:szCs w:val="21"/>
          <w:color w:val="auto"/>
          <w:vertAlign w:val="superscript"/>
        </w:rPr>
      </w:pPr>
      <w:r>
        <w:rPr>
          <w:rFonts w:ascii="Arial" w:cs="Arial" w:eastAsia="Arial" w:hAnsi="Arial"/>
          <w:sz w:val="17"/>
          <w:szCs w:val="17"/>
          <w:color w:val="auto"/>
        </w:rPr>
        <w:t>(a) The registration fee is calculated in accordance with Rule 457(r) under the Securities Act of 1933, as amended (the "Securities Act"). This "Calculation of Filing Fee" table shall be deemed to update the "Calculation of Filing Fee" table in Pharvaris N.V.'s Registration Statement on Form F-3 (No. 333-278650), in accordance with Rules 456(b) and 457(r) under the Securities Act. (b) Includes 1,312,500 ordinary shares that the underwriters have an option to purchase and 500,000 ordinary shares that are issuable upon the exercise of the pre-funded warrants referenced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60960</wp:posOffset>
            </wp:positionV>
            <wp:extent cx="7047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22" w:lineRule="exact"/>
        <w:rPr>
          <w:sz w:val="20"/>
          <w:szCs w:val="20"/>
          <w:color w:val="auto"/>
        </w:rPr>
      </w:pPr>
    </w:p>
    <w:p>
      <w:pPr>
        <w:ind w:left="184" w:right="240" w:hanging="184"/>
        <w:spacing w:after="0" w:line="229" w:lineRule="auto"/>
        <w:tabs>
          <w:tab w:leader="none" w:pos="184" w:val="left"/>
        </w:tabs>
        <w:numPr>
          <w:ilvl w:val="0"/>
          <w:numId w:val="68"/>
        </w:numPr>
        <w:rPr>
          <w:rFonts w:ascii="Arial" w:cs="Arial" w:eastAsia="Arial" w:hAnsi="Arial"/>
          <w:sz w:val="21"/>
          <w:szCs w:val="21"/>
          <w:color w:val="auto"/>
          <w:vertAlign w:val="superscript"/>
        </w:rPr>
      </w:pPr>
      <w:r>
        <w:rPr>
          <w:rFonts w:ascii="Arial" w:cs="Arial" w:eastAsia="Arial" w:hAnsi="Arial"/>
          <w:sz w:val="17"/>
          <w:szCs w:val="17"/>
          <w:color w:val="auto"/>
        </w:rPr>
        <w:t>(a) The registration fee is calculated in accordance with Rule 457(r) under the Securities Act of 1933, as amended (the "Securities Act"). This "Calculation of Filing Fee" table shall be deemed to update the "Calculation of Filing Fee" table in Pharvaris N.V.'s Registration Statement on Form F-3 (No. 333-278650), in accordance with Rules 456(b) and 457(r) under the Securities Act. (b) Represents the sum of the offering price of $19.99 per pre-funded warrant and the exercise price of $0.01 per share issuable pursuant to the pre-funded warrants. Pursuant to Securities and Exchange Commission staff interpretation, the entire fee is allocated to the ordinary shares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60960</wp:posOffset>
            </wp:positionV>
            <wp:extent cx="7047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sectPr>
      <w:pgSz w:w="11900" w:h="16838" w:orient="portrait"/>
      <w:cols w:equalWidth="0" w:num="1">
        <w:col w:w="11284"/>
      </w:cols>
      <w:pgMar w:left="336" w:top="14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lowerRoman"/>
      <w:start w:val="2"/>
    </w:lvl>
  </w:abstractNum>
  <w:abstractNum w:abstractNumId="7">
    <w:nsid w:val="5C482A97"/>
    <w:multiLevelType w:val="hybridMultilevel"/>
    <w:lvl w:ilvl="0">
      <w:lvlJc w:val="left"/>
      <w:lvlText w:val="(%1)"/>
      <w:numFmt w:val="lowerRoman"/>
      <w:start w:val="3"/>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lowerRoman"/>
      <w:start w:val="2"/>
    </w:lvl>
  </w:abstractNum>
  <w:abstractNum w:abstractNumId="12">
    <w:nsid w:val="580BD78F"/>
    <w:multiLevelType w:val="hybridMultilevel"/>
    <w:lvl w:ilvl="0">
      <w:lvlJc w:val="left"/>
      <w:lvlText w:val="(%1)"/>
      <w:numFmt w:val="lowerRoman"/>
      <w:start w:val="1"/>
    </w:lvl>
  </w:abstractNum>
  <w:abstractNum w:abstractNumId="13">
    <w:nsid w:val="153EA438"/>
    <w:multiLevelType w:val="hybridMultilevel"/>
    <w:lvl w:ilvl="0">
      <w:lvlJc w:val="left"/>
      <w:lvlText w:val="(%1)"/>
      <w:numFmt w:val="lowerRoman"/>
      <w:start w:val="3"/>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lowerRoman"/>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lowerRoman"/>
      <w:start w:val="1"/>
    </w:lvl>
  </w:abstractNum>
  <w:abstractNum w:abstractNumId="18">
    <w:nsid w:val="1D4ED43B"/>
    <w:multiLevelType w:val="hybridMultilevel"/>
    <w:lvl w:ilvl="0">
      <w:lvlJc w:val="left"/>
      <w:lvlText w:val="(%1)"/>
      <w:numFmt w:val="lowerRoman"/>
      <w:start w:val="1"/>
    </w:lvl>
  </w:abstractNum>
  <w:abstractNum w:abstractNumId="19">
    <w:nsid w:val="725A06FB"/>
    <w:multiLevelType w:val="hybridMultilevel"/>
    <w:lvl w:ilvl="0">
      <w:lvlJc w:val="left"/>
      <w:lvlText w:val="(%1)"/>
      <w:numFmt w:val="lowerRoman"/>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lowerRoman"/>
      <w:start w:val="4"/>
    </w:lvl>
  </w:abstractNum>
  <w:abstractNum w:abstractNumId="22">
    <w:nsid w:val="7A6D8D3C"/>
    <w:multiLevelType w:val="hybridMultilevel"/>
    <w:lvl w:ilvl="0">
      <w:lvlJc w:val="left"/>
      <w:lvlText w:val="(%1)"/>
      <w:numFmt w:val="lowerLetter"/>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1)"/>
      <w:numFmt w:val="upperLetter"/>
      <w:start w:val="2"/>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upperLetter"/>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upperLetter"/>
      <w:start w:val="1"/>
    </w:lvl>
    <w:lvl w:ilvl="1">
      <w:lvlJc w:val="left"/>
      <w:lvlText w:val="•"/>
      <w:numFmt w:val="bullet"/>
      <w:start w:val="1"/>
    </w:lvl>
  </w:abstractNum>
  <w:abstractNum w:abstractNumId="31">
    <w:nsid w:val="749ABB43"/>
    <w:multiLevelType w:val="hybridMultilevel"/>
    <w:lvl w:ilvl="0">
      <w:lvlJc w:val="left"/>
      <w:lvlText w:val="%1."/>
      <w:numFmt w:val="upperLetter"/>
      <w:start w:val="4"/>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upperLetter"/>
      <w:start w:val="5"/>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upperLetter"/>
      <w:start w:val="6"/>
    </w:lvl>
  </w:abstractNum>
  <w:abstractNum w:abstractNumId="37">
    <w:nsid w:val="70C6A529"/>
    <w:multiLevelType w:val="hybridMultilevel"/>
    <w:lvl w:ilvl="0">
      <w:lvlJc w:val="left"/>
      <w:lvlText w:val="%1."/>
      <w:numFmt w:val="upperLetter"/>
      <w:start w:val="7"/>
    </w:lvl>
  </w:abstractNum>
  <w:abstractNum w:abstractNumId="38">
    <w:nsid w:val="520EEDD1"/>
    <w:multiLevelType w:val="hybridMultilevel"/>
    <w:lvl w:ilvl="0">
      <w:lvlJc w:val="left"/>
      <w:lvlText w:val="%1."/>
      <w:numFmt w:val="upperLetter"/>
      <w:start w:val="8"/>
    </w:lvl>
  </w:abstractNum>
  <w:abstractNum w:abstractNumId="39">
    <w:nsid w:val="374A3FE6"/>
    <w:multiLevelType w:val="hybridMultilevel"/>
    <w:lvl w:ilvl="0">
      <w:lvlJc w:val="left"/>
      <w:lvlText w:val="(%1)"/>
      <w:numFmt w:val="lowerRoman"/>
      <w:start w:val="2"/>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lowerRoman"/>
      <w:start w:val="2"/>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lowerRoman"/>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lvl w:ilvl="1">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bullet"/>
      <w:start w:val="1"/>
    </w:lvl>
  </w:abstractNum>
  <w:abstractNum w:abstractNumId="67">
    <w:nsid w:val="5DB70AE5"/>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jpe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jpe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55" Type="http://schemas.openxmlformats.org/officeDocument/2006/relationships/hyperlink" Target="http://www.sec.gov/ix?doc=/Archives/edgar/data/0001830487/000095017025051347/phvs-20241231.htm" TargetMode="External"/><Relationship Id="rId56" Type="http://schemas.openxmlformats.org/officeDocument/2006/relationships/hyperlink" Target="http://www.sec.gov/Archives/edgar/data/1830487/000095017025084094/6-k_agm_pr_announcement_.htm" TargetMode="External"/><Relationship Id="rId57" Type="http://schemas.openxmlformats.org/officeDocument/2006/relationships/hyperlink" Target="http://www.sec.gov/Archives/edgar/data/1830487/000095017025090887/annual_general_meeting_2.htm" TargetMode="External"/><Relationship Id="rId58" Type="http://schemas.openxmlformats.org/officeDocument/2006/relationships/hyperlink" Target="http://www.sec.gov/Archives/edgar/data/1830487/000119312521028346/d91705d8a12b.htm" TargetMode="External"/><Relationship Id="rId59" Type="http://schemas.openxmlformats.org/officeDocument/2006/relationships/hyperlink" Target="http://www.sec.gov/Archives/edgar/data/1830487/000119312521140476/d51199dex21.htm" TargetMode="External"/><Relationship Id="rId105" Type="http://schemas.openxmlformats.org/officeDocument/2006/relationships/hyperlink" Target="http://www.sec.gov/ix?doc=/Archives/edgar/data/0001830487/000095017024043358/phvs-20231231.htm" TargetMode="External"/><Relationship Id="rId106" Type="http://schemas.openxmlformats.org/officeDocument/2006/relationships/hyperlink" Target="http://www.sec.gov/Archives/edgar/data/1830487/000095017024002680/corporate_presentation_j.htm" TargetMode="External"/><Relationship Id="rId107" Type="http://schemas.openxmlformats.org/officeDocument/2006/relationships/hyperlink" Target="http://www.sec.gov/Archives/edgar/data/1830487/000095017024005923/corp_presentation_2024_u.htm" TargetMode="External"/><Relationship Id="rId108" Type="http://schemas.openxmlformats.org/officeDocument/2006/relationships/hyperlink" Target="http://www.sec.gov/Archives/edgar/data/1830487/000095017024012166/registration_rights_agre.htm" TargetMode="External"/><Relationship Id="rId109" Type="http://schemas.openxmlformats.org/officeDocument/2006/relationships/hyperlink" Target="http://www.sec.gov/Archives/edgar/data/1830487/000095017024016144/6-k_egm_pr_announcement.htm" TargetMode="External"/><Relationship Id="rId110" Type="http://schemas.openxmlformats.org/officeDocument/2006/relationships/hyperlink" Target="http://www.sec.gov/Archives/edgar/data/1830487/000095017024027155/egm_2024.htm" TargetMode="External"/><Relationship Id="rId111" Type="http://schemas.openxmlformats.org/officeDocument/2006/relationships/hyperlink" Target="http://www.sec.gov/Archives/edgar/data/1830487/000095017024043354/pr_fin_results_2023.htm" TargetMode="External"/><Relationship Id="rId112" Type="http://schemas.openxmlformats.org/officeDocument/2006/relationships/hyperlink" Target="http://www.sec.gov/Archives/edgar/data/1830487/000095017024043358/phvs-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2025-07-24T05:28:13Z</dcterms:created>
  <dcterms:modified xsi:type="dcterms:W3CDTF">2025-07-24T05:28:13Z</dcterms:modified>
</cp:coreProperties>
</file>