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38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38190"/>
                    </a:xfrm>
                    <a:prstGeom prst="rect">
                      <a:avLst/>
                    </a:prstGeom>
                    <a:noFill/>
                  </pic:spPr>
                </pic:pic>
              </a:graphicData>
            </a:graphic>
          </wp:anchor>
        </w:drawing>
      </w:r>
    </w:p>
    <w:p>
      <w:pPr>
        <w:sectPr>
          <w:pgSz w:w="11900" w:h="16838" w:orient="portrait"/>
          <w:cols w:equalWidth="0" w:num="1">
            <w:col w:w="10940"/>
          </w:cols>
          <w:pgMar w:left="480" w:top="230" w:right="479" w:bottom="5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Monges Viviane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80" w:type="dxa"/>
            <w:vAlign w:val="bottom"/>
            <w:tcBorders>
              <w:top w:val="single" w:sz="8" w:color="0000EE"/>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55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55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14,654</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03/03/2027</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03/03/2036</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16,500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28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03/12/2026</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03/12/2035</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04/11/2025</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04/11/2034</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14,000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04/06/2033</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21,000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04/01/2032</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17,500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07/01/2031</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17.43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-5,500 RSUs from an award granted March 3, 2026 of which 100% will vest March 3,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100% of the option vest on the 12-month anniversary.</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July 1, 2022 with the remaining shares vesting in 1/48 monthly installments thereafter.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8"/>
              </w:rPr>
              <w:t>/s/ Marnus Nel, Attorney-</w:t>
            </w:r>
          </w:p>
        </w:tc>
        <w:tc>
          <w:tcPr>
            <w:tcW w:w="1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06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in-Fact for Vivian Monges</w:t>
            </w:r>
          </w:p>
        </w:tc>
        <w:tc>
          <w:tcPr>
            <w:tcW w:w="120" w:type="dxa"/>
            <w:vAlign w:val="bottom"/>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60" w:type="dxa"/>
            <w:vAlign w:val="bottom"/>
            <w:tcBorders>
              <w:bottom w:val="single" w:sz="8" w:color="auto"/>
            </w:tcBorders>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120" w:type="dxa"/>
            <w:vAlign w:val="bottom"/>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50"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364490</wp:posOffset>
            </wp:positionV>
            <wp:extent cx="1838960"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8960"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838204"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2026-03-18T13:24:55Z</dcterms:created>
  <dcterms:modified xsi:type="dcterms:W3CDTF">2026-03-18T13:24:55Z</dcterms:modified>
</cp:coreProperties>
</file>