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8"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Annual General Meeting of Shareholders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June 28, 2024, Pharvaris N.V. (the “Company”) held its Annual General Meeting of Shareholders (the “Annual General Meeting”).</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final results of each of the agenda items submitted to a vote of the shareholders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Agenda Item 3. </w:t>
      </w:r>
      <w:r>
        <w:rPr>
          <w:rFonts w:ascii="Arial" w:cs="Arial" w:eastAsia="Arial" w:hAnsi="Arial"/>
          <w:sz w:val="18"/>
          <w:szCs w:val="18"/>
          <w:color w:val="auto"/>
        </w:rPr>
        <w:t>Adoption of Dutch statutory annual accounts for the fiscal year ended December 31, 2023.</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shareholders adopted the Dutch statutory annual accounts for the fiscal year ended December 31, 2023.</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Agenda Item 4. </w:t>
      </w:r>
      <w:r>
        <w:rPr>
          <w:rFonts w:ascii="Arial" w:cs="Arial" w:eastAsia="Arial" w:hAnsi="Arial"/>
          <w:sz w:val="18"/>
          <w:szCs w:val="18"/>
          <w:color w:val="auto"/>
        </w:rPr>
        <w:t>Instruction to PricewaterhouseCoopers Accountants N.V. for the external audit of the Company's statutory annual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fiscal year ending December 31, 2024.</w:t>
      </w:r>
    </w:p>
    <w:p>
      <w:pPr>
        <w:spacing w:after="0" w:line="140" w:lineRule="exact"/>
        <w:rPr>
          <w:sz w:val="20"/>
          <w:szCs w:val="20"/>
          <w:color w:val="auto"/>
        </w:rPr>
      </w:pPr>
    </w:p>
    <w:p>
      <w:pPr>
        <w:ind w:left="520"/>
        <w:spacing w:after="0" w:line="271" w:lineRule="auto"/>
        <w:rPr>
          <w:sz w:val="20"/>
          <w:szCs w:val="20"/>
          <w:color w:val="auto"/>
        </w:rPr>
      </w:pPr>
      <w:r>
        <w:rPr>
          <w:rFonts w:ascii="Arial" w:cs="Arial" w:eastAsia="Arial" w:hAnsi="Arial"/>
          <w:sz w:val="18"/>
          <w:szCs w:val="18"/>
          <w:color w:val="auto"/>
        </w:rPr>
        <w:t>The Company’s shareholders instructed PricewaterhouseCoopers Accountants N.V. for the external audit of the Company's statutory annual accounts for the fiscal year ended December 31, 2024.</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Agenda Item 5. </w:t>
      </w:r>
      <w:r>
        <w:rPr>
          <w:rFonts w:ascii="Arial" w:cs="Arial" w:eastAsia="Arial" w:hAnsi="Arial"/>
          <w:sz w:val="18"/>
          <w:szCs w:val="18"/>
          <w:color w:val="auto"/>
        </w:rPr>
        <w:t>Discharge from liability for the Company's directors with respect to the performance of their duties during the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2023.</w:t>
      </w:r>
    </w:p>
    <w:p>
      <w:pPr>
        <w:spacing w:after="0" w:line="140" w:lineRule="exact"/>
        <w:rPr>
          <w:sz w:val="20"/>
          <w:szCs w:val="20"/>
          <w:color w:val="auto"/>
        </w:rPr>
      </w:pPr>
    </w:p>
    <w:p>
      <w:pPr>
        <w:ind w:left="520"/>
        <w:spacing w:after="0" w:line="271" w:lineRule="auto"/>
        <w:rPr>
          <w:sz w:val="20"/>
          <w:szCs w:val="20"/>
          <w:color w:val="auto"/>
        </w:rPr>
      </w:pPr>
      <w:r>
        <w:rPr>
          <w:rFonts w:ascii="Arial" w:cs="Arial" w:eastAsia="Arial" w:hAnsi="Arial"/>
          <w:sz w:val="18"/>
          <w:szCs w:val="18"/>
          <w:color w:val="auto"/>
        </w:rPr>
        <w:t>The Company’s shareholders discharged the Company’s directors from liability with respect to the performance of their duties during the fiscal year ended December 31, 2023.</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Agenda Item 7. </w:t>
      </w:r>
      <w:r>
        <w:rPr>
          <w:rFonts w:ascii="Arial" w:cs="Arial" w:eastAsia="Arial" w:hAnsi="Arial"/>
          <w:sz w:val="18"/>
          <w:szCs w:val="18"/>
          <w:color w:val="auto"/>
        </w:rPr>
        <w:t>Extension of authorization for the Company's board of directors to acquire shares and depository receipts for shares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capital.</w:t>
      </w:r>
    </w:p>
    <w:p>
      <w:pPr>
        <w:spacing w:after="0" w:line="140" w:lineRule="exact"/>
        <w:rPr>
          <w:sz w:val="20"/>
          <w:szCs w:val="20"/>
          <w:color w:val="auto"/>
        </w:rPr>
      </w:pPr>
    </w:p>
    <w:p>
      <w:pPr>
        <w:ind w:left="520"/>
        <w:spacing w:after="0" w:line="271" w:lineRule="auto"/>
        <w:rPr>
          <w:sz w:val="20"/>
          <w:szCs w:val="20"/>
          <w:color w:val="auto"/>
        </w:rPr>
      </w:pPr>
      <w:r>
        <w:rPr>
          <w:rFonts w:ascii="Arial" w:cs="Arial" w:eastAsia="Arial" w:hAnsi="Arial"/>
          <w:sz w:val="18"/>
          <w:szCs w:val="18"/>
          <w:color w:val="auto"/>
        </w:rPr>
        <w:t>The Company’s shareholders extended the authorization to the Board to acquire shares and depository receipts for shares in the Company's capital.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Agenda Item 8. </w:t>
      </w:r>
      <w:r>
        <w:rPr>
          <w:rFonts w:ascii="Arial" w:cs="Arial" w:eastAsia="Arial" w:hAnsi="Arial"/>
          <w:sz w:val="18"/>
          <w:szCs w:val="18"/>
          <w:color w:val="auto"/>
        </w:rPr>
        <w:t>Re-appointment of Mr. Modig as executive director of the Company.</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shareholders re-appointed Mr. Modig as executive director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Agenda Item 9. </w:t>
      </w:r>
      <w:r>
        <w:rPr>
          <w:rFonts w:ascii="Arial" w:cs="Arial" w:eastAsia="Arial" w:hAnsi="Arial"/>
          <w:sz w:val="18"/>
          <w:szCs w:val="18"/>
          <w:color w:val="auto"/>
        </w:rPr>
        <w:t>Re-appointment of Mr. Schikan as non-executive director of the Company.</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shareholders re-appointed Mr. Schikan as executive director of the Company.</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 xml:space="preserve">Agenda Item 10. </w:t>
      </w:r>
      <w:r>
        <w:rPr>
          <w:rFonts w:ascii="Arial" w:cs="Arial" w:eastAsia="Arial" w:hAnsi="Arial"/>
          <w:sz w:val="18"/>
          <w:szCs w:val="18"/>
          <w:color w:val="auto"/>
        </w:rPr>
        <w:t>Authorisation of the Company's board of directors to issue ordinary shares and to grant rights to subscribe for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the Company's capital.</w:t>
      </w:r>
    </w:p>
    <w:p>
      <w:pPr>
        <w:spacing w:after="0" w:line="140" w:lineRule="exact"/>
        <w:rPr>
          <w:sz w:val="20"/>
          <w:szCs w:val="20"/>
          <w:color w:val="auto"/>
        </w:rPr>
      </w:pPr>
    </w:p>
    <w:p>
      <w:pPr>
        <w:ind w:left="520"/>
        <w:spacing w:after="0" w:line="271" w:lineRule="auto"/>
        <w:rPr>
          <w:sz w:val="20"/>
          <w:szCs w:val="20"/>
          <w:color w:val="auto"/>
        </w:rPr>
      </w:pPr>
      <w:r>
        <w:rPr>
          <w:rFonts w:ascii="Arial" w:cs="Arial" w:eastAsia="Arial" w:hAnsi="Arial"/>
          <w:sz w:val="18"/>
          <w:szCs w:val="18"/>
          <w:color w:val="auto"/>
        </w:rPr>
        <w:t>The Company’s shareholders authorized the Company's board of directors to issue ordinary shares and to grant rights to subscribe for ordinary shares in the Company's capital.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Agenda Item 11. </w:t>
      </w:r>
      <w:r>
        <w:rPr>
          <w:rFonts w:ascii="Arial" w:cs="Arial" w:eastAsia="Arial" w:hAnsi="Arial"/>
          <w:sz w:val="18"/>
          <w:szCs w:val="18"/>
          <w:color w:val="auto"/>
        </w:rPr>
        <w:t>Authorisation of the Company's board of directors to limit or exclude pre-emption rights.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shareholders authorized the Company's board of directors to limit or exclude pre-emption rights.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40" w:type="dxa"/>
            <w:vAlign w:val="bottom"/>
          </w:tcPr>
          <w:p>
            <w:pPr>
              <w:spacing w:after="0"/>
              <w:rPr>
                <w:sz w:val="21"/>
                <w:szCs w:val="21"/>
                <w:color w:val="auto"/>
              </w:rPr>
            </w:pPr>
          </w:p>
        </w:tc>
        <w:tc>
          <w:tcPr>
            <w:tcW w:w="7600" w:type="dxa"/>
            <w:vAlign w:val="bottom"/>
            <w:gridSpan w:val="2"/>
          </w:tcPr>
          <w:p>
            <w:pPr>
              <w:ind w:left="202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640" w:type="dxa"/>
            <w:vAlign w:val="bottom"/>
          </w:tcPr>
          <w:p>
            <w:pPr>
              <w:ind w:left="20"/>
              <w:spacing w:after="0"/>
              <w:rPr>
                <w:sz w:val="20"/>
                <w:szCs w:val="20"/>
                <w:color w:val="auto"/>
              </w:rPr>
            </w:pPr>
            <w:r>
              <w:rPr>
                <w:rFonts w:ascii="Arial" w:cs="Arial" w:eastAsia="Arial" w:hAnsi="Arial"/>
                <w:sz w:val="18"/>
                <w:szCs w:val="18"/>
                <w:color w:val="auto"/>
              </w:rPr>
              <w:t>Date: June 28, 2024</w:t>
            </w:r>
          </w:p>
        </w:tc>
        <w:tc>
          <w:tcPr>
            <w:tcW w:w="2920" w:type="dxa"/>
            <w:vAlign w:val="bottom"/>
          </w:tcPr>
          <w:p>
            <w:pPr>
              <w:ind w:left="202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38"/>
        </w:trPr>
        <w:tc>
          <w:tcPr>
            <w:tcW w:w="3640" w:type="dxa"/>
            <w:vAlign w:val="bottom"/>
          </w:tcPr>
          <w:p>
            <w:pPr>
              <w:spacing w:after="0"/>
              <w:rPr>
                <w:sz w:val="20"/>
                <w:szCs w:val="20"/>
                <w:color w:val="auto"/>
              </w:rPr>
            </w:pPr>
          </w:p>
        </w:tc>
        <w:tc>
          <w:tcPr>
            <w:tcW w:w="2920" w:type="dxa"/>
            <w:vAlign w:val="bottom"/>
          </w:tcPr>
          <w:p>
            <w:pPr>
              <w:ind w:left="202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9"/>
        </w:trPr>
        <w:tc>
          <w:tcPr>
            <w:tcW w:w="3640" w:type="dxa"/>
            <w:vAlign w:val="bottom"/>
          </w:tcPr>
          <w:p>
            <w:pPr>
              <w:spacing w:after="0"/>
              <w:rPr>
                <w:sz w:val="20"/>
                <w:szCs w:val="20"/>
                <w:color w:val="auto"/>
              </w:rPr>
            </w:pPr>
          </w:p>
        </w:tc>
        <w:tc>
          <w:tcPr>
            <w:tcW w:w="2920" w:type="dxa"/>
            <w:vAlign w:val="bottom"/>
          </w:tcPr>
          <w:p>
            <w:pPr>
              <w:ind w:left="202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988"/>
        </w:trPr>
        <w:tc>
          <w:tcPr>
            <w:tcW w:w="36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2024-06-28T16:31:31Z</dcterms:created>
  <dcterms:modified xsi:type="dcterms:W3CDTF">2024-06-28T16:31:31Z</dcterms:modified>
</cp:coreProperties>
</file>