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126365</wp:posOffset>
            </wp:positionV>
            <wp:extent cx="332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171450</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REPORT OF FOREIGN PRIVATE ISSUER</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month of May 2025</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140970</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8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Pharvaris N.V.</w:t>
      </w:r>
    </w:p>
    <w:p>
      <w:pPr>
        <w:spacing w:after="0" w:line="23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158115</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Emmy Noetherweg 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2333 BK Leiden</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Netherlands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0"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line="256"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May 13, 2025, Pharvaris N.V. issued a press release reporting financial results and other business updates for the three months ended March 31, 2025. A copy of the press release is attached hereto as Exhibit 99.1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333-277705 and 333-278650)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1654175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40" w:type="dxa"/>
            <w:vAlign w:val="bottom"/>
            <w:gridSpan w:val="3"/>
          </w:tcPr>
          <w:p>
            <w:pPr>
              <w:ind w:left="2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10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020" w:type="dxa"/>
            <w:vAlign w:val="bottom"/>
          </w:tcPr>
          <w:p>
            <w:pPr>
              <w:spacing w:after="0" w:line="175" w:lineRule="exact"/>
              <w:rPr>
                <w:sz w:val="20"/>
                <w:szCs w:val="20"/>
                <w:color w:val="auto"/>
              </w:rPr>
            </w:pPr>
            <w:r>
              <w:rPr>
                <w:rFonts w:ascii="Arial" w:cs="Arial" w:eastAsia="Arial" w:hAnsi="Arial"/>
                <w:sz w:val="16"/>
                <w:szCs w:val="16"/>
                <w:color w:val="auto"/>
              </w:rPr>
              <w:t>99.1</w:t>
            </w:r>
          </w:p>
        </w:tc>
        <w:tc>
          <w:tcPr>
            <w:tcW w:w="120" w:type="dxa"/>
            <w:vAlign w:val="bottom"/>
          </w:tcPr>
          <w:p>
            <w:pPr>
              <w:spacing w:after="0"/>
              <w:rPr>
                <w:sz w:val="15"/>
                <w:szCs w:val="15"/>
                <w:color w:val="auto"/>
              </w:rPr>
            </w:pPr>
          </w:p>
        </w:tc>
        <w:tc>
          <w:tcPr>
            <w:tcW w:w="4000" w:type="dxa"/>
            <w:vAlign w:val="bottom"/>
            <w:tcBorders>
              <w:bottom w:val="single" w:sz="8" w:color="0000FF"/>
            </w:tcBorders>
            <w:gridSpan w:val="3"/>
          </w:tcPr>
          <w:p>
            <w:pPr>
              <w:spacing w:after="0" w:line="175" w:lineRule="exact"/>
              <w:rPr>
                <w:sz w:val="20"/>
                <w:szCs w:val="20"/>
                <w:color w:val="auto"/>
              </w:rPr>
            </w:pPr>
            <w:r>
              <w:rPr>
                <w:rFonts w:ascii="Arial" w:cs="Arial" w:eastAsia="Arial" w:hAnsi="Arial"/>
                <w:sz w:val="16"/>
                <w:szCs w:val="16"/>
                <w:color w:val="0000FF"/>
              </w:rPr>
              <w:t>Press Release, dated May 13, 2025, (Financial results).</w:t>
            </w:r>
          </w:p>
        </w:tc>
        <w:tc>
          <w:tcPr>
            <w:tcW w:w="6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6"/>
                <w:szCs w:val="16"/>
                <w:color w:val="auto"/>
              </w:rPr>
              <w:t>99.2</w:t>
            </w:r>
          </w:p>
        </w:tc>
        <w:tc>
          <w:tcPr>
            <w:tcW w:w="120" w:type="dxa"/>
            <w:vAlign w:val="bottom"/>
          </w:tcPr>
          <w:p>
            <w:pPr>
              <w:spacing w:after="0"/>
              <w:rPr>
                <w:sz w:val="14"/>
                <w:szCs w:val="14"/>
                <w:color w:val="auto"/>
              </w:rPr>
            </w:pPr>
          </w:p>
        </w:tc>
        <w:tc>
          <w:tcPr>
            <w:tcW w:w="10100" w:type="dxa"/>
            <w:vAlign w:val="bottom"/>
            <w:gridSpan w:val="5"/>
          </w:tcPr>
          <w:p>
            <w:pPr>
              <w:spacing w:after="0" w:line="169" w:lineRule="exact"/>
              <w:rPr>
                <w:sz w:val="20"/>
                <w:szCs w:val="20"/>
                <w:color w:val="auto"/>
              </w:rPr>
            </w:pPr>
            <w:r>
              <w:rPr>
                <w:rFonts w:ascii="Arial" w:cs="Arial" w:eastAsia="Arial" w:hAnsi="Arial"/>
                <w:sz w:val="16"/>
                <w:szCs w:val="16"/>
                <w:color w:val="0000FF"/>
              </w:rPr>
              <w:t>Management’s Discussion and Analysis of Financial Condition and Results of Operations as of and for the Three Months Ended March 31,</w:t>
            </w: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4"/>
                <w:szCs w:val="14"/>
                <w:color w:val="auto"/>
              </w:rPr>
            </w:pPr>
          </w:p>
        </w:tc>
        <w:tc>
          <w:tcPr>
            <w:tcW w:w="996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2025 and 2024.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100" w:type="dxa"/>
            <w:vAlign w:val="bottom"/>
            <w:tcBorders>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Unaudited Condensed Consolidated Interim Financial Statements as of and for the Three Months Ended March 31, 2025 and 2024 and as of</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00" w:type="dxa"/>
            <w:vAlign w:val="bottom"/>
            <w:gridSpan w:val="5"/>
          </w:tcPr>
          <w:p>
            <w:pPr>
              <w:spacing w:after="0" w:line="169" w:lineRule="exact"/>
              <w:rPr>
                <w:sz w:val="20"/>
                <w:szCs w:val="20"/>
                <w:color w:val="auto"/>
              </w:rPr>
            </w:pPr>
            <w:r>
              <w:rPr>
                <w:rFonts w:ascii="Arial" w:cs="Arial" w:eastAsia="Arial" w:hAnsi="Arial"/>
                <w:sz w:val="16"/>
                <w:szCs w:val="16"/>
                <w:color w:val="0000FF"/>
              </w:rPr>
              <w:t>December 31, 2024.</w:t>
            </w:r>
          </w:p>
        </w:tc>
        <w:tc>
          <w:tcPr>
            <w:tcW w:w="0" w:type="dxa"/>
            <w:vAlign w:val="bottom"/>
          </w:tcPr>
          <w:p>
            <w:pPr>
              <w:spacing w:after="0"/>
              <w:rPr>
                <w:sz w:val="1"/>
                <w:szCs w:val="1"/>
                <w:color w:val="auto"/>
              </w:rPr>
            </w:pPr>
          </w:p>
        </w:tc>
      </w:tr>
      <w:tr>
        <w:trPr>
          <w:trHeight w:val="1634"/>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20" w:type="dxa"/>
            <w:vAlign w:val="bottom"/>
          </w:tcPr>
          <w:p>
            <w:pPr>
              <w:spacing w:after="0"/>
              <w:rPr>
                <w:sz w:val="21"/>
                <w:szCs w:val="21"/>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PHARVARIS N.V.</w:t>
            </w:r>
          </w:p>
        </w:tc>
      </w:tr>
      <w:tr>
        <w:trPr>
          <w:trHeight w:val="360"/>
        </w:trPr>
        <w:tc>
          <w:tcPr>
            <w:tcW w:w="3520" w:type="dxa"/>
            <w:vAlign w:val="bottom"/>
          </w:tcPr>
          <w:p>
            <w:pPr>
              <w:spacing w:after="0"/>
              <w:rPr>
                <w:sz w:val="20"/>
                <w:szCs w:val="20"/>
                <w:color w:val="auto"/>
              </w:rPr>
            </w:pPr>
            <w:r>
              <w:rPr>
                <w:rFonts w:ascii="Arial" w:cs="Arial" w:eastAsia="Arial" w:hAnsi="Arial"/>
                <w:sz w:val="16"/>
                <w:szCs w:val="16"/>
                <w:color w:val="auto"/>
              </w:rPr>
              <w:t>Date: May 13, 2025</w:t>
            </w:r>
          </w:p>
        </w:tc>
        <w:tc>
          <w:tcPr>
            <w:tcW w:w="2840" w:type="dxa"/>
            <w:vAlign w:val="bottom"/>
          </w:tcPr>
          <w:p>
            <w:pPr>
              <w:ind w:left="212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175"/>
        </w:trPr>
        <w:tc>
          <w:tcPr>
            <w:tcW w:w="3520" w:type="dxa"/>
            <w:vAlign w:val="bottom"/>
          </w:tcPr>
          <w:p>
            <w:pPr>
              <w:spacing w:after="0"/>
              <w:rPr>
                <w:sz w:val="15"/>
                <w:szCs w:val="15"/>
                <w:color w:val="auto"/>
              </w:rPr>
            </w:pPr>
          </w:p>
        </w:tc>
        <w:tc>
          <w:tcPr>
            <w:tcW w:w="2840" w:type="dxa"/>
            <w:vAlign w:val="bottom"/>
          </w:tcPr>
          <w:p>
            <w:pPr>
              <w:ind w:left="2120"/>
              <w:spacing w:after="0" w:line="175" w:lineRule="exact"/>
              <w:rPr>
                <w:sz w:val="20"/>
                <w:szCs w:val="20"/>
                <w:color w:val="auto"/>
              </w:rPr>
            </w:pPr>
            <w:r>
              <w:rPr>
                <w:rFonts w:ascii="Arial" w:cs="Arial" w:eastAsia="Arial" w:hAnsi="Arial"/>
                <w:sz w:val="16"/>
                <w:szCs w:val="16"/>
                <w:color w:val="auto"/>
              </w:rPr>
              <w:t>Name:</w:t>
            </w:r>
          </w:p>
        </w:tc>
        <w:tc>
          <w:tcPr>
            <w:tcW w:w="4880" w:type="dxa"/>
            <w:vAlign w:val="bottom"/>
          </w:tcPr>
          <w:p>
            <w:pPr>
              <w:spacing w:after="0" w:line="175" w:lineRule="exact"/>
              <w:rPr>
                <w:sz w:val="20"/>
                <w:szCs w:val="20"/>
                <w:color w:val="auto"/>
              </w:rPr>
            </w:pPr>
            <w:r>
              <w:rPr>
                <w:rFonts w:ascii="Arial" w:cs="Arial" w:eastAsia="Arial" w:hAnsi="Arial"/>
                <w:sz w:val="16"/>
                <w:szCs w:val="16"/>
                <w:color w:val="auto"/>
              </w:rPr>
              <w:t>Berndt Modig</w:t>
            </w:r>
          </w:p>
        </w:tc>
      </w:tr>
      <w:tr>
        <w:trPr>
          <w:trHeight w:val="215"/>
        </w:trPr>
        <w:tc>
          <w:tcPr>
            <w:tcW w:w="3520" w:type="dxa"/>
            <w:vAlign w:val="bottom"/>
          </w:tcPr>
          <w:p>
            <w:pPr>
              <w:spacing w:after="0"/>
              <w:rPr>
                <w:sz w:val="18"/>
                <w:szCs w:val="18"/>
                <w:color w:val="auto"/>
              </w:rPr>
            </w:pPr>
          </w:p>
        </w:tc>
        <w:tc>
          <w:tcPr>
            <w:tcW w:w="2840" w:type="dxa"/>
            <w:vAlign w:val="bottom"/>
          </w:tcPr>
          <w:p>
            <w:pPr>
              <w:ind w:left="2120"/>
              <w:spacing w:after="0"/>
              <w:rPr>
                <w:sz w:val="20"/>
                <w:szCs w:val="20"/>
                <w:color w:val="auto"/>
              </w:rPr>
            </w:pPr>
            <w:r>
              <w:rPr>
                <w:rFonts w:ascii="Arial" w:cs="Arial" w:eastAsia="Arial" w:hAnsi="Arial"/>
                <w:sz w:val="16"/>
                <w:szCs w:val="16"/>
                <w:color w:val="auto"/>
              </w:rPr>
              <w:t>Title:</w:t>
            </w:r>
          </w:p>
        </w:tc>
        <w:tc>
          <w:tcPr>
            <w:tcW w:w="48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616"/>
        </w:trPr>
        <w:tc>
          <w:tcPr>
            <w:tcW w:w="35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4708525</wp:posOffset>
            </wp:positionH>
            <wp:positionV relativeFrom="page">
              <wp:posOffset>500380</wp:posOffset>
            </wp:positionV>
            <wp:extent cx="263144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631440" cy="386080"/>
                    </a:xfrm>
                    <a:prstGeom prst="rect">
                      <a:avLst/>
                    </a:prstGeom>
                    <a:noFill/>
                  </pic:spPr>
                </pic:pic>
              </a:graphicData>
            </a:graphic>
          </wp:anchor>
        </w:drawing>
        <w:t>Exhibit 99.1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Pharvaris Reports First Quarter 2025 Financial Results and Provides Business Update</w:t>
      </w:r>
    </w:p>
    <w:p>
      <w:pPr>
        <w:spacing w:after="0" w:line="98" w:lineRule="exact"/>
        <w:rPr>
          <w:sz w:val="20"/>
          <w:szCs w:val="20"/>
          <w:color w:val="auto"/>
        </w:rPr>
      </w:pPr>
    </w:p>
    <w:p>
      <w:pPr>
        <w:ind w:left="1020" w:right="4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underway in CHAPTER-3, a pivotal Phase 3 study of deucrictibant for prophylaxis of HAE attacks; topline data expected in 2H2026</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 dataset continues to accumulate in RAPIDe-3, a pivotal Phase 3 study of deucrictibant for the on-demand treatment of HAE attacks, strengthening confidence in clinical timelines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TQT study waivers received from FDA for both deucrictibant extended-release formulation and deucrictibant immediate-release formulation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Pharvaris Management to host R&amp;D call on June 4 at 8:00 a.m. ET (14.00 CET)</w:t>
      </w:r>
    </w:p>
    <w:p>
      <w:pPr>
        <w:spacing w:after="0" w:line="200" w:lineRule="exact"/>
        <w:rPr>
          <w:sz w:val="20"/>
          <w:szCs w:val="20"/>
          <w:color w:val="auto"/>
        </w:rPr>
      </w:pPr>
    </w:p>
    <w:p>
      <w:pPr>
        <w:spacing w:after="0" w:line="25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 xml:space="preserve">ZUG, Switzerland, May 13, 2025 – Pharvaris (Nasdaq: PHVS), </w:t>
      </w:r>
      <w:r>
        <w:rPr>
          <w:rFonts w:ascii="Times New Roman" w:cs="Times New Roman" w:eastAsia="Times New Roman" w:hAnsi="Times New Roman"/>
          <w:sz w:val="17"/>
          <w:szCs w:val="17"/>
          <w:color w:val="auto"/>
        </w:rPr>
        <w:t>a late-stage biopharmaceutical company developing novel, oral bradykinin B2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receptor antagonists to help address unmet needs of those living with bradykinin-mediated diseases such as hereditary angioedema (HAE) and acquired angioedema due to C1 inhibitor deficiency (AAE-C1INH), today announced financial results for the first quarter ended March 31, 2025, and provided a business update.</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interactions with the HAE community combined with the regulatory receipt of orphan drug designation for deucrictibant in both the U.S. and EU, strengthen our belief that deucrictibant has the potential to address unmet needs of people living with all types of bradykinin-mediated angioedema, including those with HAE with normal C1 inhibitor and with AAE-C1INH,” said Berndt Modig, Chief Executive Officer of Pharvaris. “We will detail our plans to expand the potential treatment opportunities of deucrictibant beyond people with HAE type 1/2 during an R&amp;D call in June. We are diligently working to achieve our clinical, regulatory, and pre-commercial aspirations for 2025 and bring deucrictibant to people living with bradykinin-mediated angioedema, while maintaining our financial discipline.”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Updates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Development Pipeline</w:t>
      </w:r>
    </w:p>
    <w:p>
      <w:pPr>
        <w:spacing w:after="0" w:line="208" w:lineRule="exact"/>
        <w:rPr>
          <w:sz w:val="20"/>
          <w:szCs w:val="20"/>
          <w:color w:val="auto"/>
        </w:rPr>
      </w:pPr>
    </w:p>
    <w:p>
      <w:pPr>
        <w:ind w:left="760" w:right="280" w:hanging="378"/>
        <w:spacing w:after="0" w:line="26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RAPIDe-3 (</w:t>
      </w:r>
      <w:r>
        <w:rPr>
          <w:rFonts w:ascii="Times New Roman" w:cs="Times New Roman" w:eastAsia="Times New Roman" w:hAnsi="Times New Roman"/>
          <w:sz w:val="18"/>
          <w:szCs w:val="18"/>
          <w:b w:val="1"/>
          <w:bCs w:val="1"/>
          <w:u w:val="single" w:color="auto"/>
          <w:color w:val="467886"/>
        </w:rPr>
        <w:t>NCT06343779</w:t>
      </w:r>
      <w:r>
        <w:rPr>
          <w:rFonts w:ascii="Times New Roman" w:cs="Times New Roman" w:eastAsia="Times New Roman" w:hAnsi="Times New Roman"/>
          <w:sz w:val="18"/>
          <w:szCs w:val="18"/>
          <w:b w:val="1"/>
          <w:bCs w:val="1"/>
          <w:color w:val="auto"/>
        </w:rPr>
        <w:t xml:space="preserve">) attack dataset continues to accumulate. </w:t>
      </w:r>
      <w:r>
        <w:rPr>
          <w:rFonts w:ascii="Times New Roman" w:cs="Times New Roman" w:eastAsia="Times New Roman" w:hAnsi="Times New Roman"/>
          <w:sz w:val="18"/>
          <w:szCs w:val="18"/>
          <w:color w:val="auto"/>
        </w:rPr>
        <w:t>RAPIDe-3, a pivotal global Phase 3 study evaluating deucrictibant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immediate-release capsule (20 mg) for the on-demand treatment of HAE attacks in adults and adolescents (12 years and older), reached target enrollment in March 2025; the study continues to assess HAE attacks in approximately 120 participants.</w:t>
      </w:r>
    </w:p>
    <w:p>
      <w:pPr>
        <w:spacing w:after="0" w:line="170" w:lineRule="exact"/>
        <w:rPr>
          <w:rFonts w:ascii="Times New Roman" w:cs="Times New Roman" w:eastAsia="Times New Roman" w:hAnsi="Times New Roman"/>
          <w:sz w:val="18"/>
          <w:szCs w:val="18"/>
          <w:color w:val="auto"/>
        </w:rPr>
      </w:pPr>
    </w:p>
    <w:p>
      <w:pPr>
        <w:ind w:left="760" w:right="100" w:hanging="378"/>
        <w:spacing w:after="0" w:line="26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Enrollment in CHAPTER-3 (</w:t>
      </w:r>
      <w:r>
        <w:rPr>
          <w:rFonts w:ascii="Times New Roman" w:cs="Times New Roman" w:eastAsia="Times New Roman" w:hAnsi="Times New Roman"/>
          <w:sz w:val="18"/>
          <w:szCs w:val="18"/>
          <w:b w:val="1"/>
          <w:bCs w:val="1"/>
          <w:u w:val="single" w:color="auto"/>
          <w:color w:val="467886"/>
        </w:rPr>
        <w:t>NCT06669754</w:t>
      </w:r>
      <w:r>
        <w:rPr>
          <w:rFonts w:ascii="Times New Roman" w:cs="Times New Roman" w:eastAsia="Times New Roman" w:hAnsi="Times New Roman"/>
          <w:sz w:val="18"/>
          <w:szCs w:val="18"/>
          <w:b w:val="1"/>
          <w:bCs w:val="1"/>
          <w:color w:val="auto"/>
        </w:rPr>
        <w:t xml:space="preserve">) progressing as planned. </w:t>
      </w:r>
      <w:r>
        <w:rPr>
          <w:rFonts w:ascii="Times New Roman" w:cs="Times New Roman" w:eastAsia="Times New Roman" w:hAnsi="Times New Roman"/>
          <w:sz w:val="18"/>
          <w:szCs w:val="18"/>
          <w:color w:val="auto"/>
        </w:rPr>
        <w:t>CHAPTER-3 is a randomized, double-blind, placebo-controlled Phase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 study of orally administered deucrictibant extended-release tablet for the prophylaxis against angioedema attacks in adults and adolescents (12 years and older) with HAE. The study aims to enroll approximately 81 participants and randomize them in a 2:1 ratio to receive deucrictibant extended-release tablet (40 mg/day), which is the intended commercial dosage, or placebo, once daily for 24 weeks. Pharvaris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5" w:name="page6"/>
    <w:bookmarkEnd w:id="5"/>
    <w:p>
      <w:pPr>
        <w:ind w:left="760"/>
        <w:spacing w:after="0" w:line="282" w:lineRule="auto"/>
        <w:rPr>
          <w:sz w:val="20"/>
          <w:szCs w:val="20"/>
          <w:color w:val="auto"/>
        </w:rPr>
      </w:pPr>
      <w:r>
        <w:rPr>
          <w:rFonts w:ascii="Times New Roman" w:cs="Times New Roman" w:eastAsia="Times New Roman" w:hAnsi="Times New Roman"/>
          <w:sz w:val="18"/>
          <w:szCs w:val="18"/>
          <w:color w:val="auto"/>
        </w:rPr>
        <w:t>anticipates announcing topline data of CHAPTER-3 in the second half of 2026. Data from a recent food effect study, which further supports that the extended-release tablet can be administered with or without food, will be presented at an upcoming medical congress.</w:t>
      </w:r>
    </w:p>
    <w:p>
      <w:pPr>
        <w:spacing w:after="0" w:line="171" w:lineRule="exact"/>
        <w:rPr>
          <w:sz w:val="20"/>
          <w:szCs w:val="20"/>
          <w:color w:val="auto"/>
        </w:rPr>
      </w:pPr>
    </w:p>
    <w:p>
      <w:pPr>
        <w:ind w:left="760" w:right="40" w:hanging="378"/>
        <w:spacing w:after="0" w:line="26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Receipt of TQT (thorough QT) waivers. </w:t>
      </w:r>
      <w:r>
        <w:rPr>
          <w:rFonts w:ascii="Times New Roman" w:cs="Times New Roman" w:eastAsia="Times New Roman" w:hAnsi="Times New Roman"/>
          <w:sz w:val="18"/>
          <w:szCs w:val="18"/>
          <w:color w:val="auto"/>
        </w:rPr>
        <w:t>Following review of preclinical and clinical data, the U.S. Food and Drug Administration (FDA)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Pharvaris’ TQT study waiver requests. These waivers apply to the prophylactic program (IND153097) for deucrictibant extended-release formulation and the on-demand program (IND155872) for deucrictibant immediate-release formulation. Previously, Pharvaris has presented clinical and nonclinical data demonstrating that deucrictibant has no evident effect on cardiovascular parameters.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3" w:lineRule="exact"/>
        <w:rPr>
          <w:sz w:val="20"/>
          <w:szCs w:val="20"/>
          <w:color w:val="auto"/>
        </w:rPr>
      </w:pPr>
    </w:p>
    <w:p>
      <w:pPr>
        <w:ind w:left="760" w:right="80" w:hanging="378"/>
        <w:spacing w:after="0" w:line="26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hosting R&amp;D-focused update on June 4. </w:t>
      </w:r>
      <w:r>
        <w:rPr>
          <w:rFonts w:ascii="Times New Roman" w:cs="Times New Roman" w:eastAsia="Times New Roman" w:hAnsi="Times New Roman"/>
          <w:sz w:val="18"/>
          <w:szCs w:val="18"/>
          <w:color w:val="auto"/>
        </w:rPr>
        <w:t>Pharvaris executives will be joined by key medical expert, Danny M. Cohn, M.D., Ph.D.,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discuss the pathophysiology of bradykinin-mediated angioedema, the prevalence and unmet needs of those living with these conditions, Pharvaris’ approach to addressing these unmet needs, and Pharvaris’ biomarker approach to identification of those living with bradykinin-mediated angioedema and other diseases. To register, click here.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Upcoming Investor Events</w:t>
      </w:r>
    </w:p>
    <w:p>
      <w:pPr>
        <w:spacing w:after="0" w:line="223"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Deucrictibant: Beyond HAE Type 1/2</w:t>
      </w:r>
      <w:r>
        <w:rPr>
          <w:rFonts w:ascii="Times New Roman" w:cs="Times New Roman" w:eastAsia="Times New Roman" w:hAnsi="Times New Roman"/>
          <w:sz w:val="18"/>
          <w:szCs w:val="18"/>
          <w:color w:val="auto"/>
        </w:rPr>
        <w:t>, Pharvaris hosted R&amp;D Call</w:t>
      </w:r>
    </w:p>
    <w:p>
      <w:pPr>
        <w:spacing w:after="0" w:line="3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Format: </w:t>
      </w:r>
      <w:r>
        <w:rPr>
          <w:rFonts w:ascii="Times New Roman" w:cs="Times New Roman" w:eastAsia="Times New Roman" w:hAnsi="Times New Roman"/>
          <w:sz w:val="18"/>
          <w:szCs w:val="18"/>
          <w:color w:val="auto"/>
        </w:rPr>
        <w:t>Management Call</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Date, time: </w:t>
      </w:r>
      <w:r>
        <w:rPr>
          <w:rFonts w:ascii="Times New Roman" w:cs="Times New Roman" w:eastAsia="Times New Roman" w:hAnsi="Times New Roman"/>
          <w:sz w:val="18"/>
          <w:szCs w:val="18"/>
          <w:color w:val="auto"/>
        </w:rPr>
        <w:t>Wednesday, June 4, 8:00 a.m. ET (14.00 CET)</w:t>
      </w:r>
    </w:p>
    <w:p>
      <w:pPr>
        <w:spacing w:after="0" w:line="9" w:lineRule="exact"/>
        <w:rPr>
          <w:rFonts w:ascii="Times New Roman" w:cs="Times New Roman" w:eastAsia="Times New Roman" w:hAnsi="Times New Roman"/>
          <w:sz w:val="18"/>
          <w:szCs w:val="18"/>
          <w:color w:val="auto"/>
        </w:rPr>
      </w:pPr>
    </w:p>
    <w:p>
      <w:pPr>
        <w:ind w:left="800" w:right="1220" w:hanging="418"/>
        <w:spacing w:after="0" w:line="228" w:lineRule="auto"/>
        <w:tabs>
          <w:tab w:leader="none" w:pos="7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Annual Goldman Sachs Global Healthcare Conference, </w:t>
      </w:r>
      <w:r>
        <w:rPr>
          <w:rFonts w:ascii="Times New Roman" w:cs="Times New Roman" w:eastAsia="Times New Roman" w:hAnsi="Times New Roman"/>
          <w:sz w:val="18"/>
          <w:szCs w:val="18"/>
          <w:color w:val="auto"/>
        </w:rPr>
        <w:t>Loews Miami Beach Hotel, Miami Beach, FL, June 9-11, 2025</w:t>
      </w:r>
      <w:r>
        <w:rPr>
          <w:rFonts w:ascii="Times New Roman" w:cs="Times New Roman" w:eastAsia="Times New Roman" w:hAnsi="Times New Roman"/>
          <w:sz w:val="18"/>
          <w:szCs w:val="18"/>
          <w:b w:val="1"/>
          <w:bCs w:val="1"/>
          <w:color w:val="auto"/>
        </w:rPr>
        <w:t xml:space="preserve"> Format: </w:t>
      </w:r>
      <w:r>
        <w:rPr>
          <w:rFonts w:ascii="Times New Roman" w:cs="Times New Roman" w:eastAsia="Times New Roman" w:hAnsi="Times New Roman"/>
          <w:sz w:val="18"/>
          <w:szCs w:val="18"/>
          <w:color w:val="auto"/>
        </w:rPr>
        <w:t>Fireside chat</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Date, time: </w:t>
      </w:r>
      <w:r>
        <w:rPr>
          <w:rFonts w:ascii="Times New Roman" w:cs="Times New Roman" w:eastAsia="Times New Roman" w:hAnsi="Times New Roman"/>
          <w:sz w:val="18"/>
          <w:szCs w:val="18"/>
          <w:color w:val="auto"/>
        </w:rPr>
        <w:t>Wednesday, June 11, 4:00 p.m. ET (22.00 CET)</w:t>
      </w:r>
    </w:p>
    <w:p>
      <w:pPr>
        <w:spacing w:after="0" w:line="2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live audio webcast of the fireside chat will be available on the Investors section of the Pharvaris website at: </w:t>
      </w:r>
      <w:r>
        <w:rPr>
          <w:rFonts w:ascii="Times New Roman" w:cs="Times New Roman" w:eastAsia="Times New Roman" w:hAnsi="Times New Roman"/>
          <w:sz w:val="18"/>
          <w:szCs w:val="18"/>
          <w:u w:val="single" w:color="auto"/>
          <w:color w:val="467886"/>
        </w:rPr>
        <w:t>https://ir.pharvaris.com/news-events/events-presentations</w:t>
      </w:r>
      <w:r>
        <w:rPr>
          <w:rFonts w:ascii="Times New Roman" w:cs="Times New Roman" w:eastAsia="Times New Roman" w:hAnsi="Times New Roman"/>
          <w:sz w:val="18"/>
          <w:szCs w:val="18"/>
          <w:color w:val="000000"/>
        </w:rPr>
        <w:t>. The audio replay will be available on Pharvaris’ website for 30 days following the presentation.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2025 Financial Results</w:t>
      </w:r>
    </w:p>
    <w:p>
      <w:pPr>
        <w:ind w:left="760" w:right="180" w:hanging="378"/>
        <w:spacing w:after="0" w:line="239"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Liquidity Position. </w:t>
      </w:r>
      <w:r>
        <w:rPr>
          <w:rFonts w:ascii="Times New Roman" w:cs="Times New Roman" w:eastAsia="Times New Roman" w:hAnsi="Times New Roman"/>
          <w:sz w:val="20"/>
          <w:szCs w:val="20"/>
          <w:color w:val="auto"/>
        </w:rPr>
        <w:t>Cash and cash equivalents were €236 million as of March 31, 2025, compared to €281 million for December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31, 2024.</w:t>
      </w:r>
    </w:p>
    <w:p>
      <w:pPr>
        <w:ind w:left="760" w:right="740" w:hanging="378"/>
        <w:spacing w:after="0" w:line="246"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€30.9 million for the quarter ended March 31,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€18.5 million for the quarter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6" w:name="page7"/>
    <w:bookmarkEnd w:id="6"/>
    <w:p>
      <w:pPr>
        <w:ind w:left="760" w:right="660" w:hanging="378"/>
        <w:spacing w:after="0" w:line="253"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were €11.3 million for the quarter ended March 31,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€9.8 million for the quarter ended March 31, 2024.</w:t>
      </w:r>
    </w:p>
    <w:p>
      <w:pPr>
        <w:ind w:left="760" w:right="100" w:hanging="378"/>
        <w:spacing w:after="0" w:line="242"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Loss for the year. </w:t>
      </w:r>
      <w:r>
        <w:rPr>
          <w:rFonts w:ascii="Times New Roman" w:cs="Times New Roman" w:eastAsia="Times New Roman" w:hAnsi="Times New Roman"/>
          <w:sz w:val="20"/>
          <w:szCs w:val="20"/>
          <w:color w:val="auto"/>
        </w:rPr>
        <w:t>Loss for the first quarter was €46.3 million, resulting in basic and diluted loss per share of €0.85 for the quarter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ended March 31, 2025, compared to €28.0 million, or basic and diluted loss per share of €0.52, for the quarter ended 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15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Deucrictibant is a novel, potent, orally bioavailable small-molecule bradykinin B2 receptor antagonist currently in clinical development. By inhibiting bradykinin signaling through the bradykinin B2 receptor, deucrictibant is being investigated for its potential to prevent the occurrence of bradykinin-mediated angioedema attacks and to treat the manifestations of attacks if/when they occur. Based on its chemical properties,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by the U.S. Food and Drug Administration and orphan designation by the European Commission.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Pharvaris is a late-stage biopharmaceutical company developing novel, oral bradykinin B2 receptor antagonists to potentially address all types of bradykinin-mediated angioedema. Pharvaris intends to provide injectable-like efficacy™ and placebo-like tolerability with the convenience of an oral therapy to prevent and treat bradykinin-mediated angioedema attacks. With positive data in both Phase 2 prophylaxis and on-demand studies in HAE, Pharvaris is currently evaluating the efficacy and safety of deucrictibant in a pivotal Phase 3 study for the prevention of HAE attacks (CHAPTER-3) and a pivotal Phase 3 study for the on-demand treatment of HAE attacks (RAPIDe-3). For more information, visit </w:t>
      </w:r>
      <w:r>
        <w:rPr>
          <w:rFonts w:ascii="Times New Roman" w:cs="Times New Roman" w:eastAsia="Times New Roman" w:hAnsi="Times New Roman"/>
          <w:sz w:val="18"/>
          <w:szCs w:val="18"/>
          <w:u w:val="single" w:color="auto"/>
          <w:color w:val="467886"/>
        </w:rPr>
        <w:t>https://pharvaris.com/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and CHAPTER-1 Phase 2 and Phase 3 studies in ongoing and future nonclinical studies and clinical trials; risks arising from epidemic diseases, , which may adversely impact our business, nonclinical studies, and clinical trials; our ability to potentially use deucrictibant for alternative purposes, for example to treat C1-INH deficiency (AAE-C1INH);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successfully remediate the material weaknesses in our internal control over financial reporting and to maintain an effective system of internal control over financial reporting; changes and uncertainty in general market conditions; disruptions at the FDA and other agencies; political conditions, such as the current war between Russia and Ukraine; economic conditions, including continuing inflation concerns;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Executive Director, Head of Corporate and Investor Communications</w:t>
      </w:r>
    </w:p>
    <w:p>
      <w:pPr>
        <w:spacing w:after="0"/>
        <w:rPr>
          <w:sz w:val="20"/>
          <w:szCs w:val="20"/>
          <w:color w:val="auto"/>
        </w:rPr>
      </w:pPr>
      <w:r>
        <w:rPr>
          <w:rFonts w:ascii="Times New Roman" w:cs="Times New Roman" w:eastAsia="Times New Roman" w:hAnsi="Times New Roman"/>
          <w:sz w:val="20"/>
          <w:szCs w:val="20"/>
          <w:color w:val="0563C1"/>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1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months ended March 31, 2025 and 2024 included as Exhibit 99.3 to the Report on Form 6-K to which this discussion is attached as Exhibit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99.2. We also recommend that you read “Item 4. Information on the Company”, “Item 5. Operating and Financial Review and Prospects” and our audited consolidated financial statements for fiscal year 2024, and the notes thereto, which appear in our Annual Report on Form 20-F for the year ended December 31, 2024 (the “Annual Report”) filed with the U.S. Securities and Exchange Commission (the “SEC”). In addition, we recommend that you read any public announcements made from time to time by Pharvaris N.V.</w:t>
      </w:r>
    </w:p>
    <w:p>
      <w:pPr>
        <w:spacing w:after="0" w:line="75"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The following discussion is based on our financial information prepared in accordance with the IFRS Accounting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7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spacing w:after="0" w:line="63"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is a novel, oral, small-molecule bradykinin B2 receptor antagonist under development for the prevention or treatment of attacks due to bradykinin-mediated angioedema, including hereditary angioedema (HAE) and acquired angioedema due to C1-inhibitor deficiency (AAE-C1INH). Deucrictibant has the potential to address unmet medical need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8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HAE by both preventing attacks from occurring, using an extended-release (XR) tablet formulation of deucrictibant, as well as treat the manifestations of HAE attacks, using an immediate-release (IR) capsule formulation of deucrictibant.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80" w:lineRule="exact"/>
        <w:rPr>
          <w:sz w:val="20"/>
          <w:szCs w:val="20"/>
          <w:color w:val="auto"/>
        </w:rPr>
      </w:pPr>
    </w:p>
    <w:p>
      <w:pPr>
        <w:ind w:right="440" w:firstLine="458"/>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the other way around). This may be particularly valued by children or adolescents who typically begin therapy with on-demand only and gradually move to prophylaxis as attack frequency increases (commonly after puberty).</w:t>
      </w:r>
    </w:p>
    <w:p>
      <w:pPr>
        <w:spacing w:after="0" w:line="178"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w:t>
      </w:r>
    </w:p>
    <w:p>
      <w:pPr>
        <w:spacing w:after="0" w:line="156"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A Phase 2 placebo-controlled trial evaluating the efficacy and tolerability of deucrictibant IR capsules for the on-demand treatment of attacks in patients with HAE type 1 and 2 (RAPIDe-1) commenced in February 2021 and reported positive topline Phase 2 data in December 2022, demonstrating the clinical efficacy and tolerability of deucrictibant. We believe these positive Phase 2 data support further development of deucrictibant as a potential oral on-demand therapy for HAE attacks. In March 2024, we initiated a global, pivotal, randomized, double-blind-placebo-controlled Phase 3 study, RAPIDe-3, of orally administered deucrictibant IR capsule (20 mg) for the on-demand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treatment of HAE attacks in adults and adolescents (12 years and older), and intend to enroll approximately 120 participants. Topline data from RAPIDe-3 is anticipated in the first quarter of 2026.</w:t>
      </w:r>
    </w:p>
    <w:p>
      <w:pPr>
        <w:spacing w:after="0" w:line="156"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 Phase 2 placebo-controlled trial evaluating the efficacy and the safety and tolerability of deucrictibant for long-term prophylaxis against angioedema attacks in HAE type 1 and 2 (CHAPTER-1) commenced CHAPTER-1 in 2021 using twice-daily dosing of deucrictibant IR capsules as a proof-of-concept for once-daily deucrictibant XR tablets, and announced positive topline data in December 2023, demonstrating the clinical efficacy and tolerability of deucrictibant. We believe these positive Phase 2 data support further development of deucrictibant as a potential oral prophylactic therapy for HAE attacks. In December 2024, we initiated a global, pivotal, randomized, double-blind, placebo-controlled Phase 3 study, CHAPTER-3,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the intended commercial dosage, or placebo, once daily for 24 weeks. Topline data from CHAPTER-3 is anticipated in the second half of 2026.</w:t>
      </w:r>
    </w:p>
    <w:p>
      <w:pPr>
        <w:spacing w:after="0" w:line="183"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In addition, we are also running open-label extension studies in both on-demand and prophylactic settings to collect long-term safety and efficacy data in HAE patients.</w:t>
      </w:r>
    </w:p>
    <w:p>
      <w:pPr>
        <w:spacing w:after="0" w:line="15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82"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and changes in regulations and customs, tariffs and trade barriers. We regularly assess each of these risks to minimize any adverse effects on our business as a result of those factors. For a detailed discussion, see Note 17 to our consolidated financial statements included elsewhere in the Annual Report.</w:t>
      </w:r>
    </w:p>
    <w:p>
      <w:pPr>
        <w:spacing w:after="0" w:line="183"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in response to escalating regional conflicts, such as the Russia/Ukraine War, that have created global security concerns and also could adversely affect our ability to conduct ongoing and future clinical trials of our product candidates. For example, our current studies have participants enrolled at sites in approximately 30 countries.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Financial Operations Overview</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79"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IR and XR. We expect that we will continue to incur significant research and development expenses as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5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seek to complete the clinical development of, and achieve regulatory approval for, our product candidates IR and XR, and in connection with discovery and development of any additional product candidates.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80" w:hanging="428"/>
        <w:spacing w:after="0" w:line="285" w:lineRule="auto"/>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 and associated travel;</w:t>
      </w:r>
    </w:p>
    <w:p>
      <w:pPr>
        <w:spacing w:after="0" w:line="125" w:lineRule="exact"/>
        <w:rPr>
          <w:rFonts w:ascii="Times New Roman" w:cs="Times New Roman" w:eastAsia="Times New Roman" w:hAnsi="Times New Roman"/>
          <w:sz w:val="16"/>
          <w:szCs w:val="16"/>
          <w:color w:val="auto"/>
        </w:rPr>
      </w:pPr>
    </w:p>
    <w:p>
      <w:pPr>
        <w:ind w:left="900" w:right="300" w:hanging="428"/>
        <w:spacing w:after="0" w:line="285" w:lineRule="auto"/>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costs for CROs assisting with our clinical development programs and associated travel;</w:t>
      </w:r>
    </w:p>
    <w:p>
      <w:pPr>
        <w:spacing w:after="0" w:line="48" w:lineRule="exact"/>
        <w:rPr>
          <w:rFonts w:ascii="Times New Roman" w:cs="Times New Roman" w:eastAsia="Times New Roman" w:hAnsi="Times New Roman"/>
          <w:sz w:val="16"/>
          <w:szCs w:val="16"/>
          <w:color w:val="auto"/>
        </w:rPr>
      </w:pPr>
    </w:p>
    <w:p>
      <w:pPr>
        <w:ind w:left="900" w:right="120" w:hanging="428"/>
        <w:spacing w:after="0" w:line="285" w:lineRule="auto"/>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 and associated travel;</w:t>
      </w:r>
    </w:p>
    <w:p>
      <w:pPr>
        <w:spacing w:after="0" w:line="48" w:lineRule="exact"/>
        <w:rPr>
          <w:rFonts w:ascii="Times New Roman" w:cs="Times New Roman" w:eastAsia="Times New Roman" w:hAnsi="Times New Roman"/>
          <w:sz w:val="16"/>
          <w:szCs w:val="16"/>
          <w:color w:val="auto"/>
        </w:rPr>
      </w:pPr>
    </w:p>
    <w:p>
      <w:pPr>
        <w:ind w:left="900" w:right="240" w:hanging="428"/>
        <w:spacing w:after="0" w:line="285" w:lineRule="auto"/>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4"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expect that our total research and development expenses will increase in 2025 as we continue to focus on the development of our product candidates IR and XR, as well as explore potential expansion programs. We anticipate that research and development expenses will continue to increase as we continue to progress IR and XR through clinical development.</w:t>
      </w:r>
    </w:p>
    <w:p>
      <w:pPr>
        <w:spacing w:after="0" w:line="171"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1"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and under “Risk factors” in any other periodic filings with the Securities and Exchange Commission for a discussion of these risks and uncertainties.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79"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900" w:right="560" w:hanging="428"/>
        <w:spacing w:after="0" w:line="285" w:lineRule="auto"/>
        <w:tabs>
          <w:tab w:leader="none" w:pos="90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90" w:lineRule="exact"/>
        <w:rPr>
          <w:sz w:val="20"/>
          <w:szCs w:val="20"/>
          <w:color w:val="auto"/>
        </w:rPr>
      </w:pPr>
    </w:p>
    <w:p>
      <w:pPr>
        <w:ind w:left="900" w:hanging="428"/>
        <w:spacing w:after="0"/>
        <w:tabs>
          <w:tab w:leader="none" w:pos="90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5"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16"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179"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In 2016, we implemented an Equity Incentive Plan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 of operations</w:t>
      </w:r>
    </w:p>
    <w:p>
      <w:pPr>
        <w:spacing w:after="0" w:line="194"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months ended March 31, 2025 and 2024 included as Exhibit 99.3 to this Report on Form 6-K. The discussion below should be read along with these unaudited condensed consolidated interim financial statements, and it is qualified in its entirety by reference to them.</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March 31, 2025 and March 31, 2024.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gridSpan w:val="4"/>
          </w:tcPr>
          <w:p>
            <w:pPr>
              <w:jc w:val="right"/>
              <w:ind w:right="13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5"/>
        </w:trPr>
        <w:tc>
          <w:tcPr>
            <w:tcW w:w="416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4160" w:type="dxa"/>
            <w:vAlign w:val="bottom"/>
          </w:tcPr>
          <w:p>
            <w:pPr>
              <w:spacing w:after="0"/>
              <w:rPr>
                <w:sz w:val="17"/>
                <w:szCs w:val="17"/>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90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8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(30,914,393)</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(18,513,016)</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(12,401,377)</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(11,271,918)</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(9,798,843)</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(1,473,075)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(42,186,311)</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(28,311,859)</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(13,874,452)</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41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(42,186,311)</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(28,311,859)</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(13,874,452)</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4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(expense)/income</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(3,851,845)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578,220</w:t>
            </w:r>
          </w:p>
        </w:tc>
        <w:tc>
          <w:tcPr>
            <w:tcW w:w="22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(4,430,065)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0"/>
        </w:trPr>
        <w:tc>
          <w:tcPr>
            <w:tcW w:w="41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(46,038,156)</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(27,733,639)</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(18,304,517)</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w:t>
            </w:r>
          </w:p>
        </w:tc>
      </w:tr>
      <w:tr>
        <w:trPr>
          <w:trHeight w:val="20"/>
        </w:trPr>
        <w:tc>
          <w:tcPr>
            <w:tcW w:w="4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(302,667)</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(285,117)</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(17,550)</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41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(46,340,823)</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(28,018,756)</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(18,322,067)</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r>
      <w:tr>
        <w:trPr>
          <w:trHeight w:val="20"/>
        </w:trPr>
        <w:tc>
          <w:tcPr>
            <w:tcW w:w="41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-710565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-710565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-710565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-710565</wp:posOffset>
            </wp:positionV>
            <wp:extent cx="120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-436245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-436245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-436245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-436245</wp:posOffset>
            </wp:positionV>
            <wp:extent cx="120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-161925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-161925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-161925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-161925</wp:posOffset>
            </wp:positionV>
            <wp:extent cx="120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three months ended March 31, 2025 and March 31, 2024.</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5"/>
        </w:trPr>
        <w:tc>
          <w:tcPr>
            <w:tcW w:w="40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11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4080" w:type="dxa"/>
            <w:vAlign w:val="bottom"/>
          </w:tcPr>
          <w:p>
            <w:pPr>
              <w:spacing w:after="0"/>
              <w:rPr>
                <w:sz w:val="17"/>
                <w:szCs w:val="17"/>
                <w:color w:val="auto"/>
              </w:rPr>
            </w:pPr>
          </w:p>
        </w:tc>
        <w:tc>
          <w:tcPr>
            <w:tcW w:w="15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(17,336,382)</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(7,321,412)</w:t>
            </w:r>
          </w:p>
        </w:tc>
        <w:tc>
          <w:tcPr>
            <w:tcW w:w="4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(10,014,970)</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Personnel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(8,425,450)</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(5,180,476)</w:t>
            </w:r>
          </w:p>
        </w:tc>
        <w:tc>
          <w:tcPr>
            <w:tcW w:w="4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(3,244,974)</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(3,228,532)</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(2,563,954)</w:t>
            </w:r>
          </w:p>
        </w:tc>
        <w:tc>
          <w:tcPr>
            <w:tcW w:w="4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(664,578)</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(1,850,190)</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(1,835,466)</w:t>
            </w:r>
          </w:p>
        </w:tc>
        <w:tc>
          <w:tcPr>
            <w:tcW w:w="4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(14,724)</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costs</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(1,500,000)</w:t>
            </w:r>
          </w:p>
        </w:tc>
        <w:tc>
          <w:tcPr>
            <w:tcW w:w="4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1,500,000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2"/>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(73,839)</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(111,708)</w:t>
            </w:r>
          </w:p>
        </w:tc>
        <w:tc>
          <w:tcPr>
            <w:tcW w:w="4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37,869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40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(30,914,393)</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(18,513,016)</w:t>
            </w:r>
          </w:p>
        </w:tc>
        <w:tc>
          <w:tcPr>
            <w:tcW w:w="4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(12,401,377)</w:t>
            </w: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71" w:lineRule="exact"/>
        <w:rPr>
          <w:sz w:val="20"/>
          <w:szCs w:val="20"/>
          <w:color w:val="auto"/>
        </w:rPr>
      </w:pPr>
    </w:p>
    <w:p>
      <w:pPr>
        <w:ind w:firstLine="374"/>
        <w:spacing w:after="0" w:line="259" w:lineRule="auto"/>
        <w:rPr>
          <w:sz w:val="20"/>
          <w:szCs w:val="20"/>
          <w:color w:val="auto"/>
        </w:rPr>
      </w:pPr>
      <w:r>
        <w:rPr>
          <w:rFonts w:ascii="Arial" w:cs="Arial" w:eastAsia="Arial" w:hAnsi="Arial"/>
          <w:sz w:val="16"/>
          <w:szCs w:val="16"/>
          <w:color w:val="auto"/>
        </w:rPr>
        <w:t>Research and development expenses increased from €18.5 million for the three months ended March 31, 2024 to €30.9 million for the three months ended March 31, 2025. The increase in research and development expenses is primarily due to the increase in clinical expenses in the ongoing deucrictibant Phase 3 studies (IR and XR), as well as increased personnel expenses due to share-based compensation of prior year hires, increased headcount to support the two Phase 3 studies, and merit pay adjustments.</w:t>
      </w:r>
    </w:p>
    <w:p>
      <w:pPr>
        <w:spacing w:after="0" w:line="299" w:lineRule="exact"/>
        <w:rPr>
          <w:sz w:val="20"/>
          <w:szCs w:val="20"/>
          <w:color w:val="auto"/>
        </w:rPr>
      </w:pPr>
    </w:p>
    <w:p>
      <w:pPr>
        <w:ind w:right="320" w:firstLine="374"/>
        <w:spacing w:after="0" w:line="266" w:lineRule="auto"/>
        <w:rPr>
          <w:sz w:val="20"/>
          <w:szCs w:val="20"/>
          <w:color w:val="auto"/>
        </w:rPr>
      </w:pPr>
      <w:r>
        <w:rPr>
          <w:rFonts w:ascii="Arial" w:cs="Arial" w:eastAsia="Arial" w:hAnsi="Arial"/>
          <w:sz w:val="16"/>
          <w:szCs w:val="16"/>
          <w:color w:val="auto"/>
        </w:rPr>
        <w:t>For the three months ended March 31, 2025 and 2024, personnel expenses were €8.4 million and €5.2 million, respectively. This represents an increase of €3.2 million, or 63%. The increase is primarily due to the increased headcount and yearly merit pay adjustments. Personnel expenses for the three months ended March 31, 2025, included an amount of €2.2 million (2024: €1.1 million) of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3"/>
        </w:trPr>
        <w:tc>
          <w:tcPr>
            <w:tcW w:w="524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8"/>
        </w:trPr>
        <w:tc>
          <w:tcPr>
            <w:tcW w:w="5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5"/>
        </w:trPr>
        <w:tc>
          <w:tcPr>
            <w:tcW w:w="52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5240" w:type="dxa"/>
            <w:vAlign w:val="bottom"/>
          </w:tcPr>
          <w:p>
            <w:pPr>
              <w:spacing w:after="0"/>
              <w:rPr>
                <w:sz w:val="17"/>
                <w:szCs w:val="17"/>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4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(5,029,239)</w:t>
            </w:r>
          </w:p>
        </w:tc>
        <w:tc>
          <w:tcPr>
            <w:tcW w:w="1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(3,270,195)</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(1,759,044)</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(2,604,146)</w:t>
            </w:r>
          </w:p>
        </w:tc>
        <w:tc>
          <w:tcPr>
            <w:tcW w:w="120" w:type="dxa"/>
            <w:vAlign w:val="bottom"/>
          </w:tcPr>
          <w:p>
            <w:pPr>
              <w:spacing w:after="0"/>
              <w:rPr>
                <w:sz w:val="17"/>
                <w:szCs w:val="17"/>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(1,177,229)</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(1,426,917)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Facilities, communication and office expenses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(1,350,761)</w:t>
            </w:r>
          </w:p>
        </w:tc>
        <w:tc>
          <w:tcPr>
            <w:tcW w:w="1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(1,680,267)</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329,506</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(617,323)</w:t>
            </w:r>
          </w:p>
        </w:tc>
        <w:tc>
          <w:tcPr>
            <w:tcW w:w="120" w:type="dxa"/>
            <w:vAlign w:val="bottom"/>
          </w:tcPr>
          <w:p>
            <w:pPr>
              <w:spacing w:after="0"/>
              <w:rPr>
                <w:sz w:val="17"/>
                <w:szCs w:val="17"/>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(1,254,086)</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636,763</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(325,131)</w:t>
            </w:r>
          </w:p>
        </w:tc>
        <w:tc>
          <w:tcPr>
            <w:tcW w:w="1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(624,029)</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298,898</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Consulting fees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(47,568)</w:t>
            </w:r>
          </w:p>
        </w:tc>
        <w:tc>
          <w:tcPr>
            <w:tcW w:w="120" w:type="dxa"/>
            <w:vAlign w:val="bottom"/>
          </w:tcPr>
          <w:p>
            <w:pPr>
              <w:spacing w:after="0"/>
              <w:rPr>
                <w:sz w:val="17"/>
                <w:szCs w:val="17"/>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(126,525)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78,957</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2"/>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(1,297,750)</w:t>
            </w:r>
          </w:p>
        </w:tc>
        <w:tc>
          <w:tcPr>
            <w:tcW w:w="1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(1,666,512)</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368,762</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2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(11,271,918)</w:t>
            </w:r>
          </w:p>
        </w:tc>
        <w:tc>
          <w:tcPr>
            <w:tcW w:w="120" w:type="dxa"/>
            <w:vAlign w:val="bottom"/>
          </w:tcPr>
          <w:p>
            <w:pPr>
              <w:spacing w:after="0"/>
              <w:rPr>
                <w:sz w:val="17"/>
                <w:szCs w:val="17"/>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(9,798,843)</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(1,473,075)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5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-162560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-162560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-162560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-162560</wp:posOffset>
            </wp:positionV>
            <wp:extent cx="120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44" w:lineRule="exact"/>
        <w:rPr>
          <w:sz w:val="20"/>
          <w:szCs w:val="20"/>
          <w:color w:val="auto"/>
        </w:rPr>
      </w:pPr>
    </w:p>
    <w:p>
      <w:pPr>
        <w:jc w:val="both"/>
        <w:ind w:right="380" w:firstLine="374"/>
        <w:spacing w:after="0" w:line="266" w:lineRule="auto"/>
        <w:rPr>
          <w:sz w:val="20"/>
          <w:szCs w:val="20"/>
          <w:color w:val="auto"/>
        </w:rPr>
      </w:pPr>
      <w:r>
        <w:rPr>
          <w:rFonts w:ascii="Arial" w:cs="Arial" w:eastAsia="Arial" w:hAnsi="Arial"/>
          <w:sz w:val="16"/>
          <w:szCs w:val="16"/>
          <w:color w:val="auto"/>
        </w:rPr>
        <w:t>General and administrative expenses increased from €9.8 million for the three months ended March 31, 2024 to €11.3 million for the three months ended March 31, 2025. The increase in general and administrative expenses was primarily due to increased personnel expenses, professional fees and other expenses, offset by a decrease in accounting, tax and auditing fees.</w:t>
      </w:r>
    </w:p>
    <w:p>
      <w:pPr>
        <w:spacing w:after="0" w:line="144" w:lineRule="exact"/>
        <w:rPr>
          <w:sz w:val="20"/>
          <w:szCs w:val="20"/>
          <w:color w:val="auto"/>
        </w:rPr>
      </w:pPr>
    </w:p>
    <w:p>
      <w:pPr>
        <w:ind w:right="180" w:firstLine="374"/>
        <w:spacing w:after="0" w:line="256" w:lineRule="auto"/>
        <w:rPr>
          <w:sz w:val="20"/>
          <w:szCs w:val="20"/>
          <w:color w:val="auto"/>
        </w:rPr>
      </w:pPr>
      <w:r>
        <w:rPr>
          <w:rFonts w:ascii="Arial" w:cs="Arial" w:eastAsia="Arial" w:hAnsi="Arial"/>
          <w:sz w:val="16"/>
          <w:szCs w:val="16"/>
          <w:color w:val="auto"/>
        </w:rPr>
        <w:t>For the three months ended March 31, 2025 and 2024, personnel expenses were €5.0 million and €3.3 million, respectively. This represents an increase of €1.8 million, or 54%. Personnel expenses includes an amount of €2.0 million of share-based compensation versus €1.1 million in the prior-year period and is due to the net effect of the annual grants awarded in the three months ended March 31, 2025 and the cumulative charges of the awards granted in prior periods. The remaining increase in personnel expenses is driven by the hiring of additional employees resulting in additional employees hired, and yearly merit adjustments.</w:t>
      </w:r>
    </w:p>
    <w:p>
      <w:pPr>
        <w:spacing w:after="0" w:line="99" w:lineRule="exact"/>
        <w:rPr>
          <w:sz w:val="20"/>
          <w:szCs w:val="20"/>
          <w:color w:val="auto"/>
        </w:rPr>
      </w:pPr>
    </w:p>
    <w:p>
      <w:pPr>
        <w:ind w:right="180" w:firstLine="374"/>
        <w:spacing w:after="0" w:line="286" w:lineRule="auto"/>
        <w:rPr>
          <w:sz w:val="20"/>
          <w:szCs w:val="20"/>
          <w:color w:val="auto"/>
        </w:rPr>
      </w:pPr>
      <w:r>
        <w:rPr>
          <w:rFonts w:ascii="Arial" w:cs="Arial" w:eastAsia="Arial" w:hAnsi="Arial"/>
          <w:sz w:val="16"/>
          <w:szCs w:val="16"/>
          <w:color w:val="auto"/>
        </w:rPr>
        <w:t>For the three months ended March 31, 2025 and 2024, professional fees were €2.6 million and €1.2 million, respectively. This represents an increase of €1.4 million, or 121%. This is primarily due to commercial expenses in preparation for the launch of deucrictibant.</w:t>
      </w:r>
    </w:p>
    <w:p>
      <w:pPr>
        <w:spacing w:after="0" w:line="88" w:lineRule="exact"/>
        <w:rPr>
          <w:sz w:val="20"/>
          <w:szCs w:val="20"/>
          <w:color w:val="auto"/>
        </w:rPr>
      </w:pPr>
    </w:p>
    <w:p>
      <w:pPr>
        <w:ind w:right="160" w:firstLine="374"/>
        <w:spacing w:after="0" w:line="266" w:lineRule="auto"/>
        <w:rPr>
          <w:sz w:val="20"/>
          <w:szCs w:val="20"/>
          <w:color w:val="auto"/>
        </w:rPr>
      </w:pPr>
      <w:r>
        <w:rPr>
          <w:rFonts w:ascii="Arial" w:cs="Arial" w:eastAsia="Arial" w:hAnsi="Arial"/>
          <w:sz w:val="16"/>
          <w:szCs w:val="16"/>
          <w:color w:val="auto"/>
        </w:rPr>
        <w:t>For the three months ended March 31, 2025 and 2024, Accounting, tax and auditing fees were €0.6 million and €1.3 million, respectively. This represents a decrease of €0.6 million, or (51)%. This is primarily due to not reactivating the At the Market financing facility ("2024 ATM") put in place during Q1 2024.</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(expense) / income - net</w:t>
      </w:r>
    </w:p>
    <w:p>
      <w:pPr>
        <w:spacing w:after="0" w:line="179" w:lineRule="exact"/>
        <w:rPr>
          <w:sz w:val="20"/>
          <w:szCs w:val="20"/>
          <w:color w:val="auto"/>
        </w:rPr>
      </w:pPr>
    </w:p>
    <w:p>
      <w:pPr>
        <w:ind w:right="560" w:firstLine="374"/>
        <w:spacing w:after="0" w:line="266" w:lineRule="auto"/>
        <w:rPr>
          <w:sz w:val="20"/>
          <w:szCs w:val="20"/>
          <w:color w:val="auto"/>
        </w:rPr>
      </w:pPr>
      <w:r>
        <w:rPr>
          <w:rFonts w:ascii="Arial" w:cs="Arial" w:eastAsia="Arial" w:hAnsi="Arial"/>
          <w:sz w:val="16"/>
          <w:szCs w:val="16"/>
          <w:color w:val="auto"/>
        </w:rPr>
        <w:t>Finance (expense) income for the three months ended March 31, 2025 and 2024 were (€3.9) million and €0.6 million, respectively. For the three months ended March 31, 2025, finance expenses primarily relate to unrealized foreign exchange losses, which is mostly the result of translating the Company’s bank balances held in USD to EUR, which is the functional currency of the Company, offset by interest income.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expense over the three months ended March 31, 2025 relates to the Company's U.S. and Dutch fiscal unity.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Since inception, we have incurred significant operating losses. For the three months ended March 31, 2025 and 2024, we incurred losses of €46.3 million and €28.0 million,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14" w:name="page15"/>
    <w:bookmarkEnd w:id="14"/>
    <w:p>
      <w:pPr>
        <w:spacing w:after="0" w:line="171" w:lineRule="exact"/>
        <w:rPr>
          <w:sz w:val="20"/>
          <w:szCs w:val="20"/>
          <w:color w:val="auto"/>
        </w:rPr>
      </w:pPr>
    </w:p>
    <w:p>
      <w:pPr>
        <w:ind w:right="180" w:firstLine="374"/>
        <w:spacing w:after="0" w:line="266"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On March 1, 2022, we entered into a sales agreement (the "2022 Sales Agreement") with Leerink Partners pursuant to which we may sell ordinary shares at the market having an aggregate offering price of up to $75 million from time to time through Leerink Partners.</w:t>
      </w:r>
    </w:p>
    <w:p>
      <w:pPr>
        <w:spacing w:after="0" w:line="144" w:lineRule="exact"/>
        <w:rPr>
          <w:sz w:val="20"/>
          <w:szCs w:val="20"/>
          <w:color w:val="auto"/>
        </w:rPr>
      </w:pPr>
    </w:p>
    <w:p>
      <w:pPr>
        <w:ind w:right="220" w:firstLine="374"/>
        <w:spacing w:after="0" w:line="266" w:lineRule="auto"/>
        <w:rPr>
          <w:sz w:val="20"/>
          <w:szCs w:val="20"/>
          <w:color w:val="auto"/>
        </w:rPr>
      </w:pPr>
      <w:r>
        <w:rPr>
          <w:rFonts w:ascii="Arial" w:cs="Arial" w:eastAsia="Arial" w:hAnsi="Arial"/>
          <w:sz w:val="16"/>
          <w:szCs w:val="16"/>
          <w:color w:val="auto"/>
        </w:rPr>
        <w:t>As of March 31, 2025, we have sold a total of 593,927 ordinary shares under the 2022 Sales Agreement that generated total net proceeds of $9.8 million (€9.3 million), after deducting $0.3 million (€0.3 million), which was paid to Leerink as a commission. The Company did not sell any ordinary shares under the 2024 ATM.</w:t>
      </w:r>
    </w:p>
    <w:p>
      <w:pPr>
        <w:spacing w:after="0" w:line="144" w:lineRule="exact"/>
        <w:rPr>
          <w:sz w:val="20"/>
          <w:szCs w:val="20"/>
          <w:color w:val="auto"/>
        </w:rPr>
      </w:pPr>
    </w:p>
    <w:p>
      <w:pPr>
        <w:ind w:right="620" w:firstLine="374"/>
        <w:spacing w:after="0" w:line="286"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approximately $70 million (€64.2 million).</w:t>
      </w:r>
    </w:p>
    <w:p>
      <w:pPr>
        <w:spacing w:after="0" w:line="129"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w:t>
      </w:r>
    </w:p>
    <w:p>
      <w:pPr>
        <w:spacing w:after="0" w:line="147" w:lineRule="exact"/>
        <w:rPr>
          <w:sz w:val="20"/>
          <w:szCs w:val="20"/>
          <w:color w:val="auto"/>
        </w:rPr>
      </w:pPr>
    </w:p>
    <w:p>
      <w:pPr>
        <w:ind w:right="100" w:firstLine="374"/>
        <w:spacing w:after="0" w:line="259" w:lineRule="auto"/>
        <w:rPr>
          <w:sz w:val="20"/>
          <w:szCs w:val="20"/>
          <w:color w:val="auto"/>
        </w:rPr>
      </w:pPr>
      <w:r>
        <w:rPr>
          <w:rFonts w:ascii="Arial" w:cs="Arial" w:eastAsia="Arial" w:hAnsi="Arial"/>
          <w:sz w:val="16"/>
          <w:szCs w:val="16"/>
          <w:color w:val="auto"/>
        </w:rPr>
        <w:t>As of March 31, 2025 we held cash and cash equivalents of €236.5 million. Of the cash on hand, €0.1 million relates to guarantees</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50" w:lineRule="exact"/>
        <w:rPr>
          <w:sz w:val="20"/>
          <w:szCs w:val="20"/>
          <w:color w:val="auto"/>
        </w:rPr>
      </w:pPr>
    </w:p>
    <w:p>
      <w:pPr>
        <w:ind w:right="160" w:firstLine="374"/>
        <w:spacing w:after="0" w:line="254"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contractual obligations and commitments as of March 31, 2025 amounted to €115 million primarily related to research and development contracts.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three months ended March 31, 2025 and 2024.</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5"/>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5"/>
        </w:trPr>
        <w:tc>
          <w:tcPr>
            <w:tcW w:w="504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504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5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(38,471,605)</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(24,231,811)</w:t>
            </w: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(14,239,794)</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(161,003)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(30,708)</w:t>
            </w:r>
          </w:p>
        </w:tc>
        <w:tc>
          <w:tcPr>
            <w:tcW w:w="2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(130,295)</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424%</w:t>
            </w: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(75,447)</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795,042</w:t>
            </w: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(870,489)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(38,708,055)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(23,467,477)</w:t>
            </w:r>
          </w:p>
        </w:tc>
        <w:tc>
          <w:tcPr>
            <w:tcW w:w="2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(15,240,578)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280,728,037</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391,231,637</w:t>
            </w:r>
          </w:p>
        </w:tc>
        <w:tc>
          <w:tcPr>
            <w:tcW w:w="2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(110,503,600)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(5,524,045)</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578,008</w:t>
            </w:r>
          </w:p>
        </w:tc>
        <w:tc>
          <w:tcPr>
            <w:tcW w:w="2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(6,102,053)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0"/>
        </w:trPr>
        <w:tc>
          <w:tcPr>
            <w:tcW w:w="50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236,495,937</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368,342,168</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(131,846,231)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9" w:lineRule="exact"/>
        <w:rPr>
          <w:sz w:val="20"/>
          <w:szCs w:val="20"/>
          <w:color w:val="auto"/>
        </w:rPr>
      </w:pPr>
    </w:p>
    <w:p>
      <w:pPr>
        <w:ind w:right="60" w:firstLine="374"/>
        <w:spacing w:after="0" w:line="266" w:lineRule="auto"/>
        <w:rPr>
          <w:sz w:val="20"/>
          <w:szCs w:val="20"/>
          <w:color w:val="auto"/>
        </w:rPr>
      </w:pPr>
      <w:r>
        <w:rPr>
          <w:rFonts w:ascii="Arial" w:cs="Arial" w:eastAsia="Arial" w:hAnsi="Arial"/>
          <w:sz w:val="16"/>
          <w:szCs w:val="16"/>
          <w:color w:val="auto"/>
        </w:rPr>
        <w:t>Net cash used in operating activities was €38.5 million for the three months ended March 31, 2025 and primarily consisted of a net loss before taxes of 46.0 million adjusted for stock-based compensation of €4.1 million, net foreign exchange losses of €5.4 million and finance income of €1.2 million, an increase in other current assets of €1.3 million and other changes in net working capital.</w:t>
      </w:r>
    </w:p>
    <w:p>
      <w:pPr>
        <w:spacing w:after="0" w:line="144"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Net cash used in operating activities was €24.2 million for the three months ended March 31, 2024, and primarily consisted of a net loss of €27.7 million adjusted for stock-based compensation of €2.4 million, an increase in current assets of €2.0 million, an increase in trade and other payables of €2.6 million and an increase of €0.9 million in accrued liabilities and other changes in net working capital.</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9" w:lineRule="exact"/>
        <w:rPr>
          <w:sz w:val="20"/>
          <w:szCs w:val="20"/>
          <w:color w:val="auto"/>
        </w:rPr>
      </w:pPr>
    </w:p>
    <w:p>
      <w:pPr>
        <w:ind w:right="100" w:firstLine="374"/>
        <w:spacing w:after="0" w:line="266" w:lineRule="auto"/>
        <w:rPr>
          <w:sz w:val="20"/>
          <w:szCs w:val="20"/>
          <w:color w:val="auto"/>
        </w:rPr>
      </w:pPr>
      <w:r>
        <w:rPr>
          <w:rFonts w:ascii="Arial" w:cs="Arial" w:eastAsia="Arial" w:hAnsi="Arial"/>
          <w:sz w:val="16"/>
          <w:szCs w:val="16"/>
          <w:color w:val="auto"/>
        </w:rPr>
        <w:t>Net cash flows (used in) provided by financing activities changed from €0.8 million for the three months ended March 31, 2024, to (€0.1) million for the three months ended March 31, 2025. The cash inflow in the three months ended March 31, 2024, related to a partial reimbursement for certain of the Company’s expenses in connection with the December 2023 offering.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2025, we did not have any off-balance sheet arrangements other than the disclosed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94"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During the three months ended March 31, 2025, there were no significant changes to our quantitative and qualitative disclosures about market risk from those reported in “Item 11. Quantitative and Qualitative Disclosures About Market Risk” in the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81" w:lineRule="exact"/>
        <w:rPr>
          <w:sz w:val="20"/>
          <w:szCs w:val="20"/>
          <w:color w:val="auto"/>
        </w:rPr>
      </w:pPr>
    </w:p>
    <w:p>
      <w:pPr>
        <w:ind w:right="700" w:firstLine="374"/>
        <w:spacing w:after="0" w:line="286"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94" w:lineRule="exact"/>
        <w:rPr>
          <w:sz w:val="20"/>
          <w:szCs w:val="20"/>
          <w:color w:val="auto"/>
        </w:rPr>
      </w:pPr>
    </w:p>
    <w:p>
      <w:pPr>
        <w:ind w:right="100" w:firstLine="374"/>
        <w:spacing w:after="0" w:line="252"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might cause such a difference include, but are not limited to:</w:t>
      </w:r>
    </w:p>
    <w:p>
      <w:pPr>
        <w:spacing w:after="0" w:line="302" w:lineRule="exact"/>
        <w:rPr>
          <w:sz w:val="20"/>
          <w:szCs w:val="20"/>
          <w:color w:val="auto"/>
        </w:rPr>
      </w:pPr>
    </w:p>
    <w:p>
      <w:pPr>
        <w:ind w:left="1020" w:hanging="503"/>
        <w:spacing w:after="0" w:line="285"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IR (immediate-release deucrictibant capsules) and XR (extended-release deucrictibant tablets), which are in late-stage global clinical trials;</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90" w:lineRule="exact"/>
        <w:rPr>
          <w:sz w:val="20"/>
          <w:szCs w:val="20"/>
          <w:color w:val="auto"/>
        </w:rPr>
      </w:pPr>
    </w:p>
    <w:p>
      <w:pPr>
        <w:ind w:left="1020" w:right="140" w:hanging="503"/>
        <w:spacing w:after="0" w:line="285"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1020" w:right="380" w:hanging="503"/>
        <w:spacing w:after="0" w:line="285"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IR and XR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1020" w:right="640" w:hanging="503"/>
        <w:spacing w:after="0" w:line="285"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IR and XR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1020" w:right="700" w:hanging="503"/>
        <w:spacing w:after="0" w:line="285"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an effective system of internal control over financial reporting;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 foreign private issuer;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w:t>
      </w:r>
    </w:p>
    <w:p>
      <w:pPr>
        <w:spacing w:after="0" w:line="125"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the retaliatory measures that have been taken, or could be taken in the future, by the United States, NATO, and other countries in response to escalating regional conflicts, such as the Russia/Ukraine War, that have created global security concerns and also could adversely affect our ability to conduct ongoing and future clinical trials of our product candidates.</w:t>
      </w:r>
    </w:p>
    <w:p>
      <w:pPr>
        <w:spacing w:after="0" w:line="143" w:lineRule="exact"/>
        <w:rPr>
          <w:sz w:val="20"/>
          <w:szCs w:val="20"/>
          <w:color w:val="auto"/>
        </w:rPr>
      </w:pPr>
    </w:p>
    <w:p>
      <w:pPr>
        <w:ind w:right="160" w:firstLine="374"/>
        <w:spacing w:after="0" w:line="286" w:lineRule="auto"/>
        <w:rPr>
          <w:sz w:val="20"/>
          <w:szCs w:val="20"/>
          <w:color w:val="auto"/>
        </w:rPr>
      </w:pPr>
      <w:r>
        <w:rPr>
          <w:rFonts w:ascii="Arial" w:cs="Arial" w:eastAsia="Arial" w:hAnsi="Arial"/>
          <w:sz w:val="16"/>
          <w:szCs w:val="16"/>
          <w:color w:val="auto"/>
        </w:rPr>
        <w:t>You should refer to “ITEM 3. Key information—D. Risk factors.” section of our Annual Report and under “Risk factors” in any other periodic filings with the Securities and Exchange Commission for a discussion of important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ind w:right="40"/>
        <w:spacing w:after="0" w:line="266" w:lineRule="auto"/>
        <w:rPr>
          <w:sz w:val="20"/>
          <w:szCs w:val="20"/>
          <w:color w:val="auto"/>
        </w:rPr>
      </w:pPr>
      <w:r>
        <w:rPr>
          <w:rFonts w:ascii="Arial" w:cs="Arial" w:eastAsia="Arial" w:hAnsi="Arial"/>
          <w:sz w:val="16"/>
          <w:szCs w:val="16"/>
          <w:color w:val="auto"/>
        </w:rPr>
        <w:t>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31"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9" w:lineRule="exact"/>
        <w:rPr>
          <w:sz w:val="20"/>
          <w:szCs w:val="20"/>
          <w:color w:val="auto"/>
        </w:rPr>
      </w:pPr>
    </w:p>
    <w:p>
      <w:pPr>
        <w:ind w:right="380" w:firstLine="374"/>
        <w:spacing w:after="0" w:line="28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15"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ind w:right="200" w:firstLine="374"/>
        <w:spacing w:after="0" w:line="266"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1" w:right="4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loss and other comprehensive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financial position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changes in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5</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cash flows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 of loss and other comprehensive income</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34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rPr>
              <w:t>Notes</w:t>
            </w:r>
          </w:p>
        </w:tc>
        <w:tc>
          <w:tcPr>
            <w:tcW w:w="2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3</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(30,914,393)</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(18,513,016)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4</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(11,271,918)</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(9,798,843)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(42,186,311)</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(28,311,859)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Finance (expense)/income</w:t>
            </w:r>
          </w:p>
        </w:tc>
        <w:tc>
          <w:tcPr>
            <w:tcW w:w="13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6</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(3,851,845)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(46,038,156)</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(27,733,639)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3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7</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(302,667)</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(46,340,823)</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(28,018,756)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 income</w:t>
            </w:r>
          </w:p>
        </w:tc>
        <w:tc>
          <w:tcPr>
            <w:tcW w:w="13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Exchange (losses) gains arising on translation of foreign operations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(128,755)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attributable to:</w:t>
            </w: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Equity holders of the Company</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(46,469,578)</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(27,983,123)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per share attributable to the equity holders of the Company during the periods</w:t>
            </w: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(0.85)</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-1531620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-1531620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-1257300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-1257300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-982980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-965835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-982980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-965835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Unaudited condensed consolidated statement of financial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680" w:type="dxa"/>
            <w:vAlign w:val="bottom"/>
          </w:tcPr>
          <w:p>
            <w:pPr>
              <w:ind w:left="7260"/>
              <w:spacing w:after="0"/>
              <w:rPr>
                <w:sz w:val="20"/>
                <w:szCs w:val="20"/>
                <w:color w:val="auto"/>
              </w:rPr>
            </w:pPr>
            <w:r>
              <w:rPr>
                <w:rFonts w:ascii="Times New Roman" w:cs="Times New Roman" w:eastAsia="Times New Roman" w:hAnsi="Times New Roman"/>
                <w:sz w:val="16"/>
                <w:szCs w:val="16"/>
                <w:color w:val="auto"/>
              </w:rPr>
              <w:t>Notes</w:t>
            </w:r>
          </w:p>
        </w:tc>
        <w:tc>
          <w:tcPr>
            <w:tcW w:w="5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784,669</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667,000</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726,141</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813,842</w:t>
            </w: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372,321</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474,347</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Receivables</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583,122</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457,834</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7,041,689</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5,747,025</w:t>
            </w: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236,495,937</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280,728,037</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Current tax receivable</w:t>
            </w:r>
          </w:p>
        </w:tc>
        <w:tc>
          <w:tcPr>
            <w:tcW w:w="5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2,060,162</w:t>
            </w:r>
          </w:p>
        </w:tc>
        <w:tc>
          <w:tcPr>
            <w:tcW w:w="2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2,486,680</w:t>
            </w:r>
          </w:p>
        </w:tc>
        <w:tc>
          <w:tcPr>
            <w:tcW w:w="100" w:type="dxa"/>
            <w:vAlign w:val="bottom"/>
          </w:tcPr>
          <w:p>
            <w:pPr>
              <w:spacing w:after="0"/>
              <w:rPr>
                <w:sz w:val="17"/>
                <w:szCs w:val="17"/>
                <w:color w:val="auto"/>
              </w:rPr>
            </w:pPr>
          </w:p>
        </w:tc>
      </w:tr>
      <w:tr>
        <w:trPr>
          <w:trHeight w:val="23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248,064,041</w:t>
            </w:r>
          </w:p>
        </w:tc>
        <w:tc>
          <w:tcPr>
            <w:tcW w:w="2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291,374,765</w:t>
            </w:r>
          </w:p>
        </w:tc>
      </w:tr>
      <w:tr>
        <w:trPr>
          <w:trHeight w:val="183"/>
        </w:trPr>
        <w:tc>
          <w:tcPr>
            <w:tcW w:w="7680" w:type="dxa"/>
            <w:vAlign w:val="bottom"/>
            <w:tcBorders>
              <w:top w:val="single" w:sz="8" w:color="CFF0FC"/>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5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13</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6,539,177</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6,525,539</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Share premium</w:t>
            </w:r>
          </w:p>
        </w:tc>
        <w:tc>
          <w:tcPr>
            <w:tcW w:w="5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624,423,656</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623,641,380</w:t>
            </w: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reserves</w:t>
            </w:r>
          </w:p>
        </w:tc>
        <w:tc>
          <w:tcPr>
            <w:tcW w:w="5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43,072,189</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39,711,103</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5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137,726</w:t>
            </w: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loss</w:t>
            </w:r>
          </w:p>
        </w:tc>
        <w:tc>
          <w:tcPr>
            <w:tcW w:w="5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(448,705,050)</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(402,255,007)</w:t>
            </w:r>
          </w:p>
        </w:tc>
      </w:tr>
      <w:tr>
        <w:trPr>
          <w:trHeight w:val="196"/>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00" w:type="dxa"/>
            <w:vAlign w:val="bottom"/>
            <w:tcBorders>
              <w:top w:val="single" w:sz="8" w:color="CFF0FC"/>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225,338,943</w:t>
            </w:r>
          </w:p>
        </w:tc>
        <w:tc>
          <w:tcPr>
            <w:tcW w:w="280" w:type="dxa"/>
            <w:vAlign w:val="bottom"/>
            <w:tcBorders>
              <w:top w:val="single" w:sz="8" w:color="CFF0FC"/>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267,760,741</w:t>
            </w:r>
          </w:p>
        </w:tc>
        <w:tc>
          <w:tcPr>
            <w:tcW w:w="10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 term liabilities</w:t>
            </w: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546,379</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639,043</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4,225,946</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4,562,900</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17,164,137</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17,588,407</w:t>
            </w: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lease liability</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194,599</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222,427</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Current tax payable</w:t>
            </w:r>
          </w:p>
        </w:tc>
        <w:tc>
          <w:tcPr>
            <w:tcW w:w="5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594,037</w:t>
            </w:r>
          </w:p>
        </w:tc>
        <w:tc>
          <w:tcPr>
            <w:tcW w:w="2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601,247</w:t>
            </w:r>
          </w:p>
        </w:tc>
        <w:tc>
          <w:tcPr>
            <w:tcW w:w="10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22,725,098</w:t>
            </w:r>
          </w:p>
        </w:tc>
        <w:tc>
          <w:tcPr>
            <w:tcW w:w="2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23,614,024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5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248,064,041</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291,374,765</w:t>
            </w:r>
          </w:p>
        </w:tc>
      </w:tr>
      <w:tr>
        <w:trPr>
          <w:trHeight w:val="20"/>
        </w:trPr>
        <w:tc>
          <w:tcPr>
            <w:tcW w:w="7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-2545080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-2527935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-1490980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-161925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2025 and March 31, 2024</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premium</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02"/>
        </w:trPr>
        <w:tc>
          <w:tcPr>
            <w:tcW w:w="2740" w:type="dxa"/>
            <w:vAlign w:val="bottom"/>
          </w:tcPr>
          <w:p>
            <w:pPr>
              <w:spacing w:after="0"/>
              <w:rPr>
                <w:sz w:val="17"/>
                <w:szCs w:val="17"/>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Notes</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6,274,833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615,811,986</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27,894,796</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(14,584)</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(265,918,628)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384,048,403</w:t>
            </w:r>
          </w:p>
        </w:tc>
        <w:tc>
          <w:tcPr>
            <w:tcW w:w="100" w:type="dxa"/>
            <w:vAlign w:val="bottom"/>
            <w:shd w:val="clear" w:color="auto" w:fill="CFF0FC"/>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(28,018,756)</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(28,018,756)</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Issue of share capital</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(165,000)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shd w:val="clear" w:color="auto" w:fill="CFF0FC"/>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 on issue of shares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592,968</w:t>
            </w:r>
          </w:p>
        </w:tc>
        <w:tc>
          <w:tcPr>
            <w:tcW w:w="2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592,968</w:t>
            </w:r>
          </w:p>
        </w:tc>
        <w:tc>
          <w:tcPr>
            <w:tcW w:w="100" w:type="dxa"/>
            <w:vAlign w:val="bottom"/>
          </w:tcPr>
          <w:p>
            <w:pPr>
              <w:spacing w:after="0"/>
              <w:rPr>
                <w:sz w:val="17"/>
                <w:szCs w:val="17"/>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35,633</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35,633</w:t>
            </w:r>
          </w:p>
        </w:tc>
        <w:tc>
          <w:tcPr>
            <w:tcW w:w="100" w:type="dxa"/>
            <w:vAlign w:val="bottom"/>
            <w:shd w:val="clear" w:color="auto" w:fill="CFF0FC"/>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2,400,867</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2,400,867</w:t>
            </w:r>
          </w:p>
        </w:tc>
        <w:tc>
          <w:tcPr>
            <w:tcW w:w="100" w:type="dxa"/>
            <w:vAlign w:val="bottom"/>
          </w:tcPr>
          <w:p>
            <w:pPr>
              <w:spacing w:after="0"/>
              <w:rPr>
                <w:sz w:val="17"/>
                <w:szCs w:val="17"/>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603,598</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(444,614)</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(80,220)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96,936</w:t>
            </w:r>
          </w:p>
        </w:tc>
        <w:tc>
          <w:tcPr>
            <w:tcW w:w="100" w:type="dxa"/>
            <w:vAlign w:val="bottom"/>
            <w:shd w:val="clear" w:color="auto" w:fill="CFF0FC"/>
          </w:tcPr>
          <w:p>
            <w:pPr>
              <w:spacing w:after="0"/>
              <w:rPr>
                <w:sz w:val="17"/>
                <w:szCs w:val="17"/>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6,458,005</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616,843,552</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29,863,658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21,049</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(294,017,604)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359,168,660</w:t>
            </w:r>
          </w:p>
        </w:tc>
        <w:tc>
          <w:tcPr>
            <w:tcW w:w="10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6,525,539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623,641,380</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39,711,103</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137,726</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(402,255,007)</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267,760,741</w:t>
            </w:r>
          </w:p>
        </w:tc>
        <w:tc>
          <w:tcPr>
            <w:tcW w:w="100" w:type="dxa"/>
            <w:vAlign w:val="bottom"/>
            <w:shd w:val="clear" w:color="auto" w:fill="CFF0FC"/>
          </w:tcPr>
          <w:p>
            <w:pPr>
              <w:spacing w:after="0"/>
              <w:rPr>
                <w:sz w:val="15"/>
                <w:szCs w:val="15"/>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(46,340,823)</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(46,340,823)</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(128,755)</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(128,755)</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782,276</w:t>
            </w:r>
          </w:p>
        </w:tc>
        <w:tc>
          <w:tcPr>
            <w:tcW w:w="2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(766,826)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(109,220)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(80,132)</w:t>
            </w:r>
          </w:p>
        </w:tc>
      </w:tr>
      <w:tr>
        <w:trPr>
          <w:trHeight w:val="203"/>
        </w:trPr>
        <w:tc>
          <w:tcPr>
            <w:tcW w:w="2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16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4,127,912</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4,127,912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6,539,177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624,423,656</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43,072,189</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(448,705,050)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225,338,943</w:t>
            </w:r>
          </w:p>
        </w:tc>
        <w:tc>
          <w:tcPr>
            <w:tcW w:w="10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-967740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-967740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-967740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-967740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-967740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-161925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-161925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-161925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-161925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-161925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Unaudited condensed consolidated statement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6360" w:type="dxa"/>
            <w:vAlign w:val="bottom"/>
          </w:tcPr>
          <w:p>
            <w:pPr>
              <w:spacing w:after="0"/>
              <w:rPr>
                <w:sz w:val="17"/>
                <w:szCs w:val="17"/>
                <w:color w:val="auto"/>
              </w:rPr>
            </w:pPr>
          </w:p>
        </w:tc>
        <w:tc>
          <w:tcPr>
            <w:tcW w:w="16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5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6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tax</w:t>
            </w:r>
          </w:p>
        </w:tc>
        <w:tc>
          <w:tcPr>
            <w:tcW w:w="168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(46,038,156)</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(27,733,639)</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Non-cash adjustments to reconcile loss before tax to net cash flows from operations:</w:t>
            </w:r>
          </w:p>
        </w:tc>
        <w:tc>
          <w:tcPr>
            <w:tcW w:w="16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 expense</w:t>
            </w:r>
          </w:p>
        </w:tc>
        <w:tc>
          <w:tcPr>
            <w:tcW w:w="16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18</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4,127,912</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2,400,867</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680" w:type="dxa"/>
            <w:vAlign w:val="bottom"/>
            <w:shd w:val="clear" w:color="auto" w:fill="CFF0FC"/>
          </w:tcPr>
          <w:p>
            <w:pPr>
              <w:jc w:val="center"/>
              <w:ind w:left="359"/>
              <w:spacing w:after="0"/>
              <w:rPr>
                <w:sz w:val="20"/>
                <w:szCs w:val="20"/>
                <w:color w:val="auto"/>
              </w:rPr>
            </w:pPr>
            <w:r>
              <w:rPr>
                <w:rFonts w:ascii="Times New Roman" w:cs="Times New Roman" w:eastAsia="Times New Roman" w:hAnsi="Times New Roman"/>
                <w:sz w:val="16"/>
                <w:szCs w:val="16"/>
                <w:color w:val="auto"/>
                <w:w w:val="99"/>
              </w:rPr>
              <w:t>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105,301</w:t>
            </w: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66,355</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foreign exchange loss (gain)</w:t>
            </w:r>
          </w:p>
        </w:tc>
        <w:tc>
          <w:tcPr>
            <w:tcW w:w="16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5,386,295</w:t>
            </w:r>
          </w:p>
        </w:tc>
        <w:tc>
          <w:tcPr>
            <w:tcW w:w="10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(541,252)</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1680" w:type="dxa"/>
            <w:vAlign w:val="bottom"/>
            <w:shd w:val="clear" w:color="auto" w:fill="CFF0FC"/>
          </w:tcPr>
          <w:p>
            <w:pPr>
              <w:jc w:val="center"/>
              <w:ind w:left="359"/>
              <w:spacing w:after="0"/>
              <w:rPr>
                <w:sz w:val="20"/>
                <w:szCs w:val="20"/>
                <w:color w:val="auto"/>
              </w:rPr>
            </w:pPr>
            <w:r>
              <w:rPr>
                <w:rFonts w:ascii="Times New Roman" w:cs="Times New Roman" w:eastAsia="Times New Roman" w:hAnsi="Times New Roman"/>
                <w:sz w:val="16"/>
                <w:szCs w:val="16"/>
                <w:color w:val="auto"/>
                <w:w w:val="99"/>
              </w:rPr>
              <w:t>6</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(1,170,692)</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(55,968)</w:t>
            </w:r>
          </w:p>
        </w:tc>
      </w:tr>
      <w:tr>
        <w:trPr>
          <w:trHeight w:val="203"/>
        </w:trPr>
        <w:tc>
          <w:tcPr>
            <w:tcW w:w="6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Changes in working capital:</w:t>
            </w:r>
          </w:p>
        </w:tc>
        <w:tc>
          <w:tcPr>
            <w:tcW w:w="16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168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(125,287)</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60,447</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other current assets</w:t>
            </w:r>
          </w:p>
        </w:tc>
        <w:tc>
          <w:tcPr>
            <w:tcW w:w="16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(1,294,663)</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(2,012,674)</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trade and other payables</w:t>
            </w:r>
          </w:p>
        </w:tc>
        <w:tc>
          <w:tcPr>
            <w:tcW w:w="168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(336,954)</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2,648,762</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increase in accrued liabilities</w:t>
            </w:r>
          </w:p>
        </w:tc>
        <w:tc>
          <w:tcPr>
            <w:tcW w:w="16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(533,016)</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935,123</w:t>
            </w:r>
          </w:p>
        </w:tc>
      </w:tr>
      <w:tr>
        <w:trPr>
          <w:trHeight w:val="203"/>
        </w:trPr>
        <w:tc>
          <w:tcPr>
            <w:tcW w:w="6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received (paid)</w:t>
            </w:r>
          </w:p>
        </w:tc>
        <w:tc>
          <w:tcPr>
            <w:tcW w:w="16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224,259</w:t>
            </w: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(60,003)</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Received interest</w:t>
            </w:r>
          </w:p>
        </w:tc>
        <w:tc>
          <w:tcPr>
            <w:tcW w:w="16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1,183,396</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60,171</w:t>
            </w:r>
          </w:p>
        </w:tc>
        <w:tc>
          <w:tcPr>
            <w:tcW w:w="100" w:type="dxa"/>
            <w:vAlign w:val="bottom"/>
          </w:tcPr>
          <w:p>
            <w:pPr>
              <w:spacing w:after="0"/>
              <w:rPr>
                <w:sz w:val="17"/>
                <w:szCs w:val="17"/>
                <w:color w:val="auto"/>
              </w:rPr>
            </w:pPr>
          </w:p>
        </w:tc>
      </w:tr>
      <w:tr>
        <w:trPr>
          <w:trHeight w:val="23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operating activities</w:t>
            </w:r>
          </w:p>
        </w:tc>
        <w:tc>
          <w:tcPr>
            <w:tcW w:w="16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(38,471,605)</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(24,231,811)</w:t>
            </w:r>
          </w:p>
        </w:tc>
      </w:tr>
      <w:tr>
        <w:trPr>
          <w:trHeight w:val="183"/>
        </w:trPr>
        <w:tc>
          <w:tcPr>
            <w:tcW w:w="6360" w:type="dxa"/>
            <w:vAlign w:val="bottom"/>
            <w:tcBorders>
              <w:top w:val="single" w:sz="8" w:color="CFF0FC"/>
            </w:tcBorders>
          </w:tcPr>
          <w:p>
            <w:pPr>
              <w:spacing w:after="0"/>
              <w:rPr>
                <w:sz w:val="15"/>
                <w:szCs w:val="15"/>
                <w:color w:val="auto"/>
              </w:rPr>
            </w:pPr>
          </w:p>
        </w:tc>
        <w:tc>
          <w:tcPr>
            <w:tcW w:w="1680" w:type="dxa"/>
            <w:vAlign w:val="bottom"/>
            <w:tcBorders>
              <w:top w:val="single" w:sz="8" w:color="CFF0FC"/>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6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6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8</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(161,003)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(30,708)</w:t>
            </w:r>
          </w:p>
        </w:tc>
      </w:tr>
      <w:tr>
        <w:trPr>
          <w:trHeight w:val="20"/>
        </w:trPr>
        <w:tc>
          <w:tcPr>
            <w:tcW w:w="6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tc>
        <w:tc>
          <w:tcPr>
            <w:tcW w:w="16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(161,003)</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(30,708)</w:t>
            </w:r>
          </w:p>
        </w:tc>
      </w:tr>
      <w:tr>
        <w:trPr>
          <w:trHeight w:val="183"/>
        </w:trPr>
        <w:tc>
          <w:tcPr>
            <w:tcW w:w="6360" w:type="dxa"/>
            <w:vAlign w:val="bottom"/>
            <w:tcBorders>
              <w:top w:val="single" w:sz="8" w:color="CFF0FC"/>
            </w:tcBorders>
          </w:tcPr>
          <w:p>
            <w:pPr>
              <w:spacing w:after="0"/>
              <w:rPr>
                <w:sz w:val="15"/>
                <w:szCs w:val="15"/>
                <w:color w:val="auto"/>
              </w:rPr>
            </w:pPr>
          </w:p>
        </w:tc>
        <w:tc>
          <w:tcPr>
            <w:tcW w:w="1680" w:type="dxa"/>
            <w:vAlign w:val="bottom"/>
            <w:tcBorders>
              <w:top w:val="single" w:sz="8" w:color="CFF0FC"/>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6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issue of shares</w:t>
            </w:r>
          </w:p>
        </w:tc>
        <w:tc>
          <w:tcPr>
            <w:tcW w:w="16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13</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29,088</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189,764</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Transaction costs on issue of shares, net</w:t>
            </w:r>
          </w:p>
        </w:tc>
        <w:tc>
          <w:tcPr>
            <w:tcW w:w="16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659,039</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Payment of principal portion of lease liabilities</w:t>
            </w:r>
          </w:p>
        </w:tc>
        <w:tc>
          <w:tcPr>
            <w:tcW w:w="16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9</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(104,535)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(53,761)</w:t>
            </w:r>
          </w:p>
        </w:tc>
      </w:tr>
      <w:tr>
        <w:trPr>
          <w:trHeight w:val="20"/>
        </w:trPr>
        <w:tc>
          <w:tcPr>
            <w:tcW w:w="6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provided by financing activities</w:t>
            </w:r>
          </w:p>
        </w:tc>
        <w:tc>
          <w:tcPr>
            <w:tcW w:w="16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(75,447)</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795,042</w:t>
            </w:r>
          </w:p>
        </w:tc>
      </w:tr>
      <w:tr>
        <w:trPr>
          <w:trHeight w:val="183"/>
        </w:trPr>
        <w:tc>
          <w:tcPr>
            <w:tcW w:w="6360" w:type="dxa"/>
            <w:vAlign w:val="bottom"/>
            <w:tcBorders>
              <w:top w:val="single" w:sz="8" w:color="CFF0FC"/>
            </w:tcBorders>
          </w:tcPr>
          <w:p>
            <w:pPr>
              <w:spacing w:after="0"/>
              <w:rPr>
                <w:sz w:val="15"/>
                <w:szCs w:val="15"/>
                <w:color w:val="auto"/>
              </w:rPr>
            </w:pPr>
          </w:p>
        </w:tc>
        <w:tc>
          <w:tcPr>
            <w:tcW w:w="1680" w:type="dxa"/>
            <w:vAlign w:val="bottom"/>
            <w:tcBorders>
              <w:top w:val="single" w:sz="8" w:color="CFF0FC"/>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6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(38,708,055)</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(23,467,477)</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6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280,728,037</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391,231,637</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6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(5,524,045)</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578,008</w:t>
            </w:r>
          </w:p>
        </w:tc>
      </w:tr>
      <w:tr>
        <w:trPr>
          <w:trHeight w:val="196"/>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tc>
        <w:tc>
          <w:tcPr>
            <w:tcW w:w="1680" w:type="dxa"/>
            <w:vAlign w:val="bottom"/>
            <w:tcBorders>
              <w:top w:val="single" w:sz="8" w:color="CFF0FC"/>
            </w:tcBorders>
          </w:tcPr>
          <w:p>
            <w:pPr>
              <w:jc w:val="center"/>
              <w:ind w:left="359"/>
              <w:spacing w:after="0"/>
              <w:rPr>
                <w:sz w:val="20"/>
                <w:szCs w:val="20"/>
                <w:color w:val="auto"/>
              </w:rPr>
            </w:pPr>
            <w:r>
              <w:rPr>
                <w:rFonts w:ascii="Times New Roman" w:cs="Times New Roman" w:eastAsia="Times New Roman" w:hAnsi="Times New Roman"/>
                <w:sz w:val="16"/>
                <w:szCs w:val="16"/>
                <w:color w:val="auto"/>
                <w:w w:val="99"/>
              </w:rPr>
              <w:t>12</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236,495,937</w:t>
            </w:r>
          </w:p>
        </w:tc>
        <w:tc>
          <w:tcPr>
            <w:tcW w:w="100" w:type="dxa"/>
            <w:vAlign w:val="bottom"/>
            <w:tcBorders>
              <w:top w:val="single" w:sz="8" w:color="CFF0FC"/>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368,342,168</w:t>
            </w:r>
          </w:p>
        </w:tc>
        <w:tc>
          <w:tcPr>
            <w:tcW w:w="100" w:type="dxa"/>
            <w:vAlign w:val="bottom"/>
            <w:tcBorders>
              <w:top w:val="single" w:sz="8" w:color="CFF0FC"/>
            </w:tcBorders>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-2056765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-2039620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-1508125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-1490980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-702310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-685165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-161925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 w:name="page25"/>
    <w:bookmarkEnd w:id="24"/>
    <w:p>
      <w:pPr>
        <w:ind w:right="3320"/>
        <w:spacing w:after="0" w:line="371"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Times New Roman" w:cs="Times New Roman" w:eastAsia="Times New Roman" w:hAnsi="Times New Roman"/>
          <w:sz w:val="25"/>
          <w:szCs w:val="25"/>
          <w:b w:val="1"/>
          <w:bCs w:val="1"/>
          <w:color w:val="auto"/>
        </w:rPr>
        <w:t>1</w:t>
      </w:r>
      <w:r>
        <w:rPr>
          <w:rFonts w:ascii="Times New Roman" w:cs="Times New Roman" w:eastAsia="Times New Roman" w:hAnsi="Times New Roman"/>
          <w:sz w:val="21"/>
          <w:szCs w:val="21"/>
          <w:b w:val="1"/>
          <w:bCs w:val="1"/>
          <w:color w:val="auto"/>
        </w:rPr>
        <w:t>. Corporate and Group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Company’s registered office is located at Emmy Noetherweg 2, Leiden. The Company is registered at the Chamber of Commerce under file number 64239411.</w:t>
      </w:r>
    </w:p>
    <w:p>
      <w:pPr>
        <w:spacing w:after="0" w:line="4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4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March 31, 2025, and December 31, 2024, and for the three months ended March 31, 2025 and 2024 were authorized for issue in accordance with a resolution of the directors on May 13,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8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color w:val="auto"/>
              </w:rPr>
              <w:t>% of equity interest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Country of</w:t>
            </w:r>
          </w:p>
        </w:tc>
        <w:tc>
          <w:tcPr>
            <w:tcW w:w="10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6"/>
                <w:szCs w:val="16"/>
                <w:color w:val="auto"/>
              </w:rPr>
              <w:t>March 31,</w:t>
            </w:r>
          </w:p>
        </w:tc>
        <w:tc>
          <w:tcPr>
            <w:tcW w:w="0" w:type="dxa"/>
            <w:vAlign w:val="bottom"/>
          </w:tcPr>
          <w:p>
            <w:pPr>
              <w:spacing w:after="0"/>
              <w:rPr>
                <w:sz w:val="1"/>
                <w:szCs w:val="1"/>
                <w:color w:val="auto"/>
              </w:rPr>
            </w:pPr>
          </w:p>
        </w:tc>
      </w:tr>
      <w:tr>
        <w:trPr>
          <w:trHeight w:val="196"/>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Legal seat</w:t>
            </w:r>
          </w:p>
        </w:tc>
        <w:tc>
          <w:tcPr>
            <w:tcW w:w="27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incorporation</w:t>
            </w:r>
          </w:p>
        </w:tc>
        <w:tc>
          <w:tcPr>
            <w:tcW w:w="10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9"/>
              </w:rPr>
              <w:t>2025</w:t>
            </w:r>
          </w:p>
        </w:tc>
        <w:tc>
          <w:tcPr>
            <w:tcW w:w="248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w w:val="99"/>
              </w:rPr>
              <w:t>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Holdings B.V.</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Leiden</w:t>
            </w:r>
          </w:p>
        </w:tc>
        <w:tc>
          <w:tcPr>
            <w:tcW w:w="27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The Netherlands</w:t>
            </w:r>
          </w:p>
        </w:tc>
        <w:tc>
          <w:tcPr>
            <w:tcW w:w="1020" w:type="dxa"/>
            <w:vAlign w:val="bottom"/>
            <w:shd w:val="clear" w:color="auto" w:fill="CFF0FC"/>
          </w:tcPr>
          <w:p>
            <w:pPr>
              <w:jc w:val="center"/>
              <w:ind w:left="55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shd w:val="clear" w:color="auto" w:fill="CFF0FC"/>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Pharvaris Netherlands B.V.</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Leiden</w:t>
            </w:r>
          </w:p>
        </w:tc>
        <w:tc>
          <w:tcPr>
            <w:tcW w:w="27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The Netherlands</w:t>
            </w:r>
          </w:p>
        </w:tc>
        <w:tc>
          <w:tcPr>
            <w:tcW w:w="10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GmbH</w:t>
            </w:r>
          </w:p>
        </w:tc>
        <w:tc>
          <w:tcPr>
            <w:tcW w:w="18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Zug</w:t>
            </w:r>
          </w:p>
        </w:tc>
        <w:tc>
          <w:tcPr>
            <w:tcW w:w="27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Switzerland</w:t>
            </w:r>
          </w:p>
        </w:tc>
        <w:tc>
          <w:tcPr>
            <w:tcW w:w="1020" w:type="dxa"/>
            <w:vAlign w:val="bottom"/>
            <w:shd w:val="clear" w:color="auto" w:fill="CFF0FC"/>
          </w:tcPr>
          <w:p>
            <w:pPr>
              <w:jc w:val="center"/>
              <w:ind w:left="55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shd w:val="clear" w:color="auto" w:fill="CFF0FC"/>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Pharvaris, Inc.</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Delaware</w:t>
            </w:r>
          </w:p>
        </w:tc>
        <w:tc>
          <w:tcPr>
            <w:tcW w:w="27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0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2024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48"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5" w:name="page26"/>
    <w:bookmarkEnd w:id="25"/>
    <w:p>
      <w:pPr>
        <w:ind w:right="100" w:firstLine="374"/>
        <w:spacing w:after="0" w:line="254" w:lineRule="auto"/>
        <w:rPr>
          <w:sz w:val="20"/>
          <w:szCs w:val="20"/>
          <w:color w:val="auto"/>
        </w:rPr>
      </w:pPr>
      <w:r>
        <w:rPr>
          <w:rFonts w:ascii="Arial" w:cs="Arial" w:eastAsia="Arial" w:hAnsi="Arial"/>
          <w:sz w:val="16"/>
          <w:szCs w:val="16"/>
          <w:color w:val="auto"/>
        </w:rPr>
        <w:t>The Company’s future viability is dependent on its ability to raise additional capital to finance operations. The Company will need to finance its operations through public or private securities offerings, debt financings or other sources, which may include licensing, collaborations or other strategic transactions or arrangements. Although the Company has been successful in raising capital in the past, there is no assurance that it will be successful in obtaining such additional financing on acceptable terms, if at all. If the Company is unable to obtain funding, it could be forced to delay, reduce, or eliminate some or all of its research and development programs for product candidates, product portfolio expansion or commercialization efforts, which could adversely affect its business prospects, or it may be unable to continue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0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material accounting policies</w:t>
      </w:r>
    </w:p>
    <w:p>
      <w:pPr>
        <w:spacing w:after="0" w:line="10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2024.</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Standards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IASB’s Amendments to IAS 21 — Lack of Exchangeability (issued May 2024, effective for annual reporting periods beginning on or after 1 January 2025) provide guidance on how to determine the spot exchange rate when a currency is not exchangeable into another currency. An entity applies the amendments for annual reporting periods beginning on or after 1 January 2025. The Group has evaluated that there is no impact on the company due to this amendment.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standards and interpretations issued not yet effective</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April 2024, the IASB issued IFRS 18 Presentation and Disclosure in Financial Statements (“IFRS 18”) which replaces IAS 1 Presentation of Financial Statements. IFRS 18 requires an entity to classify all income and expenses within its statement of profit or loss into one of five categories: operating; investing; financing; income taxes; and discontinued operations. The first three categories are new. These categories are complemented by the requirement to present subtotals and totals for “operating profit or loss”, “profit or loss before financing income and taxes” and “profit or loss”. IFRS 18, and the amendments to the other standards, is effective for reporting periods beginning on or after January 1, 2027, but earlier application is permitted. The Group is currently evaluating the impact of this amendment.</w:t>
      </w:r>
    </w:p>
    <w:p>
      <w:pPr>
        <w:spacing w:after="0" w:line="7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There are no other IFRS or IFRIC interpretations that are not yet effective and that are expected to have a material impact to the interim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4040" w:type="dxa"/>
            <w:vAlign w:val="bottom"/>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00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2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(17,336,382)</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(7,321,412)</w:t>
            </w:r>
          </w:p>
        </w:tc>
      </w:tr>
      <w:tr>
        <w:trPr>
          <w:trHeight w:val="203"/>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2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(8,425,450)</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(5,180,476)</w:t>
            </w:r>
          </w:p>
        </w:tc>
      </w:tr>
      <w:tr>
        <w:trPr>
          <w:trHeight w:val="203"/>
        </w:trPr>
        <w:tc>
          <w:tcPr>
            <w:tcW w:w="20" w:type="dxa"/>
            <w:vAlign w:val="bottom"/>
          </w:tcPr>
          <w:p>
            <w:pPr>
              <w:spacing w:after="0"/>
              <w:rPr>
                <w:sz w:val="17"/>
                <w:szCs w:val="17"/>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2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(3,228,532)</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(2,563,954)</w:t>
            </w:r>
          </w:p>
        </w:tc>
      </w:tr>
      <w:tr>
        <w:trPr>
          <w:trHeight w:val="203"/>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2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(1,850,190)</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(1,835,466)</w:t>
            </w:r>
          </w:p>
        </w:tc>
      </w:tr>
      <w:tr>
        <w:trPr>
          <w:trHeight w:val="203"/>
        </w:trPr>
        <w:tc>
          <w:tcPr>
            <w:tcW w:w="20" w:type="dxa"/>
            <w:vAlign w:val="bottom"/>
          </w:tcPr>
          <w:p>
            <w:pPr>
              <w:spacing w:after="0"/>
              <w:rPr>
                <w:sz w:val="17"/>
                <w:szCs w:val="17"/>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costs</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(1,500,000)</w:t>
            </w:r>
          </w:p>
        </w:tc>
      </w:tr>
      <w:tr>
        <w:trPr>
          <w:trHeight w:val="203"/>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2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(73,839)</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(111,708)</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(30,914,393)</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(18,513,016)</w:t>
            </w: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Development expenses are currently not capitalized but are recorded in the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 and travel expenses.</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 as well as travel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and nonclinical development studies and associated</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travel expenses.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Licensing costs consist of milestone payments reflecting the start of the Phase III study.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384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00" w:type="dxa"/>
            <w:vAlign w:val="bottom"/>
          </w:tcPr>
          <w:p>
            <w:pPr>
              <w:spacing w:after="0"/>
              <w:rPr>
                <w:sz w:val="17"/>
                <w:szCs w:val="17"/>
                <w:color w:val="auto"/>
              </w:rPr>
            </w:pPr>
          </w:p>
        </w:tc>
        <w:tc>
          <w:tcPr>
            <w:tcW w:w="304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20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3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(5,029,239)</w:t>
            </w:r>
          </w:p>
        </w:tc>
        <w:tc>
          <w:tcPr>
            <w:tcW w:w="7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(3,270,195)</w:t>
            </w: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(2,604,146)</w:t>
            </w:r>
          </w:p>
        </w:tc>
        <w:tc>
          <w:tcPr>
            <w:tcW w:w="7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(1,177,229)</w:t>
            </w: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Facilities, communication &amp; office expenses</w:t>
            </w:r>
          </w:p>
        </w:tc>
        <w:tc>
          <w:tcPr>
            <w:tcW w:w="3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(1,350,761)</w:t>
            </w:r>
          </w:p>
        </w:tc>
        <w:tc>
          <w:tcPr>
            <w:tcW w:w="7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(1,680,267)</w:t>
            </w: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(325,131)</w:t>
            </w:r>
          </w:p>
        </w:tc>
        <w:tc>
          <w:tcPr>
            <w:tcW w:w="7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(624,029)</w:t>
            </w: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3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(617,323)</w:t>
            </w:r>
          </w:p>
        </w:tc>
        <w:tc>
          <w:tcPr>
            <w:tcW w:w="7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(1,254,086)</w:t>
            </w:r>
          </w:p>
        </w:tc>
      </w:tr>
      <w:tr>
        <w:trPr>
          <w:trHeight w:val="202"/>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Consulting fees</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(47,568)</w:t>
            </w:r>
          </w:p>
        </w:tc>
        <w:tc>
          <w:tcPr>
            <w:tcW w:w="7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(126,525)</w:t>
            </w: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3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(1,297,750)</w:t>
            </w:r>
          </w:p>
        </w:tc>
        <w:tc>
          <w:tcPr>
            <w:tcW w:w="7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(1,666,512)</w:t>
            </w:r>
          </w:p>
        </w:tc>
      </w:tr>
      <w:tr>
        <w:trPr>
          <w:trHeight w:val="20"/>
        </w:trPr>
        <w:tc>
          <w:tcPr>
            <w:tcW w:w="6200" w:type="dxa"/>
            <w:vAlign w:val="bottom"/>
            <w:shd w:val="clear" w:color="auto" w:fill="CFF0FC"/>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rPr>
                <w:sz w:val="17"/>
                <w:szCs w:val="17"/>
                <w:color w:val="auto"/>
              </w:rPr>
            </w:pP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(11,271,918)</w:t>
            </w:r>
          </w:p>
        </w:tc>
        <w:tc>
          <w:tcPr>
            <w:tcW w:w="7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(9,798,843)</w:t>
            </w:r>
          </w:p>
        </w:tc>
      </w:tr>
      <w:tr>
        <w:trPr>
          <w:trHeight w:val="20"/>
        </w:trPr>
        <w:tc>
          <w:tcPr>
            <w:tcW w:w="6200" w:type="dxa"/>
            <w:vAlign w:val="bottom"/>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-162560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Since 2022, the Group entered into a number of short-term rental arrangements, the expenses are included in "Other expenses".</w:t>
      </w:r>
    </w:p>
    <w:p>
      <w:pPr>
        <w:spacing w:after="0" w:line="11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Depreciation expense in each of the three months ended March 31, 2025 and 2024 was €0.1 million, which related to property, plant and equipment and leases and is included in the 'Other expenses' line.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7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80" w:type="dxa"/>
            <w:vAlign w:val="bottom"/>
          </w:tcPr>
          <w:p>
            <w:pPr>
              <w:spacing w:after="0"/>
              <w:rPr>
                <w:sz w:val="17"/>
                <w:szCs w:val="17"/>
                <w:color w:val="auto"/>
              </w:rPr>
            </w:pPr>
          </w:p>
        </w:tc>
        <w:tc>
          <w:tcPr>
            <w:tcW w:w="298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2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Wages and salaries</w:t>
            </w:r>
          </w:p>
        </w:tc>
        <w:tc>
          <w:tcPr>
            <w:tcW w:w="3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(7,902,307)</w:t>
            </w:r>
          </w:p>
        </w:tc>
        <w:tc>
          <w:tcPr>
            <w:tcW w:w="6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(5,070,456)</w:t>
            </w: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Pension charges</w:t>
            </w:r>
          </w:p>
        </w:tc>
        <w:tc>
          <w:tcPr>
            <w:tcW w:w="3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(544,716)</w:t>
            </w:r>
          </w:p>
        </w:tc>
        <w:tc>
          <w:tcPr>
            <w:tcW w:w="6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(394,633)</w:t>
            </w: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social security charges</w:t>
            </w:r>
          </w:p>
        </w:tc>
        <w:tc>
          <w:tcPr>
            <w:tcW w:w="3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(711,179)</w:t>
            </w:r>
          </w:p>
        </w:tc>
        <w:tc>
          <w:tcPr>
            <w:tcW w:w="6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(584,715)</w:t>
            </w: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3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(4,127,912)</w:t>
            </w:r>
          </w:p>
        </w:tc>
        <w:tc>
          <w:tcPr>
            <w:tcW w:w="6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(2,400,867)</w:t>
            </w: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employee related costs</w:t>
            </w:r>
          </w:p>
        </w:tc>
        <w:tc>
          <w:tcPr>
            <w:tcW w:w="3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(168,575)</w:t>
            </w:r>
          </w:p>
        </w:tc>
        <w:tc>
          <w:tcPr>
            <w:tcW w:w="6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280" w:type="dxa"/>
            <w:vAlign w:val="bottom"/>
            <w:shd w:val="clear" w:color="auto" w:fill="CFF0FC"/>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80" w:type="dxa"/>
            <w:vAlign w:val="bottom"/>
          </w:tcPr>
          <w:p>
            <w:pPr>
              <w:spacing w:after="0"/>
              <w:rPr>
                <w:sz w:val="17"/>
                <w:szCs w:val="17"/>
                <w:color w:val="auto"/>
              </w:rPr>
            </w:pPr>
          </w:p>
        </w:tc>
        <w:tc>
          <w:tcPr>
            <w:tcW w:w="3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(13,454,689)</w:t>
            </w:r>
          </w:p>
        </w:tc>
        <w:tc>
          <w:tcPr>
            <w:tcW w:w="6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(8,450,671)</w:t>
            </w:r>
          </w:p>
        </w:tc>
      </w:tr>
      <w:tr>
        <w:trPr>
          <w:trHeight w:val="20"/>
        </w:trPr>
        <w:tc>
          <w:tcPr>
            <w:tcW w:w="6280" w:type="dxa"/>
            <w:vAlign w:val="bottom"/>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three months ended March 31, 2025 was 119 (2024: 83).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(expense)/ income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38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316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differences</w:t>
            </w:r>
          </w:p>
        </w:tc>
        <w:tc>
          <w:tcPr>
            <w:tcW w:w="3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(5,022,538)</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522,251</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over bank balances</w:t>
            </w:r>
          </w:p>
        </w:tc>
        <w:tc>
          <w:tcPr>
            <w:tcW w:w="3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1,196,649</w:t>
            </w:r>
          </w:p>
        </w:tc>
        <w:tc>
          <w:tcPr>
            <w:tcW w:w="5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63,921</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finance expenses</w:t>
            </w:r>
          </w:p>
        </w:tc>
        <w:tc>
          <w:tcPr>
            <w:tcW w:w="3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(25,956)</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(7,952)</w:t>
            </w:r>
          </w:p>
        </w:tc>
      </w:tr>
      <w:tr>
        <w:trPr>
          <w:trHeight w:val="20"/>
        </w:trPr>
        <w:tc>
          <w:tcPr>
            <w:tcW w:w="6300" w:type="dxa"/>
            <w:vAlign w:val="bottom"/>
            <w:shd w:val="clear" w:color="auto" w:fill="CFF0FC"/>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300" w:type="dxa"/>
            <w:vAlign w:val="bottom"/>
          </w:tcPr>
          <w:p>
            <w:pPr>
              <w:spacing w:after="0"/>
              <w:rPr>
                <w:sz w:val="17"/>
                <w:szCs w:val="17"/>
                <w:color w:val="auto"/>
              </w:rPr>
            </w:pPr>
          </w:p>
        </w:tc>
        <w:tc>
          <w:tcPr>
            <w:tcW w:w="3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(3,851,845)</w:t>
            </w:r>
          </w:p>
        </w:tc>
        <w:tc>
          <w:tcPr>
            <w:tcW w:w="5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578,220</w:t>
            </w:r>
          </w:p>
        </w:tc>
      </w:tr>
      <w:tr>
        <w:trPr>
          <w:trHeight w:val="20"/>
        </w:trPr>
        <w:tc>
          <w:tcPr>
            <w:tcW w:w="6300" w:type="dxa"/>
            <w:vAlign w:val="bottom"/>
          </w:tcPr>
          <w:p>
            <w:pPr>
              <w:spacing w:after="0" w:line="20" w:lineRule="exact"/>
              <w:rPr>
                <w:sz w:val="1"/>
                <w:szCs w:val="1"/>
                <w:color w:val="auto"/>
              </w:rPr>
            </w:pPr>
          </w:p>
        </w:tc>
        <w:tc>
          <w:tcPr>
            <w:tcW w:w="3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-161925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ind w:left="80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98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8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(217,149)</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(285,117)</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Deferred tax benefit</w:t>
            </w:r>
          </w:p>
        </w:tc>
        <w:tc>
          <w:tcPr>
            <w:tcW w:w="9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(85,518)</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9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(302,667)</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(285,117)</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tax expense over the three months ended March 31, 2025 and 2024 relates to the Company's U.S. and Dutch subsidiaries as the result of a cost-plus agreement between the Company's principal entity and the U.S. and the Dutch subsidiaries, resulting in an estimated taxable profit in the U.S. and the Netherlands.</w:t>
      </w:r>
    </w:p>
    <w:p>
      <w:pPr>
        <w:spacing w:after="0" w:line="6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10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814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81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(46,038,156)</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(27,733,639)</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Income tax at statutory income tax rate in the Netherlands (25.8%)</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11,877,844</w:t>
            </w: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7,155,279</w:t>
            </w: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tax rates in other countries</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(6,553,527)</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(4,152,528)</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recognition effects</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(5,300,079)</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(2,782,989)</w:t>
            </w:r>
          </w:p>
        </w:tc>
      </w:tr>
      <w:tr>
        <w:trPr>
          <w:trHeight w:val="203"/>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(329,311)</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(334,866)</w:t>
            </w:r>
          </w:p>
        </w:tc>
      </w:tr>
      <w:tr>
        <w:trPr>
          <w:trHeight w:val="20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Prior period adjustments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(170,013)</w:t>
            </w:r>
          </w:p>
        </w:tc>
      </w:tr>
      <w:tr>
        <w:trPr>
          <w:trHeight w:val="20"/>
        </w:trPr>
        <w:tc>
          <w:tcPr>
            <w:tcW w:w="8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(302,667)</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(285,117)</w:t>
            </w:r>
          </w:p>
        </w:tc>
      </w:tr>
      <w:tr>
        <w:trPr>
          <w:trHeight w:val="20"/>
        </w:trPr>
        <w:tc>
          <w:tcPr>
            <w:tcW w:w="81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spacing w:after="0" w:line="70"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(estimated) average annual tax rate used for the three months ended March 31, 2025 was (0.7%), compared to (1.0%) for the three months ended March 31, 2024.</w:t>
      </w:r>
    </w:p>
    <w:p>
      <w:pPr>
        <w:spacing w:after="0" w:line="48" w:lineRule="exact"/>
        <w:rPr>
          <w:sz w:val="20"/>
          <w:szCs w:val="20"/>
          <w:color w:val="auto"/>
        </w:rPr>
      </w:pPr>
    </w:p>
    <w:p>
      <w:pPr>
        <w:jc w:val="both"/>
        <w:ind w:right="780"/>
        <w:spacing w:after="0" w:line="266"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 The differences in the overseas tax rates are due to the lower tax rate in Switzerland compared to the statutory income tax rate in the Netherlands.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0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8" w:name="page29"/>
    <w:bookmarkEnd w:id="28"/>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book value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beginning of period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expenses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Cumulative depreciation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January 1,</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Cumulative Costs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beginning of period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end of period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8"/>
        </w:trPr>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Pr>
          <w:p>
            <w:pPr>
              <w:spacing w:after="0"/>
              <w:rPr>
                <w:sz w:val="16"/>
                <w:szCs w:val="16"/>
                <w:color w:val="auto"/>
              </w:rPr>
            </w:pPr>
          </w:p>
        </w:tc>
      </w:tr>
      <w:tr>
        <w:trPr>
          <w:trHeight w:val="203"/>
        </w:trPr>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667,000</w:t>
            </w: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40" w:type="dxa"/>
            <w:vAlign w:val="bottom"/>
          </w:tcPr>
          <w:p>
            <w:pPr>
              <w:spacing w:after="0"/>
              <w:rPr>
                <w:sz w:val="17"/>
                <w:szCs w:val="17"/>
                <w:color w:val="auto"/>
              </w:rPr>
            </w:pPr>
          </w:p>
        </w:tc>
      </w:tr>
      <w:tr>
        <w:trPr>
          <w:trHeight w:val="203"/>
        </w:trPr>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161,004</w:t>
            </w: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538,085</w:t>
            </w:r>
          </w:p>
        </w:tc>
        <w:tc>
          <w:tcPr>
            <w:tcW w:w="40" w:type="dxa"/>
            <w:vAlign w:val="bottom"/>
          </w:tcPr>
          <w:p>
            <w:pPr>
              <w:spacing w:after="0"/>
              <w:rPr>
                <w:sz w:val="17"/>
                <w:szCs w:val="17"/>
                <w:color w:val="auto"/>
              </w:rPr>
            </w:pPr>
          </w:p>
        </w:tc>
      </w:tr>
      <w:tr>
        <w:trPr>
          <w:trHeight w:val="213"/>
        </w:trPr>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(43,335)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(94,763)</w:t>
            </w:r>
          </w:p>
        </w:tc>
      </w:tr>
      <w:tr>
        <w:trPr>
          <w:trHeight w:val="199"/>
        </w:trPr>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784,669</w:t>
            </w:r>
          </w:p>
        </w:tc>
        <w:tc>
          <w:tcPr>
            <w:tcW w:w="22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667,000</w:t>
            </w:r>
          </w:p>
        </w:tc>
        <w:tc>
          <w:tcPr>
            <w:tcW w:w="40" w:type="dxa"/>
            <w:vAlign w:val="bottom"/>
          </w:tcPr>
          <w:p>
            <w:pPr>
              <w:spacing w:after="0"/>
              <w:rPr>
                <w:sz w:val="17"/>
                <w:szCs w:val="17"/>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0"/>
        </w:trPr>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March 31, 2025</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88"/>
        </w:trPr>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6"/>
                <w:szCs w:val="16"/>
                <w:color w:val="auto"/>
              </w:rPr>
            </w:pPr>
          </w:p>
        </w:tc>
      </w:tr>
      <w:tr>
        <w:trPr>
          <w:trHeight w:val="203"/>
        </w:trPr>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(220,136)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(125,373)</w:t>
            </w:r>
          </w:p>
        </w:tc>
      </w:tr>
      <w:tr>
        <w:trPr>
          <w:trHeight w:val="210"/>
        </w:trPr>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(43,335)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(94,763)</w:t>
            </w:r>
          </w:p>
        </w:tc>
      </w:tr>
      <w:tr>
        <w:trPr>
          <w:trHeight w:val="202"/>
        </w:trPr>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(263,471)</w:t>
            </w:r>
          </w:p>
        </w:tc>
        <w:tc>
          <w:tcPr>
            <w:tcW w:w="22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(220,136)</w:t>
            </w:r>
          </w:p>
        </w:tc>
        <w:tc>
          <w:tcPr>
            <w:tcW w:w="40" w:type="dxa"/>
            <w:vAlign w:val="bottom"/>
          </w:tcPr>
          <w:p>
            <w:pPr>
              <w:spacing w:after="0"/>
              <w:rPr>
                <w:sz w:val="17"/>
                <w:szCs w:val="17"/>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March 31, 2025</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07"/>
        </w:trPr>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7"/>
                <w:szCs w:val="17"/>
                <w:color w:val="auto"/>
              </w:rPr>
            </w:pPr>
          </w:p>
        </w:tc>
      </w:tr>
      <w:tr>
        <w:trPr>
          <w:trHeight w:val="208"/>
        </w:trPr>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887,136</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349,051</w:t>
            </w:r>
          </w:p>
        </w:tc>
        <w:tc>
          <w:tcPr>
            <w:tcW w:w="40" w:type="dxa"/>
            <w:vAlign w:val="bottom"/>
          </w:tcPr>
          <w:p>
            <w:pPr>
              <w:spacing w:after="0"/>
              <w:rPr>
                <w:sz w:val="18"/>
                <w:szCs w:val="18"/>
                <w:color w:val="auto"/>
              </w:rPr>
            </w:pPr>
          </w:p>
        </w:tc>
      </w:tr>
      <w:tr>
        <w:trPr>
          <w:trHeight w:val="213"/>
        </w:trPr>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161,004</w:t>
            </w:r>
          </w:p>
        </w:tc>
        <w:tc>
          <w:tcPr>
            <w:tcW w:w="22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538,085</w:t>
            </w:r>
          </w:p>
        </w:tc>
        <w:tc>
          <w:tcPr>
            <w:tcW w:w="40" w:type="dxa"/>
            <w:vAlign w:val="bottom"/>
          </w:tcPr>
          <w:p>
            <w:pPr>
              <w:spacing w:after="0"/>
              <w:rPr>
                <w:sz w:val="18"/>
                <w:szCs w:val="18"/>
                <w:color w:val="auto"/>
              </w:rPr>
            </w:pPr>
          </w:p>
        </w:tc>
      </w:tr>
      <w:tr>
        <w:trPr>
          <w:trHeight w:val="199"/>
        </w:trPr>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1,048,140</w:t>
            </w:r>
          </w:p>
        </w:tc>
        <w:tc>
          <w:tcPr>
            <w:tcW w:w="22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887,136</w:t>
            </w:r>
          </w:p>
        </w:tc>
        <w:tc>
          <w:tcPr>
            <w:tcW w:w="40" w:type="dxa"/>
            <w:vAlign w:val="bottom"/>
          </w:tcPr>
          <w:p>
            <w:pPr>
              <w:spacing w:after="0"/>
              <w:rPr>
                <w:sz w:val="17"/>
                <w:szCs w:val="17"/>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-2202180</wp:posOffset>
            </wp:positionV>
            <wp:extent cx="698627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-1388110</wp:posOffset>
            </wp:positionV>
            <wp:extent cx="698627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-565150</wp:posOffset>
            </wp:positionV>
            <wp:extent cx="698627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-1945005</wp:posOffset>
            </wp:positionV>
            <wp:extent cx="698627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-1130935</wp:posOffset>
            </wp:positionV>
            <wp:extent cx="698627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-290830</wp:posOffset>
            </wp:positionV>
            <wp:extent cx="698627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1440" w:right="339" w:bottom="1440" w:gutter="0" w:footer="0" w:header="0"/>
        </w:sectPr>
      </w:pPr>
    </w:p>
    <w:p>
      <w:pPr>
        <w:spacing w:after="0" w:line="13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During the three months ended March 31, 2025, the Group acquired assets with a cost of €0.2 million (December 31, 2024: €0.5 million). The acquisitions were mainly related to equipment, tools and installations.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right-of-use assets: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28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83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2"/>
        </w:trPr>
        <w:tc>
          <w:tcPr>
            <w:tcW w:w="6080" w:type="dxa"/>
            <w:vAlign w:val="bottom"/>
          </w:tcPr>
          <w:p>
            <w:pPr>
              <w:spacing w:after="0"/>
              <w:rPr>
                <w:sz w:val="17"/>
                <w:szCs w:val="17"/>
                <w:color w:val="auto"/>
              </w:rPr>
            </w:pPr>
          </w:p>
        </w:tc>
        <w:tc>
          <w:tcPr>
            <w:tcW w:w="2280" w:type="dxa"/>
            <w:vAlign w:val="bottom"/>
            <w:tcBorders>
              <w:top w:val="single" w:sz="8" w:color="auto"/>
            </w:tcBorders>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813,842</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231,893</w:t>
            </w:r>
          </w:p>
        </w:tc>
      </w:tr>
      <w:tr>
        <w:trPr>
          <w:trHeight w:val="203"/>
        </w:trPr>
        <w:tc>
          <w:tcPr>
            <w:tcW w:w="8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25,735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756,748</w:t>
            </w:r>
          </w:p>
        </w:tc>
      </w:tr>
      <w:tr>
        <w:trPr>
          <w:trHeight w:val="203"/>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charges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(61,966)</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(174,799)</w:t>
            </w: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Impact of transaction of foreign currency</w:t>
            </w:r>
          </w:p>
        </w:tc>
        <w:tc>
          <w:tcPr>
            <w:tcW w:w="2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(51,470)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726,141</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813,842</w:t>
            </w: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lease liabilities at March 31, 2025:</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380" w:type="dxa"/>
            <w:vAlign w:val="bottom"/>
            <w:gridSpan w:val="2"/>
          </w:tcPr>
          <w:p>
            <w:pPr>
              <w:ind w:left="12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080" w:type="dxa"/>
            <w:vAlign w:val="bottom"/>
          </w:tcPr>
          <w:p>
            <w:pPr>
              <w:spacing w:after="0"/>
              <w:rPr>
                <w:sz w:val="18"/>
                <w:szCs w:val="18"/>
                <w:color w:val="auto"/>
              </w:rPr>
            </w:pPr>
          </w:p>
        </w:tc>
        <w:tc>
          <w:tcPr>
            <w:tcW w:w="316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608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Office leases</w:t>
            </w:r>
          </w:p>
        </w:tc>
        <w:tc>
          <w:tcPr>
            <w:tcW w:w="3380" w:type="dxa"/>
            <w:vAlign w:val="bottom"/>
            <w:gridSpan w:val="2"/>
            <w:shd w:val="clear" w:color="auto" w:fill="CFF0FC"/>
          </w:tcPr>
          <w:p>
            <w:pPr>
              <w:ind w:left="2580"/>
              <w:spacing w:after="0"/>
              <w:rPr>
                <w:sz w:val="20"/>
                <w:szCs w:val="20"/>
                <w:color w:val="auto"/>
              </w:rPr>
            </w:pPr>
            <w:r>
              <w:rPr>
                <w:rFonts w:ascii="Times New Roman" w:cs="Times New Roman" w:eastAsia="Times New Roman" w:hAnsi="Times New Roman"/>
                <w:sz w:val="16"/>
                <w:szCs w:val="16"/>
                <w:color w:val="auto"/>
              </w:rPr>
              <w:t>(740,978)</w:t>
            </w:r>
          </w:p>
        </w:tc>
        <w:tc>
          <w:tcPr>
            <w:tcW w:w="17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(861,470)</w:t>
            </w: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Total lease liability</w:t>
            </w:r>
          </w:p>
        </w:tc>
        <w:tc>
          <w:tcPr>
            <w:tcW w:w="3380" w:type="dxa"/>
            <w:vAlign w:val="bottom"/>
            <w:gridSpan w:val="2"/>
          </w:tcPr>
          <w:p>
            <w:pPr>
              <w:ind w:left="2580"/>
              <w:spacing w:after="0"/>
              <w:rPr>
                <w:sz w:val="20"/>
                <w:szCs w:val="20"/>
                <w:color w:val="auto"/>
              </w:rPr>
            </w:pPr>
            <w:r>
              <w:rPr>
                <w:rFonts w:ascii="Times New Roman" w:cs="Times New Roman" w:eastAsia="Times New Roman" w:hAnsi="Times New Roman"/>
                <w:sz w:val="16"/>
                <w:szCs w:val="16"/>
                <w:color w:val="auto"/>
              </w:rPr>
              <w:t>(740,978)</w:t>
            </w:r>
          </w:p>
        </w:tc>
        <w:tc>
          <w:tcPr>
            <w:tcW w:w="178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(861,470)</w:t>
            </w:r>
          </w:p>
        </w:tc>
      </w:tr>
      <w:tr>
        <w:trPr>
          <w:trHeight w:val="203"/>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3380" w:type="dxa"/>
            <w:vAlign w:val="bottom"/>
            <w:gridSpan w:val="2"/>
            <w:shd w:val="clear" w:color="auto" w:fill="CFF0FC"/>
          </w:tcPr>
          <w:p>
            <w:pPr>
              <w:ind w:left="2580"/>
              <w:spacing w:after="0"/>
              <w:rPr>
                <w:sz w:val="20"/>
                <w:szCs w:val="20"/>
                <w:color w:val="auto"/>
              </w:rPr>
            </w:pPr>
            <w:r>
              <w:rPr>
                <w:rFonts w:ascii="Times New Roman" w:cs="Times New Roman" w:eastAsia="Times New Roman" w:hAnsi="Times New Roman"/>
                <w:sz w:val="16"/>
                <w:szCs w:val="16"/>
                <w:color w:val="auto"/>
              </w:rPr>
              <w:t>(194,599)</w:t>
            </w:r>
          </w:p>
        </w:tc>
        <w:tc>
          <w:tcPr>
            <w:tcW w:w="17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(222,427)</w:t>
            </w:r>
          </w:p>
        </w:tc>
      </w:tr>
      <w:tr>
        <w:trPr>
          <w:trHeight w:val="210"/>
        </w:trPr>
        <w:tc>
          <w:tcPr>
            <w:tcW w:w="6080" w:type="dxa"/>
            <w:vAlign w:val="bottom"/>
          </w:tcPr>
          <w:p>
            <w:pPr>
              <w:spacing w:after="0"/>
              <w:rPr>
                <w:sz w:val="20"/>
                <w:szCs w:val="20"/>
                <w:color w:val="auto"/>
              </w:rPr>
            </w:pPr>
            <w:r>
              <w:rPr>
                <w:rFonts w:ascii="Arial" w:cs="Arial" w:eastAsia="Arial" w:hAnsi="Arial"/>
                <w:sz w:val="16"/>
                <w:szCs w:val="16"/>
                <w:b w:val="1"/>
                <w:bCs w:val="1"/>
                <w:color w:val="auto"/>
              </w:rPr>
              <w:t>Non-current portion</w:t>
            </w:r>
          </w:p>
        </w:tc>
        <w:tc>
          <w:tcPr>
            <w:tcW w:w="3160" w:type="dxa"/>
            <w:vAlign w:val="bottom"/>
            <w:tcBorders>
              <w:top w:val="single" w:sz="8" w:color="auto"/>
              <w:bottom w:val="single" w:sz="8" w:color="auto"/>
            </w:tcBorders>
          </w:tcPr>
          <w:p>
            <w:pPr>
              <w:ind w:left="2580"/>
              <w:spacing w:after="0"/>
              <w:rPr>
                <w:sz w:val="20"/>
                <w:szCs w:val="20"/>
                <w:color w:val="auto"/>
              </w:rPr>
            </w:pPr>
            <w:r>
              <w:rPr>
                <w:rFonts w:ascii="Times New Roman" w:cs="Times New Roman" w:eastAsia="Times New Roman" w:hAnsi="Times New Roman"/>
                <w:sz w:val="16"/>
                <w:szCs w:val="16"/>
                <w:color w:val="auto"/>
                <w:w w:val="89"/>
              </w:rPr>
              <w:t>(546,379)</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9"/>
              </w:rPr>
              <w:t>(639,043)</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Office leases consist of (i) a lease that was entered into on December 1, 2022 with an expiration date of November 30, 2025 for offices in Leiden, the Netherlands. The lease has a lease term of three years, and (ii) a new lease agreement entered into on October 16, 2024 with an expiration date of December 31, 2029, for office space in Lexington, Cranberry One Suite 400, United States of America, or the U.S. The lease has a lease term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 June 30, 2024 a lease related to office space in Lexington, Cranberry One Suite 300, expired.</w:t>
      </w:r>
    </w:p>
    <w:p>
      <w:pPr>
        <w:spacing w:after="0" w:line="26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Leiden lease was 7.77% during the 3 months ended March 31, 2025 and the twelve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U.S. lease was 6.39% for the year ended 3 months ended March 31, 2025 and the twelve months ended December 31, 2024.</w:t>
      </w:r>
    </w:p>
    <w:p>
      <w:pPr>
        <w:spacing w:after="0" w:line="196"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Depreciation expense was €0.1 million for each of the three months ended March 31, 2025 and 2024, and is reflected in general and administrative expenses as determined by the underlying activities.</w:t>
      </w:r>
    </w:p>
    <w:p>
      <w:pPr>
        <w:spacing w:after="0" w:line="169"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252525"/>
        </w:rPr>
        <w:t xml:space="preserve">The total expense related to short-term and low-value leases for the three months ended </w:t>
      </w:r>
      <w:r>
        <w:rPr>
          <w:rFonts w:ascii="Arial" w:cs="Arial" w:eastAsia="Arial" w:hAnsi="Arial"/>
          <w:sz w:val="16"/>
          <w:szCs w:val="16"/>
          <w:color w:val="000000"/>
        </w:rPr>
        <w:t>March 31, 2025</w:t>
      </w:r>
      <w:r>
        <w:rPr>
          <w:rFonts w:ascii="Arial" w:cs="Arial" w:eastAsia="Arial" w:hAnsi="Arial"/>
          <w:sz w:val="16"/>
          <w:szCs w:val="16"/>
          <w:color w:val="252525"/>
        </w:rPr>
        <w:t xml:space="preserve"> and 2024, was €0.1 million and €0.1 </w:t>
      </w:r>
      <w:r>
        <w:rPr>
          <w:rFonts w:ascii="Arial" w:cs="Arial" w:eastAsia="Arial" w:hAnsi="Arial"/>
          <w:sz w:val="16"/>
          <w:szCs w:val="16"/>
          <w:color w:val="000000"/>
        </w:rPr>
        <w:t>million,</w:t>
      </w:r>
      <w:r>
        <w:rPr>
          <w:rFonts w:ascii="Arial" w:cs="Arial" w:eastAsia="Arial" w:hAnsi="Arial"/>
          <w:sz w:val="16"/>
          <w:szCs w:val="16"/>
          <w:color w:val="252525"/>
        </w:rPr>
        <w:t xml:space="preserve"> </w:t>
      </w:r>
      <w:r>
        <w:rPr>
          <w:rFonts w:ascii="Arial" w:cs="Arial" w:eastAsia="Arial" w:hAnsi="Arial"/>
          <w:sz w:val="16"/>
          <w:szCs w:val="16"/>
          <w:color w:val="000000"/>
        </w:rPr>
        <w:t xml:space="preserve">respectively, </w:t>
      </w:r>
      <w:r>
        <w:rPr>
          <w:rFonts w:ascii="Arial" w:cs="Arial" w:eastAsia="Arial" w:hAnsi="Arial"/>
          <w:sz w:val="16"/>
          <w:szCs w:val="16"/>
          <w:color w:val="252525"/>
        </w:rPr>
        <w:t>and is included in facility, communication, and office expenses.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three months ended March 31, 2025 and 2024 were €0.1 million and €0.05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7"/>
                <w:szCs w:val="17"/>
                <w:color w:val="auto"/>
              </w:rPr>
            </w:pP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tax receivable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2,060,162</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2,486,680</w:t>
            </w: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VAT receivables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583,122</w:t>
            </w:r>
          </w:p>
        </w:tc>
        <w:tc>
          <w:tcPr>
            <w:tcW w:w="22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457,834</w:t>
            </w:r>
          </w:p>
        </w:tc>
        <w:tc>
          <w:tcPr>
            <w:tcW w:w="100" w:type="dxa"/>
            <w:vAlign w:val="bottom"/>
          </w:tcPr>
          <w:p>
            <w:pPr>
              <w:spacing w:after="0"/>
              <w:rPr>
                <w:sz w:val="17"/>
                <w:szCs w:val="17"/>
                <w:color w:val="auto"/>
              </w:rPr>
            </w:pPr>
          </w:p>
        </w:tc>
      </w:tr>
      <w:tr>
        <w:trPr>
          <w:trHeight w:val="236"/>
        </w:trPr>
        <w:tc>
          <w:tcPr>
            <w:tcW w:w="76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2,643,284</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2,944,514</w:t>
            </w:r>
          </w:p>
        </w:tc>
      </w:tr>
      <w:tr>
        <w:trPr>
          <w:trHeight w:val="519"/>
        </w:trPr>
        <w:tc>
          <w:tcPr>
            <w:tcW w:w="76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11. Other current assets</w:t>
            </w: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-367030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-349885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-367030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-349885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7,041,689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5,747,025</w:t>
            </w:r>
          </w:p>
        </w:tc>
        <w:tc>
          <w:tcPr>
            <w:tcW w:w="100" w:type="dxa"/>
            <w:vAlign w:val="bottom"/>
            <w:shd w:val="clear" w:color="auto" w:fill="CFF0FC"/>
          </w:tcPr>
          <w:p>
            <w:pPr>
              <w:spacing w:after="0"/>
              <w:rPr>
                <w:sz w:val="17"/>
                <w:szCs w:val="17"/>
                <w:color w:val="auto"/>
              </w:rPr>
            </w:pPr>
          </w:p>
        </w:tc>
      </w:tr>
      <w:tr>
        <w:trPr>
          <w:trHeight w:val="196"/>
        </w:trPr>
        <w:tc>
          <w:tcPr>
            <w:tcW w:w="766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7,041,689</w:t>
            </w:r>
          </w:p>
        </w:tc>
        <w:tc>
          <w:tcPr>
            <w:tcW w:w="26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5,747,025</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prepaid research and development expenses and rent.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0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March 31, 2025 and December 31, 2024, there were no restricted cash and cash equivalent balances. Cash and cash equivalent balances as of March 31, 2025 include investments in money market funds of €123.7 million at fair market value. (Cost: €123.1 million) (December 31, 2024: Euro nil).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March 31, 2025, the Company’s authorized share capital amounted to € 14.1 million divided into 117,500,000 ordinary shares each with a nominal value of twelve eurocents (€0.12).</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2025, the total number of issued and fully paid shares was 54,493,142 (2024: 53,816,707). On March 31, 2025, the issued share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totaled €6.5 million (2024: €6.5 million).</w:t>
      </w:r>
    </w:p>
    <w:p>
      <w:pPr>
        <w:spacing w:after="0" w:line="286"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Leerink Partners.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2025, the Company has sold a total of 593,927 ordinary shares under the sales agreement generating total net proceeds of $9.8 million</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(€9.3 million), after deducting $0.3 million (€0.3 million), which was payable to Leerink Partners as commission in respect of such sales. On April 12, 2024, the Company terminated the March 2022 sales agreement and entered into a new sales agreement with Leerink Partners (the “April 2024 Sales Agreement”), pursuant to which it may sell ordinary shares having an aggregate offering price of up to $175 million from time to time through Leerink Partners. In April 2024, the Company filed a Form F-3 ASR Registration Statement (the “F-3 ASR”) and prospectus, allowing the Company to sell an unspecified amount of its securities with the Securities and Exchange Commission. The F-3 ASR was supplemented by a prospectus supplement covering an at-the-market program providing for the sales from time to time of up to $175 million of its ordinary shares pursuant to the April 2024 Sales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(€64.2 million).</w:t>
      </w:r>
    </w:p>
    <w:p>
      <w:pPr>
        <w:spacing w:after="0" w:line="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pre-funded warrants were exercised in January 2024 for gross exercise proceeds of $0.01 million and resulted in issuance of 1,375,000 ordinary shares.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8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r>
      <w:tr>
        <w:trPr>
          <w:trHeight w:val="202"/>
        </w:trPr>
        <w:tc>
          <w:tcPr>
            <w:tcW w:w="76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7"/>
                <w:szCs w:val="17"/>
                <w:color w:val="auto"/>
              </w:rPr>
            </w:pPr>
          </w:p>
        </w:tc>
      </w:tr>
      <w:tr>
        <w:trPr>
          <w:trHeight w:val="19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Ordinary shares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54,493,142</w:t>
            </w:r>
          </w:p>
        </w:tc>
        <w:tc>
          <w:tcPr>
            <w:tcW w:w="2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54,379,491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54,493,142</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54,379,491</w:t>
            </w:r>
          </w:p>
        </w:tc>
      </w:tr>
      <w:tr>
        <w:trPr>
          <w:trHeight w:val="20"/>
        </w:trPr>
        <w:tc>
          <w:tcPr>
            <w:tcW w:w="76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Trade and other payables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4,225,946</w:t>
            </w:r>
          </w:p>
        </w:tc>
        <w:tc>
          <w:tcPr>
            <w:tcW w:w="1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4,562,900</w:t>
            </w:r>
          </w:p>
        </w:tc>
      </w:tr>
      <w:tr>
        <w:trPr>
          <w:trHeight w:val="196"/>
        </w:trPr>
        <w:tc>
          <w:tcPr>
            <w:tcW w:w="766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4,225,946</w:t>
            </w:r>
          </w:p>
        </w:tc>
        <w:tc>
          <w:tcPr>
            <w:tcW w:w="26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4,562,900</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720" w:type="dxa"/>
            <w:vAlign w:val="bottom"/>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7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accrued liabilities</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6,815,707</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5,221,572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Personnel related accruals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4,722,070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7,827,392</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accrued liabilities</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2,818,576</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1,767,291</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Nonclinical accrued liabilities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890,000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445,238</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Consulting, professional and audit liability</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567,788</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729,162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1,349,996</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1,597,752</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17,164,137</w:t>
            </w:r>
          </w:p>
        </w:tc>
        <w:tc>
          <w:tcPr>
            <w:tcW w:w="2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17,588,407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0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2024.</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Fair values of cash balances, trade receivables, trade payables, and other current liabilities approximate their carrying amounts largely due to the short-term maturities of these instruments.</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fair value of the cash equivalents, Group’s financial instruments measured at fair value on recurring basis, is categorized within level 1 of the fair value hierarchy, as the valuation is based on quoted net asset values (NAV) in active markets at the reporting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Equity Incentive Plan (the “2021 Plan”).</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92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w w:val="98"/>
              </w:rPr>
              <w:t>Stock Options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RSUs</w:t>
            </w:r>
          </w:p>
        </w:tc>
      </w:tr>
      <w:tr>
        <w:trPr>
          <w:trHeight w:val="183"/>
        </w:trPr>
        <w:tc>
          <w:tcPr>
            <w:tcW w:w="65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60" w:type="dxa"/>
            <w:vAlign w:val="bottom"/>
          </w:tcPr>
          <w:p>
            <w:pPr>
              <w:spacing w:after="0"/>
              <w:rPr>
                <w:sz w:val="17"/>
                <w:szCs w:val="17"/>
                <w:color w:val="auto"/>
              </w:rPr>
            </w:pPr>
          </w:p>
        </w:tc>
        <w:tc>
          <w:tcPr>
            <w:tcW w:w="19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5"/>
        </w:trPr>
        <w:tc>
          <w:tcPr>
            <w:tcW w:w="6560" w:type="dxa"/>
            <w:vAlign w:val="bottom"/>
          </w:tcPr>
          <w:p>
            <w:pPr>
              <w:spacing w:after="0"/>
              <w:rPr>
                <w:sz w:val="18"/>
                <w:szCs w:val="18"/>
                <w:color w:val="auto"/>
              </w:rPr>
            </w:pPr>
          </w:p>
        </w:tc>
        <w:tc>
          <w:tcPr>
            <w:tcW w:w="19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RSUs</w:t>
            </w:r>
          </w:p>
        </w:tc>
      </w:tr>
      <w:tr>
        <w:trPr>
          <w:trHeight w:val="199"/>
        </w:trPr>
        <w:tc>
          <w:tcPr>
            <w:tcW w:w="656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3,869,188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1,272,790</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594,705</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 (Vested and Settled)</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(96,735)</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(23,382)</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9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(6,672)</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 Options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(139,167)</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March 31,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4,263,286</w:t>
            </w: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1,837,441</w:t>
            </w:r>
          </w:p>
        </w:tc>
        <w:tc>
          <w:tcPr>
            <w:tcW w:w="120" w:type="dxa"/>
            <w:vAlign w:val="bottom"/>
            <w:tcBorders>
              <w:top w:val="single" w:sz="8" w:color="CFF0FC"/>
            </w:tcBorders>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-162560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-162560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7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During the three months ended March 31, 2025, a total of 383,705 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During the three months ended March 31, 2025, 186,000 RSUs were issued to existing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w:t>
      </w:r>
    </w:p>
    <w:p>
      <w:pPr>
        <w:spacing w:after="0" w:line="7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During the three months ended March 31, 2025, 25,000 RSUs were issued to members of the Board of Directors. The RSUs shall vest on the 12-month anniversary of the vesting start date.</w:t>
      </w:r>
    </w:p>
    <w:p>
      <w:pPr>
        <w:spacing w:after="0" w:line="4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and share closing prices for grants during the first three months of 2025 were: February 1 (€16.57), March 1 (€14.60) and March 12 (€14.71), respectively.</w:t>
      </w:r>
    </w:p>
    <w:p>
      <w:pPr>
        <w:spacing w:after="0" w:line="6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March 12, 2025, a total of 75,000 stock options were granted to members of the Board of Directors with an exercise price of €14.74 per share with a final exercise date of March 11, 2035,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March 12, 2025, a total of 555,000 stock options were granted to members of key management with an exercise price of €14.74 per share with a final exercise date of March 11, 2035,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2025, a total number of 2,301,381 stock options are exercisable (March 31, 2024: 2,179,262).</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For the three months ended March 31, 2025, the Group recognized €4.1 million of share-based payment expense in the unaudited condensed consolidated statement of income or loss and other comprehensive income (three months ended March 31, 2024: €2.4 million).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inputs and outputs used in the measurement of the fair value per option at each grant/ measurement date using the Black-Scholes formula (including the related number of options and the fair value of the options) were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15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March 12, 2025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March 12, 2025</w:t>
            </w:r>
          </w:p>
        </w:tc>
      </w:tr>
      <w:tr>
        <w:trPr>
          <w:trHeight w:val="19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options</w:t>
            </w:r>
          </w:p>
        </w:tc>
        <w:tc>
          <w:tcPr>
            <w:tcW w:w="15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75,000</w:t>
            </w: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555,000</w:t>
            </w:r>
          </w:p>
        </w:tc>
        <w:tc>
          <w:tcPr>
            <w:tcW w:w="14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the options</w:t>
            </w: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40" w:type="dxa"/>
            <w:vAlign w:val="bottom"/>
          </w:tcPr>
          <w:p>
            <w:pPr>
              <w:spacing w:after="0"/>
              <w:rPr>
                <w:sz w:val="17"/>
                <w:szCs w:val="17"/>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the ordinary shares</w:t>
            </w: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4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40" w:type="dxa"/>
            <w:vAlign w:val="bottom"/>
          </w:tcPr>
          <w:p>
            <w:pPr>
              <w:spacing w:after="0"/>
              <w:rPr>
                <w:sz w:val="17"/>
                <w:szCs w:val="17"/>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 (%)</w:t>
            </w:r>
          </w:p>
        </w:tc>
        <w:tc>
          <w:tcPr>
            <w:tcW w:w="15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(years)</w:t>
            </w:r>
          </w:p>
        </w:tc>
        <w:tc>
          <w:tcPr>
            <w:tcW w:w="15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7"/>
                <w:szCs w:val="17"/>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15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5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0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months ended March 31, 2025 and 2024.</w:t>
      </w:r>
    </w:p>
    <w:p>
      <w:pPr>
        <w:spacing w:after="0" w:line="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36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199"/>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(46,340,823)</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(28,018,756)</w:t>
            </w:r>
          </w:p>
        </w:tc>
      </w:tr>
      <w:tr>
        <w:trPr>
          <w:trHeight w:val="203"/>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54,487,350</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53,747,981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loss per share</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(0.85)</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(0.52)</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5"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Group's contractual obligations and commitments as of March 31, 2025 amounted to €115 million, (December 31, 2024: €109.9 million) primarily related to research and development activities.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March 31, 2025 and December 31, 2024.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0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p>
      <w:pPr>
        <w:spacing w:after="0" w:line="23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8160" w:type="dxa"/>
            <w:vAlign w:val="bottom"/>
            <w:gridSpan w:val="2"/>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140" w:type="dxa"/>
            <w:vAlign w:val="bottom"/>
          </w:tcPr>
          <w:p>
            <w:pPr>
              <w:spacing w:after="0"/>
              <w:rPr>
                <w:sz w:val="17"/>
                <w:szCs w:val="17"/>
                <w:color w:val="auto"/>
              </w:rPr>
            </w:pPr>
          </w:p>
        </w:tc>
        <w:tc>
          <w:tcPr>
            <w:tcW w:w="1020" w:type="dxa"/>
            <w:vAlign w:val="bottom"/>
            <w:tcBorders>
              <w:top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employee benefits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1,409,616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1,361,429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 employee benefits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70,175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64,059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2,861,210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1,312,875</w:t>
            </w:r>
          </w:p>
        </w:tc>
        <w:tc>
          <w:tcPr>
            <w:tcW w:w="100" w:type="dxa"/>
            <w:vAlign w:val="bottom"/>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4,341,001</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2,738,363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Group engages a management entity for the purpose of providing key management services and/or strategic advisory services to the Company. This management entity is considered a related party, as it provides key management advisory services and exercises key management functions.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3" w:name="page34"/>
    <w:bookmarkEnd w:id="33"/>
    <w:p>
      <w:pPr>
        <w:ind w:right="100"/>
        <w:spacing w:after="0" w:line="286" w:lineRule="auto"/>
        <w:rPr>
          <w:sz w:val="20"/>
          <w:szCs w:val="20"/>
          <w:color w:val="auto"/>
        </w:rPr>
      </w:pPr>
      <w:r>
        <w:rPr>
          <w:rFonts w:ascii="Arial" w:cs="Arial" w:eastAsia="Arial" w:hAnsi="Arial"/>
          <w:sz w:val="16"/>
          <w:szCs w:val="16"/>
          <w:color w:val="auto"/>
        </w:rPr>
        <w:t>The aggregate amount of expense recognized in the unaudited condensed consolidated interim financial statements related to this related party was €0.2 million and €0.3 million for the three months ended March 31, 2025 and 2024, respectively.</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outstanding balances payable to key management personnel, or entities which they control, as per March 31, 2025 and December 31, 2024 were €0.4 million and € 1.5 million, respectively.</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21" w:right="499" w:bottom="1440" w:gutter="0" w:footer="0" w:header="0"/>
        </w:sectPr>
      </w:pPr>
    </w:p>
    <w:bookmarkStart w:id="34" w:name="page35"/>
    <w:bookmarkEnd w:id="34"/>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evaluated subsequent events through May 13, 2025, which is the date the condensed consolidated interim financial statements were authorized for issuance, and did not identify any significant event after reporting period that needs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35" w:name="page36"/>
    <w:bookmarkEnd w:id="35"/>
    <w:p>
      <w:pPr>
        <w:spacing w:after="0" w:line="85" w:lineRule="exact"/>
        <w:rPr>
          <w:sz w:val="20"/>
          <w:szCs w:val="20"/>
          <w:color w:val="auto"/>
        </w:rPr>
      </w:pPr>
    </w:p>
    <w:p>
      <w:pPr>
        <w:ind w:right="3119"/>
        <w:spacing w:after="0" w:line="443"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May 13,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B.A.E. Modig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R.H. Glassman</w:t>
      </w:r>
    </w:p>
    <w:p>
      <w:pPr>
        <w:spacing w:after="0" w:line="211"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E. Björk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J.G.C.P. Schikan</w:t>
      </w:r>
    </w:p>
    <w:p>
      <w:pPr>
        <w:spacing w:after="0" w:line="211"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D.P. Meeker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V. Monges</w:t>
      </w:r>
    </w:p>
    <w:p>
      <w:pPr>
        <w:spacing w:after="0" w:line="200"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2025-05-13T15:20:53Z</dcterms:created>
  <dcterms:modified xsi:type="dcterms:W3CDTF">2025-05-13T15:20:53Z</dcterms:modified>
</cp:coreProperties>
</file>