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Pharvaris N.V.</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Euro 0.12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N69605108</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N69605108</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Bain Capital Life Sciences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1,867,629.00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1,867,629.00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1,867,629.00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N69605108</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BCIP Life Sciences Associates,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191,165.00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191,165.00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191,165.00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N69605108</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Bain Capital Life Sciences Opportunities III,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1,122,481.00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1,122,481.00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1,122,481.00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Pharvaris N.V.</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Emmy Noetherweg 2, 2333 BK Leiden, The Netherlands.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jointly by Bain Capital Life Sciences Fund, L.P., a Cayman Islands exempted limited partnership ("BCLS Fund I"), BCIP Life Sciences Associates, LP, a Delaware limited partnership ("BCIPLS"), and Bain Capital Life Sciences Opportunities III, LP, a Delaware limited partnership ("BCLS Fund III Opportunities" and, together with BCLS Fund I and BCIPLS, the "Reporting Persons"). Bain Capital Life Sciences Investors, LLC, a Delaware limited liability company ("BCLSI"), is the general partner of Bain Capital Life Sciences Partners, LP, a Cayman Islands exempted limited partnership ("BCLSP"), which is the general partner of BCLS Fund I. BCLSI is also the manager of Bain Capital Life Sciences III General Partner, LLC, a Delaware limited liability company ("BCLS Fund III GP"), which is the general partner of Bain Capital Life Sciences Fund III, L.P., a Delaware limited partnership ("BCLS Fund III"), which is the sole member of Bain Capital Life Sciences Opportunities III GP, LLC, a Delaware limited liability company ("BCLS Fund III Opportunities GP"), which is the general partner of BCLS Fund III Opportunities. Boylston Coinvestors, LLC, a Delaware limited liability company ("Boylston" and, together with the Reporting Persons, BCLSI, BCLSP, BCLS Fund III GP, BCLS Fund III and BCLS Fund III Opportunities GP, the "Bain Capital Life Sciences Entities"), is the general partner of BCIPLS. BCLSI governs the investment strategy and decision-making process with respect to investments held by BCIPLS. As a result, BCLSI may be deemed to share voting and dispositive power with respect to the securities held by the Reporting Persons. The Reporting Persons have entered into a Joint Filing Agreement, dated November 14, 2025, pursuant to which the Reporting Persons have agreed to file this Schedule 13G jointly in accordance with the provisions of Rule 13d-1(k)(1) promulgated under the Act.</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for each of the Bain Capital Life Sciences Entities is 200 Clarendon Street, Boston, Massachusetts 02116.</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See Item 2(a) hereof.</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Euro 0.12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jc w:val="left"/>
              <w:rPr/>
            </w:pPr>
            <w:r>
              <w:rPr/>
              <w:t xml:space="preserve">CUSIP No.: </w:t>
            </w:r>
          </w:p>
          <w:p>
            <w:pPr>
              <w:pStyle w:val="TableContents"/>
              <w:bidi w:val="0"/>
              <w:spacing w:before="0" w:after="0"/>
              <w:jc w:val="left"/>
              <w:rPr/>
            </w:pPr>
            <w:r>
              <w:rPr/>
              <w:t>N69605108</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September 30, 2025, (i) BCLS Fund I held 1,867,629 Ordinary Shares, representing approximately 3.0% of the outstanding Ordinary Shares, (ii) BCIPLS held 191,165 Ordinary Shares, representing approximately 0.3% of the outstanding Ordinary Shares, and (iii) BCLS Fund III Opportunities held 1,122,481 Ordinary Shares, representing approximately 1.8% of the Outstanding Ordinary Shares. As a result of the foregoing and the relationships described in Item 2(a), the Reporting Persons may be deemed to collectively beneficially own an aggregate of 3,181,275 Ordinary Shares as of September 30, 2025, representing approximately 5.1% of the outstanding Ordinary Shares. The percentage of the outstanding Ordinary Shares held by the Reporting Persons is based on 62,743,142 Ordinary Shares outstanding as of July 22, 2025, as reported by the Issuer in its prospectus supplement filed with the Securities and Exchange Commission on July 24, 2025.</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4(a) hereof.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4(a)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4(a)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Bain Capital Life Sciences Fund, L.P.</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Ricky Sun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Ricky Sun, Partner of Bain Capital Life Sciences Investors, LLC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BCIP Life Sciences Associates, LP</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4"/>
        <w:gridCol w:w="4251"/>
      </w:tblGrid>
      <w:tr>
        <w:trPr/>
        <w:tc>
          <w:tcPr>
            <w:tcW w:w="59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Ricky Sun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Ricky Sun, Authorized Signatory of Boylston Coinvestors, LLC</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251" w:type="dxa"/>
            <w:tcBorders/>
            <w:vAlign w:val="center"/>
          </w:tcPr>
          <w:p>
            <w:pPr>
              <w:pStyle w:val="TableContents"/>
              <w:bidi w:val="0"/>
              <w:spacing w:before="0" w:after="283"/>
              <w:jc w:val="left"/>
              <w:rPr>
                <w:sz w:val="4"/>
                <w:szCs w:val="4"/>
              </w:rPr>
            </w:pPr>
            <w:r>
              <w:rPr>
                <w:sz w:val="4"/>
                <w:szCs w:val="4"/>
              </w:rPr>
            </w:r>
          </w:p>
        </w:tc>
      </w:tr>
    </w:tbl>
    <w:tbl>
      <w:tblPr>
        <w:tblW w:w="9766" w:type="dxa"/>
        <w:jc w:val="left"/>
        <w:tblInd w:w="0" w:type="dxa"/>
        <w:tblLayout w:type="fixed"/>
        <w:tblCellMar>
          <w:top w:w="28" w:type="dxa"/>
          <w:left w:w="28" w:type="dxa"/>
          <w:bottom w:w="28" w:type="dxa"/>
          <w:right w:w="28" w:type="dxa"/>
        </w:tblCellMar>
      </w:tblPr>
      <w:tblGrid>
        <w:gridCol w:w="4883"/>
        <w:gridCol w:w="4883"/>
      </w:tblGrid>
      <w:tr>
        <w:trPr/>
        <w:tc>
          <w:tcPr>
            <w:tcW w:w="4883" w:type="dxa"/>
            <w:tcBorders/>
            <w:vAlign w:val="center"/>
          </w:tcPr>
          <w:p>
            <w:pPr>
              <w:pStyle w:val="TableContents"/>
              <w:bidi w:val="0"/>
              <w:spacing w:before="0" w:after="0"/>
              <w:jc w:val="left"/>
              <w:rPr/>
            </w:pPr>
            <w:r>
              <w:rPr/>
              <w:t> </w:t>
            </w:r>
          </w:p>
          <w:tbl>
            <w:tblPr>
              <w:tblW w:w="4726" w:type="dxa"/>
              <w:jc w:val="left"/>
              <w:tblInd w:w="0" w:type="dxa"/>
              <w:tblLayout w:type="fixed"/>
              <w:tblCellMar>
                <w:top w:w="28" w:type="dxa"/>
                <w:left w:w="28" w:type="dxa"/>
                <w:bottom w:w="28" w:type="dxa"/>
                <w:right w:w="28" w:type="dxa"/>
              </w:tblCellMar>
            </w:tblPr>
            <w:tblGrid>
              <w:gridCol w:w="4726"/>
            </w:tblGrid>
            <w:tr>
              <w:trPr/>
              <w:tc>
                <w:tcPr>
                  <w:tcW w:w="4726" w:type="dxa"/>
                  <w:tcBorders/>
                  <w:vAlign w:val="center"/>
                </w:tcPr>
                <w:p>
                  <w:pPr>
                    <w:pStyle w:val="TableContents"/>
                    <w:bidi w:val="0"/>
                    <w:spacing w:before="0" w:after="0"/>
                    <w:jc w:val="left"/>
                    <w:rPr/>
                  </w:pPr>
                  <w:r>
                    <w:rPr/>
                    <w:t>Bain Capital Life Sciences Opportunities III, LP</w:t>
                  </w:r>
                </w:p>
              </w:tc>
            </w:tr>
          </w:tbl>
          <w:p>
            <w:pPr>
              <w:pStyle w:val="TableContents"/>
              <w:bidi w:val="0"/>
              <w:spacing w:before="0" w:after="283"/>
              <w:jc w:val="left"/>
              <w:rPr/>
            </w:pPr>
            <w:r>
              <w:rPr/>
            </w:r>
          </w:p>
        </w:tc>
        <w:tc>
          <w:tcPr>
            <w:tcW w:w="48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Ricky Sun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Ricky Sun, Partner of Bain Capital Life Sciences Investors, LLC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1471</Words>
  <Characters>7799</Characters>
  <CharactersWithSpaces>9216</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