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 par value €0.12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November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43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43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60" w:hanging="43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9080" w:type="dxa"/>
            <w:vAlign w:val="bottom"/>
          </w:tcPr>
          <w:p>
            <w:pPr>
              <w:ind w:left="8160"/>
              <w:spacing w:after="0"/>
              <w:rPr>
                <w:sz w:val="20"/>
                <w:szCs w:val="20"/>
                <w:color w:val="auto"/>
              </w:rPr>
            </w:pPr>
            <w:r>
              <w:rPr>
                <w:rFonts w:ascii="Times New Roman" w:cs="Times New Roman" w:eastAsia="Times New Roman" w:hAnsi="Times New Roman"/>
                <w:sz w:val="18"/>
                <w:szCs w:val="18"/>
                <w:b w:val="1"/>
                <w:bCs w:val="1"/>
                <w:color w:val="auto"/>
                <w:w w:val="95"/>
              </w:rPr>
              <w:t>Page 2 of 17</w:t>
            </w:r>
          </w:p>
        </w:tc>
        <w:tc>
          <w:tcPr>
            <w:tcW w:w="0" w:type="dxa"/>
            <w:vAlign w:val="bottom"/>
          </w:tcPr>
          <w:p>
            <w:pPr>
              <w:spacing w:after="0"/>
              <w:rPr>
                <w:sz w:val="1"/>
                <w:szCs w:val="1"/>
                <w:color w:val="auto"/>
              </w:rPr>
            </w:pPr>
          </w:p>
        </w:tc>
      </w:tr>
      <w:tr>
        <w:trPr>
          <w:trHeight w:val="216"/>
        </w:trPr>
        <w:tc>
          <w:tcPr>
            <w:tcW w:w="700" w:type="dxa"/>
            <w:vAlign w:val="bottom"/>
            <w:tcBorders>
              <w:bottom w:val="single" w:sz="8" w:color="auto"/>
            </w:tcBorders>
          </w:tcPr>
          <w:p>
            <w:pPr>
              <w:spacing w:after="0"/>
              <w:rPr>
                <w:sz w:val="18"/>
                <w:szCs w:val="18"/>
                <w:color w:val="auto"/>
              </w:rPr>
            </w:pPr>
          </w:p>
        </w:tc>
        <w:tc>
          <w:tcPr>
            <w:tcW w:w="1054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0"/>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w w:val="95"/>
              </w:rPr>
              <w:t>(a)</w:t>
            </w: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(1) (b) </w:t>
            </w:r>
            <w:r>
              <w:rPr>
                <w:rFonts w:ascii="MS PGothic" w:cs="MS PGothic" w:eastAsia="MS PGothic" w:hAnsi="MS PGothic"/>
                <w:sz w:val="18"/>
                <w:szCs w:val="18"/>
                <w:color w:val="auto"/>
                <w:w w:val="95"/>
              </w:rPr>
              <w:t>☐</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280" w:type="dxa"/>
            <w:vAlign w:val="bottom"/>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00" w:type="dxa"/>
            <w:vAlign w:val="bottom"/>
            <w:tcBorders>
              <w:left w:val="single" w:sz="8" w:color="auto"/>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9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bottom w:val="single" w:sz="8" w:color="auto"/>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 (3)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hanging="412"/>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470,700 shares held by Venrock Healthcare Capital Partners III, L.P.; (ii) 47,083 shares held by VHCP Co-Investment Holdings III, LLC; and (iii) 1,965,823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40,856,824 ordinary shares outstanding as of August 1, 2023 as disclosed in the Issuer’s prospectus dated August 16, 2023 filed with the Securities and Exchange Commission on August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9080" w:type="dxa"/>
            <w:vAlign w:val="bottom"/>
          </w:tcPr>
          <w:p>
            <w:pPr>
              <w:ind w:left="8160"/>
              <w:spacing w:after="0"/>
              <w:rPr>
                <w:sz w:val="20"/>
                <w:szCs w:val="20"/>
                <w:color w:val="auto"/>
              </w:rPr>
            </w:pPr>
            <w:r>
              <w:rPr>
                <w:rFonts w:ascii="Times New Roman" w:cs="Times New Roman" w:eastAsia="Times New Roman" w:hAnsi="Times New Roman"/>
                <w:sz w:val="18"/>
                <w:szCs w:val="18"/>
                <w:b w:val="1"/>
                <w:bCs w:val="1"/>
                <w:color w:val="auto"/>
                <w:w w:val="95"/>
              </w:rPr>
              <w:t>Page 3 of 17</w:t>
            </w:r>
          </w:p>
        </w:tc>
        <w:tc>
          <w:tcPr>
            <w:tcW w:w="0" w:type="dxa"/>
            <w:vAlign w:val="bottom"/>
          </w:tcPr>
          <w:p>
            <w:pPr>
              <w:spacing w:after="0"/>
              <w:rPr>
                <w:sz w:val="1"/>
                <w:szCs w:val="1"/>
                <w:color w:val="auto"/>
              </w:rPr>
            </w:pPr>
          </w:p>
        </w:tc>
      </w:tr>
      <w:tr>
        <w:trPr>
          <w:trHeight w:val="243"/>
        </w:trPr>
        <w:tc>
          <w:tcPr>
            <w:tcW w:w="700" w:type="dxa"/>
            <w:vAlign w:val="bottom"/>
            <w:tcBorders>
              <w:bottom w:val="single" w:sz="8" w:color="auto"/>
            </w:tcBorders>
          </w:tcPr>
          <w:p>
            <w:pPr>
              <w:spacing w:after="0"/>
              <w:rPr>
                <w:sz w:val="21"/>
                <w:szCs w:val="21"/>
                <w:color w:val="auto"/>
              </w:rPr>
            </w:pPr>
          </w:p>
        </w:tc>
        <w:tc>
          <w:tcPr>
            <w:tcW w:w="105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0"/>
        </w:trPr>
        <w:tc>
          <w:tcPr>
            <w:tcW w:w="700" w:type="dxa"/>
            <w:vAlign w:val="bottom"/>
            <w:tcBorders>
              <w:left w:val="single" w:sz="8" w:color="auto"/>
              <w:right w:val="single" w:sz="8" w:color="auto"/>
            </w:tcBorders>
          </w:tcPr>
          <w:p>
            <w:pPr>
              <w:spacing w:after="0"/>
              <w:rPr>
                <w:sz w:val="24"/>
                <w:szCs w:val="24"/>
                <w:color w:val="auto"/>
              </w:rPr>
            </w:pPr>
          </w:p>
        </w:tc>
        <w:tc>
          <w:tcPr>
            <w:tcW w:w="146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280" w:type="dxa"/>
            <w:vAlign w:val="bottom"/>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00" w:type="dxa"/>
            <w:vAlign w:val="bottom"/>
            <w:tcBorders>
              <w:left w:val="single" w:sz="8" w:color="auto"/>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9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bottom w:val="single" w:sz="8" w:color="auto"/>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 (3)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hanging="412"/>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470,700 shares held by Venrock Healthcare Capital Partners III, L.P.; (ii) 47,083 shares held by VHCP Co-Investment Holdings III, LLC; and (iii) 1,965,823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40,856,824 ordinary shares outstanding as of August 1, 2023 as disclosed in the Issuer’s prospectus dated August 16, 2023 filed with the Securities and Exchange Commission on August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9080" w:type="dxa"/>
            <w:vAlign w:val="bottom"/>
          </w:tcPr>
          <w:p>
            <w:pPr>
              <w:ind w:left="8160"/>
              <w:spacing w:after="0"/>
              <w:rPr>
                <w:sz w:val="20"/>
                <w:szCs w:val="20"/>
                <w:color w:val="auto"/>
              </w:rPr>
            </w:pPr>
            <w:r>
              <w:rPr>
                <w:rFonts w:ascii="Times New Roman" w:cs="Times New Roman" w:eastAsia="Times New Roman" w:hAnsi="Times New Roman"/>
                <w:sz w:val="18"/>
                <w:szCs w:val="18"/>
                <w:b w:val="1"/>
                <w:bCs w:val="1"/>
                <w:color w:val="auto"/>
                <w:w w:val="95"/>
              </w:rPr>
              <w:t>Page 4 of 17</w:t>
            </w:r>
          </w:p>
        </w:tc>
        <w:tc>
          <w:tcPr>
            <w:tcW w:w="0" w:type="dxa"/>
            <w:vAlign w:val="bottom"/>
          </w:tcPr>
          <w:p>
            <w:pPr>
              <w:spacing w:after="0"/>
              <w:rPr>
                <w:sz w:val="1"/>
                <w:szCs w:val="1"/>
                <w:color w:val="auto"/>
              </w:rPr>
            </w:pPr>
          </w:p>
        </w:tc>
      </w:tr>
      <w:tr>
        <w:trPr>
          <w:trHeight w:val="243"/>
        </w:trPr>
        <w:tc>
          <w:tcPr>
            <w:tcW w:w="700" w:type="dxa"/>
            <w:vAlign w:val="bottom"/>
            <w:tcBorders>
              <w:bottom w:val="single" w:sz="8" w:color="auto"/>
            </w:tcBorders>
          </w:tcPr>
          <w:p>
            <w:pPr>
              <w:spacing w:after="0"/>
              <w:rPr>
                <w:sz w:val="21"/>
                <w:szCs w:val="21"/>
                <w:color w:val="auto"/>
              </w:rPr>
            </w:pPr>
          </w:p>
        </w:tc>
        <w:tc>
          <w:tcPr>
            <w:tcW w:w="105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0"/>
        </w:trPr>
        <w:tc>
          <w:tcPr>
            <w:tcW w:w="700" w:type="dxa"/>
            <w:vAlign w:val="bottom"/>
            <w:tcBorders>
              <w:left w:val="single" w:sz="8" w:color="auto"/>
              <w:right w:val="single" w:sz="8" w:color="auto"/>
            </w:tcBorders>
          </w:tcPr>
          <w:p>
            <w:pPr>
              <w:spacing w:after="0"/>
              <w:rPr>
                <w:sz w:val="24"/>
                <w:szCs w:val="24"/>
                <w:color w:val="auto"/>
              </w:rPr>
            </w:pPr>
          </w:p>
        </w:tc>
        <w:tc>
          <w:tcPr>
            <w:tcW w:w="146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280" w:type="dxa"/>
            <w:vAlign w:val="bottom"/>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00" w:type="dxa"/>
            <w:vAlign w:val="bottom"/>
            <w:tcBorders>
              <w:left w:val="single" w:sz="8" w:color="auto"/>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9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bottom w:val="single" w:sz="8" w:color="auto"/>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 (3)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hanging="412"/>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470,700 shares held by Venrock Healthcare Capital Partners III, L.P.; (ii) 47,083 shares held by VHCP Co-Investment Holdings III, LLC; and (iii) 1,965,823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40,856,824 ordinary shares outstanding as of August 1, 2023 as disclosed in the Issuer’s prospectus dated August 16, 2023 filed with the Securities and Exchange Commission on August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9080" w:type="dxa"/>
            <w:vAlign w:val="bottom"/>
          </w:tcPr>
          <w:p>
            <w:pPr>
              <w:ind w:left="8160"/>
              <w:spacing w:after="0"/>
              <w:rPr>
                <w:sz w:val="20"/>
                <w:szCs w:val="20"/>
                <w:color w:val="auto"/>
              </w:rPr>
            </w:pPr>
            <w:r>
              <w:rPr>
                <w:rFonts w:ascii="Times New Roman" w:cs="Times New Roman" w:eastAsia="Times New Roman" w:hAnsi="Times New Roman"/>
                <w:sz w:val="18"/>
                <w:szCs w:val="18"/>
                <w:b w:val="1"/>
                <w:bCs w:val="1"/>
                <w:color w:val="auto"/>
                <w:w w:val="95"/>
              </w:rPr>
              <w:t>Page 5 of 17</w:t>
            </w:r>
          </w:p>
        </w:tc>
        <w:tc>
          <w:tcPr>
            <w:tcW w:w="0" w:type="dxa"/>
            <w:vAlign w:val="bottom"/>
          </w:tcPr>
          <w:p>
            <w:pPr>
              <w:spacing w:after="0"/>
              <w:rPr>
                <w:sz w:val="1"/>
                <w:szCs w:val="1"/>
                <w:color w:val="auto"/>
              </w:rPr>
            </w:pPr>
          </w:p>
        </w:tc>
      </w:tr>
      <w:tr>
        <w:trPr>
          <w:trHeight w:val="243"/>
        </w:trPr>
        <w:tc>
          <w:tcPr>
            <w:tcW w:w="700" w:type="dxa"/>
            <w:vAlign w:val="bottom"/>
            <w:tcBorders>
              <w:bottom w:val="single" w:sz="8" w:color="auto"/>
            </w:tcBorders>
          </w:tcPr>
          <w:p>
            <w:pPr>
              <w:spacing w:after="0"/>
              <w:rPr>
                <w:sz w:val="21"/>
                <w:szCs w:val="21"/>
                <w:color w:val="auto"/>
              </w:rPr>
            </w:pPr>
          </w:p>
        </w:tc>
        <w:tc>
          <w:tcPr>
            <w:tcW w:w="105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VHCP Management III, LLC</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0"/>
        </w:trPr>
        <w:tc>
          <w:tcPr>
            <w:tcW w:w="700" w:type="dxa"/>
            <w:vAlign w:val="bottom"/>
            <w:tcBorders>
              <w:left w:val="single" w:sz="8" w:color="auto"/>
              <w:right w:val="single" w:sz="8" w:color="auto"/>
            </w:tcBorders>
          </w:tcPr>
          <w:p>
            <w:pPr>
              <w:spacing w:after="0"/>
              <w:rPr>
                <w:sz w:val="24"/>
                <w:szCs w:val="24"/>
                <w:color w:val="auto"/>
              </w:rPr>
            </w:pPr>
          </w:p>
        </w:tc>
        <w:tc>
          <w:tcPr>
            <w:tcW w:w="146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280" w:type="dxa"/>
            <w:vAlign w:val="bottom"/>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00" w:type="dxa"/>
            <w:vAlign w:val="bottom"/>
            <w:tcBorders>
              <w:left w:val="single" w:sz="8" w:color="auto"/>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9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bottom w:val="single" w:sz="8" w:color="auto"/>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 (3)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hanging="412"/>
        <w:spacing w:after="0" w:line="282"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470,700 shares held by Venrock Healthcare Capital Partners III, L.P.; (ii) 47,083 shares held by VHCP Co-Investment Holdings III, LLC; and (iii) 1,965,823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40,856,824 ordinary shares outstanding as of August 1, 2023 as disclosed in the Issuer’s prospectus dated August 16, 2023 filed with the Securities and Exchange Commission on August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9080" w:type="dxa"/>
            <w:vAlign w:val="bottom"/>
          </w:tcPr>
          <w:p>
            <w:pPr>
              <w:ind w:left="8160"/>
              <w:spacing w:after="0"/>
              <w:rPr>
                <w:sz w:val="20"/>
                <w:szCs w:val="20"/>
                <w:color w:val="auto"/>
              </w:rPr>
            </w:pPr>
            <w:r>
              <w:rPr>
                <w:rFonts w:ascii="Times New Roman" w:cs="Times New Roman" w:eastAsia="Times New Roman" w:hAnsi="Times New Roman"/>
                <w:sz w:val="18"/>
                <w:szCs w:val="18"/>
                <w:b w:val="1"/>
                <w:bCs w:val="1"/>
                <w:color w:val="auto"/>
                <w:w w:val="95"/>
              </w:rPr>
              <w:t>Page 6 of 17</w:t>
            </w:r>
          </w:p>
        </w:tc>
        <w:tc>
          <w:tcPr>
            <w:tcW w:w="0" w:type="dxa"/>
            <w:vAlign w:val="bottom"/>
          </w:tcPr>
          <w:p>
            <w:pPr>
              <w:spacing w:after="0"/>
              <w:rPr>
                <w:sz w:val="1"/>
                <w:szCs w:val="1"/>
                <w:color w:val="auto"/>
              </w:rPr>
            </w:pPr>
          </w:p>
        </w:tc>
      </w:tr>
      <w:tr>
        <w:trPr>
          <w:trHeight w:val="243"/>
        </w:trPr>
        <w:tc>
          <w:tcPr>
            <w:tcW w:w="700" w:type="dxa"/>
            <w:vAlign w:val="bottom"/>
            <w:tcBorders>
              <w:bottom w:val="single" w:sz="8" w:color="auto"/>
            </w:tcBorders>
          </w:tcPr>
          <w:p>
            <w:pPr>
              <w:spacing w:after="0"/>
              <w:rPr>
                <w:sz w:val="21"/>
                <w:szCs w:val="21"/>
                <w:color w:val="auto"/>
              </w:rPr>
            </w:pPr>
          </w:p>
        </w:tc>
        <w:tc>
          <w:tcPr>
            <w:tcW w:w="105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VHCP Management EG, LLC</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0"/>
        </w:trPr>
        <w:tc>
          <w:tcPr>
            <w:tcW w:w="700" w:type="dxa"/>
            <w:vAlign w:val="bottom"/>
            <w:tcBorders>
              <w:left w:val="single" w:sz="8" w:color="auto"/>
              <w:right w:val="single" w:sz="8" w:color="auto"/>
            </w:tcBorders>
          </w:tcPr>
          <w:p>
            <w:pPr>
              <w:spacing w:after="0"/>
              <w:rPr>
                <w:sz w:val="24"/>
                <w:szCs w:val="24"/>
                <w:color w:val="auto"/>
              </w:rPr>
            </w:pPr>
          </w:p>
        </w:tc>
        <w:tc>
          <w:tcPr>
            <w:tcW w:w="146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280" w:type="dxa"/>
            <w:vAlign w:val="bottom"/>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00" w:type="dxa"/>
            <w:vAlign w:val="bottom"/>
            <w:tcBorders>
              <w:left w:val="single" w:sz="8" w:color="auto"/>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9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bottom w:val="single" w:sz="8" w:color="auto"/>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 (3)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hanging="412"/>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470,700 shares held by Venrock Healthcare Capital Partners III, L.P.; (ii) 47,083 shares held by VHCP Co-Investment Holdings III, LLC; and (iii) 1,965,823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40,856,824 ordinary shares outstanding as of August 1, 2023 as disclosed in the Issuer’s prospectus dated August 16, 2023 filed with the Securities and Exchange Commission on August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8"/>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9080" w:type="dxa"/>
            <w:vAlign w:val="bottom"/>
          </w:tcPr>
          <w:p>
            <w:pPr>
              <w:ind w:left="8160"/>
              <w:spacing w:after="0"/>
              <w:rPr>
                <w:sz w:val="20"/>
                <w:szCs w:val="20"/>
                <w:color w:val="auto"/>
              </w:rPr>
            </w:pPr>
            <w:r>
              <w:rPr>
                <w:rFonts w:ascii="Times New Roman" w:cs="Times New Roman" w:eastAsia="Times New Roman" w:hAnsi="Times New Roman"/>
                <w:sz w:val="18"/>
                <w:szCs w:val="18"/>
                <w:b w:val="1"/>
                <w:bCs w:val="1"/>
                <w:color w:val="auto"/>
                <w:w w:val="95"/>
              </w:rPr>
              <w:t>Page 7 of 17</w:t>
            </w:r>
          </w:p>
        </w:tc>
        <w:tc>
          <w:tcPr>
            <w:tcW w:w="0" w:type="dxa"/>
            <w:vAlign w:val="bottom"/>
          </w:tcPr>
          <w:p>
            <w:pPr>
              <w:spacing w:after="0"/>
              <w:rPr>
                <w:sz w:val="1"/>
                <w:szCs w:val="1"/>
                <w:color w:val="auto"/>
              </w:rPr>
            </w:pPr>
          </w:p>
        </w:tc>
      </w:tr>
      <w:tr>
        <w:trPr>
          <w:trHeight w:val="243"/>
        </w:trPr>
        <w:tc>
          <w:tcPr>
            <w:tcW w:w="700" w:type="dxa"/>
            <w:vAlign w:val="bottom"/>
            <w:tcBorders>
              <w:bottom w:val="single" w:sz="8" w:color="auto"/>
            </w:tcBorders>
          </w:tcPr>
          <w:p>
            <w:pPr>
              <w:spacing w:after="0"/>
              <w:rPr>
                <w:sz w:val="21"/>
                <w:szCs w:val="21"/>
                <w:color w:val="auto"/>
              </w:rPr>
            </w:pPr>
          </w:p>
        </w:tc>
        <w:tc>
          <w:tcPr>
            <w:tcW w:w="105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Shah, Nimish</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0"/>
        </w:trPr>
        <w:tc>
          <w:tcPr>
            <w:tcW w:w="700" w:type="dxa"/>
            <w:vAlign w:val="bottom"/>
            <w:tcBorders>
              <w:left w:val="single" w:sz="8" w:color="auto"/>
              <w:right w:val="single" w:sz="8" w:color="auto"/>
            </w:tcBorders>
          </w:tcPr>
          <w:p>
            <w:pPr>
              <w:spacing w:after="0"/>
              <w:rPr>
                <w:sz w:val="24"/>
                <w:szCs w:val="24"/>
                <w:color w:val="auto"/>
              </w:rPr>
            </w:pPr>
          </w:p>
        </w:tc>
        <w:tc>
          <w:tcPr>
            <w:tcW w:w="146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280" w:type="dxa"/>
            <w:vAlign w:val="bottom"/>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00" w:type="dxa"/>
            <w:vAlign w:val="bottom"/>
            <w:tcBorders>
              <w:left w:val="single" w:sz="8" w:color="auto"/>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9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bottom w:val="single" w:sz="8" w:color="auto"/>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 (3)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hanging="412"/>
        <w:spacing w:after="0" w:line="28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470,700 shares held by Venrock Healthcare Capital Partners III, L.P.; (ii) 47,083 shares held by VHCP Co-Investment Holdings III, LLC; and (iii) 1,965,823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40,856,824 ordinary shares outstanding as of August 1, 2023 as disclosed in the Issuer’s prospectus dated August 16, 2023 filed with the Securities and Exchange Commission on August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8"/>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9080" w:type="dxa"/>
            <w:vAlign w:val="bottom"/>
          </w:tcPr>
          <w:p>
            <w:pPr>
              <w:ind w:left="8160"/>
              <w:spacing w:after="0"/>
              <w:rPr>
                <w:sz w:val="20"/>
                <w:szCs w:val="20"/>
                <w:color w:val="auto"/>
              </w:rPr>
            </w:pPr>
            <w:r>
              <w:rPr>
                <w:rFonts w:ascii="Times New Roman" w:cs="Times New Roman" w:eastAsia="Times New Roman" w:hAnsi="Times New Roman"/>
                <w:sz w:val="18"/>
                <w:szCs w:val="18"/>
                <w:b w:val="1"/>
                <w:bCs w:val="1"/>
                <w:color w:val="auto"/>
                <w:w w:val="95"/>
              </w:rPr>
              <w:t>Page 8 of 17</w:t>
            </w:r>
          </w:p>
        </w:tc>
        <w:tc>
          <w:tcPr>
            <w:tcW w:w="0" w:type="dxa"/>
            <w:vAlign w:val="bottom"/>
          </w:tcPr>
          <w:p>
            <w:pPr>
              <w:spacing w:after="0"/>
              <w:rPr>
                <w:sz w:val="1"/>
                <w:szCs w:val="1"/>
                <w:color w:val="auto"/>
              </w:rPr>
            </w:pPr>
          </w:p>
        </w:tc>
      </w:tr>
      <w:tr>
        <w:trPr>
          <w:trHeight w:val="243"/>
        </w:trPr>
        <w:tc>
          <w:tcPr>
            <w:tcW w:w="700" w:type="dxa"/>
            <w:vAlign w:val="bottom"/>
            <w:tcBorders>
              <w:bottom w:val="single" w:sz="8" w:color="auto"/>
            </w:tcBorders>
          </w:tcPr>
          <w:p>
            <w:pPr>
              <w:spacing w:after="0"/>
              <w:rPr>
                <w:sz w:val="21"/>
                <w:szCs w:val="21"/>
                <w:color w:val="auto"/>
              </w:rPr>
            </w:pPr>
          </w:p>
        </w:tc>
        <w:tc>
          <w:tcPr>
            <w:tcW w:w="105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Koh, Bong</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0"/>
        </w:trPr>
        <w:tc>
          <w:tcPr>
            <w:tcW w:w="700" w:type="dxa"/>
            <w:vAlign w:val="bottom"/>
            <w:tcBorders>
              <w:left w:val="single" w:sz="8" w:color="auto"/>
              <w:right w:val="single" w:sz="8" w:color="auto"/>
            </w:tcBorders>
          </w:tcPr>
          <w:p>
            <w:pPr>
              <w:spacing w:after="0"/>
              <w:rPr>
                <w:sz w:val="24"/>
                <w:szCs w:val="24"/>
                <w:color w:val="auto"/>
              </w:rPr>
            </w:pPr>
          </w:p>
        </w:tc>
        <w:tc>
          <w:tcPr>
            <w:tcW w:w="146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280" w:type="dxa"/>
            <w:vAlign w:val="bottom"/>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00" w:type="dxa"/>
            <w:vAlign w:val="bottom"/>
            <w:tcBorders>
              <w:left w:val="single" w:sz="8" w:color="auto"/>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9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2,483,606 (2)</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bottom w:val="single" w:sz="8" w:color="auto"/>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 (3)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Pr>
          <w:p>
            <w:pPr>
              <w:spacing w:after="0"/>
              <w:rPr>
                <w:sz w:val="24"/>
                <w:szCs w:val="24"/>
                <w:color w:val="auto"/>
              </w:rPr>
            </w:pP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hanging="41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470,700 shares held by Venrock Healthcare Capital Partners III, L.P.; (ii) 47,083 shares held by VHCP Co-Investment Holdings III, LLC; and (iii) 1,965,823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40,856,824 ordinary shares outstanding as of August 1, 2023 as disclosed in the Issuer’s prospectus dated August 16, 2023 filed with the Securities and Exchange Commission on August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9 of 17</w:t>
      </w:r>
    </w:p>
    <w:p>
      <w:pPr>
        <w:spacing w:after="0" w:line="474" w:lineRule="exact"/>
        <w:rPr>
          <w:sz w:val="20"/>
          <w:szCs w:val="20"/>
          <w:color w:val="auto"/>
        </w:rPr>
      </w:pPr>
    </w:p>
    <w:p>
      <w:pPr>
        <w:sectPr>
          <w:pgSz w:w="11900" w:h="16838" w:orient="portrait"/>
          <w:cols w:equalWidth="0" w:num="2">
            <w:col w:w="9600" w:space="720"/>
            <w:col w:w="920"/>
          </w:cols>
          <w:pgMar w:left="320" w:top="900" w:right="339" w:bottom="1440" w:gutter="0" w:footer="0" w:header="0"/>
        </w:sectPr>
      </w:pPr>
    </w:p>
    <w:p>
      <w:pPr>
        <w:jc w:val="both"/>
        <w:ind w:left="1300" w:right="8860" w:hanging="455"/>
        <w:spacing w:after="0" w:line="519" w:lineRule="auto"/>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Pharvaris N.V.</w:t>
      </w:r>
    </w:p>
    <w:p>
      <w:pPr>
        <w:ind w:left="1300" w:hanging="455"/>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1300" w:right="84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Emmy Noetherweg 2 2333 BK Leiden The Netherlands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1300" w:hanging="455"/>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6" w:lineRule="exact"/>
        <w:rPr>
          <w:rFonts w:ascii="Times New Roman" w:cs="Times New Roman" w:eastAsia="Times New Roman" w:hAnsi="Times New Roman"/>
          <w:sz w:val="18"/>
          <w:szCs w:val="18"/>
          <w:color w:val="auto"/>
        </w:rPr>
      </w:pPr>
    </w:p>
    <w:p>
      <w:pPr>
        <w:ind w:left="1300" w:right="66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w:t>
      </w:r>
    </w:p>
    <w:p>
      <w:pPr>
        <w:spacing w:after="0" w:line="2" w:lineRule="exact"/>
        <w:rPr>
          <w:rFonts w:ascii="Times New Roman" w:cs="Times New Roman" w:eastAsia="Times New Roman" w:hAnsi="Times New Roman"/>
          <w:sz w:val="18"/>
          <w:szCs w:val="18"/>
          <w:color w:val="auto"/>
        </w:rPr>
      </w:pPr>
    </w:p>
    <w:p>
      <w:pPr>
        <w:ind w:left="1300" w:right="77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Management EG, LLC Nimish Shah</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Bong Koh</w:t>
      </w:r>
    </w:p>
    <w:p>
      <w:pPr>
        <w:spacing w:after="0" w:line="233" w:lineRule="exact"/>
        <w:rPr>
          <w:rFonts w:ascii="Times New Roman" w:cs="Times New Roman" w:eastAsia="Times New Roman" w:hAnsi="Times New Roman"/>
          <w:sz w:val="18"/>
          <w:szCs w:val="18"/>
          <w:color w:val="auto"/>
        </w:rPr>
      </w:pPr>
    </w:p>
    <w:p>
      <w:pPr>
        <w:ind w:left="1300" w:hanging="455"/>
        <w:spacing w:after="0"/>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w:t>
      </w:r>
    </w:p>
    <w:p>
      <w:pPr>
        <w:sectPr>
          <w:pgSz w:w="11900" w:h="16838" w:orient="portrait"/>
          <w:cols w:equalWidth="0" w:num="1">
            <w:col w:w="11240"/>
          </w:cols>
          <w:pgMar w:left="320" w:top="900" w:right="33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New York Office: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Office:</w:t>
      </w:r>
    </w:p>
    <w:p>
      <w:pPr>
        <w:spacing w:after="0" w:line="200" w:lineRule="exact"/>
        <w:rPr>
          <w:sz w:val="20"/>
          <w:szCs w:val="20"/>
          <w:color w:val="auto"/>
        </w:rPr>
      </w:pPr>
    </w:p>
    <w:p>
      <w:pPr>
        <w:sectPr>
          <w:pgSz w:w="11900" w:h="16838" w:orient="portrait"/>
          <w:cols w:equalWidth="0" w:num="2">
            <w:col w:w="3820" w:space="720"/>
            <w:col w:w="6700"/>
          </w:cols>
          <w:pgMar w:left="320" w:top="900" w:right="3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Bryant Park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23rd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New York, NY 10018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3340 Hillview Avenue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404" w:lineRule="exact"/>
        <w:rPr>
          <w:sz w:val="20"/>
          <w:szCs w:val="20"/>
          <w:color w:val="auto"/>
        </w:rPr>
      </w:pPr>
    </w:p>
    <w:p>
      <w:pPr>
        <w:sectPr>
          <w:pgSz w:w="11900" w:h="16838" w:orient="portrait"/>
          <w:cols w:equalWidth="0" w:num="2">
            <w:col w:w="3820" w:space="720"/>
            <w:col w:w="6700"/>
          </w:cols>
          <w:pgMar w:left="320" w:top="900" w:right="339" w:bottom="1440" w:gutter="0" w:footer="0" w:header="0"/>
          <w:type w:val="continuous"/>
        </w:sectPr>
      </w:pPr>
    </w:p>
    <w:p>
      <w:pPr>
        <w:spacing w:after="0" w:line="45" w:lineRule="exact"/>
        <w:rPr>
          <w:sz w:val="20"/>
          <w:szCs w:val="20"/>
          <w:color w:val="auto"/>
        </w:rPr>
      </w:pPr>
    </w:p>
    <w:p>
      <w:pPr>
        <w:ind w:left="1300" w:hanging="455"/>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Venrock Entities were organized in Delaware. The individuals are both United States citizens.</w:t>
      </w:r>
    </w:p>
    <w:p>
      <w:pPr>
        <w:spacing w:after="0" w:line="225" w:lineRule="exact"/>
        <w:rPr>
          <w:rFonts w:ascii="Times New Roman" w:cs="Times New Roman" w:eastAsia="Times New Roman" w:hAnsi="Times New Roman"/>
          <w:sz w:val="18"/>
          <w:szCs w:val="18"/>
          <w:color w:val="auto"/>
        </w:rPr>
      </w:pPr>
    </w:p>
    <w:p>
      <w:pPr>
        <w:ind w:left="1300" w:hanging="455"/>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€0.12 per share</w:t>
      </w:r>
    </w:p>
    <w:p>
      <w:pPr>
        <w:spacing w:after="0" w:line="225" w:lineRule="exact"/>
        <w:rPr>
          <w:rFonts w:ascii="Times New Roman" w:cs="Times New Roman" w:eastAsia="Times New Roman" w:hAnsi="Times New Roman"/>
          <w:sz w:val="18"/>
          <w:szCs w:val="18"/>
          <w:color w:val="auto"/>
        </w:rPr>
      </w:pPr>
    </w:p>
    <w:p>
      <w:pPr>
        <w:ind w:left="1300" w:hanging="455"/>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N69605108</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 w:name="page10"/>
    <w:bookmarkEnd w:id="9"/>
    <w:p>
      <w:pPr>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10 of 17</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hanging="455"/>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   Percent of class:</w:t>
            </w: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7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(ii)</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7"/>
          <w:szCs w:val="17"/>
          <w:b w:val="1"/>
          <w:bCs w:val="1"/>
          <w:color w:val="auto"/>
        </w:rPr>
        <w:t>Page 11 of 17</w:t>
      </w:r>
    </w:p>
    <w:p>
      <w:pPr>
        <w:spacing w:after="0" w:line="229" w:lineRule="exact"/>
        <w:rPr>
          <w:sz w:val="20"/>
          <w:szCs w:val="20"/>
          <w:color w:val="auto"/>
        </w:rPr>
      </w:pPr>
    </w:p>
    <w:p>
      <w:pPr>
        <w:ind w:left="1960" w:hanging="656"/>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1960" w:hanging="656"/>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2,483,606(1)</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2,483,606(1)</w:t>
            </w:r>
          </w:p>
        </w:tc>
      </w:tr>
    </w:tbl>
    <w:p>
      <w:pPr>
        <w:spacing w:after="0" w:line="225" w:lineRule="exact"/>
        <w:rPr>
          <w:sz w:val="20"/>
          <w:szCs w:val="20"/>
          <w:color w:val="auto"/>
        </w:rPr>
      </w:pPr>
    </w:p>
    <w:p>
      <w:pPr>
        <w:jc w:val="both"/>
        <w:ind w:left="1300" w:hanging="455"/>
        <w:spacing w:after="0" w:line="25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470,700 shares held by Venrock Healthcare Capital Partners III, L.P.; (ii) 47,083 shares held by VHCP Co-Investment Holdings III, LLC; and (iii) 1,965,823 shares held by Venrock Healthcare Capital Partners EG, L.P.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III, LLC and VHCP Management EG, LLC.</w:t>
      </w:r>
    </w:p>
    <w:p>
      <w:pPr>
        <w:spacing w:after="0" w:line="183" w:lineRule="exact"/>
        <w:rPr>
          <w:rFonts w:ascii="Times New Roman" w:cs="Times New Roman" w:eastAsia="Times New Roman" w:hAnsi="Times New Roman"/>
          <w:sz w:val="18"/>
          <w:szCs w:val="18"/>
          <w:color w:val="auto"/>
        </w:rPr>
      </w:pPr>
    </w:p>
    <w:p>
      <w:pPr>
        <w:ind w:left="1300" w:right="20" w:hanging="455"/>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40,856,824 ordinary shares outstanding as of August 1, 2023 as disclosed in the Issuer’s prospectus dated August 16, 2023 filed with the Securities and Exchange Commission on August 24, 2023.</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840"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840" w:right="40" w:hanging="836"/>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12 of 17</w:t>
      </w:r>
    </w:p>
    <w:p>
      <w:pPr>
        <w:spacing w:after="0" w:line="631" w:lineRule="exact"/>
        <w:rPr>
          <w:sz w:val="20"/>
          <w:szCs w:val="20"/>
          <w:color w:val="auto"/>
        </w:rPr>
      </w:pPr>
    </w:p>
    <w:p>
      <w:pPr>
        <w:sectPr>
          <w:pgSz w:w="11900" w:h="16838" w:orient="portrait"/>
          <w:cols w:equalWidth="0" w:num="2">
            <w:col w:w="9500" w:space="720"/>
            <w:col w:w="1020"/>
          </w:cols>
          <w:pgMar w:left="320" w:top="900" w:right="339" w:bottom="1440" w:gutter="0" w:footer="0" w:header="0"/>
        </w:sectPr>
      </w:pPr>
    </w:p>
    <w:p>
      <w:pPr>
        <w:spacing w:after="0" w:line="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229"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13 of 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30,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III, L.P.</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III,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EG, L.P.</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EG,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3206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3206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1823085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20" w:space="720"/>
            <w:col w:w="5500"/>
          </w:cols>
          <w:pgMar w:left="320" w:top="900" w:right="339" w:bottom="1440" w:gutter="0" w:footer="0" w:header="0"/>
          <w:type w:val="continuous"/>
        </w:sectPr>
      </w:pPr>
    </w:p>
    <w:bookmarkStart w:id="13" w:name="page14"/>
    <w:bookmarkEnd w:id="13"/>
    <w:p>
      <w:pPr>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14 of 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for Nimish Shah</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for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15 of 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the Ordinary Shares of Pharvaris N.V.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evidence whereof, the undersigned have caused this Agreement to be executed on their behalf this 30th day of November, 2023.</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III, L.P.</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III,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EG, L.P.</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EG,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32061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1823085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020" w:space="720"/>
            <w:col w:w="5500"/>
          </w:cols>
          <w:pgMar w:left="320" w:top="900" w:right="339" w:bottom="1440" w:gutter="0" w:footer="0" w:header="0"/>
          <w:type w:val="continuous"/>
        </w:sectPr>
      </w:pPr>
    </w:p>
    <w:bookmarkStart w:id="15" w:name="page16"/>
    <w:bookmarkEnd w:id="15"/>
    <w:p>
      <w:pPr>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16 of 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 FOR NIMISH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David L. Stepp, Sherman G. Souther and Lisa 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 signing individually, the undersigned’s true and lawful attorney-in fact and agent to:</w:t>
      </w:r>
    </w:p>
    <w:p>
      <w:pPr>
        <w:spacing w:after="0" w:line="207" w:lineRule="exact"/>
        <w:rPr>
          <w:sz w:val="20"/>
          <w:szCs w:val="20"/>
          <w:color w:val="auto"/>
        </w:rPr>
      </w:pPr>
    </w:p>
    <w:p>
      <w:pPr>
        <w:jc w:val="both"/>
        <w:ind w:left="1060" w:hanging="404"/>
        <w:spacing w:after="0" w:line="255"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88" w:lineRule="exact"/>
        <w:rPr>
          <w:rFonts w:ascii="Times New Roman" w:cs="Times New Roman" w:eastAsia="Times New Roman" w:hAnsi="Times New Roman"/>
          <w:sz w:val="18"/>
          <w:szCs w:val="18"/>
          <w:color w:val="auto"/>
        </w:rPr>
      </w:pPr>
    </w:p>
    <w:p>
      <w:pPr>
        <w:jc w:val="both"/>
        <w:ind w:left="1060" w:hanging="404"/>
        <w:spacing w:after="0" w:line="261"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30th day of November,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17 of 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 FOR BONG KOH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David L. Stepp, Sherman G. Souther and Lisa 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 signing individually, the undersigned’s true and lawful attorney-in fact and agent to:</w:t>
      </w:r>
    </w:p>
    <w:p>
      <w:pPr>
        <w:spacing w:after="0" w:line="207" w:lineRule="exact"/>
        <w:rPr>
          <w:sz w:val="20"/>
          <w:szCs w:val="20"/>
          <w:color w:val="auto"/>
        </w:rPr>
      </w:pPr>
    </w:p>
    <w:p>
      <w:pPr>
        <w:jc w:val="both"/>
        <w:ind w:left="1060" w:hanging="404"/>
        <w:spacing w:after="0" w:line="255"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88" w:lineRule="exact"/>
        <w:rPr>
          <w:rFonts w:ascii="Times New Roman" w:cs="Times New Roman" w:eastAsia="Times New Roman" w:hAnsi="Times New Roman"/>
          <w:sz w:val="18"/>
          <w:szCs w:val="18"/>
          <w:color w:val="auto"/>
        </w:rPr>
      </w:pPr>
    </w:p>
    <w:p>
      <w:pPr>
        <w:jc w:val="both"/>
        <w:ind w:left="1060" w:hanging="404"/>
        <w:spacing w:after="0" w:line="261"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30th day of November,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3"/>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Roman"/>
      <w:start w:val="3"/>
    </w:lvl>
  </w:abstractNum>
  <w:abstractNum w:abstractNumId="15">
    <w:nsid w:val="431BD7B7"/>
    <w:multiLevelType w:val="hybridMultilevel"/>
    <w:lvl w:ilvl="0">
      <w:lvlJc w:val="left"/>
      <w:lvlText w:val="(%1)"/>
      <w:numFmt w:val="lowerRoman"/>
      <w:start w:val="4"/>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upp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2023-11-30T15:29:43Z</dcterms:created>
  <dcterms:modified xsi:type="dcterms:W3CDTF">2023-11-30T15:29:43Z</dcterms:modified>
</cp:coreProperties>
</file>