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8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166370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August 2023</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143510</wp:posOffset>
            </wp:positionV>
            <wp:extent cx="332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5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146685</wp:posOffset>
            </wp:positionV>
            <wp:extent cx="332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4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7" w:lineRule="exact"/>
        <w:rPr>
          <w:sz w:val="24"/>
          <w:szCs w:val="24"/>
          <w:color w:val="auto"/>
        </w:rPr>
      </w:pPr>
    </w:p>
    <w:p>
      <w:pPr>
        <w:ind w:right="80"/>
        <w:spacing w:after="0" w:line="27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7"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11"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August 7, 2023, Pharvaris N.V. (the "Company") issued a press release reporting financial results and other business updates for the three and six months ended June 30, 2023.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The Company is also updating certain of its Risk Factors that were previously included in Item 3.D. of its Annual Report on Form 20-F, which updated Risk Factors are attached to this Form 6-K as Exhibit 99.4. Exhibits 99.2, 99.3 and 99.4 to this Report on Form 6-K shall be deemed to be incorporated by reference into the registration statements on Form F-3 (Registration Number 333-263198)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1"/>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180" w:type="dxa"/>
            <w:vAlign w:val="bottom"/>
            <w:gridSpan w:val="4"/>
          </w:tcPr>
          <w:p>
            <w:pPr>
              <w:ind w:left="900"/>
              <w:spacing w:after="0"/>
              <w:rPr>
                <w:sz w:val="20"/>
                <w:szCs w:val="20"/>
                <w:color w:val="auto"/>
              </w:rPr>
            </w:pPr>
            <w:r>
              <w:rPr>
                <w:rFonts w:ascii="Arial" w:cs="Arial" w:eastAsia="Arial" w:hAnsi="Arial"/>
                <w:sz w:val="18"/>
                <w:szCs w:val="18"/>
                <w:b w:val="1"/>
                <w:bCs w:val="1"/>
                <w:color w:val="auto"/>
              </w:rPr>
              <w:t>EXHIBIT INDEX</w:t>
            </w:r>
          </w:p>
        </w:tc>
      </w:tr>
      <w:tr>
        <w:trPr>
          <w:trHeight w:val="429"/>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2"/>
                <w:szCs w:val="22"/>
                <w:color w:val="auto"/>
              </w:rPr>
            </w:pPr>
          </w:p>
        </w:tc>
        <w:tc>
          <w:tcPr>
            <w:tcW w:w="100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40" w:type="dxa"/>
            <w:vAlign w:val="bottom"/>
          </w:tcPr>
          <w:p>
            <w:pPr>
              <w:ind w:left="20"/>
              <w:spacing w:after="0"/>
              <w:rPr>
                <w:sz w:val="20"/>
                <w:szCs w:val="20"/>
                <w:color w:val="auto"/>
              </w:rPr>
            </w:pPr>
            <w:r>
              <w:rPr>
                <w:rFonts w:ascii="Arial" w:cs="Arial" w:eastAsia="Arial" w:hAnsi="Arial"/>
                <w:sz w:val="16"/>
                <w:szCs w:val="16"/>
                <w:color w:val="auto"/>
              </w:rPr>
              <w:t>99.1</w:t>
            </w:r>
          </w:p>
        </w:tc>
        <w:tc>
          <w:tcPr>
            <w:tcW w:w="160" w:type="dxa"/>
            <w:vAlign w:val="bottom"/>
          </w:tcPr>
          <w:p>
            <w:pPr>
              <w:spacing w:after="0"/>
              <w:rPr>
                <w:sz w:val="16"/>
                <w:szCs w:val="16"/>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rPr>
              <w:t>Press Release, dated August 7, 2023, (Financial results).</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99.2</w:t>
            </w:r>
          </w:p>
        </w:tc>
        <w:tc>
          <w:tcPr>
            <w:tcW w:w="160" w:type="dxa"/>
            <w:vAlign w:val="bottom"/>
          </w:tcPr>
          <w:p>
            <w:pPr>
              <w:spacing w:after="0"/>
              <w:rPr>
                <w:sz w:val="17"/>
                <w:szCs w:val="17"/>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 as of and for the Three and Six Months Ended</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9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40" w:type="dxa"/>
            <w:vAlign w:val="bottom"/>
            <w:gridSpan w:val="7"/>
          </w:tcPr>
          <w:p>
            <w:pPr>
              <w:spacing w:after="0" w:line="169" w:lineRule="exact"/>
              <w:rPr>
                <w:sz w:val="20"/>
                <w:szCs w:val="20"/>
                <w:color w:val="auto"/>
              </w:rPr>
            </w:pPr>
            <w:r>
              <w:rPr>
                <w:rFonts w:ascii="Arial" w:cs="Arial" w:eastAsia="Arial" w:hAnsi="Arial"/>
                <w:sz w:val="16"/>
                <w:szCs w:val="16"/>
                <w:color w:val="0000FF"/>
              </w:rPr>
              <w:t>June 30, 2023 and 2022.</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99.3</w:t>
            </w:r>
          </w:p>
        </w:tc>
        <w:tc>
          <w:tcPr>
            <w:tcW w:w="160" w:type="dxa"/>
            <w:vAlign w:val="bottom"/>
          </w:tcPr>
          <w:p>
            <w:pPr>
              <w:spacing w:after="0"/>
              <w:rPr>
                <w:sz w:val="17"/>
                <w:szCs w:val="17"/>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rPr>
              <w:t>Unaudited Condensed Consolidated Interim Financial Statements as of and for the Three and Six Months Ended June 30, 2023 and 2022</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40" w:type="dxa"/>
            <w:vAlign w:val="bottom"/>
            <w:gridSpan w:val="7"/>
          </w:tcPr>
          <w:p>
            <w:pPr>
              <w:spacing w:after="0" w:line="169" w:lineRule="exact"/>
              <w:rPr>
                <w:sz w:val="20"/>
                <w:szCs w:val="20"/>
                <w:color w:val="auto"/>
              </w:rPr>
            </w:pPr>
            <w:r>
              <w:rPr>
                <w:rFonts w:ascii="Arial" w:cs="Arial" w:eastAsia="Arial" w:hAnsi="Arial"/>
                <w:sz w:val="16"/>
                <w:szCs w:val="16"/>
                <w:color w:val="0000FF"/>
              </w:rPr>
              <w:t>and for year ended December 31, 2022.</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99.4</w:t>
            </w:r>
          </w:p>
        </w:tc>
        <w:tc>
          <w:tcPr>
            <w:tcW w:w="160" w:type="dxa"/>
            <w:vAlign w:val="bottom"/>
          </w:tcPr>
          <w:p>
            <w:pPr>
              <w:spacing w:after="0"/>
              <w:rPr>
                <w:sz w:val="17"/>
                <w:szCs w:val="17"/>
                <w:color w:val="auto"/>
              </w:rPr>
            </w:pPr>
          </w:p>
        </w:tc>
        <w:tc>
          <w:tcPr>
            <w:tcW w:w="10040" w:type="dxa"/>
            <w:vAlign w:val="bottom"/>
            <w:gridSpan w:val="7"/>
          </w:tcPr>
          <w:p>
            <w:pPr>
              <w:spacing w:after="0"/>
              <w:rPr>
                <w:sz w:val="20"/>
                <w:szCs w:val="20"/>
                <w:color w:val="auto"/>
              </w:rPr>
            </w:pPr>
            <w:r>
              <w:rPr>
                <w:rFonts w:ascii="Arial" w:cs="Arial" w:eastAsia="Arial" w:hAnsi="Arial"/>
                <w:sz w:val="16"/>
                <w:szCs w:val="16"/>
                <w:color w:val="0000FF"/>
              </w:rPr>
              <w:t>Select Updated Risk Factors</w:t>
            </w:r>
            <w:r>
              <w:rPr>
                <w:rFonts w:ascii="Arial" w:cs="Arial" w:eastAsia="Arial" w:hAnsi="Arial"/>
                <w:sz w:val="16"/>
                <w:szCs w:val="16"/>
                <w:color w:val="000000"/>
              </w:rPr>
              <w:t>.</w:t>
            </w:r>
          </w:p>
        </w:tc>
      </w:tr>
      <w:tr>
        <w:trPr>
          <w:trHeight w:val="568"/>
        </w:trPr>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80" w:type="dxa"/>
            <w:vAlign w:val="bottom"/>
          </w:tcPr>
          <w:p>
            <w:pPr>
              <w:spacing w:after="0"/>
              <w:rPr>
                <w:sz w:val="21"/>
                <w:szCs w:val="21"/>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PHARVARIS N.V.</w:t>
            </w:r>
          </w:p>
        </w:tc>
      </w:tr>
      <w:tr>
        <w:trPr>
          <w:trHeight w:val="427"/>
        </w:trPr>
        <w:tc>
          <w:tcPr>
            <w:tcW w:w="3580" w:type="dxa"/>
            <w:vAlign w:val="bottom"/>
          </w:tcPr>
          <w:p>
            <w:pPr>
              <w:ind w:left="20"/>
              <w:spacing w:after="0"/>
              <w:rPr>
                <w:sz w:val="20"/>
                <w:szCs w:val="20"/>
                <w:color w:val="auto"/>
              </w:rPr>
            </w:pPr>
            <w:r>
              <w:rPr>
                <w:rFonts w:ascii="Arial" w:cs="Arial" w:eastAsia="Arial" w:hAnsi="Arial"/>
                <w:sz w:val="16"/>
                <w:szCs w:val="16"/>
                <w:color w:val="auto"/>
              </w:rPr>
              <w:t>Date: August 7, 2023</w:t>
            </w:r>
          </w:p>
        </w:tc>
        <w:tc>
          <w:tcPr>
            <w:tcW w:w="2780" w:type="dxa"/>
            <w:vAlign w:val="bottom"/>
          </w:tcPr>
          <w:p>
            <w:pPr>
              <w:ind w:left="204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210"/>
        </w:trPr>
        <w:tc>
          <w:tcPr>
            <w:tcW w:w="3580" w:type="dxa"/>
            <w:vAlign w:val="bottom"/>
          </w:tcPr>
          <w:p>
            <w:pPr>
              <w:spacing w:after="0"/>
              <w:rPr>
                <w:sz w:val="18"/>
                <w:szCs w:val="18"/>
                <w:color w:val="auto"/>
              </w:rPr>
            </w:pPr>
          </w:p>
        </w:tc>
        <w:tc>
          <w:tcPr>
            <w:tcW w:w="2780" w:type="dxa"/>
            <w:vAlign w:val="bottom"/>
          </w:tcPr>
          <w:p>
            <w:pPr>
              <w:ind w:left="2040"/>
              <w:spacing w:after="0"/>
              <w:rPr>
                <w:sz w:val="20"/>
                <w:szCs w:val="20"/>
                <w:color w:val="auto"/>
              </w:rPr>
            </w:pPr>
            <w:r>
              <w:rPr>
                <w:rFonts w:ascii="Arial" w:cs="Arial" w:eastAsia="Arial" w:hAnsi="Arial"/>
                <w:sz w:val="16"/>
                <w:szCs w:val="16"/>
                <w:color w:val="auto"/>
              </w:rPr>
              <w:t>Name:</w:t>
            </w:r>
          </w:p>
        </w:tc>
        <w:tc>
          <w:tcPr>
            <w:tcW w:w="4880" w:type="dxa"/>
            <w:vAlign w:val="bottom"/>
          </w:tcPr>
          <w:p>
            <w:pPr>
              <w:spacing w:after="0"/>
              <w:rPr>
                <w:sz w:val="20"/>
                <w:szCs w:val="20"/>
                <w:color w:val="auto"/>
              </w:rPr>
            </w:pPr>
            <w:r>
              <w:rPr>
                <w:rFonts w:ascii="Arial" w:cs="Arial" w:eastAsia="Arial" w:hAnsi="Arial"/>
                <w:sz w:val="16"/>
                <w:szCs w:val="16"/>
                <w:color w:val="auto"/>
              </w:rPr>
              <w:t>Berndt Modig</w:t>
            </w:r>
          </w:p>
        </w:tc>
      </w:tr>
      <w:tr>
        <w:trPr>
          <w:trHeight w:val="216"/>
        </w:trPr>
        <w:tc>
          <w:tcPr>
            <w:tcW w:w="3580" w:type="dxa"/>
            <w:vAlign w:val="bottom"/>
          </w:tcPr>
          <w:p>
            <w:pPr>
              <w:spacing w:after="0"/>
              <w:rPr>
                <w:sz w:val="18"/>
                <w:szCs w:val="18"/>
                <w:color w:val="auto"/>
              </w:rPr>
            </w:pPr>
          </w:p>
        </w:tc>
        <w:tc>
          <w:tcPr>
            <w:tcW w:w="2780" w:type="dxa"/>
            <w:vAlign w:val="bottom"/>
          </w:tcPr>
          <w:p>
            <w:pPr>
              <w:ind w:left="204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553"/>
        </w:trPr>
        <w:tc>
          <w:tcPr>
            <w:tcW w:w="3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159385</wp:posOffset>
            </wp:positionV>
            <wp:extent cx="198056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05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Pharvaris Reports Second Quarter 2023 Financial Results and Provides Business Update</w:t>
      </w:r>
    </w:p>
    <w:p>
      <w:pPr>
        <w:spacing w:after="0" w:line="124" w:lineRule="exact"/>
        <w:rPr>
          <w:sz w:val="20"/>
          <w:szCs w:val="20"/>
          <w:color w:val="auto"/>
        </w:rPr>
      </w:pPr>
    </w:p>
    <w:p>
      <w:pPr>
        <w:ind w:left="1020" w:hanging="503"/>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Enrollment completed in Phase 2 CHAPTER-1 prophylactic study; top-line data anticipated by YE2023</w:t>
      </w:r>
    </w:p>
    <w:p>
      <w:pPr>
        <w:spacing w:after="0" w:line="126" w:lineRule="exact"/>
        <w:rPr>
          <w:rFonts w:ascii="Arial" w:cs="Arial" w:eastAsia="Arial" w:hAnsi="Arial"/>
          <w:sz w:val="16"/>
          <w:szCs w:val="16"/>
          <w:color w:val="auto"/>
        </w:rPr>
      </w:pPr>
    </w:p>
    <w:p>
      <w:pPr>
        <w:ind w:left="1020" w:right="240" w:hanging="503"/>
        <w:spacing w:after="0" w:line="276" w:lineRule="auto"/>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Clinical hold lifted on deucrictibant for the on-demand treatment of HAE; initiation of global Phase 3 clinical study (RAPIDe-3) anticipated by YE2023</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Completed $70 million private placement; cash and cash equivalents of €179 million as of June 30, 2023</w:t>
      </w:r>
    </w:p>
    <w:p>
      <w:pPr>
        <w:spacing w:after="0" w:line="200"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b w:val="1"/>
          <w:bCs w:val="1"/>
          <w:color w:val="auto"/>
        </w:rPr>
        <w:t xml:space="preserve">Zug, Switzerland, August 7, 2023 </w:t>
      </w:r>
      <w:r>
        <w:rPr>
          <w:rFonts w:ascii="Arial" w:cs="Arial" w:eastAsia="Arial" w:hAnsi="Arial"/>
          <w:sz w:val="16"/>
          <w:szCs w:val="16"/>
          <w:color w:val="auto"/>
        </w:rPr>
        <w:t>– Pharvaris (Nasdaq: PHVS), a clinical-stage company developing novel, oral bradykinin-B2-receptor antagonists to</w:t>
      </w:r>
      <w:r>
        <w:rPr>
          <w:rFonts w:ascii="Arial" w:cs="Arial" w:eastAsia="Arial" w:hAnsi="Arial"/>
          <w:sz w:val="16"/>
          <w:szCs w:val="16"/>
          <w:b w:val="1"/>
          <w:bCs w:val="1"/>
          <w:color w:val="auto"/>
        </w:rPr>
        <w:t xml:space="preserve"> </w:t>
      </w:r>
      <w:r>
        <w:rPr>
          <w:rFonts w:ascii="Arial" w:cs="Arial" w:eastAsia="Arial" w:hAnsi="Arial"/>
          <w:sz w:val="16"/>
          <w:szCs w:val="16"/>
          <w:color w:val="auto"/>
        </w:rPr>
        <w:t>treat and prevent hereditary angioedema (HAE) attacks, today reported financial results for the second quarter ended June 30, 2023 and provided a business update.</w:t>
      </w:r>
    </w:p>
    <w:p>
      <w:pPr>
        <w:spacing w:after="0" w:line="15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completion of enrollment in our Phase 2 CHAPTER-1 prophylactic HAE study, provides momentum as Pharvaris prepares to announce our first in-patient prophylactic clinical data by the end of the year,” said Berndt Modig, Chief Executive Officer of Pharvaris. “Resolving the on-demand clinical hold of deucrictibant enables us to proceed with the clinical development of deucrictibant for the on-demand treatment of HAE; we intend to initiate our global Phase 3 on-demand study by the end the year. We are focused on resolving the remaining clinical hold on deucrictibant for the long-term prophylactic treatment of HAE in the U.S. We appreciate the ongoing support of our external partners, including the investors in our most recent financing, which we believe demonstrates excitement for the Pharvaris story, confidence in our team’s ability to execute against key initiatives, and the need for oral therapies for the treatment of HAE that are efficacious, safe, and easy to administer.”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Updates</w:t>
      </w:r>
    </w:p>
    <w:p>
      <w:pPr>
        <w:spacing w:after="0" w:line="113" w:lineRule="exact"/>
        <w:rPr>
          <w:sz w:val="20"/>
          <w:szCs w:val="20"/>
          <w:color w:val="auto"/>
        </w:rPr>
      </w:pPr>
    </w:p>
    <w:p>
      <w:pPr>
        <w:ind w:left="1020" w:right="20" w:hanging="503"/>
        <w:spacing w:after="0" w:line="253"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CHAPTER-1, a global Phase 2 study of deucrictibant for the prophylactic treatment of HAE attacks, has completed the enrollment. </w:t>
      </w:r>
      <w:r>
        <w:rPr>
          <w:rFonts w:ascii="Arial" w:cs="Arial" w:eastAsia="Arial" w:hAnsi="Arial"/>
          <w:sz w:val="16"/>
          <w:szCs w:val="16"/>
          <w:color w:val="auto"/>
        </w:rPr>
        <w:t>CHAPTER-1, which is currently on hold in the U.S., was designed to enroll approximately 30 patients globally with a goal of evaluating deucrictibant as an oral prophylaxis against HAE attacks, using PHVS416 (immediate-release deucrictibant capsules) as proof of concept. The efficacy and safety of deucrictibant (10 mg and 20 mg, twice-daily) and placebo will be evaluated by comparing the number of investigator-confirmed attacks during participants’ 12-week treatment period. Data from this proof-of-concept study is expected to inform the design of an anticipated Phase 3 study utilizing PHVS719, a once-daily extended-release formulation of deucrictibant. Pharvaris anticipates announcing top-line data of CHAPTER-1 by the end of 2023.</w:t>
      </w:r>
    </w:p>
    <w:p>
      <w:pPr>
        <w:spacing w:after="0" w:line="73" w:lineRule="exact"/>
        <w:rPr>
          <w:rFonts w:ascii="Arial" w:cs="Arial" w:eastAsia="Arial" w:hAnsi="Arial"/>
          <w:sz w:val="16"/>
          <w:szCs w:val="16"/>
          <w:color w:val="auto"/>
        </w:rPr>
      </w:pPr>
    </w:p>
    <w:p>
      <w:pPr>
        <w:ind w:left="1020" w:right="40" w:hanging="503"/>
        <w:spacing w:after="0" w:line="259"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Clinical hold lifted on deucrictibant for the on-demand treatment of HAE. </w:t>
      </w:r>
      <w:r>
        <w:rPr>
          <w:rFonts w:ascii="Arial" w:cs="Arial" w:eastAsia="Arial" w:hAnsi="Arial"/>
          <w:sz w:val="16"/>
          <w:szCs w:val="16"/>
          <w:color w:val="auto"/>
        </w:rPr>
        <w:t>Following review of data from a preplanned interim analysis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ongoing 26-week nonclinical study, the U.S. Food and Drug Administration (FDA) lifted the clinical hold on the Investigational New Drug (IND) application for deucrictibant for the on-demand treatment of HAE. The resolution of the hold has enabled Pharvaris to resume RAPIDe-2 in the U.S., an extension study of RAPIDe-1 evaluating PHVS416 for the on-demand treatment of HAE attacks.</w:t>
      </w:r>
    </w:p>
    <w:p>
      <w:pPr>
        <w:spacing w:after="0" w:line="69" w:lineRule="exact"/>
        <w:rPr>
          <w:rFonts w:ascii="Arial" w:cs="Arial" w:eastAsia="Arial" w:hAnsi="Arial"/>
          <w:sz w:val="16"/>
          <w:szCs w:val="16"/>
          <w:color w:val="auto"/>
        </w:rPr>
      </w:pPr>
    </w:p>
    <w:p>
      <w:pPr>
        <w:ind w:left="1020" w:right="80" w:hanging="503"/>
        <w:spacing w:after="0" w:line="286"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RAPIDe-3 anticipated initiation by YE2023. </w:t>
      </w:r>
      <w:r>
        <w:rPr>
          <w:rFonts w:ascii="Arial" w:cs="Arial" w:eastAsia="Arial" w:hAnsi="Arial"/>
          <w:sz w:val="16"/>
          <w:szCs w:val="16"/>
          <w:color w:val="auto"/>
        </w:rPr>
        <w:t>An End-of-Phase 2 meeting has been scheduled with the FDA, during which Pharvaris will seek</w:t>
      </w:r>
      <w:r>
        <w:rPr>
          <w:rFonts w:ascii="Arial" w:cs="Arial" w:eastAsia="Arial" w:hAnsi="Arial"/>
          <w:sz w:val="16"/>
          <w:szCs w:val="16"/>
          <w:b w:val="1"/>
          <w:bCs w:val="1"/>
          <w:color w:val="auto"/>
        </w:rPr>
        <w:t xml:space="preserve"> </w:t>
      </w:r>
      <w:r>
        <w:rPr>
          <w:rFonts w:ascii="Arial" w:cs="Arial" w:eastAsia="Arial" w:hAnsi="Arial"/>
          <w:sz w:val="16"/>
          <w:szCs w:val="16"/>
          <w:color w:val="auto"/>
        </w:rPr>
        <w:t>feedback and alignment on the key elements of a proposed Phase 3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1020" w:right="680"/>
        <w:spacing w:after="0" w:line="276" w:lineRule="auto"/>
        <w:rPr>
          <w:sz w:val="20"/>
          <w:szCs w:val="20"/>
          <w:color w:val="auto"/>
        </w:rPr>
      </w:pPr>
      <w:r>
        <w:rPr>
          <w:rFonts w:ascii="Arial" w:cs="Arial" w:eastAsia="Arial" w:hAnsi="Arial"/>
          <w:sz w:val="16"/>
          <w:szCs w:val="16"/>
          <w:color w:val="auto"/>
        </w:rPr>
        <w:t>study for PHVS416. Globally, Pharvaris has been working on study startup activities with clinical site investigators and staff, and upon alignment with regulators, is prepared to initiate RAPIDe-3 by the end of 2023.</w:t>
      </w:r>
    </w:p>
    <w:p>
      <w:pPr>
        <w:spacing w:after="0" w:line="55" w:lineRule="exact"/>
        <w:rPr>
          <w:sz w:val="20"/>
          <w:szCs w:val="20"/>
          <w:color w:val="auto"/>
        </w:rPr>
      </w:pPr>
    </w:p>
    <w:p>
      <w:pPr>
        <w:ind w:left="1020" w:right="80" w:hanging="503"/>
        <w:spacing w:after="0" w:line="26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Nonclinical toxicology study ongoing. </w:t>
      </w:r>
      <w:r>
        <w:rPr>
          <w:rFonts w:ascii="Arial" w:cs="Arial" w:eastAsia="Arial" w:hAnsi="Arial"/>
          <w:sz w:val="16"/>
          <w:szCs w:val="16"/>
          <w:color w:val="auto"/>
        </w:rPr>
        <w:t>The IND of deucrictibant for long-term prophylaxis remains on hold in the U.S. A 26-week nonclinical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rodent toxicology study, which is intended to provide additional data to address the remaining hold in the U.S., is ongoing. Pharvaris anticipates submitting the results of this nonclinical study to the FDA by the end of 2023.</w:t>
      </w:r>
    </w:p>
    <w:p>
      <w:pPr>
        <w:spacing w:after="0" w:line="63" w:lineRule="exact"/>
        <w:rPr>
          <w:rFonts w:ascii="Arial" w:cs="Arial" w:eastAsia="Arial" w:hAnsi="Arial"/>
          <w:sz w:val="16"/>
          <w:szCs w:val="16"/>
          <w:color w:val="auto"/>
        </w:rPr>
      </w:pPr>
    </w:p>
    <w:p>
      <w:pPr>
        <w:ind w:left="1020" w:right="80" w:hanging="503"/>
        <w:spacing w:after="0" w:line="259"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Closing of $70 million private placement extends cash runway. </w:t>
      </w:r>
      <w:r>
        <w:rPr>
          <w:rFonts w:ascii="Arial" w:cs="Arial" w:eastAsia="Arial" w:hAnsi="Arial"/>
          <w:sz w:val="16"/>
          <w:szCs w:val="16"/>
          <w:color w:val="auto"/>
        </w:rPr>
        <w:t>Pharvaris announced a placement financing of approximately $70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was led by General Atlantic and venBio Partners with participation from Bain Capital Life Sciences, Foresite Capital, and Venrock Healthcare Capital Partners. The proceeds of the financing will be used to support Pharvaris’ ongoing research and development activities, as well as general corporate purposes and working capital.</w:t>
      </w:r>
    </w:p>
    <w:p>
      <w:pPr>
        <w:spacing w:after="0" w:line="69" w:lineRule="exact"/>
        <w:rPr>
          <w:rFonts w:ascii="Arial" w:cs="Arial" w:eastAsia="Arial" w:hAnsi="Arial"/>
          <w:sz w:val="16"/>
          <w:szCs w:val="16"/>
          <w:color w:val="auto"/>
        </w:rPr>
      </w:pPr>
    </w:p>
    <w:p>
      <w:pPr>
        <w:ind w:left="1020" w:right="220" w:hanging="503"/>
        <w:spacing w:after="0" w:line="24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Clinical and non-clinical deucrictibant data presented at recent medical and patient meetings, supporting ongoing clinical development of deucrictibant. </w:t>
      </w:r>
      <w:r>
        <w:rPr>
          <w:rFonts w:ascii="Arial" w:cs="Arial" w:eastAsia="Arial" w:hAnsi="Arial"/>
          <w:sz w:val="16"/>
          <w:szCs w:val="16"/>
          <w:color w:val="auto"/>
        </w:rPr>
        <w:t>Pharvaris presented data from clinical and non-clinical studies at the 13</w:t>
      </w:r>
      <w:r>
        <w:rPr>
          <w:rFonts w:ascii="Arial" w:cs="Arial" w:eastAsia="Arial" w:hAnsi="Arial"/>
          <w:sz w:val="21"/>
          <w:szCs w:val="21"/>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C1-inhibitor Deficiency and</w:t>
      </w:r>
      <w:r>
        <w:rPr>
          <w:rFonts w:ascii="Arial" w:cs="Arial" w:eastAsia="Arial" w:hAnsi="Arial"/>
          <w:sz w:val="16"/>
          <w:szCs w:val="16"/>
          <w:b w:val="1"/>
          <w:bCs w:val="1"/>
          <w:color w:val="auto"/>
        </w:rPr>
        <w:t xml:space="preserve"> </w:t>
      </w:r>
      <w:r>
        <w:rPr>
          <w:rFonts w:ascii="Arial" w:cs="Arial" w:eastAsia="Arial" w:hAnsi="Arial"/>
          <w:sz w:val="16"/>
          <w:szCs w:val="16"/>
          <w:color w:val="auto"/>
        </w:rPr>
        <w:t>Angioedema Workshop, the European Academy of Allergy &amp; Clinical Immunology (EAACI) Hybrid Congress 2023, and the 2023 U.S. HAEA National Summit. The slides from the oral presentations and the posters are available on the Investors section of the Pharvaris website.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2023 Financial Results</w:t>
      </w:r>
    </w:p>
    <w:p>
      <w:pPr>
        <w:spacing w:after="0" w:line="113" w:lineRule="exact"/>
        <w:rPr>
          <w:sz w:val="20"/>
          <w:szCs w:val="20"/>
          <w:color w:val="auto"/>
        </w:rPr>
      </w:pPr>
    </w:p>
    <w:p>
      <w:pPr>
        <w:ind w:left="600" w:hanging="292"/>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Cash and cash equivalents were €179 million as of June 30, 2023, compared to €162 million for December 31, 2022.</w:t>
      </w:r>
    </w:p>
    <w:p>
      <w:pPr>
        <w:spacing w:after="0" w:line="126" w:lineRule="exact"/>
        <w:rPr>
          <w:rFonts w:ascii="Arial" w:cs="Arial" w:eastAsia="Arial" w:hAnsi="Arial"/>
          <w:sz w:val="16"/>
          <w:szCs w:val="16"/>
          <w:color w:val="auto"/>
        </w:rPr>
      </w:pPr>
    </w:p>
    <w:p>
      <w:pPr>
        <w:ind w:left="600" w:right="100" w:hanging="292"/>
        <w:spacing w:after="0" w:line="286"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R&amp;D expenses were €14.7 million for the quarter ended June 30, 2023, compared to €13.7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quarter ended June 30, 2022.</w:t>
      </w:r>
    </w:p>
    <w:p>
      <w:pPr>
        <w:spacing w:after="0" w:line="47" w:lineRule="exact"/>
        <w:rPr>
          <w:rFonts w:ascii="Arial" w:cs="Arial" w:eastAsia="Arial" w:hAnsi="Arial"/>
          <w:sz w:val="16"/>
          <w:szCs w:val="16"/>
          <w:color w:val="auto"/>
        </w:rPr>
      </w:pPr>
    </w:p>
    <w:p>
      <w:pPr>
        <w:ind w:left="600" w:right="80" w:hanging="292"/>
        <w:spacing w:after="0" w:line="286"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General and Administrative (G&amp;A) Expenses</w:t>
      </w:r>
      <w:r>
        <w:rPr>
          <w:rFonts w:ascii="Arial" w:cs="Arial" w:eastAsia="Arial" w:hAnsi="Arial"/>
          <w:sz w:val="16"/>
          <w:szCs w:val="16"/>
          <w:color w:val="auto"/>
        </w:rPr>
        <w:t>. G&amp;A expenses were €7.8 million for the quarter ended June 30, 2023, compared to €7.7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quarter ended June 30, 2022.</w:t>
      </w:r>
    </w:p>
    <w:p>
      <w:pPr>
        <w:spacing w:after="0" w:line="47" w:lineRule="exact"/>
        <w:rPr>
          <w:rFonts w:ascii="Arial" w:cs="Arial" w:eastAsia="Arial" w:hAnsi="Arial"/>
          <w:sz w:val="16"/>
          <w:szCs w:val="16"/>
          <w:color w:val="auto"/>
        </w:rPr>
      </w:pPr>
    </w:p>
    <w:p>
      <w:pPr>
        <w:ind w:left="600" w:right="200" w:hanging="292"/>
        <w:spacing w:after="0" w:line="286"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Loss for the year. </w:t>
      </w:r>
      <w:r>
        <w:rPr>
          <w:rFonts w:ascii="Arial" w:cs="Arial" w:eastAsia="Arial" w:hAnsi="Arial"/>
          <w:sz w:val="16"/>
          <w:szCs w:val="16"/>
          <w:color w:val="auto"/>
        </w:rPr>
        <w:t>Loss for the second quarter was €21.9 million, resulting in basic and diluted loss per share of €0.63 for the quarter ended June</w:t>
      </w:r>
      <w:r>
        <w:rPr>
          <w:rFonts w:ascii="Arial" w:cs="Arial" w:eastAsia="Arial" w:hAnsi="Arial"/>
          <w:sz w:val="16"/>
          <w:szCs w:val="16"/>
          <w:b w:val="1"/>
          <w:bCs w:val="1"/>
          <w:color w:val="auto"/>
        </w:rPr>
        <w:t xml:space="preserve"> </w:t>
      </w:r>
      <w:r>
        <w:rPr>
          <w:rFonts w:ascii="Arial" w:cs="Arial" w:eastAsia="Arial" w:hAnsi="Arial"/>
          <w:sz w:val="16"/>
          <w:szCs w:val="16"/>
          <w:color w:val="auto"/>
        </w:rPr>
        <w:t>30, 2023, compared to €12.6 million, or basic and diluted loss per share of €0.38, for the quarter ended June 30,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on International Financial Reporting Standards (IFRS)</w:t>
      </w:r>
    </w:p>
    <w:p>
      <w:pPr>
        <w:spacing w:after="0" w:line="2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About PHVS416 (immediate-release deucrictibant capsules)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PHVS416 (immediate-release deucrictibant capsules) is an investigational drug intended to treat acute attacks of hereditary angioedema (HAE) containing deucrictibant, a highly potent, specific, and orally bioavailable competitive antagonist of the bradykinin B2 receptor. Pharvaris aims to develop this formulation to provide rapid and reliable symptom relief, through rapid exposure of attack-mitigating therapy in an easy-to-administer, small oral dosage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About PHVS719 (extended-release deucrictibant tablets)</w:t>
      </w:r>
    </w:p>
    <w:p>
      <w:pPr>
        <w:spacing w:after="0" w:line="2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PHVS719 (extended-release deucrictibant tablets) is an investigational drug intended to prevent attacks of hereditary angioedema (HAE) containing deucrictibant, a highly potent, specific, and orally bioavailable competitive antagonist of the bradykinin B2 receptor. Pharvaris is developing this formulation to provide sustained exposure of attack-preventing medicine in an easy to administer, small oral dosage form. PHVS719 is currently in Phase 1 clinical development for the prophylactic treatment of HAE. In healthy volunteers, a single dose of PHVS719 was well tolerated with an extended-release profile supporting once-daily dosing.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1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Building on its deep-seated roots in HAE, Pharvaris is a clinical-stage company developing novel, oral bradykinin-B2-receptor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 on prophylactic deucrictibant in the U.S.; the expected timing, progress, or success of our clinical development programs, especially for PHVS416 (immediate-release deucrictibant capsules) and PHVS719 (extended-release deucrictibant tablets), which are in mid-stage global clinical trials; risks arising from epidemic diseases, such as the COVID-19 pandemic, which may adversely impact our business, nonclinical studies, and clinical trials; the expected timing and results of the rodent toxicology study and our ability to resolve any issues to the satisfaction of the FDA or any regulatory agency in a timely manner;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line="250" w:lineRule="auto"/>
        <w:rPr>
          <w:sz w:val="20"/>
          <w:szCs w:val="20"/>
          <w:color w:val="auto"/>
        </w:rPr>
      </w:pPr>
      <w:r>
        <w:rPr>
          <w:rFonts w:ascii="Arial" w:cs="Arial" w:eastAsia="Arial" w:hAnsi="Arial"/>
          <w:sz w:val="16"/>
          <w:szCs w:val="16"/>
          <w:color w:val="auto"/>
        </w:rPr>
        <w:t>conditions, including as a result of inflation and the current conflict between Russia and Ukraine;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Maggie Beller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Director, Head of External and Internal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8" w:right="39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03"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six months ended June 30, 2023 and 2022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2022, and the notes thereto, which appear in our Annual Report on Form 20-F for the year ended December 31, 2022 (the “Annual Report”) filed with the U.S. Securities and Exchange Commission (the “SEC”). In addition, we recommend that you read any public announcements made from time to time by Pharvaris N.V.</w:t>
      </w:r>
    </w:p>
    <w:p>
      <w:pPr>
        <w:spacing w:after="0" w:line="84"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9" w:lineRule="exact"/>
        <w:rPr>
          <w:sz w:val="20"/>
          <w:szCs w:val="20"/>
          <w:color w:val="auto"/>
        </w:rPr>
      </w:pPr>
    </w:p>
    <w:p>
      <w:pPr>
        <w:ind w:right="20" w:firstLine="458"/>
        <w:spacing w:after="0" w:line="261"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75" w:lineRule="exact"/>
        <w:rPr>
          <w:sz w:val="20"/>
          <w:szCs w:val="20"/>
          <w:color w:val="auto"/>
        </w:rPr>
      </w:pPr>
    </w:p>
    <w:p>
      <w:pPr>
        <w:ind w:right="180" w:firstLine="458"/>
        <w:spacing w:after="0" w:line="27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signal. By blocking the action of bradykinin, we can prevent its aberrant signaling regardless of the pathway that generates it.</w:t>
      </w:r>
    </w:p>
    <w:p>
      <w:pPr>
        <w:spacing w:after="0" w:line="85" w:lineRule="exact"/>
        <w:rPr>
          <w:sz w:val="20"/>
          <w:szCs w:val="20"/>
          <w:color w:val="auto"/>
        </w:rPr>
      </w:pPr>
    </w:p>
    <w:p>
      <w:pPr>
        <w:jc w:val="both"/>
        <w:ind w:right="400" w:firstLine="458"/>
        <w:spacing w:after="0" w:line="256" w:lineRule="auto"/>
        <w:rPr>
          <w:sz w:val="20"/>
          <w:szCs w:val="20"/>
          <w:color w:val="auto"/>
        </w:rPr>
      </w:pPr>
      <w:r>
        <w:rPr>
          <w:rFonts w:ascii="Arial" w:cs="Arial" w:eastAsia="Arial" w:hAnsi="Arial"/>
          <w:sz w:val="16"/>
          <w:szCs w:val="16"/>
          <w:color w:val="auto"/>
        </w:rPr>
        <w:t>In our completed Phase 1 trials to-date, we have observed that deucrictibant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w:t>
      </w:r>
    </w:p>
    <w:p>
      <w:pPr>
        <w:spacing w:after="0" w:line="16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40" w:firstLine="458"/>
        <w:spacing w:after="0" w:line="253"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83"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83" w:lineRule="exact"/>
        <w:rPr>
          <w:sz w:val="20"/>
          <w:szCs w:val="20"/>
          <w:color w:val="auto"/>
        </w:rPr>
      </w:pPr>
    </w:p>
    <w:p>
      <w:pPr>
        <w:jc w:val="both"/>
        <w:ind w:right="80" w:firstLine="458"/>
        <w:spacing w:after="0" w:line="256" w:lineRule="auto"/>
        <w:rPr>
          <w:sz w:val="20"/>
          <w:szCs w:val="20"/>
          <w:color w:val="auto"/>
        </w:rPr>
      </w:pPr>
      <w:r>
        <w:rPr>
          <w:rFonts w:ascii="Arial" w:cs="Arial" w:eastAsia="Arial" w:hAnsi="Arial"/>
          <w:sz w:val="16"/>
          <w:szCs w:val="16"/>
          <w:color w:val="auto"/>
        </w:rPr>
        <w:t>Furthermore, 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 protocol for a 26-week rodent toxicology study has been aligned with the FDA and the study has been initiated.</w:t>
      </w:r>
    </w:p>
    <w:p>
      <w:pPr>
        <w:spacing w:after="0" w:line="79" w:lineRule="exact"/>
        <w:rPr>
          <w:sz w:val="20"/>
          <w:szCs w:val="20"/>
          <w:color w:val="auto"/>
        </w:rPr>
      </w:pPr>
    </w:p>
    <w:p>
      <w:pPr>
        <w:ind w:right="640" w:firstLine="458"/>
        <w:spacing w:after="0" w:line="261" w:lineRule="auto"/>
        <w:rPr>
          <w:sz w:val="20"/>
          <w:szCs w:val="20"/>
          <w:color w:val="auto"/>
        </w:rPr>
      </w:pPr>
      <w:r>
        <w:rPr>
          <w:rFonts w:ascii="Arial" w:cs="Arial" w:eastAsia="Arial" w:hAnsi="Arial"/>
          <w:sz w:val="16"/>
          <w:szCs w:val="16"/>
          <w:color w:val="auto"/>
        </w:rPr>
        <w:t>Pharvaris notified country-specific regulatory authorities in Canada, Europe, Israel, and the UK of the U.S. clinical holds. Outside the U.S., the regulatory status remains unchanged for the CHAPTER-1 study and other studies, including an open-label, long-term extension study (RAPIDe-2). Enrollment in the CHAPTER-1 clinical study has been completed.</w:t>
      </w:r>
    </w:p>
    <w:p>
      <w:pPr>
        <w:spacing w:after="0" w:line="264"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January 2023, the FDA agreed to partially lift the clinical hold on on-demand to allow two remaining U.S. participants in RAPIDe-1 to complete treatment of a final HAE attack per protocol. In June 2023, the FDA lifted the clinical hold on the Investigational New Drug (IND) application for deucrictibant for the on-demand treatment of HAE following review of data from a planned interim analysis of the ongoing 26-week nonclinical rodent toxicology study. The lift of the clinical hold on the on-demand clinical trials enables Pharvaris to continue development of PHVS416 (deucrictibant immediate-release capsules) in the U.S., including resuming RAPIDe-2, a long-term extension study for acute treatment of attacks. Clinical studies of deucrictibant for prophylactic treatment of HAE are currently on hold in the U.S. Pharvaris expects to submit data from the completed 26-week nonclinical study by the end of 2023 to address the remaining hold on the IND application for deucrictibant for prophylactic treatment of HAE. However, we cannot provide any assurance that we will be able to resolve the clinical holds.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31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In July 2023, the Company announced the departure of Anne Marie de Jonge Schuermans, Ph.D., non-executive Director, from the Board of Directors, effective July 1, 2023. Dr. de Jonge Schuermans has been replaced by Robert Glassman, M.D., as a member of the Audit Committee and Viviane Monges as a member on the Nomination &amp; Corporate Governance Committee. The departure of Dr. de Jonge Schuermans was not as a result of a disagreement with the Company.</w:t>
      </w:r>
    </w:p>
    <w:p>
      <w:pPr>
        <w:spacing w:after="0" w:line="146" w:lineRule="exact"/>
        <w:rPr>
          <w:sz w:val="20"/>
          <w:szCs w:val="20"/>
          <w:color w:val="auto"/>
        </w:rPr>
      </w:pPr>
    </w:p>
    <w:p>
      <w:pPr>
        <w:ind w:right="260" w:firstLine="419"/>
        <w:spacing w:after="0" w:line="252" w:lineRule="auto"/>
        <w:rPr>
          <w:sz w:val="20"/>
          <w:szCs w:val="20"/>
          <w:color w:val="auto"/>
        </w:rPr>
      </w:pPr>
      <w:r>
        <w:rPr>
          <w:rFonts w:ascii="Arial" w:cs="Arial" w:eastAsia="Arial" w:hAnsi="Arial"/>
          <w:sz w:val="16"/>
          <w:szCs w:val="16"/>
          <w:color w:val="auto"/>
        </w:rPr>
        <w:t>In June 2023, the Company entered into a subscription agreement relating to the offer and sale of an aggregate of 6,951,340 ordinary shares of the Company, par value €0.12 per share (the “Ordinary Shares”), in a private placement (the “Offering”) to a group of institutional investors, led by General Atlantic and venBio Partners with participation from Bain Capital Life Sciences, Foresite Capital, and Venrock Healthcare Capital Partners, at an offering price of $10.07 per share, for gross proceeds of approximately $70 million (€64.1 million) before deducting any offering-related expenses. The Offering closed on or about June 21, 2023. Pharvaris intends to use the net proceeds from the Offering to fund research and development and product discovery expenses, and for working capital and general corporate purposes.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89" w:lineRule="exact"/>
        <w:rPr>
          <w:sz w:val="20"/>
          <w:szCs w:val="20"/>
          <w:color w:val="auto"/>
        </w:rPr>
      </w:pPr>
    </w:p>
    <w:p>
      <w:pPr>
        <w:ind w:right="100" w:firstLine="374"/>
        <w:spacing w:after="0" w:line="254"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12" w:name="page13"/>
    <w:bookmarkEnd w:id="12"/>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2" w:lineRule="exact"/>
        <w:rPr>
          <w:sz w:val="20"/>
          <w:szCs w:val="20"/>
          <w:color w:val="auto"/>
        </w:rPr>
      </w:pPr>
    </w:p>
    <w:p>
      <w:pPr>
        <w:ind w:right="200" w:firstLine="374"/>
        <w:spacing w:after="0" w:line="25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1020" w:hanging="503"/>
        <w:spacing w:after="0" w:line="27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6" w:lineRule="exact"/>
        <w:rPr>
          <w:rFonts w:ascii="Arial" w:cs="Arial" w:eastAsia="Arial" w:hAnsi="Arial"/>
          <w:sz w:val="16"/>
          <w:szCs w:val="16"/>
          <w:color w:val="auto"/>
        </w:rPr>
      </w:pPr>
    </w:p>
    <w:p>
      <w:pPr>
        <w:ind w:left="1020" w:right="220" w:hanging="503"/>
        <w:spacing w:after="0" w:line="27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Contract Research Organizations ("CRO") assisting with our clinical development programs;</w:t>
      </w:r>
    </w:p>
    <w:p>
      <w:pPr>
        <w:spacing w:after="0" w:line="62" w:lineRule="exact"/>
        <w:rPr>
          <w:rFonts w:ascii="Arial" w:cs="Arial" w:eastAsia="Arial" w:hAnsi="Arial"/>
          <w:sz w:val="16"/>
          <w:szCs w:val="16"/>
          <w:color w:val="auto"/>
        </w:rPr>
      </w:pPr>
    </w:p>
    <w:p>
      <w:pPr>
        <w:ind w:left="1020" w:right="40" w:hanging="503"/>
        <w:spacing w:after="0" w:line="27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62" w:lineRule="exact"/>
        <w:rPr>
          <w:rFonts w:ascii="Arial" w:cs="Arial" w:eastAsia="Arial" w:hAnsi="Arial"/>
          <w:sz w:val="16"/>
          <w:szCs w:val="16"/>
          <w:color w:val="auto"/>
        </w:rPr>
      </w:pPr>
    </w:p>
    <w:p>
      <w:pPr>
        <w:ind w:left="1020" w:right="160" w:hanging="503"/>
        <w:spacing w:after="0" w:line="27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advisers’ fees, including discovery, nonclinical, clinical, chemistry, manufacturing, and controls- related and other consulting services;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license costs.</w:t>
      </w:r>
    </w:p>
    <w:p>
      <w:pPr>
        <w:spacing w:after="0" w:line="194" w:lineRule="exact"/>
        <w:rPr>
          <w:sz w:val="20"/>
          <w:szCs w:val="20"/>
          <w:color w:val="auto"/>
        </w:rPr>
      </w:pPr>
    </w:p>
    <w:p>
      <w:pPr>
        <w:ind w:right="60" w:firstLine="374"/>
        <w:spacing w:after="0" w:line="276" w:lineRule="auto"/>
        <w:rPr>
          <w:sz w:val="20"/>
          <w:szCs w:val="20"/>
          <w:color w:val="auto"/>
        </w:rPr>
      </w:pPr>
      <w:r>
        <w:rPr>
          <w:rFonts w:ascii="Arial" w:cs="Arial" w:eastAsia="Arial" w:hAnsi="Arial"/>
          <w:sz w:val="16"/>
          <w:szCs w:val="16"/>
          <w:color w:val="auto"/>
        </w:rPr>
        <w:t>We anticipate that our total research and development expenses will continue to increase as we continue to progress PHVS416 and PHVS719 through clinical development.</w:t>
      </w:r>
    </w:p>
    <w:p>
      <w:pPr>
        <w:spacing w:after="0" w:line="144" w:lineRule="exact"/>
        <w:rPr>
          <w:sz w:val="20"/>
          <w:szCs w:val="20"/>
          <w:color w:val="auto"/>
        </w:rPr>
      </w:pPr>
    </w:p>
    <w:p>
      <w:pPr>
        <w:ind w:right="120" w:firstLine="374"/>
        <w:spacing w:after="0" w:line="261"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42" w:lineRule="exact"/>
        <w:rPr>
          <w:sz w:val="20"/>
          <w:szCs w:val="20"/>
          <w:color w:val="auto"/>
        </w:rPr>
      </w:pPr>
    </w:p>
    <w:p>
      <w:pPr>
        <w:ind w:right="200" w:firstLine="374"/>
        <w:spacing w:after="0" w:line="261"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42" w:lineRule="exact"/>
        <w:rPr>
          <w:sz w:val="20"/>
          <w:szCs w:val="20"/>
          <w:color w:val="auto"/>
        </w:rPr>
      </w:pPr>
    </w:p>
    <w:p>
      <w:pPr>
        <w:jc w:val="both"/>
        <w:ind w:right="220" w:firstLine="374"/>
        <w:spacing w:after="0" w:line="261" w:lineRule="auto"/>
        <w:rPr>
          <w:sz w:val="20"/>
          <w:szCs w:val="20"/>
          <w:color w:val="auto"/>
        </w:rPr>
      </w:pPr>
      <w:r>
        <w:rPr>
          <w:rFonts w:ascii="Arial" w:cs="Arial" w:eastAsia="Arial" w:hAnsi="Arial"/>
          <w:sz w:val="16"/>
          <w:szCs w:val="16"/>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89" w:lineRule="exact"/>
        <w:rPr>
          <w:sz w:val="20"/>
          <w:szCs w:val="20"/>
          <w:color w:val="auto"/>
        </w:rPr>
      </w:pPr>
    </w:p>
    <w:p>
      <w:pPr>
        <w:ind w:right="120" w:firstLine="374"/>
        <w:spacing w:after="0" w:line="251"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101" w:lineRule="exact"/>
        <w:rPr>
          <w:sz w:val="20"/>
          <w:szCs w:val="20"/>
          <w:color w:val="auto"/>
        </w:rPr>
      </w:pPr>
    </w:p>
    <w:p>
      <w:pPr>
        <w:ind w:left="1020" w:right="460" w:hanging="503"/>
        <w:spacing w:after="0" w:line="276"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rental expenses, facilities and IT expenses and other general expenses relating to our operations; and</w:t>
      </w:r>
    </w:p>
    <w:p>
      <w:pPr>
        <w:spacing w:after="0" w:line="126" w:lineRule="exact"/>
        <w:rPr>
          <w:rFonts w:ascii="Arial" w:cs="Arial" w:eastAsia="Arial" w:hAnsi="Arial"/>
          <w:sz w:val="16"/>
          <w:szCs w:val="16"/>
          <w:color w:val="auto"/>
        </w:rPr>
      </w:pPr>
    </w:p>
    <w:p>
      <w:pPr>
        <w:ind w:left="1020" w:right="140" w:hanging="503"/>
        <w:spacing w:after="0" w:line="276"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30" w:lineRule="exact"/>
        <w:rPr>
          <w:sz w:val="20"/>
          <w:szCs w:val="20"/>
          <w:color w:val="auto"/>
        </w:rPr>
      </w:pPr>
    </w:p>
    <w:p>
      <w:pPr>
        <w:ind w:right="100" w:firstLine="374"/>
        <w:spacing w:after="0" w:line="261"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02" w:lineRule="exact"/>
        <w:rPr>
          <w:sz w:val="20"/>
          <w:szCs w:val="20"/>
          <w:color w:val="auto"/>
        </w:rPr>
      </w:pPr>
    </w:p>
    <w:p>
      <w:pPr>
        <w:ind w:firstLine="374"/>
        <w:spacing w:after="0" w:line="250"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Result of operations</w:t>
      </w:r>
    </w:p>
    <w:p>
      <w:pPr>
        <w:spacing w:after="0" w:line="202" w:lineRule="exact"/>
        <w:rPr>
          <w:sz w:val="20"/>
          <w:szCs w:val="20"/>
          <w:color w:val="auto"/>
        </w:rPr>
      </w:pPr>
    </w:p>
    <w:p>
      <w:pPr>
        <w:ind w:right="580" w:firstLine="374"/>
        <w:spacing w:after="0" w:line="261"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and six months ended June 30, 2023 and 2022 included as Exhibit 99.3 to this Report on Form 6-K. The discussion below should be read along with these condensed consolidated interim financial statements, and it is qualified in its entirety by reference to them.</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June 30, 2023 and June 30, 2022</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4"/>
          </w:tcPr>
          <w:p>
            <w:pPr>
              <w:jc w:val="right"/>
              <w:ind w:right="1240"/>
              <w:spacing w:after="0"/>
              <w:rPr>
                <w:sz w:val="20"/>
                <w:szCs w:val="20"/>
                <w:color w:val="auto"/>
              </w:rPr>
            </w:pPr>
            <w:r>
              <w:rPr>
                <w:rFonts w:ascii="Arial" w:cs="Arial" w:eastAsia="Arial" w:hAnsi="Arial"/>
                <w:sz w:val="16"/>
                <w:szCs w:val="16"/>
                <w:b w:val="1"/>
                <w:bCs w:val="1"/>
                <w:color w:val="auto"/>
              </w:rPr>
              <w:t>For the three months ended</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414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14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Change</w:t>
            </w: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414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80" w:type="dxa"/>
            <w:vAlign w:val="bottom"/>
          </w:tcPr>
          <w:p>
            <w:pPr>
              <w:spacing w:after="0"/>
              <w:rPr>
                <w:sz w:val="19"/>
                <w:szCs w:val="19"/>
                <w:color w:val="auto"/>
              </w:rPr>
            </w:pPr>
          </w:p>
        </w:tc>
        <w:tc>
          <w:tcPr>
            <w:tcW w:w="162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(14,681,935 )</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(13,721,637 )</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(960,298 )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60" w:type="dxa"/>
            <w:vAlign w:val="bottom"/>
          </w:tcPr>
          <w:p>
            <w:pPr>
              <w:spacing w:after="0"/>
              <w:rPr>
                <w:sz w:val="20"/>
                <w:szCs w:val="20"/>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(7,773,430 )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(7,660,133 )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(113,297 )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1 %</w:t>
            </w: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(22,455,365 )</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(21,381,770 )</w:t>
            </w: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(1,073,595 )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5 %</w:t>
            </w:r>
          </w:p>
        </w:tc>
        <w:tc>
          <w:tcPr>
            <w:tcW w:w="60" w:type="dxa"/>
            <w:vAlign w:val="bottom"/>
          </w:tcPr>
          <w:p>
            <w:pPr>
              <w:spacing w:after="0"/>
              <w:rPr>
                <w:sz w:val="20"/>
                <w:szCs w:val="20"/>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1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(22,455,365 )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(21,381,770 )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(1,073,595 )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5 %</w:t>
            </w:r>
          </w:p>
        </w:tc>
      </w:tr>
      <w:tr>
        <w:trPr>
          <w:trHeight w:val="229"/>
        </w:trPr>
        <w:tc>
          <w:tcPr>
            <w:tcW w:w="414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651,670</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11,501,804</w:t>
            </w:r>
          </w:p>
        </w:tc>
        <w:tc>
          <w:tcPr>
            <w:tcW w:w="28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(10,850,134 )</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(94 )%</w:t>
            </w:r>
          </w:p>
        </w:tc>
      </w:tr>
      <w:tr>
        <w:trPr>
          <w:trHeight w:val="230"/>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Loss before tax</w:t>
            </w:r>
          </w:p>
        </w:tc>
        <w:tc>
          <w:tcPr>
            <w:tcW w:w="1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(21,803,695 )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(9,879,966 )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(11,923,729 )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121 %</w:t>
            </w:r>
          </w:p>
        </w:tc>
      </w:tr>
      <w:tr>
        <w:trPr>
          <w:trHeight w:val="229"/>
        </w:trPr>
        <w:tc>
          <w:tcPr>
            <w:tcW w:w="414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1900" w:type="dxa"/>
            <w:vAlign w:val="bottom"/>
            <w:gridSpan w:val="2"/>
          </w:tcPr>
          <w:p>
            <w:pPr>
              <w:jc w:val="right"/>
              <w:ind w:right="200"/>
              <w:spacing w:after="0"/>
              <w:rPr>
                <w:sz w:val="20"/>
                <w:szCs w:val="20"/>
                <w:color w:val="auto"/>
              </w:rPr>
            </w:pPr>
            <w:r>
              <w:rPr>
                <w:rFonts w:ascii="Arial" w:cs="Arial" w:eastAsia="Arial" w:hAnsi="Arial"/>
                <w:sz w:val="16"/>
                <w:szCs w:val="16"/>
                <w:color w:val="auto"/>
              </w:rPr>
              <w:t>(94,178 )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(2,741,102 )</w:t>
            </w:r>
          </w:p>
        </w:tc>
        <w:tc>
          <w:tcPr>
            <w:tcW w:w="1620" w:type="dxa"/>
            <w:vAlign w:val="bottom"/>
          </w:tcPr>
          <w:p>
            <w:pPr>
              <w:jc w:val="right"/>
              <w:spacing w:after="0"/>
              <w:rPr>
                <w:sz w:val="20"/>
                <w:szCs w:val="20"/>
                <w:color w:val="auto"/>
              </w:rPr>
            </w:pPr>
            <w:r>
              <w:rPr>
                <w:rFonts w:ascii="Arial" w:cs="Arial" w:eastAsia="Arial" w:hAnsi="Arial"/>
                <w:sz w:val="16"/>
                <w:szCs w:val="16"/>
                <w:color w:val="auto"/>
              </w:rPr>
              <w:t>2,646,924</w:t>
            </w:r>
          </w:p>
        </w:tc>
        <w:tc>
          <w:tcPr>
            <w:tcW w:w="2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(97 )%</w:t>
            </w:r>
          </w:p>
        </w:tc>
      </w:tr>
      <w:tr>
        <w:trPr>
          <w:trHeight w:val="230"/>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Loss for the period</w:t>
            </w:r>
          </w:p>
        </w:tc>
        <w:tc>
          <w:tcPr>
            <w:tcW w:w="1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(21,897,873 )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(12,621,068 )</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(9,276,805 )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June 30, 2023 and June 30, 2022.</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200" w:lineRule="exact"/>
        <w:rPr>
          <w:sz w:val="20"/>
          <w:szCs w:val="20"/>
          <w:color w:val="auto"/>
        </w:r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For the three months ended</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1440"/>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5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Personnel expenses</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(4,544,244 )</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(3,061,036 )</w:t>
            </w:r>
          </w:p>
        </w:tc>
        <w:tc>
          <w:tcPr>
            <w:tcW w:w="3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(1,483,208 )</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40"/>
              <w:spacing w:after="0"/>
              <w:rPr>
                <w:sz w:val="20"/>
                <w:szCs w:val="20"/>
                <w:color w:val="auto"/>
              </w:rPr>
            </w:pPr>
            <w:r>
              <w:rPr>
                <w:rFonts w:ascii="Arial" w:cs="Arial" w:eastAsia="Arial" w:hAnsi="Arial"/>
                <w:sz w:val="16"/>
                <w:szCs w:val="16"/>
                <w:color w:val="auto"/>
              </w:rPr>
              <w:t>Clinical expenses</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(7,629,432 )</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(7,175,545 )</w:t>
            </w:r>
          </w:p>
        </w:tc>
        <w:tc>
          <w:tcPr>
            <w:tcW w:w="3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(453,887 )</w:t>
            </w:r>
          </w:p>
        </w:tc>
        <w:tc>
          <w:tcPr>
            <w:tcW w:w="1900" w:type="dxa"/>
            <w:vAlign w:val="bottom"/>
            <w:gridSpan w:val="3"/>
          </w:tcPr>
          <w:p>
            <w:pPr>
              <w:jc w:val="right"/>
              <w:ind w:right="60"/>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Nonclinical expenses</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(1,667,811 )</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(1,016,793 )</w:t>
            </w:r>
          </w:p>
        </w:tc>
        <w:tc>
          <w:tcPr>
            <w:tcW w:w="3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(651,018 )</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40"/>
              <w:spacing w:after="0"/>
              <w:rPr>
                <w:sz w:val="20"/>
                <w:szCs w:val="20"/>
                <w:color w:val="auto"/>
              </w:rPr>
            </w:pPr>
            <w:r>
              <w:rPr>
                <w:rFonts w:ascii="Arial" w:cs="Arial" w:eastAsia="Arial" w:hAnsi="Arial"/>
                <w:sz w:val="16"/>
                <w:szCs w:val="16"/>
                <w:color w:val="auto"/>
              </w:rPr>
              <w:t>Manufacturing costs</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(736,427 )</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(2,419,143 )</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1,682,716</w:t>
            </w:r>
          </w:p>
        </w:tc>
        <w:tc>
          <w:tcPr>
            <w:tcW w:w="26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Intellectual Property costs</w:t>
            </w: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(104,021 )</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(49,120 )</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(54,901 )</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820" w:type="dxa"/>
            <w:vAlign w:val="bottom"/>
            <w:shd w:val="clear" w:color="auto" w:fill="CFF0FC"/>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Pr>
          <w:p>
            <w:pPr>
              <w:ind w:left="40"/>
              <w:spacing w:after="0"/>
              <w:rPr>
                <w:sz w:val="20"/>
                <w:szCs w:val="20"/>
                <w:color w:val="auto"/>
              </w:rPr>
            </w:pPr>
            <w:r>
              <w:rPr>
                <w:rFonts w:ascii="Arial" w:cs="Arial" w:eastAsia="Arial" w:hAnsi="Arial"/>
                <w:sz w:val="16"/>
                <w:szCs w:val="16"/>
                <w:b w:val="1"/>
                <w:bCs w:val="1"/>
                <w:color w:val="auto"/>
              </w:rPr>
              <w:t>Total research and development expenses</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(14,681,935 )</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(13,721,637 )</w:t>
            </w:r>
          </w:p>
        </w:tc>
        <w:tc>
          <w:tcPr>
            <w:tcW w:w="3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(960,298 )</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b w:val="1"/>
                <w:bCs w:val="1"/>
                <w:color w:val="auto"/>
                <w:highlight w:val="white"/>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-179070</wp:posOffset>
            </wp:positionV>
            <wp:extent cx="857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8572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7683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75" w:lineRule="exact"/>
        <w:rPr>
          <w:sz w:val="20"/>
          <w:szCs w:val="20"/>
          <w:color w:val="auto"/>
        </w:rPr>
      </w:pPr>
    </w:p>
    <w:p>
      <w:pPr>
        <w:ind w:right="460" w:firstLine="374"/>
        <w:spacing w:after="0" w:line="261" w:lineRule="auto"/>
        <w:rPr>
          <w:sz w:val="20"/>
          <w:szCs w:val="20"/>
          <w:color w:val="auto"/>
        </w:rPr>
      </w:pPr>
      <w:r>
        <w:rPr>
          <w:rFonts w:ascii="Arial" w:cs="Arial" w:eastAsia="Arial" w:hAnsi="Arial"/>
          <w:sz w:val="16"/>
          <w:szCs w:val="16"/>
          <w:color w:val="auto"/>
        </w:rPr>
        <w:t>Research and development expenses increased from €13,721,637 for the three months ended June 30, 2022 to €14,681,935 for the three months ended June 30, 2023. The increase in the research and development expenses is mainly driven by the progress made in the PHVS416 and PHVS719 development programs in the three months ended June 30, 2023.</w:t>
      </w:r>
    </w:p>
    <w:p>
      <w:pPr>
        <w:spacing w:after="0" w:line="156" w:lineRule="exact"/>
        <w:rPr>
          <w:sz w:val="20"/>
          <w:szCs w:val="20"/>
          <w:color w:val="auto"/>
        </w:rPr>
      </w:pPr>
    </w:p>
    <w:p>
      <w:pPr>
        <w:ind w:right="60" w:firstLine="374"/>
        <w:spacing w:after="0" w:line="252" w:lineRule="auto"/>
        <w:rPr>
          <w:sz w:val="20"/>
          <w:szCs w:val="20"/>
          <w:color w:val="auto"/>
        </w:rPr>
      </w:pPr>
      <w:r>
        <w:rPr>
          <w:rFonts w:ascii="Arial" w:cs="Arial" w:eastAsia="Arial" w:hAnsi="Arial"/>
          <w:sz w:val="16"/>
          <w:szCs w:val="16"/>
          <w:color w:val="auto"/>
        </w:rPr>
        <w:t>Clinical expenses increased by €453,887 for the three months ended June 30, 2023, compared to the three months ended June 30, 2022, primarily due to the completion of the RAPIDe-1 on demand Phase 2 study. Nonclinical expenses increased by €651,018 for the three months ended June 30, 2023, compared to the three months ended June 30, 2022, primarily due to additional studies related to the 26-week rodent toxicology study intended to address the clinical hold in the U.S. Manufacturing costs relating to the Active Pharmaceutical Ingredient ("API") and pharmaceutical development of PHVS416 and PHVS719 decreased by €1,682,716 for the three months ended June 30, 2023 compared to the three months ended June 30, 2022 due to reduction of costs as a result of the completion of synthesis of API intended for future development.</w:t>
      </w:r>
    </w:p>
    <w:p>
      <w:pPr>
        <w:spacing w:after="0" w:line="164" w:lineRule="exact"/>
        <w:rPr>
          <w:sz w:val="20"/>
          <w:szCs w:val="20"/>
          <w:color w:val="auto"/>
        </w:rPr>
      </w:pPr>
    </w:p>
    <w:p>
      <w:pPr>
        <w:ind w:right="260" w:firstLine="374"/>
        <w:spacing w:after="0" w:line="250" w:lineRule="auto"/>
        <w:rPr>
          <w:sz w:val="20"/>
          <w:szCs w:val="20"/>
          <w:color w:val="auto"/>
        </w:rPr>
      </w:pPr>
      <w:r>
        <w:rPr>
          <w:rFonts w:ascii="Arial" w:cs="Arial" w:eastAsia="Arial" w:hAnsi="Arial"/>
          <w:sz w:val="16"/>
          <w:szCs w:val="16"/>
          <w:color w:val="auto"/>
        </w:rPr>
        <w:t>In the personnel expenses for the three months ended June 30, 2023 and 2022 an amount of €1,265,366 and €1,521,867, respectively, was included which related to share-based compensation arrangements. The decrease in the share-based compensation is due to the net effect of the new grants awarded in the three months ended June 30, 2023 and the cumulative charges of the awards already granted in the three months ended March 31, 2023 (vestings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3" w:right="279" w:bottom="1440" w:gutter="0" w:footer="0" w:header="0"/>
        </w:sectPr>
      </w:pPr>
    </w:p>
    <w:bookmarkStart w:id="15" w:name="page16"/>
    <w:bookmarkEnd w:id="15"/>
    <w:p>
      <w:pPr>
        <w:spacing w:after="0" w:line="276" w:lineRule="auto"/>
        <w:rPr>
          <w:sz w:val="20"/>
          <w:szCs w:val="20"/>
          <w:color w:val="auto"/>
        </w:rPr>
      </w:pPr>
      <w:r>
        <w:rPr>
          <w:rFonts w:ascii="Arial" w:cs="Arial" w:eastAsia="Arial" w:hAnsi="Arial"/>
          <w:sz w:val="16"/>
          <w:szCs w:val="16"/>
          <w:color w:val="auto"/>
        </w:rPr>
        <w:t>and forfeitures). The remaining increase in personnel expenses is driven by the growth of our organization resulting in additional employees hired, and yearly merit adjustments.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3740" w:type="dxa"/>
            <w:vAlign w:val="bottom"/>
          </w:tcPr>
          <w:p>
            <w:pPr>
              <w:ind w:left="80"/>
              <w:spacing w:after="0"/>
              <w:rPr>
                <w:sz w:val="20"/>
                <w:szCs w:val="20"/>
                <w:color w:val="auto"/>
              </w:rPr>
            </w:pPr>
            <w:r>
              <w:rPr>
                <w:rFonts w:ascii="Arial" w:cs="Arial" w:eastAsia="Arial" w:hAnsi="Arial"/>
                <w:sz w:val="16"/>
                <w:szCs w:val="16"/>
                <w:i w:val="1"/>
                <w:iCs w:val="1"/>
                <w:color w:val="auto"/>
              </w:rPr>
              <w:t>General and administrative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4"/>
        </w:trPr>
        <w:tc>
          <w:tcPr>
            <w:tcW w:w="3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89"/>
              </w:rPr>
              <w:t>For the three months ended</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7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left="1219"/>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74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6"/>
                <w:szCs w:val="16"/>
                <w:color w:val="auto"/>
              </w:rPr>
              <w:t>Personnel expenses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(3,434,343 )</w:t>
            </w: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(3,825,151 )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390,808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(10 )%</w:t>
            </w:r>
          </w:p>
        </w:tc>
      </w:tr>
      <w:tr>
        <w:trPr>
          <w:trHeight w:val="239"/>
        </w:trPr>
        <w:tc>
          <w:tcPr>
            <w:tcW w:w="3740" w:type="dxa"/>
            <w:vAlign w:val="bottom"/>
          </w:tcPr>
          <w:p>
            <w:pPr>
              <w:spacing w:after="0"/>
              <w:rPr>
                <w:sz w:val="20"/>
                <w:szCs w:val="20"/>
                <w:color w:val="auto"/>
              </w:rPr>
            </w:pPr>
            <w:r>
              <w:rPr>
                <w:rFonts w:ascii="Arial" w:cs="Arial" w:eastAsia="Arial" w:hAnsi="Arial"/>
                <w:sz w:val="16"/>
                <w:szCs w:val="16"/>
                <w:color w:val="auto"/>
              </w:rPr>
              <w:t>Consulting fees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(126,447 )</w:t>
            </w:r>
          </w:p>
        </w:tc>
        <w:tc>
          <w:tcPr>
            <w:tcW w:w="12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(254,899 )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128,452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(50 )%</w:t>
            </w:r>
          </w:p>
        </w:tc>
      </w:tr>
      <w:tr>
        <w:trPr>
          <w:trHeight w:val="23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(1,294,705 )</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(911,170 )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(383,535 )</w:t>
            </w:r>
          </w:p>
        </w:tc>
        <w:tc>
          <w:tcPr>
            <w:tcW w:w="12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20"/>
                <w:szCs w:val="20"/>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(537,961 )</w:t>
            </w:r>
          </w:p>
        </w:tc>
        <w:tc>
          <w:tcPr>
            <w:tcW w:w="1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(290,159 )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(247,802 )</w:t>
            </w:r>
          </w:p>
        </w:tc>
        <w:tc>
          <w:tcPr>
            <w:tcW w:w="120" w:type="dxa"/>
            <w:vAlign w:val="bottom"/>
          </w:tcPr>
          <w:p>
            <w:pPr>
              <w:spacing w:after="0"/>
              <w:rPr>
                <w:sz w:val="18"/>
                <w:szCs w:val="18"/>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6"/>
                <w:szCs w:val="16"/>
                <w:color w:val="auto"/>
              </w:rPr>
              <w:t>85 %</w:t>
            </w:r>
          </w:p>
        </w:tc>
      </w:tr>
      <w:tr>
        <w:trPr>
          <w:trHeight w:val="230"/>
        </w:trPr>
        <w:tc>
          <w:tcPr>
            <w:tcW w:w="3740" w:type="dxa"/>
            <w:vAlign w:val="bottom"/>
          </w:tcPr>
          <w:p>
            <w:pPr>
              <w:spacing w:after="0"/>
              <w:rPr>
                <w:sz w:val="20"/>
                <w:szCs w:val="20"/>
                <w:color w:val="auto"/>
              </w:rPr>
            </w:pPr>
            <w:r>
              <w:rPr>
                <w:rFonts w:ascii="Arial" w:cs="Arial" w:eastAsia="Arial" w:hAnsi="Arial"/>
                <w:sz w:val="16"/>
                <w:szCs w:val="16"/>
                <w:color w:val="auto"/>
              </w:rPr>
              <w:t>Facilities, communication and office expenses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(1,419,334 )</w:t>
            </w: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(1,618,732 )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199,398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(12 )%</w:t>
            </w:r>
          </w:p>
        </w:tc>
      </w:tr>
      <w:tr>
        <w:trPr>
          <w:trHeight w:val="239"/>
        </w:trPr>
        <w:tc>
          <w:tcPr>
            <w:tcW w:w="3740" w:type="dxa"/>
            <w:vAlign w:val="bottom"/>
          </w:tcPr>
          <w:p>
            <w:pPr>
              <w:spacing w:after="0"/>
              <w:rPr>
                <w:sz w:val="20"/>
                <w:szCs w:val="20"/>
                <w:color w:val="auto"/>
              </w:rPr>
            </w:pPr>
            <w:r>
              <w:rPr>
                <w:rFonts w:ascii="Arial" w:cs="Arial" w:eastAsia="Arial" w:hAnsi="Arial"/>
                <w:sz w:val="16"/>
                <w:szCs w:val="16"/>
                <w:color w:val="auto"/>
              </w:rPr>
              <w:t>Travel expenses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(455,717 )</w:t>
            </w:r>
          </w:p>
        </w:tc>
        <w:tc>
          <w:tcPr>
            <w:tcW w:w="12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(260,446 )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(195,271 )</w:t>
            </w:r>
          </w:p>
        </w:tc>
        <w:tc>
          <w:tcPr>
            <w:tcW w:w="120" w:type="dxa"/>
            <w:vAlign w:val="bottom"/>
          </w:tcPr>
          <w:p>
            <w:pPr>
              <w:spacing w:after="0"/>
              <w:rPr>
                <w:sz w:val="20"/>
                <w:szCs w:val="20"/>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6"/>
                <w:szCs w:val="16"/>
                <w:color w:val="auto"/>
              </w:rPr>
              <w:t>75 %</w:t>
            </w: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(504,923 )</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(499,576 )</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(5,347 )</w:t>
            </w: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r>
      <w:tr>
        <w:trPr>
          <w:trHeight w:val="23"/>
        </w:trPr>
        <w:tc>
          <w:tcPr>
            <w:tcW w:w="374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6"/>
                <w:szCs w:val="16"/>
                <w:color w:val="auto"/>
              </w:rPr>
              <w:t>Total general and administratve expenses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(7,773,430 )</w:t>
            </w: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(7,660,133 )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(113,297 )</w:t>
            </w:r>
          </w:p>
        </w:tc>
        <w:tc>
          <w:tcPr>
            <w:tcW w:w="12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color w:val="auto"/>
                <w:highlight w:val="white"/>
              </w:rPr>
              <w:t>%</w:t>
            </w:r>
          </w:p>
        </w:tc>
      </w:tr>
      <w:tr>
        <w:trPr>
          <w:trHeight w:val="20"/>
        </w:trPr>
        <w:tc>
          <w:tcPr>
            <w:tcW w:w="37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-1199515</wp:posOffset>
            </wp:positionV>
            <wp:extent cx="677227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-616585</wp:posOffset>
            </wp:positionV>
            <wp:extent cx="677227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-179705</wp:posOffset>
            </wp:positionV>
            <wp:extent cx="8572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-179705</wp:posOffset>
            </wp:positionV>
            <wp:extent cx="7747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-179705</wp:posOffset>
            </wp:positionV>
            <wp:extent cx="8572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375" w:lineRule="exact"/>
        <w:rPr>
          <w:sz w:val="20"/>
          <w:szCs w:val="20"/>
          <w:color w:val="auto"/>
        </w:rPr>
      </w:pPr>
    </w:p>
    <w:p>
      <w:pPr>
        <w:ind w:right="60" w:firstLine="374"/>
        <w:spacing w:after="0" w:line="256" w:lineRule="auto"/>
        <w:rPr>
          <w:sz w:val="20"/>
          <w:szCs w:val="20"/>
          <w:color w:val="auto"/>
        </w:rPr>
      </w:pPr>
      <w:r>
        <w:rPr>
          <w:rFonts w:ascii="Arial" w:cs="Arial" w:eastAsia="Arial" w:hAnsi="Arial"/>
          <w:sz w:val="16"/>
          <w:szCs w:val="16"/>
          <w:color w:val="auto"/>
        </w:rPr>
        <w:t>General and administrative expenses increased from €7,660,133 for the three months ended June 30, 2022 to €7,773,430 for the three months ended June 30, 2023. The increase in general and administrative expenses was mainly driven by the growth of the Company and increasing costs related to our commercial buildout. In the personnel expenses for the three months ended June 30, 2023 and 2022 an amount of €1,451,561 and €1,620,972 respectively, was included which related to share-based compensation arrangements.</w:t>
      </w:r>
    </w:p>
    <w:p>
      <w:pPr>
        <w:spacing w:after="0" w:line="160"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The decrease in the share-based compensation expenses is due to the net effect of the new grants (options and RSUs) made in the three months ended June 30, 2023 and the cumulative charges of the awards already granted in the three months ended March 31, 2023 and prior periods (vestings and forfeitures). The remaining increase in personnel expenses is driven by the growth of our organization resulting in additional employees hired, and yearly merit adjustments.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w:t>
      </w:r>
    </w:p>
    <w:p>
      <w:pPr>
        <w:spacing w:after="0" w:line="185" w:lineRule="exact"/>
        <w:rPr>
          <w:sz w:val="20"/>
          <w:szCs w:val="20"/>
          <w:color w:val="auto"/>
        </w:rPr>
      </w:pPr>
    </w:p>
    <w:p>
      <w:pPr>
        <w:ind w:right="460" w:firstLine="374"/>
        <w:spacing w:after="0" w:line="276" w:lineRule="auto"/>
        <w:rPr>
          <w:sz w:val="20"/>
          <w:szCs w:val="20"/>
          <w:color w:val="auto"/>
        </w:rPr>
      </w:pPr>
      <w:r>
        <w:rPr>
          <w:rFonts w:ascii="Arial" w:cs="Arial" w:eastAsia="Arial" w:hAnsi="Arial"/>
          <w:sz w:val="16"/>
          <w:szCs w:val="16"/>
          <w:color w:val="auto"/>
        </w:rPr>
        <w:t>Finance income for the three months ended June 30, 2023 and 2022 were €651,670 and €11,501,804, respectively. The amount mainly relates to unrealized foreign exchange (losses)/income, which is mostly the result of translating the Company’s bank balances held in USD to EUR.</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8"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64"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The tax expense over the three months ended June 30, 2023 relates to the Company's U.S. and Dutch subsidiaries. For the three months ended June 30, 2022, the tax expenses principally related to the Dutch fiscal unity mainly driven by foreign exchange gains. Following discussions with the Dutch tax authorities in November 2022, the Company concluded that foreign exchange results should be allocated to the principal Company in Switzerland. As a result, the foreign exchange results are allocated to the principal Company in Switzerland at that moment.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1"/>
        </w:trPr>
        <w:tc>
          <w:tcPr>
            <w:tcW w:w="6040" w:type="dxa"/>
            <w:vAlign w:val="bottom"/>
            <w:gridSpan w:val="3"/>
          </w:tcPr>
          <w:p>
            <w:pPr>
              <w:spacing w:after="0"/>
              <w:rPr>
                <w:sz w:val="20"/>
                <w:szCs w:val="20"/>
                <w:color w:val="auto"/>
              </w:rPr>
            </w:pPr>
            <w:r>
              <w:rPr>
                <w:rFonts w:ascii="Arial" w:cs="Arial" w:eastAsia="Arial" w:hAnsi="Arial"/>
                <w:sz w:val="16"/>
                <w:szCs w:val="16"/>
                <w:i w:val="1"/>
                <w:iCs w:val="1"/>
                <w:color w:val="auto"/>
              </w:rPr>
              <w:t>Comparison of the six months ended June 30, 2023 and June 30, 2022</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gridSpan w:val="6"/>
          </w:tcPr>
          <w:p>
            <w:pPr>
              <w:jc w:val="right"/>
              <w:ind w:right="1320"/>
              <w:spacing w:after="0"/>
              <w:rPr>
                <w:sz w:val="20"/>
                <w:szCs w:val="20"/>
                <w:color w:val="auto"/>
              </w:rPr>
            </w:pPr>
            <w:r>
              <w:rPr>
                <w:rFonts w:ascii="Arial" w:cs="Arial" w:eastAsia="Arial" w:hAnsi="Arial"/>
                <w:sz w:val="16"/>
                <w:szCs w:val="16"/>
                <w:b w:val="1"/>
                <w:bCs w:val="1"/>
                <w:color w:val="auto"/>
              </w:rPr>
              <w:t>For the six months ended</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ind w:left="1320"/>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Change</w:t>
            </w: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9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(28,426,366 )</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(27,236,126 )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(1,190,240 )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900" w:type="dxa"/>
            <w:vAlign w:val="bottom"/>
            <w:gridSpan w:val="2"/>
          </w:tcPr>
          <w:p>
            <w:pPr>
              <w:jc w:val="right"/>
              <w:ind w:right="119"/>
              <w:spacing w:after="0"/>
              <w:rPr>
                <w:sz w:val="20"/>
                <w:szCs w:val="20"/>
                <w:color w:val="auto"/>
              </w:rPr>
            </w:pPr>
            <w:r>
              <w:rPr>
                <w:rFonts w:ascii="Arial" w:cs="Arial" w:eastAsia="Arial" w:hAnsi="Arial"/>
                <w:sz w:val="16"/>
                <w:szCs w:val="16"/>
                <w:color w:val="auto"/>
              </w:rPr>
              <w:t>(15,105,026 )</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(13,525,138 )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(1,579,888 )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(43,531,392</w:t>
            </w:r>
          </w:p>
        </w:tc>
        <w:tc>
          <w:tcPr>
            <w:tcW w:w="26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(40,761,264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(2,770,128 )</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4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19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(43,531,392 )</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(40,761,264 )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(2,770,128 )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33"/>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Finance (expense)/income</w:t>
            </w: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900" w:type="dxa"/>
            <w:vAlign w:val="bottom"/>
            <w:gridSpan w:val="2"/>
          </w:tcPr>
          <w:p>
            <w:pPr>
              <w:jc w:val="right"/>
              <w:ind w:right="119"/>
              <w:spacing w:after="0"/>
              <w:rPr>
                <w:sz w:val="20"/>
                <w:szCs w:val="20"/>
                <w:color w:val="auto"/>
              </w:rPr>
            </w:pPr>
            <w:r>
              <w:rPr>
                <w:rFonts w:ascii="Arial" w:cs="Arial" w:eastAsia="Arial" w:hAnsi="Arial"/>
                <w:sz w:val="16"/>
                <w:szCs w:val="16"/>
                <w:color w:val="auto"/>
              </w:rPr>
              <w:t>(842,595 )</w:t>
            </w:r>
          </w:p>
        </w:tc>
        <w:tc>
          <w:tcPr>
            <w:tcW w:w="1600" w:type="dxa"/>
            <w:vAlign w:val="bottom"/>
          </w:tcPr>
          <w:p>
            <w:pPr>
              <w:jc w:val="right"/>
              <w:spacing w:after="0"/>
              <w:rPr>
                <w:sz w:val="20"/>
                <w:szCs w:val="20"/>
                <w:color w:val="auto"/>
              </w:rPr>
            </w:pPr>
            <w:r>
              <w:rPr>
                <w:rFonts w:ascii="Arial" w:cs="Arial" w:eastAsia="Arial" w:hAnsi="Arial"/>
                <w:sz w:val="16"/>
                <w:szCs w:val="16"/>
                <w:color w:val="auto"/>
              </w:rPr>
              <w:t>14,892,983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(15,735,578 )</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33"/>
        </w:trPr>
        <w:tc>
          <w:tcPr>
            <w:tcW w:w="4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Loss before tax</w:t>
            </w: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9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(44,373,987 )</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(25,868,281 )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(18,505,706 )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33"/>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Income taxes</w:t>
            </w: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900" w:type="dxa"/>
            <w:vAlign w:val="bottom"/>
            <w:gridSpan w:val="2"/>
          </w:tcPr>
          <w:p>
            <w:pPr>
              <w:jc w:val="right"/>
              <w:ind w:right="119"/>
              <w:spacing w:after="0"/>
              <w:rPr>
                <w:sz w:val="20"/>
                <w:szCs w:val="20"/>
                <w:color w:val="auto"/>
              </w:rPr>
            </w:pPr>
            <w:r>
              <w:rPr>
                <w:rFonts w:ascii="Arial" w:cs="Arial" w:eastAsia="Arial" w:hAnsi="Arial"/>
                <w:sz w:val="16"/>
                <w:szCs w:val="16"/>
                <w:color w:val="auto"/>
              </w:rPr>
              <w:t>(154,835 )</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(2,779,817 )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2,624,982</w:t>
            </w: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33"/>
        </w:trPr>
        <w:tc>
          <w:tcPr>
            <w:tcW w:w="4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Loss for the period</w:t>
            </w: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19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(44,528,822 )</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(28,648,098 )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(15,880,724 )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7132320" cy="797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79756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did not generate any revenues for the six months ended June 30, 2023 and June 30,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For the six months ended</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520"/>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(8,761,944 )</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(5,590,207 )</w:t>
            </w: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(3,171,737 )</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Clinical expenses</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color w:val="auto"/>
              </w:rPr>
              <w:t>(12,497,879 )</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(13,741,610 )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1,243,731</w:t>
            </w:r>
          </w:p>
        </w:tc>
        <w:tc>
          <w:tcPr>
            <w:tcW w:w="2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Non-clinical expenses</w:t>
            </w: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(4,419,009 )</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(1,832,918 )</w:t>
            </w: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(2,586,091 )</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Manufacturing costs</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color w:val="auto"/>
              </w:rPr>
              <w:t>(2,643,513 )</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(5,883,668 )</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3,240,155</w:t>
            </w:r>
          </w:p>
        </w:tc>
        <w:tc>
          <w:tcPr>
            <w:tcW w:w="26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6"/>
                <w:szCs w:val="16"/>
                <w:color w:val="auto"/>
              </w:rPr>
              <w:t>Intellectual Property costs</w:t>
            </w:r>
          </w:p>
        </w:tc>
        <w:tc>
          <w:tcPr>
            <w:tcW w:w="1800" w:type="dxa"/>
            <w:vAlign w:val="bottom"/>
            <w:gridSpan w:val="2"/>
          </w:tcPr>
          <w:p>
            <w:pPr>
              <w:jc w:val="right"/>
              <w:ind w:right="200"/>
              <w:spacing w:after="0"/>
              <w:rPr>
                <w:sz w:val="20"/>
                <w:szCs w:val="20"/>
                <w:color w:val="auto"/>
              </w:rPr>
            </w:pPr>
            <w:r>
              <w:rPr>
                <w:rFonts w:ascii="Arial" w:cs="Arial" w:eastAsia="Arial" w:hAnsi="Arial"/>
                <w:sz w:val="16"/>
                <w:szCs w:val="16"/>
                <w:color w:val="auto"/>
              </w:rPr>
              <w:t>(104,021 )</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(187,723 )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83,702</w:t>
            </w:r>
          </w:p>
        </w:tc>
        <w:tc>
          <w:tcPr>
            <w:tcW w:w="2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33"/>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research and development expenses</w:t>
            </w:r>
          </w:p>
        </w:tc>
        <w:tc>
          <w:tcPr>
            <w:tcW w:w="1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(28,426,366 )</w:t>
            </w:r>
          </w:p>
        </w:tc>
        <w:tc>
          <w:tcPr>
            <w:tcW w:w="18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(27,236,126 )</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(1,190,240 )</w:t>
            </w:r>
          </w:p>
        </w:tc>
        <w:tc>
          <w:tcPr>
            <w:tcW w:w="19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48" w:lineRule="exact"/>
        <w:rPr>
          <w:sz w:val="20"/>
          <w:szCs w:val="20"/>
          <w:color w:val="auto"/>
        </w:rPr>
      </w:pPr>
    </w:p>
    <w:p>
      <w:pPr>
        <w:ind w:right="300" w:firstLine="374"/>
        <w:spacing w:after="0" w:line="276" w:lineRule="auto"/>
        <w:rPr>
          <w:sz w:val="20"/>
          <w:szCs w:val="20"/>
          <w:color w:val="auto"/>
        </w:rPr>
      </w:pPr>
      <w:r>
        <w:rPr>
          <w:rFonts w:ascii="Arial" w:cs="Arial" w:eastAsia="Arial" w:hAnsi="Arial"/>
          <w:sz w:val="16"/>
          <w:szCs w:val="16"/>
          <w:color w:val="auto"/>
        </w:rPr>
        <w:t>Research and development expenses increased from €27,236,126 for the six months ended June 30, 2022 to €28,426,366 for the six months ended June 30, 2023.</w:t>
      </w:r>
    </w:p>
    <w:p>
      <w:pPr>
        <w:spacing w:after="0" w:line="144" w:lineRule="exact"/>
        <w:rPr>
          <w:sz w:val="20"/>
          <w:szCs w:val="20"/>
          <w:color w:val="auto"/>
        </w:rPr>
      </w:pPr>
    </w:p>
    <w:p>
      <w:pPr>
        <w:ind w:right="100" w:firstLine="374"/>
        <w:spacing w:after="0" w:line="276" w:lineRule="auto"/>
        <w:rPr>
          <w:sz w:val="20"/>
          <w:szCs w:val="20"/>
          <w:color w:val="auto"/>
        </w:rPr>
      </w:pPr>
      <w:r>
        <w:rPr>
          <w:rFonts w:ascii="Arial" w:cs="Arial" w:eastAsia="Arial" w:hAnsi="Arial"/>
          <w:sz w:val="16"/>
          <w:szCs w:val="16"/>
          <w:color w:val="auto"/>
        </w:rPr>
        <w:t>Clinical expenses decreased by €1,243,731 for the six months ended June 30, 2023 compared to the six months ended June 30, 2022, primarily due to the completion of the RAPIDe-1 on-demand study in December 2022.</w:t>
      </w:r>
    </w:p>
    <w:p>
      <w:pPr>
        <w:spacing w:after="0" w:line="144" w:lineRule="exact"/>
        <w:rPr>
          <w:sz w:val="20"/>
          <w:szCs w:val="20"/>
          <w:color w:val="auto"/>
        </w:rPr>
      </w:pPr>
    </w:p>
    <w:p>
      <w:pPr>
        <w:ind w:right="60" w:firstLine="374"/>
        <w:spacing w:after="0" w:line="276" w:lineRule="auto"/>
        <w:rPr>
          <w:sz w:val="20"/>
          <w:szCs w:val="20"/>
          <w:color w:val="auto"/>
        </w:rPr>
      </w:pPr>
      <w:r>
        <w:rPr>
          <w:rFonts w:ascii="Arial" w:cs="Arial" w:eastAsia="Arial" w:hAnsi="Arial"/>
          <w:sz w:val="16"/>
          <w:szCs w:val="16"/>
          <w:color w:val="auto"/>
        </w:rPr>
        <w:t>Nonclinical expenses increased by €2,586,091 for the six months ended June 30, 2023 compared to the six months ended June 30, 2022, primarily due to additional studies related to the 26-week rodent toxicology study intended to address the clinical hold in the U.S.</w:t>
      </w:r>
    </w:p>
    <w:p>
      <w:pPr>
        <w:spacing w:after="0" w:line="144" w:lineRule="exact"/>
        <w:rPr>
          <w:sz w:val="20"/>
          <w:szCs w:val="20"/>
          <w:color w:val="auto"/>
        </w:rPr>
      </w:pPr>
    </w:p>
    <w:p>
      <w:pPr>
        <w:ind w:right="240" w:firstLine="374"/>
        <w:spacing w:after="0" w:line="261" w:lineRule="auto"/>
        <w:rPr>
          <w:sz w:val="20"/>
          <w:szCs w:val="20"/>
          <w:color w:val="auto"/>
        </w:rPr>
      </w:pPr>
      <w:r>
        <w:rPr>
          <w:rFonts w:ascii="Arial" w:cs="Arial" w:eastAsia="Arial" w:hAnsi="Arial"/>
          <w:sz w:val="16"/>
          <w:szCs w:val="16"/>
          <w:color w:val="auto"/>
        </w:rPr>
        <w:t>Manufacturing costs relating to the API and pharmaceutical development of PHVS416 and PHVS719 decreased by €3,240,155 for the six months ended June 30, 2023 compared to the six months ended June 30, 2022 due to reduction of costs as a result of the completion of synthesis of API intended for future development.</w:t>
      </w:r>
    </w:p>
    <w:p>
      <w:pPr>
        <w:spacing w:after="0" w:line="156" w:lineRule="exact"/>
        <w:rPr>
          <w:sz w:val="20"/>
          <w:szCs w:val="20"/>
          <w:color w:val="auto"/>
        </w:rPr>
      </w:pPr>
    </w:p>
    <w:p>
      <w:pPr>
        <w:ind w:right="120" w:firstLine="419"/>
        <w:spacing w:after="0" w:line="256" w:lineRule="auto"/>
        <w:rPr>
          <w:sz w:val="20"/>
          <w:szCs w:val="20"/>
          <w:color w:val="auto"/>
        </w:rPr>
      </w:pPr>
      <w:r>
        <w:rPr>
          <w:rFonts w:ascii="Arial" w:cs="Arial" w:eastAsia="Arial" w:hAnsi="Arial"/>
          <w:sz w:val="16"/>
          <w:szCs w:val="16"/>
          <w:color w:val="auto"/>
        </w:rPr>
        <w:t>In the personnel expenses for the six months ended June 30, 2023 and 2022 an amount of €2,477,982 and €1,943,566, respectively, was included related to the share-based compensation arrangements. The increase in the share-based compensation expenses is due to the new grants made during the period, and the cumulative charges for the grants up to December 31, 2022. The remaining increase in personnel expenses is driven by the growth of our organization resulting in additional employees hired, and yearly merit adjustments.</w:t>
      </w: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0"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1"/>
        </w:trPr>
        <w:tc>
          <w:tcPr>
            <w:tcW w:w="3940" w:type="dxa"/>
            <w:vAlign w:val="bottom"/>
          </w:tcPr>
          <w:p>
            <w:pPr>
              <w:spacing w:after="0"/>
              <w:rPr>
                <w:sz w:val="20"/>
                <w:szCs w:val="20"/>
                <w:color w:val="auto"/>
              </w:rPr>
            </w:pPr>
            <w:r>
              <w:rPr>
                <w:rFonts w:ascii="Arial" w:cs="Arial" w:eastAsia="Arial" w:hAnsi="Arial"/>
                <w:sz w:val="16"/>
                <w:szCs w:val="16"/>
                <w:i w:val="1"/>
                <w:iCs w:val="1"/>
                <w:color w:val="auto"/>
              </w:rPr>
              <w:t>General and administrative expenses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8"/>
        </w:trPr>
        <w:tc>
          <w:tcPr>
            <w:tcW w:w="3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7"/>
          </w:tcPr>
          <w:p>
            <w:pPr>
              <w:ind w:left="880"/>
              <w:spacing w:after="0"/>
              <w:rPr>
                <w:sz w:val="20"/>
                <w:szCs w:val="20"/>
                <w:color w:val="auto"/>
              </w:rPr>
            </w:pPr>
            <w:r>
              <w:rPr>
                <w:rFonts w:ascii="Arial" w:cs="Arial" w:eastAsia="Arial" w:hAnsi="Arial"/>
                <w:sz w:val="16"/>
                <w:szCs w:val="16"/>
                <w:b w:val="1"/>
                <w:bCs w:val="1"/>
                <w:color w:val="auto"/>
              </w:rPr>
              <w:t>For the six months ended</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ind w:left="1520"/>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94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(6,735,927 )</w:t>
            </w: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(6,270,034 )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(465,893 )</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60" w:type="dxa"/>
            <w:vAlign w:val="bottom"/>
          </w:tcPr>
          <w:p>
            <w:pPr>
              <w:spacing w:after="0"/>
              <w:rPr>
                <w:sz w:val="20"/>
                <w:szCs w:val="20"/>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(304,316 )</w:t>
            </w:r>
          </w:p>
        </w:tc>
        <w:tc>
          <w:tcPr>
            <w:tcW w:w="1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(432,811 )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128,495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(30 )%</w:t>
            </w: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Professional fees</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(2,177,175 )</w:t>
            </w:r>
          </w:p>
        </w:tc>
        <w:tc>
          <w:tcPr>
            <w:tcW w:w="1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(1,795,170 )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(382,005 )</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60" w:type="dxa"/>
            <w:vAlign w:val="bottom"/>
          </w:tcPr>
          <w:p>
            <w:pPr>
              <w:spacing w:after="0"/>
              <w:rPr>
                <w:sz w:val="20"/>
                <w:szCs w:val="20"/>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(897,314 )</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(594,657 )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(302,657 )</w:t>
            </w:r>
          </w:p>
        </w:tc>
        <w:tc>
          <w:tcPr>
            <w:tcW w:w="14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6"/>
                <w:szCs w:val="16"/>
                <w:color w:val="auto"/>
              </w:rPr>
              <w:t>51 %</w:t>
            </w:r>
          </w:p>
        </w:tc>
      </w:tr>
      <w:tr>
        <w:trPr>
          <w:trHeight w:val="229"/>
        </w:trPr>
        <w:tc>
          <w:tcPr>
            <w:tcW w:w="3940" w:type="dxa"/>
            <w:vAlign w:val="bottom"/>
          </w:tcPr>
          <w:p>
            <w:pPr>
              <w:ind w:left="20"/>
              <w:spacing w:after="0"/>
              <w:rPr>
                <w:sz w:val="20"/>
                <w:szCs w:val="20"/>
                <w:color w:val="auto"/>
              </w:rPr>
            </w:pPr>
            <w:r>
              <w:rPr>
                <w:rFonts w:ascii="Arial" w:cs="Arial" w:eastAsia="Arial" w:hAnsi="Arial"/>
                <w:sz w:val="16"/>
                <w:szCs w:val="16"/>
                <w:color w:val="auto"/>
              </w:rPr>
              <w:t>Facilities, communication and office expenses</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(2,910,607 )</w:t>
            </w:r>
          </w:p>
        </w:tc>
        <w:tc>
          <w:tcPr>
            <w:tcW w:w="1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(3,246,830 )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336,223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(10 )%</w:t>
            </w:r>
          </w:p>
        </w:tc>
      </w:tr>
      <w:tr>
        <w:trPr>
          <w:trHeight w:val="239"/>
        </w:trPr>
        <w:tc>
          <w:tcPr>
            <w:tcW w:w="3940" w:type="dxa"/>
            <w:vAlign w:val="bottom"/>
          </w:tcPr>
          <w:p>
            <w:pPr>
              <w:ind w:left="20"/>
              <w:spacing w:after="0"/>
              <w:rPr>
                <w:sz w:val="20"/>
                <w:szCs w:val="20"/>
                <w:color w:val="auto"/>
              </w:rPr>
            </w:pPr>
            <w:r>
              <w:rPr>
                <w:rFonts w:ascii="Arial" w:cs="Arial" w:eastAsia="Arial" w:hAnsi="Arial"/>
                <w:sz w:val="16"/>
                <w:szCs w:val="16"/>
                <w:color w:val="auto"/>
              </w:rPr>
              <w:t>Travel expenses</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(778,450 )</w:t>
            </w:r>
          </w:p>
        </w:tc>
        <w:tc>
          <w:tcPr>
            <w:tcW w:w="1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(404,200 )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(374,250 )</w:t>
            </w:r>
          </w:p>
        </w:tc>
        <w:tc>
          <w:tcPr>
            <w:tcW w:w="140" w:type="dxa"/>
            <w:vAlign w:val="bottom"/>
          </w:tcPr>
          <w:p>
            <w:pPr>
              <w:spacing w:after="0"/>
              <w:rPr>
                <w:sz w:val="20"/>
                <w:szCs w:val="20"/>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6"/>
                <w:szCs w:val="16"/>
                <w:color w:val="auto"/>
              </w:rPr>
              <w:t>93 %</w:t>
            </w:r>
          </w:p>
        </w:tc>
      </w:tr>
      <w:tr>
        <w:trPr>
          <w:trHeight w:val="22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expenses</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(1,301,237 )</w:t>
            </w:r>
          </w:p>
        </w:tc>
        <w:tc>
          <w:tcPr>
            <w:tcW w:w="1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(781,436 )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(519,801 )</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67 %</w:t>
            </w:r>
          </w:p>
        </w:tc>
        <w:tc>
          <w:tcPr>
            <w:tcW w:w="60" w:type="dxa"/>
            <w:vAlign w:val="bottom"/>
          </w:tcPr>
          <w:p>
            <w:pPr>
              <w:spacing w:after="0"/>
              <w:rPr>
                <w:sz w:val="19"/>
                <w:szCs w:val="19"/>
                <w:color w:val="auto"/>
              </w:rPr>
            </w:pPr>
          </w:p>
        </w:tc>
      </w:tr>
      <w:tr>
        <w:trPr>
          <w:trHeight w:val="23"/>
        </w:trPr>
        <w:tc>
          <w:tcPr>
            <w:tcW w:w="3940" w:type="dxa"/>
            <w:vAlign w:val="bottom"/>
            <w:shd w:val="clear" w:color="auto" w:fill="CFF0FC"/>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6"/>
                <w:szCs w:val="16"/>
                <w:color w:val="auto"/>
              </w:rPr>
              <w:t>Total general and administratve expenses</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(15,105,026 )</w:t>
            </w:r>
          </w:p>
        </w:tc>
        <w:tc>
          <w:tcPr>
            <w:tcW w:w="1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(13,525,138 )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(1,579,888 )</w:t>
            </w:r>
          </w:p>
        </w:tc>
        <w:tc>
          <w:tcPr>
            <w:tcW w:w="140" w:type="dxa"/>
            <w:vAlign w:val="bottom"/>
          </w:tcPr>
          <w:p>
            <w:pPr>
              <w:spacing w:after="0"/>
              <w:rPr>
                <w:sz w:val="19"/>
                <w:szCs w:val="19"/>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color w:val="auto"/>
                <w:highlight w:val="white"/>
              </w:rPr>
              <w:t>%</w:t>
            </w:r>
          </w:p>
        </w:tc>
      </w:tr>
      <w:tr>
        <w:trPr>
          <w:trHeight w:val="20"/>
        </w:trPr>
        <w:tc>
          <w:tcPr>
            <w:tcW w:w="39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-179070</wp:posOffset>
            </wp:positionV>
            <wp:extent cx="8572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-179070</wp:posOffset>
            </wp:positionV>
            <wp:extent cx="8572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8572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80" w:firstLine="374"/>
        <w:spacing w:after="0" w:line="252" w:lineRule="auto"/>
        <w:rPr>
          <w:sz w:val="20"/>
          <w:szCs w:val="20"/>
          <w:color w:val="auto"/>
        </w:rPr>
      </w:pPr>
      <w:r>
        <w:rPr>
          <w:rFonts w:ascii="Arial" w:cs="Arial" w:eastAsia="Arial" w:hAnsi="Arial"/>
          <w:sz w:val="16"/>
          <w:szCs w:val="16"/>
          <w:color w:val="auto"/>
        </w:rPr>
        <w:t>General and administrative expenses increased from €13,525,138 for the six months ended June 30, 2022 to €15,105,026 for the six months ended June 30, 2023. The increase in general and administrative expenses was mainly driven by the growth of our organization and increasing costs related to our commercial planning. The increase in personnel expenses is driven by the growth of our organization resulting in additional employees hired, and yearly merit adjustments. In the personnel expenses for the six months ended June 30, 2023 and 2022 an amount of €2,821,832 and €2,638,999, respectively, was included which related to share-based compensation arrangements. The remaining increase in personnel expenses is driven by the growth of our organization resulting in additional employees hired, and yearly merit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(expense)/income</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Finance </w:t>
      </w:r>
      <w:r>
        <w:rPr>
          <w:rFonts w:ascii="Arial" w:cs="Arial" w:eastAsia="Arial" w:hAnsi="Arial"/>
          <w:sz w:val="16"/>
          <w:szCs w:val="16"/>
          <w:i w:val="1"/>
          <w:iCs w:val="1"/>
          <w:color w:val="auto"/>
        </w:rPr>
        <w:t>(expense)/income</w:t>
      </w:r>
      <w:r>
        <w:rPr>
          <w:rFonts w:ascii="Arial" w:cs="Arial" w:eastAsia="Arial" w:hAnsi="Arial"/>
          <w:sz w:val="16"/>
          <w:szCs w:val="16"/>
          <w:color w:val="auto"/>
        </w:rPr>
        <w:t xml:space="preserve"> for the six months ended June 30, 2023 and 2022 was €(842,595) and €14,892,983 respectively, a change of €15,735,578.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change mainly relates to unrealized foreign exchange income, which is the result of translating the group’s bank balances held in USD to EUR.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98" w:lineRule="exact"/>
        <w:rPr>
          <w:sz w:val="20"/>
          <w:szCs w:val="20"/>
          <w:color w:val="auto"/>
        </w:rPr>
      </w:pPr>
    </w:p>
    <w:p>
      <w:pPr>
        <w:ind w:right="60" w:firstLine="374"/>
        <w:spacing w:after="0" w:line="253"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64" w:lineRule="exact"/>
        <w:rPr>
          <w:sz w:val="20"/>
          <w:szCs w:val="20"/>
          <w:color w:val="auto"/>
        </w:rPr>
      </w:pPr>
    </w:p>
    <w:p>
      <w:pPr>
        <w:ind w:right="240" w:firstLine="374"/>
        <w:spacing w:after="0" w:line="256" w:lineRule="auto"/>
        <w:rPr>
          <w:sz w:val="20"/>
          <w:szCs w:val="20"/>
          <w:color w:val="auto"/>
        </w:rPr>
      </w:pPr>
      <w:r>
        <w:rPr>
          <w:rFonts w:ascii="Arial" w:cs="Arial" w:eastAsia="Arial" w:hAnsi="Arial"/>
          <w:sz w:val="16"/>
          <w:szCs w:val="16"/>
          <w:color w:val="auto"/>
        </w:rPr>
        <w:t>The tax expenses over the six months ended June 30, 2023 relate to the Company's U.S. and Dutch subsidiaries. For the six months ended June 30, 2022, the tax expenses principally related to the Dutch fiscal unity mainly driven by foreign exchange gains. Following discussions with the Dutch tax authorities in November 2022, the Company concluded that foreign exchange results should be allocated to the principal Company in Switzerland. As a result, the foreign exchange results are allocated to the principal Company in Switzerland at that moment.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ind w:right="240" w:firstLine="374"/>
        <w:spacing w:after="0" w:line="256" w:lineRule="auto"/>
        <w:rPr>
          <w:sz w:val="20"/>
          <w:szCs w:val="20"/>
          <w:color w:val="auto"/>
        </w:rPr>
      </w:pPr>
      <w:r>
        <w:rPr>
          <w:rFonts w:ascii="Arial" w:cs="Arial" w:eastAsia="Arial" w:hAnsi="Arial"/>
          <w:sz w:val="16"/>
          <w:szCs w:val="16"/>
          <w:color w:val="auto"/>
        </w:rPr>
        <w:t>Since inception, we have incurred significant operating losses. For the six months ended June 30, 2023, and 2022 we incurred losses of €44,528,822 and €28,648,098,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60" w:lineRule="exact"/>
        <w:rPr>
          <w:sz w:val="20"/>
          <w:szCs w:val="20"/>
          <w:color w:val="auto"/>
        </w:rPr>
      </w:pPr>
    </w:p>
    <w:p>
      <w:pPr>
        <w:ind w:right="80" w:firstLine="374"/>
        <w:spacing w:after="0" w:line="251"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with Leerink Partners (formerly known as SVB Securities LLC), pursuant to which we may sell ordinary shares having an aggregate offering price of up to $75 million from time to time through Leerink Partners. During 2022, we sold a total of 588,100 ordinary shares in two different transactions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30" w:right="279" w:bottom="1440" w:gutter="0" w:footer="0" w:header="0"/>
        </w:sectPr>
      </w:pPr>
    </w:p>
    <w:bookmarkStart w:id="18" w:name="page19"/>
    <w:bookmarkEnd w:id="18"/>
    <w:p>
      <w:pPr>
        <w:ind w:right="240"/>
        <w:spacing w:after="0" w:line="276" w:lineRule="auto"/>
        <w:rPr>
          <w:sz w:val="20"/>
          <w:szCs w:val="20"/>
          <w:color w:val="auto"/>
        </w:rPr>
      </w:pPr>
      <w:r>
        <w:rPr>
          <w:rFonts w:ascii="Arial" w:cs="Arial" w:eastAsia="Arial" w:hAnsi="Arial"/>
          <w:sz w:val="16"/>
          <w:szCs w:val="16"/>
          <w:color w:val="auto"/>
        </w:rPr>
        <w:t>under the sales agreement generating total net proceeds of $9,698,504, after deducting $299,954 which was payable to Leerink Partners as commission in respect of such sales.</w:t>
      </w:r>
    </w:p>
    <w:p>
      <w:pPr>
        <w:spacing w:after="0" w:line="144" w:lineRule="exact"/>
        <w:rPr>
          <w:sz w:val="20"/>
          <w:szCs w:val="20"/>
          <w:color w:val="auto"/>
        </w:rPr>
      </w:pPr>
    </w:p>
    <w:p>
      <w:pPr>
        <w:ind w:right="320" w:firstLine="374"/>
        <w:spacing w:after="0" w:line="27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(€64.1 million).</w:t>
      </w:r>
    </w:p>
    <w:p>
      <w:pPr>
        <w:spacing w:after="0" w:line="144" w:lineRule="exact"/>
        <w:rPr>
          <w:sz w:val="20"/>
          <w:szCs w:val="20"/>
          <w:color w:val="auto"/>
        </w:rPr>
      </w:pPr>
    </w:p>
    <w:p>
      <w:pPr>
        <w:ind w:right="500" w:firstLine="374"/>
        <w:spacing w:after="0" w:line="276" w:lineRule="auto"/>
        <w:rPr>
          <w:sz w:val="20"/>
          <w:szCs w:val="20"/>
          <w:color w:val="auto"/>
        </w:rPr>
      </w:pPr>
      <w:r>
        <w:rPr>
          <w:rFonts w:ascii="Arial" w:cs="Arial" w:eastAsia="Arial" w:hAnsi="Arial"/>
          <w:sz w:val="16"/>
          <w:szCs w:val="16"/>
          <w:color w:val="auto"/>
        </w:rPr>
        <w:t>As of June 30, 2023, we had cash and cash equivalents of €179,188,759. Of the cash on hand, €65,567 relates to guarantees. Our cash and cash equivalents consist solely of cash at bank.</w:t>
      </w:r>
    </w:p>
    <w:p>
      <w:pPr>
        <w:spacing w:after="0" w:line="144" w:lineRule="exact"/>
        <w:rPr>
          <w:sz w:val="20"/>
          <w:szCs w:val="20"/>
          <w:color w:val="auto"/>
        </w:rPr>
      </w:pPr>
    </w:p>
    <w:p>
      <w:pPr>
        <w:ind w:right="240" w:firstLine="374"/>
        <w:spacing w:after="0" w:line="253" w:lineRule="auto"/>
        <w:rPr>
          <w:sz w:val="20"/>
          <w:szCs w:val="20"/>
          <w:color w:val="auto"/>
        </w:rPr>
      </w:pPr>
      <w:r>
        <w:rPr>
          <w:rFonts w:ascii="Arial" w:cs="Arial" w:eastAsia="Arial" w:hAnsi="Arial"/>
          <w:sz w:val="16"/>
          <w:szCs w:val="16"/>
          <w:color w:val="auto"/>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our unaudited condensed consolidated interim financial statements for the six months ended June 30, 2023 and 2022. Accordingly, the unaudited condensed consolidated interim financial statements have been prepared on a going concern basis.</w:t>
      </w:r>
    </w:p>
    <w:p>
      <w:pPr>
        <w:spacing w:after="0" w:line="151" w:lineRule="exact"/>
        <w:rPr>
          <w:sz w:val="20"/>
          <w:szCs w:val="20"/>
          <w:color w:val="auto"/>
        </w:rPr>
      </w:pPr>
    </w:p>
    <w:p>
      <w:pPr>
        <w:ind w:right="100" w:firstLine="374"/>
        <w:spacing w:after="0" w:line="252"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77" w:lineRule="exact"/>
        <w:rPr>
          <w:sz w:val="20"/>
          <w:szCs w:val="20"/>
          <w:color w:val="auto"/>
        </w:rPr>
      </w:pPr>
    </w:p>
    <w:p>
      <w:pPr>
        <w:ind w:right="1000" w:firstLine="374"/>
        <w:spacing w:after="0" w:line="293" w:lineRule="auto"/>
        <w:rPr>
          <w:sz w:val="20"/>
          <w:szCs w:val="20"/>
          <w:color w:val="auto"/>
        </w:rPr>
      </w:pPr>
      <w:r>
        <w:rPr>
          <w:rFonts w:ascii="Arial" w:cs="Arial" w:eastAsia="Arial" w:hAnsi="Arial"/>
          <w:sz w:val="16"/>
          <w:szCs w:val="16"/>
          <w:color w:val="auto"/>
        </w:rPr>
        <w:t>Our contractual obligations and commitments as of June 30, 2023 amounted to €33.4 million primarily related to research and development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six months ended June 30, 2023 and 2022.</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5"/>
          </w:tcPr>
          <w:p>
            <w:pPr>
              <w:jc w:val="right"/>
              <w:ind w:right="899"/>
              <w:spacing w:after="0"/>
              <w:rPr>
                <w:sz w:val="20"/>
                <w:szCs w:val="20"/>
                <w:color w:val="auto"/>
              </w:rPr>
            </w:pPr>
            <w:r>
              <w:rPr>
                <w:rFonts w:ascii="Arial" w:cs="Arial" w:eastAsia="Arial" w:hAnsi="Arial"/>
                <w:sz w:val="16"/>
                <w:szCs w:val="16"/>
                <w:b w:val="1"/>
                <w:bCs w:val="1"/>
                <w:color w:val="auto"/>
              </w:rPr>
              <w:t>For the six months ended</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94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1260"/>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Change</w:t>
            </w: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94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flows used in operating activities</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(45,687,465 )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(31,568,573 )</w:t>
            </w: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(14,118,892 )</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20"/>
                <w:szCs w:val="20"/>
                <w:color w:val="auto"/>
              </w:rPr>
            </w:pP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(54,114 )</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(49,739 )</w:t>
            </w:r>
          </w:p>
        </w:tc>
        <w:tc>
          <w:tcPr>
            <w:tcW w:w="38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(4,375 )</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9 %</w:t>
            </w: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flows used in financing activities</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63,784,231</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8,823,313</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54,960,918</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623 %</w:t>
            </w:r>
          </w:p>
        </w:tc>
        <w:tc>
          <w:tcPr>
            <w:tcW w:w="100" w:type="dxa"/>
            <w:vAlign w:val="bottom"/>
          </w:tcPr>
          <w:p>
            <w:pPr>
              <w:spacing w:after="0"/>
              <w:rPr>
                <w:sz w:val="20"/>
                <w:szCs w:val="20"/>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420" w:type="dxa"/>
            <w:vAlign w:val="bottom"/>
          </w:tcPr>
          <w:p>
            <w:pPr>
              <w:jc w:val="right"/>
              <w:spacing w:after="0"/>
              <w:rPr>
                <w:sz w:val="20"/>
                <w:szCs w:val="20"/>
                <w:color w:val="auto"/>
              </w:rPr>
            </w:pPr>
            <w:r>
              <w:rPr>
                <w:rFonts w:ascii="Arial" w:cs="Arial" w:eastAsia="Arial" w:hAnsi="Arial"/>
                <w:sz w:val="16"/>
                <w:szCs w:val="16"/>
                <w:color w:val="auto"/>
              </w:rPr>
              <w:t>18,042,652</w:t>
            </w: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(22,794,999 )</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40,837,651</w:t>
            </w:r>
          </w:p>
        </w:tc>
        <w:tc>
          <w:tcPr>
            <w:tcW w:w="2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(179 )%</w:t>
            </w:r>
          </w:p>
        </w:tc>
      </w:tr>
      <w:tr>
        <w:trPr>
          <w:trHeight w:val="230"/>
        </w:trPr>
        <w:tc>
          <w:tcPr>
            <w:tcW w:w="494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42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(47,515,703 )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(23 )%</w:t>
            </w:r>
          </w:p>
        </w:tc>
      </w:tr>
      <w:tr>
        <w:trPr>
          <w:trHeight w:val="243"/>
        </w:trPr>
        <w:tc>
          <w:tcPr>
            <w:tcW w:w="49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(691,322 )</w:t>
            </w:r>
          </w:p>
        </w:tc>
        <w:tc>
          <w:tcPr>
            <w:tcW w:w="1420" w:type="dxa"/>
            <w:vAlign w:val="bottom"/>
          </w:tcPr>
          <w:p>
            <w:pPr>
              <w:jc w:val="right"/>
              <w:spacing w:after="0"/>
              <w:rPr>
                <w:sz w:val="20"/>
                <w:szCs w:val="20"/>
                <w:color w:val="auto"/>
              </w:rPr>
            </w:pPr>
            <w:r>
              <w:rPr>
                <w:rFonts w:ascii="Arial" w:cs="Arial" w:eastAsia="Arial" w:hAnsi="Arial"/>
                <w:sz w:val="16"/>
                <w:szCs w:val="16"/>
                <w:color w:val="auto"/>
              </w:rPr>
              <w:t>14,824,955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119"/>
              <w:spacing w:after="0"/>
              <w:rPr>
                <w:sz w:val="20"/>
                <w:szCs w:val="20"/>
                <w:color w:val="auto"/>
              </w:rPr>
            </w:pPr>
            <w:r>
              <w:rPr>
                <w:rFonts w:ascii="Arial" w:cs="Arial" w:eastAsia="Arial" w:hAnsi="Arial"/>
                <w:sz w:val="16"/>
                <w:szCs w:val="16"/>
                <w:color w:val="auto"/>
              </w:rPr>
              <w:t>(15,516,277 )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(105 )%</w:t>
            </w: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179,188,759</w:t>
            </w: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201,383,088</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(22,194,329</w:t>
            </w:r>
          </w:p>
        </w:tc>
        <w:tc>
          <w:tcPr>
            <w:tcW w:w="260" w:type="dxa"/>
            <w:vAlign w:val="bottom"/>
          </w:tcPr>
          <w:p>
            <w:pPr>
              <w:jc w:val="right"/>
              <w:ind w:right="119"/>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4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2" w:lineRule="exact"/>
        <w:rPr>
          <w:sz w:val="20"/>
          <w:szCs w:val="20"/>
          <w:color w:val="auto"/>
        </w:rPr>
      </w:pPr>
    </w:p>
    <w:p>
      <w:pPr>
        <w:ind w:right="820" w:firstLine="374"/>
        <w:spacing w:after="0" w:line="27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30" w:lineRule="exact"/>
        <w:rPr>
          <w:sz w:val="20"/>
          <w:szCs w:val="20"/>
          <w:color w:val="auto"/>
        </w:rPr>
      </w:pPr>
    </w:p>
    <w:p>
      <w:pPr>
        <w:ind w:right="260" w:firstLine="374"/>
        <w:spacing w:after="0" w:line="250" w:lineRule="auto"/>
        <w:rPr>
          <w:sz w:val="20"/>
          <w:szCs w:val="20"/>
          <w:color w:val="auto"/>
        </w:rPr>
      </w:pPr>
      <w:r>
        <w:rPr>
          <w:rFonts w:ascii="Arial" w:cs="Arial" w:eastAsia="Arial" w:hAnsi="Arial"/>
          <w:sz w:val="16"/>
          <w:szCs w:val="16"/>
          <w:color w:val="auto"/>
        </w:rPr>
        <w:t>Net cash used in operating activities was €45,687,465 for the six months ended June 30, 2023, an increase of €14,118,892 compared to €31,568,573 for the six months ended June 30, 2022, primarily due to an increase in net loss reflecting the increase in research and development expenses and other operating expenses, due to progression made in the clinical development programs and additional studies to address the clinical hold in the U.S., and the growth of our organization in 2023, adjusted for non-cash items and a decrease in cash generated mainly due to a</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5"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6"/>
          <w:szCs w:val="16"/>
          <w:color w:val="auto"/>
        </w:rPr>
        <w:t>decrease in working capital of €11.4 million in part due to the increase of current assets by €2.6 million, and a decrease in trade payables of €3.2 million and a decrease in accrued liabilities of €5.6 million.</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89" w:lineRule="exact"/>
        <w:rPr>
          <w:sz w:val="20"/>
          <w:szCs w:val="20"/>
          <w:color w:val="auto"/>
        </w:rPr>
      </w:pPr>
    </w:p>
    <w:p>
      <w:pPr>
        <w:ind w:right="260" w:firstLine="374"/>
        <w:spacing w:after="0" w:line="276" w:lineRule="auto"/>
        <w:rPr>
          <w:sz w:val="20"/>
          <w:szCs w:val="20"/>
          <w:color w:val="auto"/>
        </w:rPr>
      </w:pPr>
      <w:r>
        <w:rPr>
          <w:rFonts w:ascii="Arial" w:cs="Arial" w:eastAsia="Arial" w:hAnsi="Arial"/>
          <w:sz w:val="16"/>
          <w:szCs w:val="16"/>
          <w:color w:val="auto"/>
        </w:rPr>
        <w:t>Net cash flows used in investing activities increased by €4,375 from €49,739 for the six months ended June 30, 2022, to €54,114 for the six months ended June 30, 2023, primarily as a result of capital expenditure related to office equipment in 2023.</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2"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6"/>
          <w:szCs w:val="16"/>
          <w:color w:val="auto"/>
        </w:rPr>
        <w:t>Net cash flows provided by financing activities increased by €54,960,918 from €8,823,313 for the six months ended June 30, 2022, to €63,784,231 for the six months ended June 30, 2023. The cash inflow in the six months ended June 30, 2023 relates mainly to the private placement financing that closed in the second quarter of 2023.</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June 30, 2023, we did not have any off-balance sheet arrangements other than the disclosed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220" w:firstLine="374"/>
        <w:spacing w:after="0" w:line="276" w:lineRule="auto"/>
        <w:rPr>
          <w:sz w:val="20"/>
          <w:szCs w:val="20"/>
          <w:color w:val="auto"/>
        </w:rPr>
      </w:pPr>
      <w:r>
        <w:rPr>
          <w:rFonts w:ascii="Arial" w:cs="Arial" w:eastAsia="Arial" w:hAnsi="Arial"/>
          <w:sz w:val="16"/>
          <w:szCs w:val="16"/>
          <w:color w:val="auto"/>
        </w:rPr>
        <w:t>During the six months ended June 30, 2023, there were no significant changes to our quantitative and qualitative disclosures about market risk from those reported in “Item 11. Quantitative and Qualitative Disclosures About Market Risk” in the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202" w:lineRule="exact"/>
        <w:rPr>
          <w:sz w:val="20"/>
          <w:szCs w:val="20"/>
          <w:color w:val="auto"/>
        </w:rPr>
      </w:pPr>
    </w:p>
    <w:p>
      <w:pPr>
        <w:ind w:right="660" w:firstLine="374"/>
        <w:spacing w:after="0" w:line="27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89" w:lineRule="exact"/>
        <w:rPr>
          <w:sz w:val="20"/>
          <w:szCs w:val="20"/>
          <w:color w:val="auto"/>
        </w:rPr>
      </w:pPr>
    </w:p>
    <w:p>
      <w:pPr>
        <w:ind w:right="60" w:firstLine="374"/>
        <w:spacing w:after="0" w:line="250"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right="240" w:hanging="503"/>
        <w:spacing w:after="0" w:line="27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(the “FDA”), with respect to the clinical hold on prophylactic PHA121, or deucrictibant, clinical trials in the U.S.;</w:t>
      </w:r>
    </w:p>
    <w:p>
      <w:pPr>
        <w:spacing w:after="0" w:line="62" w:lineRule="exact"/>
        <w:rPr>
          <w:rFonts w:ascii="Arial" w:cs="Arial" w:eastAsia="Arial" w:hAnsi="Arial"/>
          <w:sz w:val="16"/>
          <w:szCs w:val="16"/>
          <w:color w:val="auto"/>
        </w:rPr>
      </w:pPr>
    </w:p>
    <w:p>
      <w:pPr>
        <w:ind w:left="1020" w:right="300" w:hanging="503"/>
        <w:spacing w:after="0" w:line="27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timing, progress, or success of our clinical development programs, especially for PHVS416 and PHVS719, which are in mid-stage global clinical trials;</w:t>
      </w:r>
    </w:p>
    <w:p>
      <w:pPr>
        <w:spacing w:after="0" w:line="62" w:lineRule="exact"/>
        <w:rPr>
          <w:rFonts w:ascii="Arial" w:cs="Arial" w:eastAsia="Arial" w:hAnsi="Arial"/>
          <w:sz w:val="16"/>
          <w:szCs w:val="16"/>
          <w:color w:val="auto"/>
        </w:rPr>
      </w:pPr>
    </w:p>
    <w:p>
      <w:pPr>
        <w:ind w:left="1020" w:right="300" w:hanging="503"/>
        <w:spacing w:after="0" w:line="27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62" w:lineRule="exact"/>
        <w:rPr>
          <w:rFonts w:ascii="Arial" w:cs="Arial" w:eastAsia="Arial" w:hAnsi="Arial"/>
          <w:sz w:val="16"/>
          <w:szCs w:val="16"/>
          <w:color w:val="auto"/>
        </w:rPr>
      </w:pPr>
    </w:p>
    <w:p>
      <w:pPr>
        <w:ind w:left="1020" w:right="540" w:hanging="503"/>
        <w:spacing w:after="0" w:line="27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timing and results of the rodent toxicology study and our ability to resolve any issues to the satisfaction of the FDA or any regulatory agency in a timely manner;</w:t>
      </w:r>
    </w:p>
    <w:p>
      <w:pPr>
        <w:spacing w:after="0" w:line="62" w:lineRule="exact"/>
        <w:rPr>
          <w:rFonts w:ascii="Arial" w:cs="Arial" w:eastAsia="Arial" w:hAnsi="Arial"/>
          <w:sz w:val="16"/>
          <w:szCs w:val="16"/>
          <w:color w:val="auto"/>
        </w:rPr>
      </w:pPr>
    </w:p>
    <w:p>
      <w:pPr>
        <w:ind w:left="1020" w:right="300" w:hanging="503"/>
        <w:spacing w:after="0" w:line="25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1" w:right="399" w:bottom="1440" w:gutter="0" w:footer="0" w:header="0"/>
        </w:sectPr>
      </w:pPr>
    </w:p>
    <w:bookmarkStart w:id="20" w:name="page21"/>
    <w:bookmarkEnd w:id="20"/>
    <w:p>
      <w:pPr>
        <w:ind w:left="1020" w:right="22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6" w:lineRule="exact"/>
        <w:rPr>
          <w:rFonts w:ascii="Arial" w:cs="Arial" w:eastAsia="Arial" w:hAnsi="Arial"/>
          <w:sz w:val="16"/>
          <w:szCs w:val="16"/>
          <w:color w:val="auto"/>
        </w:rPr>
      </w:pPr>
    </w:p>
    <w:p>
      <w:pPr>
        <w:ind w:left="1020" w:right="2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disruptions at the FDA and other government agencies;</w:t>
      </w:r>
    </w:p>
    <w:p>
      <w:pPr>
        <w:spacing w:after="0" w:line="126" w:lineRule="exact"/>
        <w:rPr>
          <w:rFonts w:ascii="Arial" w:cs="Arial" w:eastAsia="Arial" w:hAnsi="Arial"/>
          <w:sz w:val="16"/>
          <w:szCs w:val="16"/>
          <w:color w:val="auto"/>
        </w:rPr>
      </w:pPr>
    </w:p>
    <w:p>
      <w:pPr>
        <w:ind w:left="1020" w:right="20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raise capital when needed and on acceptable terms;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outcome and timing of price negotiations with governmental authorities;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compete in the pharmaceutical industry and with competitive generic products;</w:t>
      </w:r>
    </w:p>
    <w:p>
      <w:pPr>
        <w:spacing w:after="0" w:line="126" w:lineRule="exact"/>
        <w:rPr>
          <w:rFonts w:ascii="Arial" w:cs="Arial" w:eastAsia="Arial" w:hAnsi="Arial"/>
          <w:sz w:val="16"/>
          <w:szCs w:val="16"/>
          <w:color w:val="auto"/>
        </w:rPr>
      </w:pPr>
    </w:p>
    <w:p>
      <w:pPr>
        <w:ind w:left="1020" w:right="50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6" w:lineRule="exact"/>
        <w:rPr>
          <w:rFonts w:ascii="Arial" w:cs="Arial" w:eastAsia="Arial" w:hAnsi="Arial"/>
          <w:sz w:val="16"/>
          <w:szCs w:val="16"/>
          <w:color w:val="auto"/>
        </w:rPr>
      </w:pPr>
    </w:p>
    <w:p>
      <w:pPr>
        <w:ind w:left="1020" w:right="74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62"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loss of any of our key personnel;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estimates of market sizes and anticipated uses of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estimates of future performance;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6" w:lineRule="exact"/>
        <w:rPr>
          <w:rFonts w:ascii="Arial" w:cs="Arial" w:eastAsia="Arial" w:hAnsi="Arial"/>
          <w:sz w:val="16"/>
          <w:szCs w:val="16"/>
          <w:color w:val="auto"/>
        </w:rPr>
      </w:pPr>
    </w:p>
    <w:p>
      <w:pPr>
        <w:ind w:left="102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62" w:lineRule="exact"/>
        <w:rPr>
          <w:rFonts w:ascii="Arial" w:cs="Arial" w:eastAsia="Arial" w:hAnsi="Arial"/>
          <w:sz w:val="16"/>
          <w:szCs w:val="16"/>
          <w:color w:val="auto"/>
        </w:rPr>
      </w:pPr>
    </w:p>
    <w:p>
      <w:pPr>
        <w:ind w:left="1020" w:right="4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or a foreign private issuer, and</w:t>
      </w:r>
    </w:p>
    <w:p>
      <w:pPr>
        <w:spacing w:after="0" w:line="62" w:lineRule="exact"/>
        <w:rPr>
          <w:rFonts w:ascii="Arial" w:cs="Arial" w:eastAsia="Arial" w:hAnsi="Arial"/>
          <w:sz w:val="16"/>
          <w:szCs w:val="16"/>
          <w:color w:val="auto"/>
        </w:rPr>
      </w:pPr>
    </w:p>
    <w:p>
      <w:pPr>
        <w:ind w:left="1020" w:right="40" w:hanging="503"/>
        <w:spacing w:after="0" w:line="27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w:t>
      </w:r>
    </w:p>
    <w:p>
      <w:pPr>
        <w:spacing w:after="0" w:line="333" w:lineRule="exact"/>
        <w:rPr>
          <w:sz w:val="20"/>
          <w:szCs w:val="20"/>
          <w:color w:val="auto"/>
        </w:rPr>
      </w:pPr>
    </w:p>
    <w:p>
      <w:pPr>
        <w:ind w:right="100" w:firstLine="374"/>
        <w:spacing w:after="0" w:line="250"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21" w:name="page22"/>
    <w:bookmarkEnd w:id="21"/>
    <w:p>
      <w:pPr>
        <w:ind w:right="60" w:firstLine="374"/>
        <w:spacing w:after="0" w:line="27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4" w:lineRule="exact"/>
        <w:rPr>
          <w:sz w:val="20"/>
          <w:szCs w:val="20"/>
          <w:color w:val="auto"/>
        </w:rPr>
      </w:pPr>
    </w:p>
    <w:p>
      <w:pPr>
        <w:ind w:right="360" w:firstLine="374"/>
        <w:spacing w:after="0" w:line="27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30"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21" w:right="43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99.3</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As of and 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Contents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Loss and Comprehensive Loss</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b w:val="1"/>
                <w:bCs w:val="1"/>
                <w:color w:val="auto"/>
                <w:w w:val="71"/>
              </w:rPr>
              <w:t>3</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b w:val="1"/>
                <w:bCs w:val="1"/>
                <w:color w:val="auto"/>
                <w:w w:val="71"/>
              </w:rPr>
              <w:t>4</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b w:val="1"/>
                <w:bCs w:val="1"/>
                <w:color w:val="auto"/>
                <w:w w:val="71"/>
              </w:rPr>
              <w:t>5</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b w:val="1"/>
                <w:bCs w:val="1"/>
                <w:color w:val="auto"/>
                <w:w w:val="71"/>
              </w:rPr>
              <w:t>6</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b w:val="1"/>
                <w:bCs w:val="1"/>
                <w:color w:val="auto"/>
                <w:w w:val="71"/>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statements of loss and other comprehensive loss</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6"/>
                <w:szCs w:val="16"/>
                <w:color w:val="auto"/>
              </w:rPr>
              <w:t>Three months ended June 30,</w:t>
            </w:r>
          </w:p>
        </w:tc>
        <w:tc>
          <w:tcPr>
            <w:tcW w:w="3080" w:type="dxa"/>
            <w:vAlign w:val="bottom"/>
            <w:gridSpan w:val="4"/>
          </w:tcPr>
          <w:p>
            <w:pPr>
              <w:jc w:val="right"/>
              <w:ind w:right="740"/>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42"/>
        </w:trPr>
        <w:tc>
          <w:tcPr>
            <w:tcW w:w="3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1"/>
                <w:szCs w:val="21"/>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1"/>
                <w:szCs w:val="21"/>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680" w:type="dxa"/>
            <w:vAlign w:val="bottom"/>
          </w:tcPr>
          <w:p>
            <w:pPr>
              <w:jc w:val="center"/>
              <w:ind w:left="179"/>
              <w:spacing w:after="0"/>
              <w:rPr>
                <w:sz w:val="20"/>
                <w:szCs w:val="20"/>
                <w:color w:val="auto"/>
              </w:rPr>
            </w:pPr>
            <w:r>
              <w:rPr>
                <w:rFonts w:ascii="Arial" w:cs="Arial" w:eastAsia="Arial" w:hAnsi="Arial"/>
                <w:sz w:val="16"/>
                <w:szCs w:val="16"/>
                <w:color w:val="auto"/>
                <w:w w:val="90"/>
              </w:rPr>
              <w:t>Notes</w:t>
            </w:r>
          </w:p>
        </w:tc>
        <w:tc>
          <w:tcPr>
            <w:tcW w:w="2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39"/>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3</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(14,681,935 )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(13,721,637 )</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(28,426,366 )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(27,236,126 )</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6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4</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(7,773,430 )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(7,660,133 )</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(15,105,026 )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(13,525,138 )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(22,455,365 )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(21,381,770 )</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(43,531,392 )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(40,761,264 )</w:t>
            </w:r>
          </w:p>
        </w:tc>
        <w:tc>
          <w:tcPr>
            <w:tcW w:w="0" w:type="dxa"/>
            <w:vAlign w:val="bottom"/>
          </w:tcPr>
          <w:p>
            <w:pPr>
              <w:spacing w:after="0"/>
              <w:rPr>
                <w:sz w:val="1"/>
                <w:szCs w:val="1"/>
                <w:color w:val="auto"/>
              </w:rPr>
            </w:pPr>
          </w:p>
        </w:tc>
      </w:tr>
      <w:tr>
        <w:trPr>
          <w:trHeight w:val="23"/>
        </w:trPr>
        <w:tc>
          <w:tcPr>
            <w:tcW w:w="39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960" w:type="dxa"/>
            <w:vAlign w:val="bottom"/>
          </w:tcPr>
          <w:p>
            <w:pPr>
              <w:ind w:left="20"/>
              <w:spacing w:after="0"/>
              <w:rPr>
                <w:sz w:val="20"/>
                <w:szCs w:val="20"/>
                <w:color w:val="auto"/>
              </w:rPr>
            </w:pPr>
            <w:r>
              <w:rPr>
                <w:rFonts w:ascii="Arial" w:cs="Arial" w:eastAsia="Arial" w:hAnsi="Arial"/>
                <w:sz w:val="16"/>
                <w:szCs w:val="16"/>
                <w:color w:val="auto"/>
              </w:rPr>
              <w:t>Finance income/(expense)</w:t>
            </w:r>
          </w:p>
        </w:tc>
        <w:tc>
          <w:tcPr>
            <w:tcW w:w="6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6</w:t>
            </w:r>
          </w:p>
        </w:tc>
        <w:tc>
          <w:tcPr>
            <w:tcW w:w="1460" w:type="dxa"/>
            <w:vAlign w:val="bottom"/>
          </w:tcPr>
          <w:p>
            <w:pPr>
              <w:jc w:val="right"/>
              <w:spacing w:after="0"/>
              <w:rPr>
                <w:sz w:val="20"/>
                <w:szCs w:val="20"/>
                <w:color w:val="auto"/>
              </w:rPr>
            </w:pPr>
            <w:r>
              <w:rPr>
                <w:rFonts w:ascii="Arial" w:cs="Arial" w:eastAsia="Arial" w:hAnsi="Arial"/>
                <w:sz w:val="16"/>
                <w:szCs w:val="16"/>
                <w:color w:val="auto"/>
              </w:rPr>
              <w:t>651,670</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11,501,804</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(842,595 )</w:t>
            </w:r>
          </w:p>
        </w:tc>
        <w:tc>
          <w:tcPr>
            <w:tcW w:w="1460" w:type="dxa"/>
            <w:vAlign w:val="bottom"/>
          </w:tcPr>
          <w:p>
            <w:pPr>
              <w:jc w:val="right"/>
              <w:spacing w:after="0"/>
              <w:rPr>
                <w:sz w:val="20"/>
                <w:szCs w:val="20"/>
                <w:color w:val="auto"/>
              </w:rPr>
            </w:pPr>
            <w:r>
              <w:rPr>
                <w:rFonts w:ascii="Arial" w:cs="Arial" w:eastAsia="Arial" w:hAnsi="Arial"/>
                <w:sz w:val="16"/>
                <w:szCs w:val="16"/>
                <w:color w:val="auto"/>
              </w:rPr>
              <w:t>14,892,983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(21,803,695 )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(9,879,966 )</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(44,373,987 )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(25,868,281 )</w:t>
            </w:r>
          </w:p>
        </w:tc>
        <w:tc>
          <w:tcPr>
            <w:tcW w:w="0" w:type="dxa"/>
            <w:vAlign w:val="bottom"/>
          </w:tcPr>
          <w:p>
            <w:pPr>
              <w:spacing w:after="0"/>
              <w:rPr>
                <w:sz w:val="1"/>
                <w:szCs w:val="1"/>
                <w:color w:val="auto"/>
              </w:rPr>
            </w:pPr>
          </w:p>
        </w:tc>
      </w:tr>
      <w:tr>
        <w:trPr>
          <w:trHeight w:val="23"/>
        </w:trPr>
        <w:tc>
          <w:tcPr>
            <w:tcW w:w="39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96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6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7</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(94,178 )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(2,741,102 )</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(154,835 )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(2,779,817 )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6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(21,897,873 )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(12,621,068 )</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(44,528,822 )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(28,648,098 )</w:t>
            </w:r>
          </w:p>
        </w:tc>
        <w:tc>
          <w:tcPr>
            <w:tcW w:w="0" w:type="dxa"/>
            <w:vAlign w:val="bottom"/>
          </w:tcPr>
          <w:p>
            <w:pPr>
              <w:spacing w:after="0"/>
              <w:rPr>
                <w:sz w:val="1"/>
                <w:szCs w:val="1"/>
                <w:color w:val="auto"/>
              </w:rPr>
            </w:pPr>
          </w:p>
        </w:tc>
      </w:tr>
      <w:tr>
        <w:trPr>
          <w:trHeight w:val="207"/>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6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Exchange gains/(losses) arising on translation of foreign</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1,624</w:t>
            </w:r>
          </w:p>
        </w:tc>
        <w:tc>
          <w:tcPr>
            <w:tcW w:w="140" w:type="dxa"/>
            <w:vAlign w:val="bottom"/>
            <w:shd w:val="clear" w:color="auto" w:fill="CFF0FC"/>
          </w:tcPr>
          <w:p>
            <w:pPr>
              <w:spacing w:after="0"/>
              <w:rPr>
                <w:sz w:val="18"/>
                <w:szCs w:val="18"/>
                <w:color w:val="auto"/>
              </w:rPr>
            </w:pPr>
          </w:p>
        </w:tc>
        <w:tc>
          <w:tcPr>
            <w:tcW w:w="1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(89,091 )</w:t>
            </w:r>
          </w:p>
        </w:tc>
        <w:tc>
          <w:tcPr>
            <w:tcW w:w="15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(28,885 )</w:t>
            </w:r>
          </w:p>
        </w:tc>
        <w:tc>
          <w:tcPr>
            <w:tcW w:w="1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(80,411 )</w:t>
            </w:r>
          </w:p>
        </w:tc>
        <w:tc>
          <w:tcPr>
            <w:tcW w:w="0" w:type="dxa"/>
            <w:vAlign w:val="bottom"/>
          </w:tcPr>
          <w:p>
            <w:pPr>
              <w:spacing w:after="0"/>
              <w:rPr>
                <w:sz w:val="1"/>
                <w:szCs w:val="1"/>
                <w:color w:val="auto"/>
              </w:rPr>
            </w:pPr>
          </w:p>
        </w:tc>
      </w:tr>
      <w:tr>
        <w:trPr>
          <w:trHeight w:val="225"/>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1500" w:type="dxa"/>
            <w:vAlign w:val="bottom"/>
            <w:gridSpan w:val="2"/>
            <w:vMerge w:val="continue"/>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comprehensive loss attributable to:</w:t>
            </w:r>
          </w:p>
        </w:tc>
        <w:tc>
          <w:tcPr>
            <w:tcW w:w="6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holders of the Company</w:t>
            </w:r>
          </w:p>
        </w:tc>
        <w:tc>
          <w:tcPr>
            <w:tcW w:w="6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(21,896,249 )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(12,710,159 )</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(44,557,707 )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(28,728,509 )</w:t>
            </w:r>
          </w:p>
        </w:tc>
        <w:tc>
          <w:tcPr>
            <w:tcW w:w="0" w:type="dxa"/>
            <w:vAlign w:val="bottom"/>
          </w:tcPr>
          <w:p>
            <w:pPr>
              <w:spacing w:after="0"/>
              <w:rPr>
                <w:sz w:val="1"/>
                <w:szCs w:val="1"/>
                <w:color w:val="auto"/>
              </w:rPr>
            </w:pPr>
          </w:p>
        </w:tc>
      </w:tr>
      <w:tr>
        <w:trPr>
          <w:trHeight w:val="193"/>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Loss per share attributable to the equity holders of the</w:t>
            </w:r>
          </w:p>
        </w:tc>
        <w:tc>
          <w:tcPr>
            <w:tcW w:w="68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6"/>
                <w:szCs w:val="16"/>
                <w:color w:val="auto"/>
              </w:rPr>
              <w:t>Company during the periods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(0.63 )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(0.38 )</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(1.30 )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-1799590</wp:posOffset>
            </wp:positionV>
            <wp:extent cx="8572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-1799590</wp:posOffset>
            </wp:positionV>
            <wp:extent cx="8572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-1799590</wp:posOffset>
            </wp:positionV>
            <wp:extent cx="8572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-1799590</wp:posOffset>
            </wp:positionV>
            <wp:extent cx="8572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-1490980</wp:posOffset>
            </wp:positionV>
            <wp:extent cx="8572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-1490980</wp:posOffset>
            </wp:positionV>
            <wp:extent cx="8572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-1490980</wp:posOffset>
            </wp:positionV>
            <wp:extent cx="85725"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-1490980</wp:posOffset>
            </wp:positionV>
            <wp:extent cx="8572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-1182370</wp:posOffset>
            </wp:positionV>
            <wp:extent cx="305181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51810" cy="1714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-762635</wp:posOffset>
            </wp:positionV>
            <wp:extent cx="305181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51810" cy="1714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-445135</wp:posOffset>
            </wp:positionV>
            <wp:extent cx="305181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51810" cy="3003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Unaudited condensed consolidated statements of financial position</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6"/>
                <w:szCs w:val="16"/>
                <w:color w:val="auto"/>
              </w:rPr>
              <w:t>June 30,</w:t>
            </w:r>
          </w:p>
        </w:tc>
        <w:tc>
          <w:tcPr>
            <w:tcW w:w="2560" w:type="dxa"/>
            <w:vAlign w:val="bottom"/>
            <w:gridSpan w:val="2"/>
          </w:tcPr>
          <w:p>
            <w:pPr>
              <w:jc w:val="right"/>
              <w:ind w:right="900"/>
              <w:spacing w:after="0"/>
              <w:rPr>
                <w:sz w:val="20"/>
                <w:szCs w:val="20"/>
                <w:color w:val="auto"/>
              </w:rPr>
            </w:pPr>
            <w:r>
              <w:rPr>
                <w:rFonts w:ascii="Arial" w:cs="Arial" w:eastAsia="Arial" w:hAnsi="Arial"/>
                <w:sz w:val="16"/>
                <w:szCs w:val="16"/>
                <w:color w:val="auto"/>
              </w:rPr>
              <w:t>December 31,</w:t>
            </w:r>
          </w:p>
        </w:tc>
      </w:tr>
      <w:tr>
        <w:trPr>
          <w:trHeight w:val="219"/>
        </w:trPr>
        <w:tc>
          <w:tcPr>
            <w:tcW w:w="5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242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20"/>
        </w:trPr>
        <w:tc>
          <w:tcPr>
            <w:tcW w:w="5840" w:type="dxa"/>
            <w:vAlign w:val="bottom"/>
          </w:tcPr>
          <w:p>
            <w:pPr>
              <w:ind w:left="5380"/>
              <w:spacing w:after="0"/>
              <w:rPr>
                <w:sz w:val="20"/>
                <w:szCs w:val="20"/>
                <w:color w:val="auto"/>
              </w:rPr>
            </w:pPr>
            <w:r>
              <w:rPr>
                <w:rFonts w:ascii="Arial" w:cs="Arial" w:eastAsia="Arial" w:hAnsi="Arial"/>
                <w:sz w:val="16"/>
                <w:szCs w:val="16"/>
                <w:color w:val="auto"/>
              </w:rPr>
              <w:t>Notes</w:t>
            </w:r>
          </w:p>
        </w:tc>
        <w:tc>
          <w:tcPr>
            <w:tcW w:w="52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w:t>
            </w:r>
          </w:p>
        </w:tc>
        <w:tc>
          <w:tcPr>
            <w:tcW w:w="25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w:t>
            </w: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5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5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220,138</w:t>
            </w: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Right of use assets</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tcPr>
          <w:p>
            <w:pPr>
              <w:jc w:val="right"/>
              <w:spacing w:after="0"/>
              <w:rPr>
                <w:sz w:val="20"/>
                <w:szCs w:val="20"/>
                <w:color w:val="auto"/>
              </w:rPr>
            </w:pPr>
            <w:r>
              <w:rPr>
                <w:rFonts w:ascii="Arial" w:cs="Arial" w:eastAsia="Arial" w:hAnsi="Arial"/>
                <w:sz w:val="16"/>
                <w:szCs w:val="16"/>
                <w:color w:val="auto"/>
              </w:rPr>
              <w:t>334,240</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432,965</w:t>
            </w: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5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183,513</w:t>
            </w: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259,803</w:t>
            </w: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Receivables</w:t>
            </w:r>
          </w:p>
        </w:tc>
        <w:tc>
          <w:tcPr>
            <w:tcW w:w="5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334,299</w:t>
            </w: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382,468</w:t>
            </w: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1460" w:type="dxa"/>
            <w:vAlign w:val="bottom"/>
          </w:tcPr>
          <w:p>
            <w:pPr>
              <w:jc w:val="right"/>
              <w:spacing w:after="0"/>
              <w:rPr>
                <w:sz w:val="20"/>
                <w:szCs w:val="20"/>
                <w:color w:val="auto"/>
              </w:rPr>
            </w:pPr>
            <w:r>
              <w:rPr>
                <w:rFonts w:ascii="Arial" w:cs="Arial" w:eastAsia="Arial" w:hAnsi="Arial"/>
                <w:sz w:val="16"/>
                <w:szCs w:val="16"/>
                <w:color w:val="auto"/>
              </w:rPr>
              <w:t>9,482,473</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4,626,844</w:t>
            </w:r>
          </w:p>
        </w:tc>
        <w:tc>
          <w:tcPr>
            <w:tcW w:w="140" w:type="dxa"/>
            <w:vAlign w:val="bottom"/>
          </w:tcPr>
          <w:p>
            <w:pPr>
              <w:spacing w:after="0"/>
              <w:rPr>
                <w:sz w:val="19"/>
                <w:szCs w:val="19"/>
                <w:color w:val="auto"/>
              </w:rPr>
            </w:pPr>
          </w:p>
        </w:tc>
      </w:tr>
      <w:tr>
        <w:trPr>
          <w:trHeight w:val="23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2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6"/>
                <w:szCs w:val="16"/>
                <w:color w:val="auto"/>
              </w:rPr>
              <w:t>12</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179,188,759</w:t>
            </w:r>
          </w:p>
        </w:tc>
        <w:tc>
          <w:tcPr>
            <w:tcW w:w="280" w:type="dxa"/>
            <w:vAlign w:val="bottom"/>
            <w:tcBorders>
              <w:bottom w:val="single" w:sz="8" w:color="CFF0FC"/>
            </w:tcBorders>
            <w:shd w:val="clear" w:color="auto" w:fill="CFF0FC"/>
          </w:tcPr>
          <w:p>
            <w:pPr>
              <w:spacing w:after="0"/>
              <w:rPr>
                <w:sz w:val="20"/>
                <w:szCs w:val="20"/>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189,743,422</w:t>
            </w:r>
          </w:p>
        </w:tc>
        <w:tc>
          <w:tcPr>
            <w:tcW w:w="28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167,732,983</w:t>
            </w:r>
          </w:p>
        </w:tc>
        <w:tc>
          <w:tcPr>
            <w:tcW w:w="14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5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b w:val="1"/>
                <w:bCs w:val="1"/>
                <w:color w:val="auto"/>
              </w:rPr>
              <w:t>Equity and liabilities</w:t>
            </w: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w:t>
            </w:r>
          </w:p>
        </w:tc>
        <w:tc>
          <w:tcPr>
            <w:tcW w:w="5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Share capital</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13</w:t>
            </w:r>
          </w:p>
        </w:tc>
        <w:tc>
          <w:tcPr>
            <w:tcW w:w="1460" w:type="dxa"/>
            <w:vAlign w:val="bottom"/>
          </w:tcPr>
          <w:p>
            <w:pPr>
              <w:jc w:val="right"/>
              <w:spacing w:after="0"/>
              <w:rPr>
                <w:sz w:val="20"/>
                <w:szCs w:val="20"/>
                <w:color w:val="auto"/>
              </w:rPr>
            </w:pPr>
            <w:r>
              <w:rPr>
                <w:rFonts w:ascii="Arial" w:cs="Arial" w:eastAsia="Arial" w:hAnsi="Arial"/>
                <w:sz w:val="16"/>
                <w:szCs w:val="16"/>
                <w:color w:val="auto"/>
              </w:rPr>
              <w:t>4,898,751</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4,057,976</w:t>
            </w: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Share premium</w:t>
            </w:r>
          </w:p>
        </w:tc>
        <w:tc>
          <w:tcPr>
            <w:tcW w:w="5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353,431,448</w:t>
            </w: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289,177,197</w:t>
            </w: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Other reserves</w:t>
            </w:r>
          </w:p>
        </w:tc>
        <w:tc>
          <w:tcPr>
            <w:tcW w:w="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24,249,330</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20,169,459</w:t>
            </w: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reserve</w:t>
            </w:r>
          </w:p>
        </w:tc>
        <w:tc>
          <w:tcPr>
            <w:tcW w:w="5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14,405</w:t>
            </w: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43,290</w:t>
            </w:r>
          </w:p>
        </w:tc>
        <w:tc>
          <w:tcPr>
            <w:tcW w:w="140" w:type="dxa"/>
            <w:vAlign w:val="bottom"/>
            <w:shd w:val="clear" w:color="auto" w:fill="CFF0FC"/>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Accumulated loss</w:t>
            </w:r>
          </w:p>
        </w:tc>
        <w:tc>
          <w:tcPr>
            <w:tcW w:w="52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(208,863,367 )</w:t>
            </w:r>
          </w:p>
        </w:tc>
        <w:tc>
          <w:tcPr>
            <w:tcW w:w="2560" w:type="dxa"/>
            <w:vAlign w:val="bottom"/>
            <w:gridSpan w:val="2"/>
          </w:tcPr>
          <w:p>
            <w:pPr>
              <w:jc w:val="right"/>
              <w:ind w:right="60"/>
              <w:spacing w:after="0"/>
              <w:rPr>
                <w:sz w:val="20"/>
                <w:szCs w:val="20"/>
                <w:color w:val="auto"/>
              </w:rPr>
            </w:pPr>
            <w:r>
              <w:rPr>
                <w:rFonts w:ascii="Arial" w:cs="Arial" w:eastAsia="Arial" w:hAnsi="Arial"/>
                <w:sz w:val="16"/>
                <w:szCs w:val="16"/>
                <w:color w:val="auto"/>
              </w:rPr>
              <w:t>(164,188,892 )</w:t>
            </w:r>
          </w:p>
        </w:tc>
      </w:tr>
      <w:tr>
        <w:trPr>
          <w:trHeight w:val="26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equity</w:t>
            </w:r>
          </w:p>
        </w:tc>
        <w:tc>
          <w:tcPr>
            <w:tcW w:w="5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173,730,567</w:t>
            </w:r>
          </w:p>
        </w:tc>
        <w:tc>
          <w:tcPr>
            <w:tcW w:w="280" w:type="dxa"/>
            <w:vAlign w:val="bottom"/>
            <w:tcBorders>
              <w:bottom w:val="single" w:sz="8" w:color="CFF0FC"/>
            </w:tcBorders>
            <w:shd w:val="clear" w:color="auto" w:fill="CFF0FC"/>
          </w:tcPr>
          <w:p>
            <w:pPr>
              <w:spacing w:after="0"/>
              <w:rPr>
                <w:sz w:val="22"/>
                <w:szCs w:val="22"/>
                <w:color w:val="auto"/>
              </w:rPr>
            </w:pP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149,259,030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7"/>
        </w:trPr>
        <w:tc>
          <w:tcPr>
            <w:tcW w:w="5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Long term liabilities</w:t>
            </w:r>
          </w:p>
        </w:tc>
        <w:tc>
          <w:tcPr>
            <w:tcW w:w="5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Non-current lease liability</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tcPr>
          <w:p>
            <w:pPr>
              <w:jc w:val="right"/>
              <w:spacing w:after="0"/>
              <w:rPr>
                <w:sz w:val="20"/>
                <w:szCs w:val="20"/>
                <w:color w:val="auto"/>
              </w:rPr>
            </w:pPr>
            <w:r>
              <w:rPr>
                <w:rFonts w:ascii="Arial" w:cs="Arial" w:eastAsia="Arial" w:hAnsi="Arial"/>
                <w:sz w:val="16"/>
                <w:szCs w:val="16"/>
                <w:color w:val="auto"/>
              </w:rPr>
              <w:t>110,308</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249,418</w:t>
            </w: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5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Trade and other payables</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14</w:t>
            </w:r>
          </w:p>
        </w:tc>
        <w:tc>
          <w:tcPr>
            <w:tcW w:w="1460" w:type="dxa"/>
            <w:vAlign w:val="bottom"/>
          </w:tcPr>
          <w:p>
            <w:pPr>
              <w:jc w:val="right"/>
              <w:spacing w:after="0"/>
              <w:rPr>
                <w:sz w:val="20"/>
                <w:szCs w:val="20"/>
                <w:color w:val="auto"/>
              </w:rPr>
            </w:pPr>
            <w:r>
              <w:rPr>
                <w:rFonts w:ascii="Arial" w:cs="Arial" w:eastAsia="Arial" w:hAnsi="Arial"/>
                <w:sz w:val="16"/>
                <w:szCs w:val="16"/>
                <w:color w:val="auto"/>
              </w:rPr>
              <w:t>5,277,616</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6,685,080</w:t>
            </w:r>
          </w:p>
        </w:tc>
        <w:tc>
          <w:tcPr>
            <w:tcW w:w="140" w:type="dxa"/>
            <w:vAlign w:val="bottom"/>
          </w:tcPr>
          <w:p>
            <w:pPr>
              <w:spacing w:after="0"/>
              <w:rPr>
                <w:sz w:val="19"/>
                <w:szCs w:val="19"/>
                <w:color w:val="auto"/>
              </w:rPr>
            </w:pPr>
          </w:p>
        </w:tc>
      </w:tr>
      <w:tr>
        <w:trPr>
          <w:trHeight w:val="23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5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15</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10,240,917</w:t>
            </w:r>
          </w:p>
        </w:tc>
        <w:tc>
          <w:tcPr>
            <w:tcW w:w="280" w:type="dxa"/>
            <w:vAlign w:val="bottom"/>
            <w:shd w:val="clear" w:color="auto" w:fill="CFF0FC"/>
          </w:tcPr>
          <w:p>
            <w:pPr>
              <w:spacing w:after="0"/>
              <w:rPr>
                <w:sz w:val="20"/>
                <w:szCs w:val="20"/>
                <w:color w:val="auto"/>
              </w:rPr>
            </w:pP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40" w:type="dxa"/>
            <w:vAlign w:val="bottom"/>
            <w:shd w:val="clear" w:color="auto" w:fill="CFF0FC"/>
          </w:tcPr>
          <w:p>
            <w:pPr>
              <w:spacing w:after="0"/>
              <w:rPr>
                <w:sz w:val="20"/>
                <w:szCs w:val="20"/>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6"/>
                <w:szCs w:val="16"/>
                <w:color w:val="auto"/>
              </w:rPr>
              <w:t>Current lease liability</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460" w:type="dxa"/>
            <w:vAlign w:val="bottom"/>
          </w:tcPr>
          <w:p>
            <w:pPr>
              <w:jc w:val="right"/>
              <w:spacing w:after="0"/>
              <w:rPr>
                <w:sz w:val="20"/>
                <w:szCs w:val="20"/>
                <w:color w:val="auto"/>
              </w:rPr>
            </w:pPr>
            <w:r>
              <w:rPr>
                <w:rFonts w:ascii="Arial" w:cs="Arial" w:eastAsia="Arial" w:hAnsi="Arial"/>
                <w:sz w:val="16"/>
                <w:szCs w:val="16"/>
                <w:color w:val="auto"/>
              </w:rPr>
              <w:t>228,120</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187,404</w:t>
            </w:r>
          </w:p>
        </w:tc>
        <w:tc>
          <w:tcPr>
            <w:tcW w:w="140" w:type="dxa"/>
            <w:vAlign w:val="bottom"/>
          </w:tcPr>
          <w:p>
            <w:pPr>
              <w:spacing w:after="0"/>
              <w:rPr>
                <w:sz w:val="19"/>
                <w:szCs w:val="19"/>
                <w:color w:val="auto"/>
              </w:rPr>
            </w:pPr>
          </w:p>
        </w:tc>
      </w:tr>
      <w:tr>
        <w:trPr>
          <w:trHeight w:val="23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Current tax payable</w:t>
            </w:r>
          </w:p>
        </w:tc>
        <w:tc>
          <w:tcPr>
            <w:tcW w:w="5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155,894</w:t>
            </w:r>
          </w:p>
        </w:tc>
        <w:tc>
          <w:tcPr>
            <w:tcW w:w="280" w:type="dxa"/>
            <w:vAlign w:val="bottom"/>
            <w:tcBorders>
              <w:bottom w:val="single" w:sz="8" w:color="CFF0FC"/>
            </w:tcBorders>
            <w:shd w:val="clear" w:color="auto" w:fill="CFF0FC"/>
          </w:tcPr>
          <w:p>
            <w:pPr>
              <w:spacing w:after="0"/>
              <w:rPr>
                <w:sz w:val="20"/>
                <w:szCs w:val="20"/>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461,302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5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16,012,855</w:t>
            </w:r>
          </w:p>
        </w:tc>
        <w:tc>
          <w:tcPr>
            <w:tcW w:w="28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18,473,953</w:t>
            </w:r>
          </w:p>
        </w:tc>
        <w:tc>
          <w:tcPr>
            <w:tcW w:w="14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equity and liabilities</w:t>
            </w:r>
          </w:p>
        </w:tc>
        <w:tc>
          <w:tcPr>
            <w:tcW w:w="5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189,743,422</w:t>
            </w:r>
          </w:p>
        </w:tc>
        <w:tc>
          <w:tcPr>
            <w:tcW w:w="280" w:type="dxa"/>
            <w:vAlign w:val="bottom"/>
            <w:tcBorders>
              <w:bottom w:val="single" w:sz="8" w:color="CFF0FC"/>
            </w:tcBorders>
            <w:shd w:val="clear" w:color="auto" w:fill="CFF0FC"/>
          </w:tcPr>
          <w:p>
            <w:pPr>
              <w:spacing w:after="0"/>
              <w:rPr>
                <w:sz w:val="22"/>
                <w:szCs w:val="22"/>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167,732,983</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-3025140</wp:posOffset>
            </wp:positionV>
            <wp:extent cx="8572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-3025140</wp:posOffset>
            </wp:positionV>
            <wp:extent cx="8572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-1525270</wp:posOffset>
            </wp:positionV>
            <wp:extent cx="18002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0225"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-334010</wp:posOffset>
            </wp:positionV>
            <wp:extent cx="8572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-334010</wp:posOffset>
            </wp:positionV>
            <wp:extent cx="8572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-24765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3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445" w:right="61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2023 and June 30, 2022</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Currency</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4"/>
              </w:rPr>
              <w:t>Share</w:t>
            </w:r>
          </w:p>
        </w:tc>
        <w:tc>
          <w:tcPr>
            <w:tcW w:w="2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Other</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translation</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Total</w:t>
            </w:r>
          </w:p>
        </w:tc>
      </w:tr>
      <w:tr>
        <w:trPr>
          <w:trHeight w:val="219"/>
        </w:trPr>
        <w:tc>
          <w:tcPr>
            <w:tcW w:w="2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capital</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premium</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reserves</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reserve</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losses</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Equity</w:t>
            </w:r>
          </w:p>
        </w:tc>
        <w:tc>
          <w:tcPr>
            <w:tcW w:w="140" w:type="dxa"/>
            <w:vAlign w:val="bottom"/>
          </w:tcPr>
          <w:p>
            <w:pPr>
              <w:spacing w:after="0"/>
              <w:rPr>
                <w:sz w:val="19"/>
                <w:szCs w:val="19"/>
                <w:color w:val="auto"/>
              </w:rPr>
            </w:pPr>
          </w:p>
        </w:tc>
      </w:tr>
      <w:tr>
        <w:trPr>
          <w:trHeight w:val="220"/>
        </w:trPr>
        <w:tc>
          <w:tcPr>
            <w:tcW w:w="2660" w:type="dxa"/>
            <w:vAlign w:val="bottom"/>
          </w:tcPr>
          <w:p>
            <w:pPr>
              <w:spacing w:after="0"/>
              <w:rPr>
                <w:sz w:val="19"/>
                <w:szCs w:val="19"/>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Notes</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3,978,226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278,742,900</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9,774,416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25,928</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(87,568,401 )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204,953,069</w:t>
            </w:r>
          </w:p>
        </w:tc>
        <w:tc>
          <w:tcPr>
            <w:tcW w:w="140" w:type="dxa"/>
            <w:vAlign w:val="bottom"/>
            <w:shd w:val="clear" w:color="auto" w:fill="CFF0FC"/>
          </w:tcPr>
          <w:p>
            <w:pPr>
              <w:spacing w:after="0"/>
              <w:rPr>
                <w:sz w:val="20"/>
                <w:szCs w:val="20"/>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(28,648,098 )</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(28,648,098 )</w:t>
            </w: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Issue of share capital</w:t>
            </w:r>
          </w:p>
        </w:tc>
        <w:tc>
          <w:tcPr>
            <w:tcW w:w="11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13</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70,572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9,464,901</w:t>
            </w:r>
          </w:p>
        </w:tc>
        <w:tc>
          <w:tcPr>
            <w:tcW w:w="2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9,535,473</w:t>
            </w:r>
          </w:p>
        </w:tc>
        <w:tc>
          <w:tcPr>
            <w:tcW w:w="140" w:type="dxa"/>
            <w:vAlign w:val="bottom"/>
            <w:shd w:val="clear" w:color="auto" w:fill="CFF0FC"/>
          </w:tcPr>
          <w:p>
            <w:pPr>
              <w:spacing w:after="0"/>
              <w:rPr>
                <w:sz w:val="20"/>
                <w:szCs w:val="20"/>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Transaction costs on issue of shares</w:t>
            </w: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color w:val="auto"/>
              </w:rPr>
              <w:t>(307,710 )</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(307,710 )</w:t>
            </w: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(80,411 )</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(80,411 )</w:t>
            </w: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Share-based payments</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5,089,777</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5,089,777</w:t>
            </w:r>
          </w:p>
        </w:tc>
        <w:tc>
          <w:tcPr>
            <w:tcW w:w="140" w:type="dxa"/>
            <w:vAlign w:val="bottom"/>
          </w:tcPr>
          <w:p>
            <w:pPr>
              <w:spacing w:after="0"/>
              <w:rPr>
                <w:sz w:val="19"/>
                <w:szCs w:val="19"/>
                <w:color w:val="auto"/>
              </w:rPr>
            </w:pPr>
          </w:p>
        </w:tc>
      </w:tr>
      <w:tr>
        <w:trPr>
          <w:trHeight w:val="230"/>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 of share-based payments</w:t>
            </w: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199,917</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(150,568 )</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(20,912 )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31,555</w:t>
            </w:r>
          </w:p>
        </w:tc>
        <w:tc>
          <w:tcPr>
            <w:tcW w:w="140" w:type="dxa"/>
            <w:vAlign w:val="bottom"/>
            <w:shd w:val="clear" w:color="auto" w:fill="CFF0FC"/>
          </w:tcPr>
          <w:p>
            <w:pPr>
              <w:spacing w:after="0"/>
              <w:rPr>
                <w:sz w:val="19"/>
                <w:szCs w:val="19"/>
                <w:color w:val="auto"/>
              </w:rPr>
            </w:pPr>
          </w:p>
        </w:tc>
      </w:tr>
      <w:tr>
        <w:trPr>
          <w:trHeight w:val="23"/>
        </w:trPr>
        <w:tc>
          <w:tcPr>
            <w:tcW w:w="26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4,051,916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288,100,008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14,713,625</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(54,483 )</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(116,237,411 )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190,573,655</w:t>
            </w:r>
          </w:p>
        </w:tc>
        <w:tc>
          <w:tcPr>
            <w:tcW w:w="14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January 1, 2023</w:t>
            </w:r>
          </w:p>
        </w:tc>
        <w:tc>
          <w:tcPr>
            <w:tcW w:w="1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(164,188,89</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26"/>
        </w:trPr>
        <w:tc>
          <w:tcPr>
            <w:tcW w:w="2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289,177,197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43,290</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149,259,030</w:t>
            </w:r>
          </w:p>
        </w:tc>
        <w:tc>
          <w:tcPr>
            <w:tcW w:w="140" w:type="dxa"/>
            <w:vAlign w:val="bottom"/>
            <w:shd w:val="clear" w:color="auto" w:fill="CFF0FC"/>
          </w:tcPr>
          <w:p>
            <w:pPr>
              <w:spacing w:after="0"/>
              <w:rPr>
                <w:sz w:val="19"/>
                <w:szCs w:val="19"/>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(44,528,822 )</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(44,528,822 )</w:t>
            </w: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Issue of share capital</w:t>
            </w:r>
          </w:p>
        </w:tc>
        <w:tc>
          <w:tcPr>
            <w:tcW w:w="11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13</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834,161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63,250,792</w:t>
            </w:r>
          </w:p>
        </w:tc>
        <w:tc>
          <w:tcPr>
            <w:tcW w:w="2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64,084,953</w:t>
            </w:r>
          </w:p>
        </w:tc>
        <w:tc>
          <w:tcPr>
            <w:tcW w:w="140" w:type="dxa"/>
            <w:vAlign w:val="bottom"/>
            <w:shd w:val="clear" w:color="auto" w:fill="CFF0FC"/>
          </w:tcPr>
          <w:p>
            <w:pPr>
              <w:spacing w:after="0"/>
              <w:rPr>
                <w:sz w:val="20"/>
                <w:szCs w:val="20"/>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Transaction costs on issue of shares</w:t>
            </w: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color w:val="auto"/>
              </w:rPr>
              <w:t>(209,870 )</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(209,870 )</w:t>
            </w:r>
          </w:p>
        </w:tc>
      </w:tr>
      <w:tr>
        <w:trPr>
          <w:trHeight w:val="239"/>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(28,885 )</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(28,885 )</w:t>
            </w: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auto"/>
              </w:rPr>
              <w:t>Settlement of share-based payments</w:t>
            </w: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6,614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1,213,329</w:t>
            </w: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(1,219,943 )</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(145,653 )</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(145,653 )</w:t>
            </w:r>
          </w:p>
        </w:tc>
      </w:tr>
      <w:tr>
        <w:trPr>
          <w:trHeight w:val="236"/>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1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18</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5,299,814</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5,299,814</w:t>
            </w:r>
          </w:p>
        </w:tc>
        <w:tc>
          <w:tcPr>
            <w:tcW w:w="140" w:type="dxa"/>
            <w:vAlign w:val="bottom"/>
            <w:shd w:val="clear" w:color="auto" w:fill="CFF0FC"/>
          </w:tcPr>
          <w:p>
            <w:pPr>
              <w:spacing w:after="0"/>
              <w:rPr>
                <w:sz w:val="20"/>
                <w:szCs w:val="20"/>
                <w:color w:val="auto"/>
              </w:rPr>
            </w:pPr>
          </w:p>
        </w:tc>
      </w:tr>
      <w:tr>
        <w:trPr>
          <w:trHeight w:val="199"/>
        </w:trPr>
        <w:tc>
          <w:tcPr>
            <w:tcW w:w="26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1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(208,863,36</w:t>
            </w:r>
          </w:p>
        </w:tc>
        <w:tc>
          <w:tcPr>
            <w:tcW w:w="26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23"/>
        </w:trPr>
        <w:tc>
          <w:tcPr>
            <w:tcW w:w="2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4,898,751</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353,431,448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24,249,330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14,405</w:t>
            </w: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173,730,567</w:t>
            </w:r>
          </w:p>
        </w:tc>
        <w:tc>
          <w:tcPr>
            <w:tcW w:w="14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-1636395</wp:posOffset>
            </wp:positionV>
            <wp:extent cx="85725"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-1636395</wp:posOffset>
            </wp:positionV>
            <wp:extent cx="7747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-1636395</wp:posOffset>
            </wp:positionV>
            <wp:extent cx="8572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-1636395</wp:posOffset>
            </wp:positionV>
            <wp:extent cx="8572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-1636395</wp:posOffset>
            </wp:positionV>
            <wp:extent cx="7683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-1636395</wp:posOffset>
            </wp:positionV>
            <wp:extent cx="8572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-307975</wp:posOffset>
            </wp:positionV>
            <wp:extent cx="85725"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-307975</wp:posOffset>
            </wp:positionV>
            <wp:extent cx="7747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-307975</wp:posOffset>
            </wp:positionV>
            <wp:extent cx="8572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-307975</wp:posOffset>
            </wp:positionV>
            <wp:extent cx="85725"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-307975</wp:posOffset>
            </wp:positionV>
            <wp:extent cx="76835"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-307975</wp:posOffset>
            </wp:positionV>
            <wp:extent cx="8572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30861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20"/>
        </w:trPr>
        <w:tc>
          <w:tcPr>
            <w:tcW w:w="6280" w:type="dxa"/>
            <w:vAlign w:val="bottom"/>
          </w:tcPr>
          <w:p>
            <w:pPr>
              <w:spacing w:after="0"/>
              <w:rPr>
                <w:sz w:val="19"/>
                <w:szCs w:val="19"/>
                <w:color w:val="auto"/>
              </w:rPr>
            </w:pPr>
          </w:p>
        </w:tc>
        <w:tc>
          <w:tcPr>
            <w:tcW w:w="1660" w:type="dxa"/>
            <w:vAlign w:val="bottom"/>
          </w:tcPr>
          <w:p>
            <w:pPr>
              <w:ind w:left="800"/>
              <w:spacing w:after="0"/>
              <w:rPr>
                <w:sz w:val="20"/>
                <w:szCs w:val="20"/>
                <w:color w:val="auto"/>
              </w:rPr>
            </w:pPr>
            <w:r>
              <w:rPr>
                <w:rFonts w:ascii="Arial" w:cs="Arial" w:eastAsia="Arial" w:hAnsi="Arial"/>
                <w:sz w:val="16"/>
                <w:szCs w:val="16"/>
                <w:color w:val="auto"/>
              </w:rPr>
              <w:t>Notes</w:t>
            </w: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6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Loss before tax</w:t>
            </w:r>
          </w:p>
        </w:tc>
        <w:tc>
          <w:tcPr>
            <w:tcW w:w="16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(44,373,987 )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(25,868,281 )</w:t>
            </w: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adjustments to reconcile loss before tax to net cash flows from operations:</w:t>
            </w:r>
          </w:p>
        </w:tc>
        <w:tc>
          <w:tcPr>
            <w:tcW w:w="16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Share-based payment expense</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w w:val="89"/>
              </w:rPr>
              <w:t>18</w:t>
            </w:r>
          </w:p>
        </w:tc>
        <w:tc>
          <w:tcPr>
            <w:tcW w:w="1440" w:type="dxa"/>
            <w:vAlign w:val="bottom"/>
          </w:tcPr>
          <w:p>
            <w:pPr>
              <w:jc w:val="right"/>
              <w:spacing w:after="0"/>
              <w:rPr>
                <w:sz w:val="20"/>
                <w:szCs w:val="20"/>
                <w:color w:val="auto"/>
              </w:rPr>
            </w:pPr>
            <w:r>
              <w:rPr>
                <w:rFonts w:ascii="Arial" w:cs="Arial" w:eastAsia="Arial" w:hAnsi="Arial"/>
                <w:sz w:val="16"/>
                <w:szCs w:val="16"/>
                <w:color w:val="auto"/>
              </w:rPr>
              <w:t>5,299,814</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5,089,777</w:t>
            </w:r>
          </w:p>
        </w:tc>
        <w:tc>
          <w:tcPr>
            <w:tcW w:w="140" w:type="dxa"/>
            <w:vAlign w:val="bottom"/>
          </w:tcPr>
          <w:p>
            <w:pPr>
              <w:spacing w:after="0"/>
              <w:rPr>
                <w:sz w:val="19"/>
                <w:szCs w:val="19"/>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166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w w:val="89"/>
              </w:rPr>
              <w:t>4</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123,593</w:t>
            </w: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68,195</w:t>
            </w:r>
          </w:p>
        </w:tc>
        <w:tc>
          <w:tcPr>
            <w:tcW w:w="140" w:type="dxa"/>
            <w:vAlign w:val="bottom"/>
            <w:shd w:val="clear" w:color="auto" w:fill="CFF0FC"/>
          </w:tcPr>
          <w:p>
            <w:pPr>
              <w:spacing w:after="0"/>
              <w:rPr>
                <w:sz w:val="20"/>
                <w:szCs w:val="20"/>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Net foreign exchange loss/(gain)</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w w:val="89"/>
              </w:rPr>
              <w:t>6</w:t>
            </w:r>
          </w:p>
        </w:tc>
        <w:tc>
          <w:tcPr>
            <w:tcW w:w="1440" w:type="dxa"/>
            <w:vAlign w:val="bottom"/>
          </w:tcPr>
          <w:p>
            <w:pPr>
              <w:jc w:val="right"/>
              <w:spacing w:after="0"/>
              <w:rPr>
                <w:sz w:val="20"/>
                <w:szCs w:val="20"/>
                <w:color w:val="auto"/>
              </w:rPr>
            </w:pPr>
            <w:r>
              <w:rPr>
                <w:rFonts w:ascii="Arial" w:cs="Arial" w:eastAsia="Arial" w:hAnsi="Arial"/>
                <w:sz w:val="16"/>
                <w:szCs w:val="16"/>
                <w:color w:val="auto"/>
              </w:rPr>
              <w:t>928,172</w:t>
            </w:r>
          </w:p>
        </w:tc>
        <w:tc>
          <w:tcPr>
            <w:tcW w:w="2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(14,971,998 )</w:t>
            </w: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(income)/expense</w:t>
            </w:r>
          </w:p>
        </w:tc>
        <w:tc>
          <w:tcPr>
            <w:tcW w:w="166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w w:val="89"/>
              </w:rPr>
              <w:t>6</w:t>
            </w: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(85,173 )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79,016</w:t>
            </w:r>
          </w:p>
        </w:tc>
        <w:tc>
          <w:tcPr>
            <w:tcW w:w="140" w:type="dxa"/>
            <w:vAlign w:val="bottom"/>
            <w:shd w:val="clear" w:color="auto" w:fill="CFF0FC"/>
          </w:tcPr>
          <w:p>
            <w:pPr>
              <w:spacing w:after="0"/>
              <w:rPr>
                <w:sz w:val="20"/>
                <w:szCs w:val="20"/>
                <w:color w:val="auto"/>
              </w:rPr>
            </w:pPr>
          </w:p>
        </w:tc>
      </w:tr>
      <w:tr>
        <w:trPr>
          <w:trHeight w:val="229"/>
        </w:trPr>
        <w:tc>
          <w:tcPr>
            <w:tcW w:w="6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Changes in working capital:</w:t>
            </w:r>
          </w:p>
        </w:tc>
        <w:tc>
          <w:tcPr>
            <w:tcW w:w="16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Decrease in receivables</w:t>
            </w:r>
          </w:p>
        </w:tc>
        <w:tc>
          <w:tcPr>
            <w:tcW w:w="1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48,169</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368,151</w:t>
            </w:r>
          </w:p>
        </w:tc>
        <w:tc>
          <w:tcPr>
            <w:tcW w:w="140" w:type="dxa"/>
            <w:vAlign w:val="bottom"/>
          </w:tcPr>
          <w:p>
            <w:pPr>
              <w:spacing w:after="0"/>
              <w:rPr>
                <w:sz w:val="19"/>
                <w:szCs w:val="19"/>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other current assets</w:t>
            </w:r>
          </w:p>
        </w:tc>
        <w:tc>
          <w:tcPr>
            <w:tcW w:w="16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(4,855,629 )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(2,563,219 )</w:t>
            </w: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(Decrease) increase trade and other payables</w:t>
            </w:r>
          </w:p>
        </w:tc>
        <w:tc>
          <w:tcPr>
            <w:tcW w:w="16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(1,522,938 )</w:t>
            </w:r>
          </w:p>
        </w:tc>
        <w:tc>
          <w:tcPr>
            <w:tcW w:w="1440" w:type="dxa"/>
            <w:vAlign w:val="bottom"/>
          </w:tcPr>
          <w:p>
            <w:pPr>
              <w:jc w:val="right"/>
              <w:spacing w:after="0"/>
              <w:rPr>
                <w:sz w:val="20"/>
                <w:szCs w:val="20"/>
                <w:color w:val="auto"/>
              </w:rPr>
            </w:pPr>
            <w:r>
              <w:rPr>
                <w:rFonts w:ascii="Arial" w:cs="Arial" w:eastAsia="Arial" w:hAnsi="Arial"/>
                <w:sz w:val="16"/>
                <w:szCs w:val="16"/>
                <w:color w:val="auto"/>
              </w:rPr>
              <w:t>1,678,383</w:t>
            </w:r>
          </w:p>
        </w:tc>
        <w:tc>
          <w:tcPr>
            <w:tcW w:w="140" w:type="dxa"/>
            <w:vAlign w:val="bottom"/>
          </w:tcPr>
          <w:p>
            <w:pPr>
              <w:spacing w:after="0"/>
              <w:rPr>
                <w:sz w:val="19"/>
                <w:szCs w:val="19"/>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accrued liabilities</w:t>
            </w:r>
          </w:p>
        </w:tc>
        <w:tc>
          <w:tcPr>
            <w:tcW w:w="16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(948,917 )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4,609,866</w:t>
            </w:r>
          </w:p>
        </w:tc>
        <w:tc>
          <w:tcPr>
            <w:tcW w:w="140" w:type="dxa"/>
            <w:vAlign w:val="bottom"/>
            <w:shd w:val="clear" w:color="auto" w:fill="CFF0FC"/>
          </w:tcPr>
          <w:p>
            <w:pPr>
              <w:spacing w:after="0"/>
              <w:rPr>
                <w:sz w:val="20"/>
                <w:szCs w:val="20"/>
                <w:color w:val="auto"/>
              </w:rPr>
            </w:pPr>
          </w:p>
        </w:tc>
      </w:tr>
      <w:tr>
        <w:trPr>
          <w:trHeight w:val="229"/>
        </w:trPr>
        <w:tc>
          <w:tcPr>
            <w:tcW w:w="6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20" w:type="dxa"/>
            <w:vAlign w:val="bottom"/>
            <w:gridSpan w:val="2"/>
          </w:tcPr>
          <w:p>
            <w:pPr>
              <w:spacing w:after="0"/>
              <w:rPr>
                <w:sz w:val="19"/>
                <w:szCs w:val="19"/>
                <w:color w:val="auto"/>
              </w:rPr>
            </w:pPr>
          </w:p>
        </w:tc>
        <w:tc>
          <w:tcPr>
            <w:tcW w:w="1580" w:type="dxa"/>
            <w:vAlign w:val="bottom"/>
            <w:gridSpan w:val="2"/>
          </w:tcPr>
          <w:p>
            <w:pPr>
              <w:spacing w:after="0"/>
              <w:rPr>
                <w:sz w:val="19"/>
                <w:szCs w:val="19"/>
                <w:color w:val="auto"/>
              </w:rPr>
            </w:pPr>
          </w:p>
        </w:tc>
      </w:tr>
      <w:tr>
        <w:trPr>
          <w:trHeight w:val="230"/>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paid</w:t>
            </w:r>
          </w:p>
        </w:tc>
        <w:tc>
          <w:tcPr>
            <w:tcW w:w="16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(383,953 )</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Received (Paid) interest</w:t>
            </w:r>
          </w:p>
        </w:tc>
        <w:tc>
          <w:tcPr>
            <w:tcW w:w="1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83,384</w:t>
            </w:r>
          </w:p>
        </w:tc>
        <w:tc>
          <w:tcPr>
            <w:tcW w:w="2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(58,463 )</w:t>
            </w:r>
          </w:p>
        </w:tc>
      </w:tr>
      <w:tr>
        <w:trPr>
          <w:trHeight w:val="23"/>
        </w:trPr>
        <w:tc>
          <w:tcPr>
            <w:tcW w:w="6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operating activities</w:t>
            </w:r>
          </w:p>
        </w:tc>
        <w:tc>
          <w:tcPr>
            <w:tcW w:w="166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(45,687,465 )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(31,568,573 )</w:t>
            </w:r>
          </w:p>
        </w:tc>
      </w:tr>
      <w:tr>
        <w:trPr>
          <w:trHeight w:val="217"/>
        </w:trPr>
        <w:tc>
          <w:tcPr>
            <w:tcW w:w="6280" w:type="dxa"/>
            <w:vAlign w:val="bottom"/>
            <w:tcBorders>
              <w:top w:val="single" w:sz="8" w:color="CFF0FC"/>
            </w:tcBorders>
          </w:tcPr>
          <w:p>
            <w:pPr>
              <w:spacing w:after="0"/>
              <w:rPr>
                <w:sz w:val="18"/>
                <w:szCs w:val="18"/>
                <w:color w:val="auto"/>
              </w:rPr>
            </w:pPr>
          </w:p>
        </w:tc>
        <w:tc>
          <w:tcPr>
            <w:tcW w:w="166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r>
      <w:tr>
        <w:trPr>
          <w:trHeight w:val="22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6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7"/>
        </w:trPr>
        <w:tc>
          <w:tcPr>
            <w:tcW w:w="628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w w:val="89"/>
              </w:rPr>
              <w:t>8</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(54,114 )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(49,739 )</w:t>
            </w:r>
          </w:p>
        </w:tc>
      </w:tr>
      <w:tr>
        <w:trPr>
          <w:trHeight w:val="20"/>
        </w:trPr>
        <w:tc>
          <w:tcPr>
            <w:tcW w:w="6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0"/>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investing activities</w:t>
            </w:r>
          </w:p>
        </w:tc>
        <w:tc>
          <w:tcPr>
            <w:tcW w:w="166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(54,114 )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(49,739 )</w:t>
            </w:r>
          </w:p>
        </w:tc>
      </w:tr>
      <w:tr>
        <w:trPr>
          <w:trHeight w:val="216"/>
        </w:trPr>
        <w:tc>
          <w:tcPr>
            <w:tcW w:w="6280" w:type="dxa"/>
            <w:vAlign w:val="bottom"/>
            <w:tcBorders>
              <w:top w:val="single" w:sz="8" w:color="CFF0FC"/>
            </w:tcBorders>
          </w:tcPr>
          <w:p>
            <w:pPr>
              <w:spacing w:after="0"/>
              <w:rPr>
                <w:sz w:val="18"/>
                <w:szCs w:val="18"/>
                <w:color w:val="auto"/>
              </w:rPr>
            </w:pPr>
          </w:p>
        </w:tc>
        <w:tc>
          <w:tcPr>
            <w:tcW w:w="166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r>
      <w:tr>
        <w:trPr>
          <w:trHeight w:val="230"/>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6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Proceeds from issue of shares</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w w:val="89"/>
              </w:rPr>
              <w:t>13</w:t>
            </w:r>
          </w:p>
        </w:tc>
        <w:tc>
          <w:tcPr>
            <w:tcW w:w="1440" w:type="dxa"/>
            <w:vAlign w:val="bottom"/>
          </w:tcPr>
          <w:p>
            <w:pPr>
              <w:jc w:val="right"/>
              <w:spacing w:after="0"/>
              <w:rPr>
                <w:sz w:val="20"/>
                <w:szCs w:val="20"/>
                <w:color w:val="auto"/>
              </w:rPr>
            </w:pPr>
            <w:r>
              <w:rPr>
                <w:rFonts w:ascii="Arial" w:cs="Arial" w:eastAsia="Arial" w:hAnsi="Arial"/>
                <w:sz w:val="16"/>
                <w:szCs w:val="16"/>
                <w:color w:val="auto"/>
              </w:rPr>
              <w:t>64,084,953</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9,587,940</w:t>
            </w:r>
          </w:p>
        </w:tc>
        <w:tc>
          <w:tcPr>
            <w:tcW w:w="140" w:type="dxa"/>
            <w:vAlign w:val="bottom"/>
          </w:tcPr>
          <w:p>
            <w:pPr>
              <w:spacing w:after="0"/>
              <w:rPr>
                <w:sz w:val="19"/>
                <w:szCs w:val="19"/>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 costs on issue of shares</w:t>
            </w:r>
          </w:p>
        </w:tc>
        <w:tc>
          <w:tcPr>
            <w:tcW w:w="16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(210,473 )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(727,308 )</w:t>
            </w:r>
          </w:p>
        </w:tc>
      </w:tr>
      <w:tr>
        <w:trPr>
          <w:trHeight w:val="226"/>
        </w:trPr>
        <w:tc>
          <w:tcPr>
            <w:tcW w:w="6280" w:type="dxa"/>
            <w:vAlign w:val="bottom"/>
          </w:tcPr>
          <w:p>
            <w:pPr>
              <w:ind w:left="20"/>
              <w:spacing w:after="0"/>
              <w:rPr>
                <w:sz w:val="20"/>
                <w:szCs w:val="20"/>
                <w:color w:val="auto"/>
              </w:rPr>
            </w:pPr>
            <w:r>
              <w:rPr>
                <w:rFonts w:ascii="Arial" w:cs="Arial" w:eastAsia="Arial" w:hAnsi="Arial"/>
                <w:sz w:val="16"/>
                <w:szCs w:val="16"/>
                <w:color w:val="auto"/>
              </w:rPr>
              <w:t>Payment of principal portion of lease liabilities</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w w:val="89"/>
              </w:rPr>
              <w:t>9</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(90,249 )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(37,319 )</w:t>
            </w:r>
          </w:p>
        </w:tc>
      </w:tr>
      <w:tr>
        <w:trPr>
          <w:trHeight w:val="260"/>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by financing activities</w:t>
            </w:r>
          </w:p>
        </w:tc>
        <w:tc>
          <w:tcPr>
            <w:tcW w:w="166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63,784,231</w:t>
            </w:r>
          </w:p>
        </w:tc>
        <w:tc>
          <w:tcPr>
            <w:tcW w:w="28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8,823,313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7"/>
        </w:trPr>
        <w:tc>
          <w:tcPr>
            <w:tcW w:w="6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r>
      <w:tr>
        <w:trPr>
          <w:trHeight w:val="229"/>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18,042,652</w:t>
            </w: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(22,794,999 )</w:t>
            </w:r>
          </w:p>
        </w:tc>
      </w:tr>
      <w:tr>
        <w:trPr>
          <w:trHeight w:val="220"/>
        </w:trPr>
        <w:tc>
          <w:tcPr>
            <w:tcW w:w="62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140" w:type="dxa"/>
            <w:vAlign w:val="bottom"/>
          </w:tcPr>
          <w:p>
            <w:pPr>
              <w:spacing w:after="0"/>
              <w:rPr>
                <w:sz w:val="19"/>
                <w:szCs w:val="19"/>
                <w:color w:val="auto"/>
              </w:rPr>
            </w:pPr>
          </w:p>
        </w:tc>
      </w:tr>
      <w:tr>
        <w:trPr>
          <w:trHeight w:val="233"/>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w:t>
            </w:r>
          </w:p>
        </w:tc>
        <w:tc>
          <w:tcPr>
            <w:tcW w:w="16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(691,322 )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14,824,955</w:t>
            </w:r>
          </w:p>
        </w:tc>
        <w:tc>
          <w:tcPr>
            <w:tcW w:w="140" w:type="dxa"/>
            <w:vAlign w:val="bottom"/>
            <w:shd w:val="clear" w:color="auto" w:fill="CFF0FC"/>
          </w:tcPr>
          <w:p>
            <w:pPr>
              <w:spacing w:after="0"/>
              <w:rPr>
                <w:sz w:val="20"/>
                <w:szCs w:val="20"/>
                <w:color w:val="auto"/>
              </w:rPr>
            </w:pPr>
          </w:p>
        </w:tc>
      </w:tr>
      <w:tr>
        <w:trPr>
          <w:trHeight w:val="230"/>
        </w:trPr>
        <w:tc>
          <w:tcPr>
            <w:tcW w:w="62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660" w:type="dxa"/>
            <w:vAlign w:val="bottom"/>
            <w:tcBorders>
              <w:top w:val="single" w:sz="8" w:color="CFF0FC"/>
            </w:tcBorders>
          </w:tcPr>
          <w:p>
            <w:pPr>
              <w:jc w:val="center"/>
              <w:ind w:left="219"/>
              <w:spacing w:after="0"/>
              <w:rPr>
                <w:sz w:val="20"/>
                <w:szCs w:val="20"/>
                <w:color w:val="auto"/>
              </w:rPr>
            </w:pPr>
            <w:r>
              <w:rPr>
                <w:rFonts w:ascii="Arial" w:cs="Arial" w:eastAsia="Arial" w:hAnsi="Arial"/>
                <w:sz w:val="16"/>
                <w:szCs w:val="16"/>
                <w:color w:val="auto"/>
                <w:w w:val="89"/>
              </w:rPr>
              <w:t>12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179,188,759</w:t>
            </w:r>
          </w:p>
        </w:tc>
        <w:tc>
          <w:tcPr>
            <w:tcW w:w="280" w:type="dxa"/>
            <w:vAlign w:val="bottom"/>
            <w:tcBorders>
              <w:top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201,383,088</w:t>
            </w:r>
          </w:p>
        </w:tc>
        <w:tc>
          <w:tcPr>
            <w:tcW w:w="140" w:type="dxa"/>
            <w:vAlign w:val="bottom"/>
            <w:tcBorders>
              <w:top w:val="single" w:sz="8" w:color="CFF0FC"/>
            </w:tcBorders>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-2313940</wp:posOffset>
            </wp:positionV>
            <wp:extent cx="118300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8300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-1696720</wp:posOffset>
            </wp:positionV>
            <wp:extent cx="118300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8300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-788035</wp:posOffset>
            </wp:positionV>
            <wp:extent cx="118300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8300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-179070</wp:posOffset>
            </wp:positionV>
            <wp:extent cx="8572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right="3320"/>
        <w:spacing w:after="0" w:line="375"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Arial" w:cs="Arial" w:eastAsia="Arial" w:hAnsi="Arial"/>
          <w:sz w:val="25"/>
          <w:szCs w:val="25"/>
          <w:b w:val="1"/>
          <w:bCs w:val="1"/>
          <w:color w:val="auto"/>
        </w:rPr>
        <w:t>1</w:t>
      </w:r>
      <w:r>
        <w:rPr>
          <w:rFonts w:ascii="Arial" w:cs="Arial" w:eastAsia="Arial" w:hAnsi="Arial"/>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auto"/>
        </w:rPr>
        <w:t>The Company’s registered office is located at Emmy Noetherweg 2, Leiden. It has been registered at the Chamber of Commerce under file number 64239411.</w:t>
      </w:r>
    </w:p>
    <w:p>
      <w:pPr>
        <w:spacing w:after="0" w:line="6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6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June 30, 2023, and December 31, 2022, and for the three and six months ended June 30, 2023 and 2022 were authorized for issue in accordance with a resolution of the directors on August 7,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80" w:type="dxa"/>
            <w:vAlign w:val="bottom"/>
            <w:gridSpan w:val="3"/>
          </w:tcPr>
          <w:p>
            <w:pPr>
              <w:jc w:val="center"/>
              <w:ind w:right="939"/>
              <w:spacing w:after="0"/>
              <w:rPr>
                <w:sz w:val="20"/>
                <w:szCs w:val="20"/>
                <w:color w:val="auto"/>
              </w:rPr>
            </w:pPr>
            <w:r>
              <w:rPr>
                <w:rFonts w:ascii="Arial" w:cs="Arial" w:eastAsia="Arial" w:hAnsi="Arial"/>
                <w:sz w:val="16"/>
                <w:szCs w:val="16"/>
                <w:color w:val="auto"/>
                <w:w w:val="92"/>
              </w:rPr>
              <w:t>% of equity interest as</w:t>
            </w:r>
          </w:p>
        </w:tc>
      </w:tr>
      <w:tr>
        <w:trPr>
          <w:trHeight w:val="220"/>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Country of</w:t>
            </w:r>
          </w:p>
        </w:tc>
        <w:tc>
          <w:tcPr>
            <w:tcW w:w="10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ind w:right="939"/>
              <w:spacing w:after="0"/>
              <w:rPr>
                <w:sz w:val="20"/>
                <w:szCs w:val="20"/>
                <w:color w:val="auto"/>
              </w:rPr>
            </w:pPr>
            <w:r>
              <w:rPr>
                <w:rFonts w:ascii="Arial" w:cs="Arial" w:eastAsia="Arial" w:hAnsi="Arial"/>
                <w:sz w:val="16"/>
                <w:szCs w:val="16"/>
                <w:color w:val="auto"/>
                <w:w w:val="87"/>
              </w:rPr>
              <w:t>June 30,</w:t>
            </w: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200" w:type="dxa"/>
            <w:vAlign w:val="bottom"/>
          </w:tcPr>
          <w:p>
            <w:pPr>
              <w:spacing w:after="0"/>
              <w:rPr>
                <w:sz w:val="19"/>
                <w:szCs w:val="19"/>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Legal seat</w:t>
            </w:r>
          </w:p>
        </w:tc>
        <w:tc>
          <w:tcPr>
            <w:tcW w:w="2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incorporation</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95"/>
              </w:rPr>
              <w:t>2023</w:t>
            </w: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2022</w:t>
            </w: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Pharvaris Holdings B.V.</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Leiden</w:t>
            </w:r>
          </w:p>
        </w:tc>
        <w:tc>
          <w:tcPr>
            <w:tcW w:w="22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The Netherlands</w:t>
            </w:r>
          </w:p>
        </w:tc>
        <w:tc>
          <w:tcPr>
            <w:tcW w:w="1020" w:type="dxa"/>
            <w:vAlign w:val="bottom"/>
            <w:shd w:val="clear" w:color="auto" w:fill="CFF0FC"/>
          </w:tcPr>
          <w:p>
            <w:pPr>
              <w:jc w:val="center"/>
              <w:ind w:left="559"/>
              <w:spacing w:after="0"/>
              <w:rPr>
                <w:sz w:val="20"/>
                <w:szCs w:val="20"/>
                <w:color w:val="auto"/>
              </w:rPr>
            </w:pPr>
            <w:r>
              <w:rPr>
                <w:rFonts w:ascii="Arial" w:cs="Arial" w:eastAsia="Arial" w:hAnsi="Arial"/>
                <w:sz w:val="16"/>
                <w:szCs w:val="16"/>
                <w:color w:val="auto"/>
                <w:w w:val="92"/>
              </w:rPr>
              <w:t>100%</w:t>
            </w:r>
          </w:p>
        </w:tc>
        <w:tc>
          <w:tcPr>
            <w:tcW w:w="2480" w:type="dxa"/>
            <w:vAlign w:val="bottom"/>
            <w:gridSpan w:val="3"/>
            <w:shd w:val="clear" w:color="auto" w:fill="CFF0FC"/>
          </w:tcPr>
          <w:p>
            <w:pPr>
              <w:jc w:val="center"/>
              <w:ind w:left="759"/>
              <w:spacing w:after="0"/>
              <w:rPr>
                <w:sz w:val="20"/>
                <w:szCs w:val="20"/>
                <w:color w:val="auto"/>
              </w:rPr>
            </w:pPr>
            <w:r>
              <w:rPr>
                <w:rFonts w:ascii="Arial" w:cs="Arial" w:eastAsia="Arial" w:hAnsi="Arial"/>
                <w:sz w:val="16"/>
                <w:szCs w:val="16"/>
                <w:color w:val="auto"/>
                <w:w w:val="87"/>
              </w:rPr>
              <w:t>100%</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2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6"/>
                <w:szCs w:val="16"/>
                <w:color w:val="auto"/>
              </w:rPr>
              <w:t>Leiden</w:t>
            </w:r>
          </w:p>
        </w:tc>
        <w:tc>
          <w:tcPr>
            <w:tcW w:w="2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The Netherlands</w:t>
            </w:r>
          </w:p>
        </w:tc>
        <w:tc>
          <w:tcPr>
            <w:tcW w:w="1020" w:type="dxa"/>
            <w:vAlign w:val="bottom"/>
          </w:tcPr>
          <w:p>
            <w:pPr>
              <w:jc w:val="center"/>
              <w:ind w:left="559"/>
              <w:spacing w:after="0"/>
              <w:rPr>
                <w:sz w:val="20"/>
                <w:szCs w:val="20"/>
                <w:color w:val="auto"/>
              </w:rPr>
            </w:pPr>
            <w:r>
              <w:rPr>
                <w:rFonts w:ascii="Arial" w:cs="Arial" w:eastAsia="Arial" w:hAnsi="Arial"/>
                <w:sz w:val="16"/>
                <w:szCs w:val="16"/>
                <w:color w:val="auto"/>
                <w:w w:val="92"/>
              </w:rPr>
              <w:t>100%</w:t>
            </w:r>
          </w:p>
        </w:tc>
        <w:tc>
          <w:tcPr>
            <w:tcW w:w="2480" w:type="dxa"/>
            <w:vAlign w:val="bottom"/>
            <w:gridSpan w:val="3"/>
          </w:tcPr>
          <w:p>
            <w:pPr>
              <w:jc w:val="center"/>
              <w:ind w:left="759"/>
              <w:spacing w:after="0"/>
              <w:rPr>
                <w:sz w:val="20"/>
                <w:szCs w:val="20"/>
                <w:color w:val="auto"/>
              </w:rPr>
            </w:pPr>
            <w:r>
              <w:rPr>
                <w:rFonts w:ascii="Arial" w:cs="Arial" w:eastAsia="Arial" w:hAnsi="Arial"/>
                <w:sz w:val="16"/>
                <w:szCs w:val="16"/>
                <w:color w:val="auto"/>
                <w:w w:val="87"/>
              </w:rPr>
              <w:t>100%</w:t>
            </w:r>
          </w:p>
        </w:tc>
      </w:tr>
      <w:tr>
        <w:trPr>
          <w:trHeight w:val="239"/>
        </w:trPr>
        <w:tc>
          <w:tcPr>
            <w:tcW w:w="3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Pharvaris GmbH</w:t>
            </w:r>
          </w:p>
        </w:tc>
        <w:tc>
          <w:tcPr>
            <w:tcW w:w="200" w:type="dxa"/>
            <w:vAlign w:val="bottom"/>
            <w:shd w:val="clear" w:color="auto" w:fill="CFF0FC"/>
          </w:tcPr>
          <w:p>
            <w:pPr>
              <w:spacing w:after="0"/>
              <w:rPr>
                <w:sz w:val="20"/>
                <w:szCs w:val="20"/>
                <w:color w:val="auto"/>
              </w:rPr>
            </w:pPr>
          </w:p>
        </w:tc>
        <w:tc>
          <w:tcPr>
            <w:tcW w:w="1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Zug</w:t>
            </w:r>
          </w:p>
        </w:tc>
        <w:tc>
          <w:tcPr>
            <w:tcW w:w="22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Switzerland</w:t>
            </w:r>
          </w:p>
        </w:tc>
        <w:tc>
          <w:tcPr>
            <w:tcW w:w="1020" w:type="dxa"/>
            <w:vAlign w:val="bottom"/>
            <w:shd w:val="clear" w:color="auto" w:fill="CFF0FC"/>
          </w:tcPr>
          <w:p>
            <w:pPr>
              <w:jc w:val="center"/>
              <w:ind w:left="559"/>
              <w:spacing w:after="0"/>
              <w:rPr>
                <w:sz w:val="20"/>
                <w:szCs w:val="20"/>
                <w:color w:val="auto"/>
              </w:rPr>
            </w:pPr>
            <w:r>
              <w:rPr>
                <w:rFonts w:ascii="Arial" w:cs="Arial" w:eastAsia="Arial" w:hAnsi="Arial"/>
                <w:sz w:val="16"/>
                <w:szCs w:val="16"/>
                <w:color w:val="auto"/>
                <w:w w:val="92"/>
              </w:rPr>
              <w:t>100%</w:t>
            </w:r>
          </w:p>
        </w:tc>
        <w:tc>
          <w:tcPr>
            <w:tcW w:w="2480" w:type="dxa"/>
            <w:vAlign w:val="bottom"/>
            <w:gridSpan w:val="3"/>
            <w:shd w:val="clear" w:color="auto" w:fill="CFF0FC"/>
          </w:tcPr>
          <w:p>
            <w:pPr>
              <w:jc w:val="center"/>
              <w:ind w:left="759"/>
              <w:spacing w:after="0"/>
              <w:rPr>
                <w:sz w:val="20"/>
                <w:szCs w:val="20"/>
                <w:color w:val="auto"/>
              </w:rPr>
            </w:pPr>
            <w:r>
              <w:rPr>
                <w:rFonts w:ascii="Arial" w:cs="Arial" w:eastAsia="Arial" w:hAnsi="Arial"/>
                <w:sz w:val="16"/>
                <w:szCs w:val="16"/>
                <w:color w:val="auto"/>
                <w:w w:val="87"/>
              </w:rPr>
              <w:t>100%</w:t>
            </w: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20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Arial" w:cs="Arial" w:eastAsia="Arial" w:hAnsi="Arial"/>
                <w:sz w:val="16"/>
                <w:szCs w:val="16"/>
                <w:color w:val="auto"/>
              </w:rPr>
              <w:t>Delaware</w:t>
            </w:r>
          </w:p>
        </w:tc>
        <w:tc>
          <w:tcPr>
            <w:tcW w:w="2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United States of America</w:t>
            </w:r>
          </w:p>
        </w:tc>
        <w:tc>
          <w:tcPr>
            <w:tcW w:w="1020" w:type="dxa"/>
            <w:vAlign w:val="bottom"/>
          </w:tcPr>
          <w:p>
            <w:pPr>
              <w:jc w:val="center"/>
              <w:ind w:left="559"/>
              <w:spacing w:after="0"/>
              <w:rPr>
                <w:sz w:val="20"/>
                <w:szCs w:val="20"/>
                <w:color w:val="auto"/>
              </w:rPr>
            </w:pPr>
            <w:r>
              <w:rPr>
                <w:rFonts w:ascii="Arial" w:cs="Arial" w:eastAsia="Arial" w:hAnsi="Arial"/>
                <w:sz w:val="16"/>
                <w:szCs w:val="16"/>
                <w:color w:val="auto"/>
                <w:w w:val="92"/>
              </w:rPr>
              <w:t>100%</w:t>
            </w:r>
          </w:p>
        </w:tc>
        <w:tc>
          <w:tcPr>
            <w:tcW w:w="2480" w:type="dxa"/>
            <w:vAlign w:val="bottom"/>
            <w:gridSpan w:val="3"/>
          </w:tcPr>
          <w:p>
            <w:pPr>
              <w:jc w:val="center"/>
              <w:ind w:left="759"/>
              <w:spacing w:after="0"/>
              <w:rPr>
                <w:sz w:val="20"/>
                <w:szCs w:val="20"/>
                <w:color w:val="auto"/>
              </w:rPr>
            </w:pPr>
            <w:r>
              <w:rPr>
                <w:rFonts w:ascii="Arial" w:cs="Arial" w:eastAsia="Arial" w:hAnsi="Arial"/>
                <w:sz w:val="16"/>
                <w:szCs w:val="16"/>
                <w:color w:val="auto"/>
                <w:w w:val="87"/>
              </w:rPr>
              <w:t>100%</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ultimate parent company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2022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63" w:lineRule="exact"/>
        <w:rPr>
          <w:sz w:val="20"/>
          <w:szCs w:val="20"/>
          <w:color w:val="auto"/>
        </w:rPr>
      </w:pPr>
    </w:p>
    <w:p>
      <w:pPr>
        <w:jc w:val="both"/>
        <w:ind w:right="120"/>
        <w:spacing w:after="0" w:line="27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1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such, Pharvaris anticipates on-going negative operating cash flows for the foreseeable future before the company has a product candidate ready for commercialization, if at all. This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0" w:name="page31"/>
    <w:bookmarkEnd w:id="30"/>
    <w:p>
      <w:pPr>
        <w:ind w:right="180"/>
        <w:spacing w:after="0" w:line="276" w:lineRule="auto"/>
        <w:rPr>
          <w:sz w:val="20"/>
          <w:szCs w:val="20"/>
          <w:color w:val="auto"/>
        </w:rPr>
      </w:pPr>
      <w:r>
        <w:rPr>
          <w:rFonts w:ascii="Arial" w:cs="Arial" w:eastAsia="Arial" w:hAnsi="Arial"/>
          <w:sz w:val="16"/>
          <w:szCs w:val="16"/>
          <w:color w:val="auto"/>
        </w:rPr>
        <w:t>makes the Group dependent on external capital sources, debt capital and equity capital. Historically, the Group has obtained financing primary through the offering of equity securities.</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 of June 30, 2023 and December 31, 2022 the Group had cash of €179.2 million and €161.8 million, respectively. The Group incurred net losses of (€44.5) million in the six months ended June 30, 2023 and (€28.6) million in the same period in 2022 and negative operating cash flows of (€45.7) million and (€31.6) million in the six months ended June 30, 2023 and 2022, respectively.</w:t>
      </w:r>
    </w:p>
    <w:p>
      <w:pPr>
        <w:spacing w:after="0" w:line="14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of June 30, 2023, the company sold a total of 6,951,340 ordinary shares, par value €0.12 per share, in a private placement at a purchase price of $10.07 per ordinary share. The sale generated total proceeds of approximately $70 million (€64.1 million).</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for at least twelve months from the issuance date of these unaudited interim financial statements. Accordingly, the unaudited interim financial statements have been prepared on a going concern basis.</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future viability of the Group is dependent on its ability to successfully develop and commercialize its products and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16"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6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1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65" w:lineRule="exact"/>
        <w:rPr>
          <w:sz w:val="20"/>
          <w:szCs w:val="20"/>
          <w:color w:val="auto"/>
        </w:rPr>
      </w:pPr>
    </w:p>
    <w:tbl>
      <w:tblPr>
        <w:tblLayout w:type="fixed"/>
        <w:tblInd w:w="300" w:type="dxa"/>
        <w:tblCellMar>
          <w:top w:w="0" w:type="dxa"/>
          <w:left w:w="0" w:type="dxa"/>
          <w:bottom w:w="0" w:type="dxa"/>
          <w:right w:w="0" w:type="dxa"/>
        </w:tblCellMar>
      </w:tblPr>
      <w:tr>
        <w:trPr>
          <w:trHeight w:val="219"/>
        </w:trPr>
        <w:tc>
          <w:tcPr>
            <w:tcW w:w="4220" w:type="dxa"/>
            <w:vAlign w:val="bottom"/>
          </w:tcPr>
          <w:p>
            <w:pPr>
              <w:spacing w:after="0"/>
              <w:rPr>
                <w:sz w:val="19"/>
                <w:szCs w:val="19"/>
                <w:color w:val="auto"/>
              </w:rPr>
            </w:pPr>
          </w:p>
        </w:tc>
        <w:tc>
          <w:tcPr>
            <w:tcW w:w="3540" w:type="dxa"/>
            <w:vAlign w:val="bottom"/>
            <w:gridSpan w:val="4"/>
          </w:tcPr>
          <w:p>
            <w:pPr>
              <w:jc w:val="right"/>
              <w:ind w:right="660"/>
              <w:spacing w:after="0"/>
              <w:rPr>
                <w:sz w:val="20"/>
                <w:szCs w:val="20"/>
                <w:color w:val="auto"/>
              </w:rPr>
            </w:pPr>
            <w:r>
              <w:rPr>
                <w:rFonts w:ascii="Arial" w:cs="Arial" w:eastAsia="Arial" w:hAnsi="Arial"/>
                <w:sz w:val="16"/>
                <w:szCs w:val="16"/>
                <w:color w:val="auto"/>
              </w:rPr>
              <w:t>For the three months ended June 30,</w:t>
            </w:r>
          </w:p>
        </w:tc>
        <w:tc>
          <w:tcPr>
            <w:tcW w:w="2900" w:type="dxa"/>
            <w:vAlign w:val="bottom"/>
            <w:gridSpan w:val="4"/>
          </w:tcPr>
          <w:p>
            <w:pPr>
              <w:jc w:val="right"/>
              <w:ind w:right="400"/>
              <w:spacing w:after="0"/>
              <w:rPr>
                <w:sz w:val="20"/>
                <w:szCs w:val="20"/>
                <w:color w:val="auto"/>
              </w:rPr>
            </w:pPr>
            <w:r>
              <w:rPr>
                <w:rFonts w:ascii="Arial" w:cs="Arial" w:eastAsia="Arial" w:hAnsi="Arial"/>
                <w:sz w:val="16"/>
                <w:szCs w:val="16"/>
                <w:color w:val="auto"/>
              </w:rPr>
              <w:t>For the six months ended June 30,</w:t>
            </w:r>
          </w:p>
        </w:tc>
      </w:tr>
      <w:tr>
        <w:trPr>
          <w:trHeight w:val="223"/>
        </w:trPr>
        <w:tc>
          <w:tcPr>
            <w:tcW w:w="4220" w:type="dxa"/>
            <w:vAlign w:val="bottom"/>
          </w:tcPr>
          <w:p>
            <w:pPr>
              <w:spacing w:after="0"/>
              <w:rPr>
                <w:sz w:val="19"/>
                <w:szCs w:val="19"/>
                <w:color w:val="auto"/>
              </w:rPr>
            </w:pPr>
          </w:p>
        </w:tc>
        <w:tc>
          <w:tcPr>
            <w:tcW w:w="204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r>
      <w:tr>
        <w:trPr>
          <w:trHeight w:val="220"/>
        </w:trPr>
        <w:tc>
          <w:tcPr>
            <w:tcW w:w="42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2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(4,544,244 )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(3,061,036 )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(8,761,944 )</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(5,590,207 )</w:t>
            </w:r>
          </w:p>
        </w:tc>
      </w:tr>
      <w:tr>
        <w:trPr>
          <w:trHeight w:val="220"/>
        </w:trPr>
        <w:tc>
          <w:tcPr>
            <w:tcW w:w="4220" w:type="dxa"/>
            <w:vAlign w:val="bottom"/>
          </w:tcPr>
          <w:p>
            <w:pPr>
              <w:spacing w:after="0"/>
              <w:rPr>
                <w:sz w:val="20"/>
                <w:szCs w:val="20"/>
                <w:color w:val="auto"/>
              </w:rPr>
            </w:pPr>
            <w:r>
              <w:rPr>
                <w:rFonts w:ascii="Arial" w:cs="Arial" w:eastAsia="Arial" w:hAnsi="Arial"/>
                <w:sz w:val="16"/>
                <w:szCs w:val="16"/>
                <w:color w:val="auto"/>
              </w:rPr>
              <w:t>Clinical expenses</w:t>
            </w:r>
          </w:p>
        </w:tc>
        <w:tc>
          <w:tcPr>
            <w:tcW w:w="2160" w:type="dxa"/>
            <w:vAlign w:val="bottom"/>
            <w:gridSpan w:val="2"/>
          </w:tcPr>
          <w:p>
            <w:pPr>
              <w:jc w:val="right"/>
              <w:ind w:right="60"/>
              <w:spacing w:after="0"/>
              <w:rPr>
                <w:sz w:val="20"/>
                <w:szCs w:val="20"/>
                <w:color w:val="auto"/>
              </w:rPr>
            </w:pPr>
            <w:r>
              <w:rPr>
                <w:rFonts w:ascii="Arial" w:cs="Arial" w:eastAsia="Arial" w:hAnsi="Arial"/>
                <w:sz w:val="16"/>
                <w:szCs w:val="16"/>
                <w:color w:val="auto"/>
              </w:rPr>
              <w:t>(7,629,432 )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(7,175,545 )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(12,497,879 )</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(13,741,610 )</w:t>
            </w: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Nonclinical expenses</w:t>
            </w:r>
          </w:p>
        </w:tc>
        <w:tc>
          <w:tcPr>
            <w:tcW w:w="2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(1,667,811 )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(1,016,793 )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(4,419,009 )</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(1,832,918 )</w:t>
            </w:r>
          </w:p>
        </w:tc>
      </w:tr>
      <w:tr>
        <w:trPr>
          <w:trHeight w:val="220"/>
        </w:trPr>
        <w:tc>
          <w:tcPr>
            <w:tcW w:w="4220" w:type="dxa"/>
            <w:vAlign w:val="bottom"/>
          </w:tcPr>
          <w:p>
            <w:pPr>
              <w:spacing w:after="0"/>
              <w:rPr>
                <w:sz w:val="20"/>
                <w:szCs w:val="20"/>
                <w:color w:val="auto"/>
              </w:rPr>
            </w:pPr>
            <w:r>
              <w:rPr>
                <w:rFonts w:ascii="Arial" w:cs="Arial" w:eastAsia="Arial" w:hAnsi="Arial"/>
                <w:sz w:val="16"/>
                <w:szCs w:val="16"/>
                <w:color w:val="auto"/>
              </w:rPr>
              <w:t>Manufacturing costs</w:t>
            </w:r>
          </w:p>
        </w:tc>
        <w:tc>
          <w:tcPr>
            <w:tcW w:w="2160" w:type="dxa"/>
            <w:vAlign w:val="bottom"/>
            <w:gridSpan w:val="2"/>
          </w:tcPr>
          <w:p>
            <w:pPr>
              <w:jc w:val="right"/>
              <w:ind w:right="60"/>
              <w:spacing w:after="0"/>
              <w:rPr>
                <w:sz w:val="20"/>
                <w:szCs w:val="20"/>
                <w:color w:val="auto"/>
              </w:rPr>
            </w:pPr>
            <w:r>
              <w:rPr>
                <w:rFonts w:ascii="Arial" w:cs="Arial" w:eastAsia="Arial" w:hAnsi="Arial"/>
                <w:sz w:val="16"/>
                <w:szCs w:val="16"/>
                <w:color w:val="auto"/>
              </w:rPr>
              <w:t>(736,427 )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(2,419,143 )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(2,643,513 )</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(5,883,668 )</w:t>
            </w: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Intellectual Property costs</w:t>
            </w:r>
          </w:p>
        </w:tc>
        <w:tc>
          <w:tcPr>
            <w:tcW w:w="2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(104,021 )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(49,120 )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(104,021 )</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(187,723 )</w:t>
            </w:r>
          </w:p>
        </w:tc>
      </w:tr>
      <w:tr>
        <w:trPr>
          <w:trHeight w:val="23"/>
        </w:trPr>
        <w:tc>
          <w:tcPr>
            <w:tcW w:w="4220" w:type="dxa"/>
            <w:vAlign w:val="bottom"/>
            <w:shd w:val="clear" w:color="auto" w:fill="CFF0FC"/>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223"/>
        </w:trPr>
        <w:tc>
          <w:tcPr>
            <w:tcW w:w="422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6"/>
                <w:szCs w:val="16"/>
                <w:color w:val="auto"/>
              </w:rPr>
              <w:t>(14,681,935 )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(13,721,637 )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(28,426,366 )</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(27,236,126 </w:t>
            </w:r>
            <w:r>
              <w:rPr>
                <w:rFonts w:ascii="Arial" w:cs="Arial" w:eastAsia="Arial" w:hAnsi="Arial"/>
                <w:sz w:val="16"/>
                <w:szCs w:val="16"/>
                <w:color w:val="auto"/>
                <w:highlight w:val="white"/>
              </w:rPr>
              <w:t>)</w:t>
            </w:r>
          </w:p>
        </w:tc>
      </w:tr>
      <w:tr>
        <w:trPr>
          <w:trHeight w:val="20"/>
        </w:trPr>
        <w:tc>
          <w:tcPr>
            <w:tcW w:w="42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-179705</wp:posOffset>
            </wp:positionV>
            <wp:extent cx="7683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-179705</wp:posOffset>
            </wp:positionV>
            <wp:extent cx="7683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-179705</wp:posOffset>
            </wp:positionV>
            <wp:extent cx="85725"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94" w:lineRule="exact"/>
        <w:rPr>
          <w:sz w:val="20"/>
          <w:szCs w:val="20"/>
          <w:color w:val="auto"/>
        </w:rPr>
      </w:pPr>
    </w:p>
    <w:p>
      <w:pPr>
        <w:ind w:right="600"/>
        <w:spacing w:after="0" w:line="276" w:lineRule="auto"/>
        <w:rPr>
          <w:sz w:val="20"/>
          <w:szCs w:val="20"/>
          <w:color w:val="auto"/>
        </w:rPr>
      </w:pPr>
      <w:r>
        <w:rPr>
          <w:rFonts w:ascii="Arial" w:cs="Arial" w:eastAsia="Arial" w:hAnsi="Arial"/>
          <w:sz w:val="16"/>
          <w:szCs w:val="16"/>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1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65" w:lineRule="exact"/>
        <w:rPr>
          <w:sz w:val="20"/>
          <w:szCs w:val="20"/>
          <w:color w:val="auto"/>
        </w:rPr>
      </w:pPr>
    </w:p>
    <w:tbl>
      <w:tblPr>
        <w:tblLayout w:type="fixed"/>
        <w:tblInd w:w="240" w:type="dxa"/>
        <w:tblCellMar>
          <w:top w:w="0" w:type="dxa"/>
          <w:left w:w="0" w:type="dxa"/>
          <w:bottom w:w="0" w:type="dxa"/>
          <w:right w:w="0" w:type="dxa"/>
        </w:tblCellMar>
      </w:tblPr>
      <w:tr>
        <w:trPr>
          <w:trHeight w:val="219"/>
        </w:trPr>
        <w:tc>
          <w:tcPr>
            <w:tcW w:w="3860" w:type="dxa"/>
            <w:vAlign w:val="bottom"/>
          </w:tcPr>
          <w:p>
            <w:pPr>
              <w:spacing w:after="0"/>
              <w:rPr>
                <w:sz w:val="19"/>
                <w:szCs w:val="19"/>
                <w:color w:val="auto"/>
              </w:rPr>
            </w:pPr>
          </w:p>
        </w:tc>
        <w:tc>
          <w:tcPr>
            <w:tcW w:w="3620" w:type="dxa"/>
            <w:vAlign w:val="bottom"/>
            <w:gridSpan w:val="4"/>
          </w:tcPr>
          <w:p>
            <w:pPr>
              <w:jc w:val="right"/>
              <w:ind w:right="700"/>
              <w:spacing w:after="0"/>
              <w:rPr>
                <w:sz w:val="20"/>
                <w:szCs w:val="20"/>
                <w:color w:val="auto"/>
              </w:rPr>
            </w:pPr>
            <w:r>
              <w:rPr>
                <w:rFonts w:ascii="Arial" w:cs="Arial" w:eastAsia="Arial" w:hAnsi="Arial"/>
                <w:sz w:val="16"/>
                <w:szCs w:val="16"/>
                <w:color w:val="auto"/>
              </w:rPr>
              <w:t>For the three months ended June 30,</w:t>
            </w:r>
          </w:p>
        </w:tc>
        <w:tc>
          <w:tcPr>
            <w:tcW w:w="3300" w:type="dxa"/>
            <w:vAlign w:val="bottom"/>
            <w:gridSpan w:val="4"/>
          </w:tcPr>
          <w:p>
            <w:pPr>
              <w:jc w:val="right"/>
              <w:ind w:right="620"/>
              <w:spacing w:after="0"/>
              <w:rPr>
                <w:sz w:val="20"/>
                <w:szCs w:val="20"/>
                <w:color w:val="auto"/>
              </w:rPr>
            </w:pPr>
            <w:r>
              <w:rPr>
                <w:rFonts w:ascii="Arial" w:cs="Arial" w:eastAsia="Arial" w:hAnsi="Arial"/>
                <w:sz w:val="16"/>
                <w:szCs w:val="16"/>
                <w:color w:val="auto"/>
              </w:rPr>
              <w:t>For the six months ended June 30,</w:t>
            </w:r>
          </w:p>
        </w:tc>
      </w:tr>
      <w:tr>
        <w:trPr>
          <w:trHeight w:val="223"/>
        </w:trPr>
        <w:tc>
          <w:tcPr>
            <w:tcW w:w="386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20"/>
        </w:trPr>
        <w:tc>
          <w:tcPr>
            <w:tcW w:w="3860" w:type="dxa"/>
            <w:vAlign w:val="bottom"/>
          </w:tcPr>
          <w:p>
            <w:pPr>
              <w:spacing w:after="0"/>
              <w:rPr>
                <w:sz w:val="19"/>
                <w:szCs w:val="19"/>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r>
      <w:tr>
        <w:trPr>
          <w:trHeight w:val="23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(3,434,343 )</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(3,825,151 )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(6,735,927 )</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(6,270,034 )</w:t>
            </w:r>
          </w:p>
        </w:tc>
      </w:tr>
      <w:tr>
        <w:trPr>
          <w:trHeight w:val="220"/>
        </w:trPr>
        <w:tc>
          <w:tcPr>
            <w:tcW w:w="3860" w:type="dxa"/>
            <w:vAlign w:val="bottom"/>
          </w:tcPr>
          <w:p>
            <w:pPr>
              <w:spacing w:after="0"/>
              <w:rPr>
                <w:sz w:val="20"/>
                <w:szCs w:val="20"/>
                <w:color w:val="auto"/>
              </w:rPr>
            </w:pPr>
            <w:r>
              <w:rPr>
                <w:rFonts w:ascii="Arial" w:cs="Arial" w:eastAsia="Arial" w:hAnsi="Arial"/>
                <w:sz w:val="16"/>
                <w:szCs w:val="16"/>
                <w:color w:val="auto"/>
              </w:rPr>
              <w:t>Consulting fees</w:t>
            </w:r>
          </w:p>
        </w:tc>
        <w:tc>
          <w:tcPr>
            <w:tcW w:w="2020" w:type="dxa"/>
            <w:vAlign w:val="bottom"/>
            <w:gridSpan w:val="2"/>
          </w:tcPr>
          <w:p>
            <w:pPr>
              <w:jc w:val="right"/>
              <w:ind w:right="60"/>
              <w:spacing w:after="0"/>
              <w:rPr>
                <w:sz w:val="20"/>
                <w:szCs w:val="20"/>
                <w:color w:val="auto"/>
              </w:rPr>
            </w:pPr>
            <w:r>
              <w:rPr>
                <w:rFonts w:ascii="Arial" w:cs="Arial" w:eastAsia="Arial" w:hAnsi="Arial"/>
                <w:sz w:val="16"/>
                <w:szCs w:val="16"/>
                <w:color w:val="auto"/>
              </w:rPr>
              <w:t>(126,447 )</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(254,899 )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(304,316 )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(432,811 )</w:t>
            </w:r>
          </w:p>
        </w:tc>
      </w:tr>
      <w:tr>
        <w:trPr>
          <w:trHeight w:val="23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(1,294,705 )</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(911,170 )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(2,177,175 )</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(1,795,170 )</w:t>
            </w:r>
          </w:p>
        </w:tc>
      </w:tr>
      <w:tr>
        <w:trPr>
          <w:trHeight w:val="220"/>
        </w:trPr>
        <w:tc>
          <w:tcPr>
            <w:tcW w:w="386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2020" w:type="dxa"/>
            <w:vAlign w:val="bottom"/>
            <w:gridSpan w:val="2"/>
          </w:tcPr>
          <w:p>
            <w:pPr>
              <w:jc w:val="right"/>
              <w:ind w:right="60"/>
              <w:spacing w:after="0"/>
              <w:rPr>
                <w:sz w:val="20"/>
                <w:szCs w:val="20"/>
                <w:color w:val="auto"/>
              </w:rPr>
            </w:pPr>
            <w:r>
              <w:rPr>
                <w:rFonts w:ascii="Arial" w:cs="Arial" w:eastAsia="Arial" w:hAnsi="Arial"/>
                <w:sz w:val="16"/>
                <w:szCs w:val="16"/>
                <w:color w:val="auto"/>
              </w:rPr>
              <w:t>(537,961 )</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(290,159 )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(897,314 )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(594,657 )</w:t>
            </w:r>
          </w:p>
        </w:tc>
      </w:tr>
      <w:tr>
        <w:trPr>
          <w:trHeight w:val="23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Facilities, communication &amp; office expenses</w:t>
            </w: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(1,419,334 )</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(1,618,732 )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(2,910,607 )</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(3,246,830 )</w:t>
            </w:r>
          </w:p>
        </w:tc>
      </w:tr>
      <w:tr>
        <w:trPr>
          <w:trHeight w:val="220"/>
        </w:trPr>
        <w:tc>
          <w:tcPr>
            <w:tcW w:w="3860" w:type="dxa"/>
            <w:vAlign w:val="bottom"/>
          </w:tcPr>
          <w:p>
            <w:pPr>
              <w:spacing w:after="0"/>
              <w:rPr>
                <w:sz w:val="20"/>
                <w:szCs w:val="20"/>
                <w:color w:val="auto"/>
              </w:rPr>
            </w:pPr>
            <w:r>
              <w:rPr>
                <w:rFonts w:ascii="Arial" w:cs="Arial" w:eastAsia="Arial" w:hAnsi="Arial"/>
                <w:sz w:val="16"/>
                <w:szCs w:val="16"/>
                <w:color w:val="auto"/>
              </w:rPr>
              <w:t>Travel expenses</w:t>
            </w:r>
          </w:p>
        </w:tc>
        <w:tc>
          <w:tcPr>
            <w:tcW w:w="2020" w:type="dxa"/>
            <w:vAlign w:val="bottom"/>
            <w:gridSpan w:val="2"/>
          </w:tcPr>
          <w:p>
            <w:pPr>
              <w:jc w:val="right"/>
              <w:ind w:right="60"/>
              <w:spacing w:after="0"/>
              <w:rPr>
                <w:sz w:val="20"/>
                <w:szCs w:val="20"/>
                <w:color w:val="auto"/>
              </w:rPr>
            </w:pPr>
            <w:r>
              <w:rPr>
                <w:rFonts w:ascii="Arial" w:cs="Arial" w:eastAsia="Arial" w:hAnsi="Arial"/>
                <w:sz w:val="16"/>
                <w:szCs w:val="16"/>
                <w:color w:val="auto"/>
              </w:rPr>
              <w:t>(455,717 )</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(260,446 )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(778,450 )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(404,200 )</w:t>
            </w: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(504,923 )</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(499,576 )</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(1,301,237 )</w:t>
            </w: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(781,436 )</w:t>
            </w:r>
          </w:p>
        </w:tc>
      </w:tr>
      <w:tr>
        <w:trPr>
          <w:trHeight w:val="23"/>
        </w:trPr>
        <w:tc>
          <w:tcPr>
            <w:tcW w:w="3860" w:type="dxa"/>
            <w:vAlign w:val="bottom"/>
            <w:shd w:val="clear" w:color="auto" w:fill="CFF0FC"/>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3"/>
        </w:trPr>
        <w:tc>
          <w:tcPr>
            <w:tcW w:w="386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(7,773,430 </w:t>
            </w:r>
            <w:r>
              <w:rPr>
                <w:rFonts w:ascii="Arial" w:cs="Arial" w:eastAsia="Arial" w:hAnsi="Arial"/>
                <w:sz w:val="16"/>
                <w:szCs w:val="16"/>
                <w:color w:val="auto"/>
                <w:highlight w:val="white"/>
              </w:rPr>
              <w:t>)</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(7,660,133 )</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(15,105,026 )</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(13,525,138 )</w:t>
            </w:r>
          </w:p>
        </w:tc>
      </w:tr>
      <w:tr>
        <w:trPr>
          <w:trHeight w:val="20"/>
        </w:trPr>
        <w:tc>
          <w:tcPr>
            <w:tcW w:w="38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-179070</wp:posOffset>
            </wp:positionV>
            <wp:extent cx="85725"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-179070</wp:posOffset>
            </wp:positionV>
            <wp:extent cx="8572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-179070</wp:posOffset>
            </wp:positionV>
            <wp:extent cx="7747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in the six months of 2023 was €123,593 (2022: 68,195), which related to property, plant and equipment and leases and is included in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'Other expenses' line. For the second quarter of 2023 a total of €61,724 (2022: €35,345) depreciation charge was included in the 'Other expenses'.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4020" w:type="dxa"/>
            <w:vAlign w:val="bottom"/>
          </w:tcPr>
          <w:p>
            <w:pPr>
              <w:spacing w:after="0"/>
              <w:rPr>
                <w:sz w:val="19"/>
                <w:szCs w:val="19"/>
                <w:color w:val="auto"/>
              </w:rPr>
            </w:pPr>
          </w:p>
        </w:tc>
        <w:tc>
          <w:tcPr>
            <w:tcW w:w="3520" w:type="dxa"/>
            <w:vAlign w:val="bottom"/>
            <w:gridSpan w:val="4"/>
          </w:tcPr>
          <w:p>
            <w:pPr>
              <w:jc w:val="right"/>
              <w:ind w:right="660"/>
              <w:spacing w:after="0"/>
              <w:rPr>
                <w:sz w:val="20"/>
                <w:szCs w:val="20"/>
                <w:color w:val="auto"/>
              </w:rPr>
            </w:pPr>
            <w:r>
              <w:rPr>
                <w:rFonts w:ascii="Arial" w:cs="Arial" w:eastAsia="Arial" w:hAnsi="Arial"/>
                <w:sz w:val="16"/>
                <w:szCs w:val="16"/>
                <w:color w:val="auto"/>
              </w:rPr>
              <w:t>For the three months ended June 30,</w:t>
            </w:r>
          </w:p>
        </w:tc>
        <w:tc>
          <w:tcPr>
            <w:tcW w:w="3580" w:type="dxa"/>
            <w:vAlign w:val="bottom"/>
            <w:gridSpan w:val="4"/>
          </w:tcPr>
          <w:p>
            <w:pPr>
              <w:jc w:val="right"/>
              <w:ind w:right="740"/>
              <w:spacing w:after="0"/>
              <w:rPr>
                <w:sz w:val="20"/>
                <w:szCs w:val="20"/>
                <w:color w:val="auto"/>
              </w:rPr>
            </w:pPr>
            <w:r>
              <w:rPr>
                <w:rFonts w:ascii="Arial" w:cs="Arial" w:eastAsia="Arial" w:hAnsi="Arial"/>
                <w:sz w:val="16"/>
                <w:szCs w:val="16"/>
                <w:color w:val="auto"/>
              </w:rPr>
              <w:t>For the six months ended June 30,</w:t>
            </w:r>
          </w:p>
        </w:tc>
      </w:tr>
      <w:tr>
        <w:trPr>
          <w:trHeight w:val="223"/>
        </w:trPr>
        <w:tc>
          <w:tcPr>
            <w:tcW w:w="402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r>
      <w:tr>
        <w:trPr>
          <w:trHeight w:val="220"/>
        </w:trPr>
        <w:tc>
          <w:tcPr>
            <w:tcW w:w="4020" w:type="dxa"/>
            <w:vAlign w:val="bottom"/>
          </w:tcPr>
          <w:p>
            <w:pPr>
              <w:spacing w:after="0"/>
              <w:rPr>
                <w:sz w:val="19"/>
                <w:szCs w:val="19"/>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r>
      <w:tr>
        <w:trPr>
          <w:trHeight w:val="23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Wages and salaries</w:t>
            </w:r>
          </w:p>
        </w:tc>
        <w:tc>
          <w:tcPr>
            <w:tcW w:w="2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(4,618,862 )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(3,279,593 )</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(8,823,246 )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(5,845,176 )</w:t>
            </w: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auto"/>
              </w:rPr>
              <w:t>Pension charges</w:t>
            </w:r>
          </w:p>
        </w:tc>
        <w:tc>
          <w:tcPr>
            <w:tcW w:w="2160" w:type="dxa"/>
            <w:vAlign w:val="bottom"/>
            <w:gridSpan w:val="2"/>
          </w:tcPr>
          <w:p>
            <w:pPr>
              <w:jc w:val="right"/>
              <w:ind w:right="80"/>
              <w:spacing w:after="0"/>
              <w:rPr>
                <w:sz w:val="20"/>
                <w:szCs w:val="20"/>
                <w:color w:val="auto"/>
              </w:rPr>
            </w:pPr>
            <w:r>
              <w:rPr>
                <w:rFonts w:ascii="Arial" w:cs="Arial" w:eastAsia="Arial" w:hAnsi="Arial"/>
                <w:sz w:val="16"/>
                <w:szCs w:val="16"/>
                <w:color w:val="auto"/>
              </w:rPr>
              <w:t>(271,140 )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(177,185 )</w:t>
            </w:r>
          </w:p>
        </w:tc>
        <w:tc>
          <w:tcPr>
            <w:tcW w:w="1640" w:type="dxa"/>
            <w:vAlign w:val="bottom"/>
            <w:gridSpan w:val="2"/>
          </w:tcPr>
          <w:p>
            <w:pPr>
              <w:jc w:val="right"/>
              <w:ind w:right="60"/>
              <w:spacing w:after="0"/>
              <w:rPr>
                <w:sz w:val="20"/>
                <w:szCs w:val="20"/>
                <w:color w:val="auto"/>
              </w:rPr>
            </w:pPr>
            <w:r>
              <w:rPr>
                <w:rFonts w:ascii="Arial" w:cs="Arial" w:eastAsia="Arial" w:hAnsi="Arial"/>
                <w:sz w:val="16"/>
                <w:szCs w:val="16"/>
                <w:color w:val="auto"/>
              </w:rPr>
              <w:t>(560,023 )</w:t>
            </w:r>
          </w:p>
        </w:tc>
        <w:tc>
          <w:tcPr>
            <w:tcW w:w="1940" w:type="dxa"/>
            <w:vAlign w:val="bottom"/>
            <w:gridSpan w:val="2"/>
          </w:tcPr>
          <w:p>
            <w:pPr>
              <w:jc w:val="right"/>
              <w:ind w:right="60"/>
              <w:spacing w:after="0"/>
              <w:rPr>
                <w:sz w:val="20"/>
                <w:szCs w:val="20"/>
                <w:color w:val="auto"/>
              </w:rPr>
            </w:pPr>
            <w:r>
              <w:rPr>
                <w:rFonts w:ascii="Arial" w:cs="Arial" w:eastAsia="Arial" w:hAnsi="Arial"/>
                <w:sz w:val="16"/>
                <w:szCs w:val="16"/>
                <w:color w:val="auto"/>
              </w:rPr>
              <w:t>(355,729 )</w:t>
            </w:r>
          </w:p>
        </w:tc>
      </w:tr>
      <w:tr>
        <w:trPr>
          <w:trHeight w:val="239"/>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social security charges</w:t>
            </w:r>
          </w:p>
        </w:tc>
        <w:tc>
          <w:tcPr>
            <w:tcW w:w="2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(371,658 )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(286,570 )</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(814,788 )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(569,559 )</w:t>
            </w: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auto"/>
              </w:rPr>
              <w:t>Share-based payments</w:t>
            </w:r>
          </w:p>
        </w:tc>
        <w:tc>
          <w:tcPr>
            <w:tcW w:w="2160" w:type="dxa"/>
            <w:vAlign w:val="bottom"/>
            <w:gridSpan w:val="2"/>
          </w:tcPr>
          <w:p>
            <w:pPr>
              <w:jc w:val="right"/>
              <w:ind w:right="80"/>
              <w:spacing w:after="0"/>
              <w:rPr>
                <w:sz w:val="20"/>
                <w:szCs w:val="20"/>
                <w:color w:val="auto"/>
              </w:rPr>
            </w:pPr>
            <w:r>
              <w:rPr>
                <w:rFonts w:ascii="Arial" w:cs="Arial" w:eastAsia="Arial" w:hAnsi="Arial"/>
                <w:sz w:val="16"/>
                <w:szCs w:val="16"/>
                <w:color w:val="auto"/>
              </w:rPr>
              <w:t>(2,716,927 )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(3,142,839 )</w:t>
            </w:r>
          </w:p>
        </w:tc>
        <w:tc>
          <w:tcPr>
            <w:tcW w:w="1640" w:type="dxa"/>
            <w:vAlign w:val="bottom"/>
            <w:gridSpan w:val="2"/>
          </w:tcPr>
          <w:p>
            <w:pPr>
              <w:jc w:val="right"/>
              <w:ind w:right="60"/>
              <w:spacing w:after="0"/>
              <w:rPr>
                <w:sz w:val="20"/>
                <w:szCs w:val="20"/>
                <w:color w:val="auto"/>
              </w:rPr>
            </w:pPr>
            <w:r>
              <w:rPr>
                <w:rFonts w:ascii="Arial" w:cs="Arial" w:eastAsia="Arial" w:hAnsi="Arial"/>
                <w:sz w:val="16"/>
                <w:szCs w:val="16"/>
                <w:color w:val="auto"/>
              </w:rPr>
              <w:t>(5,299,814 )</w:t>
            </w:r>
          </w:p>
        </w:tc>
        <w:tc>
          <w:tcPr>
            <w:tcW w:w="1940" w:type="dxa"/>
            <w:vAlign w:val="bottom"/>
            <w:gridSpan w:val="2"/>
          </w:tcPr>
          <w:p>
            <w:pPr>
              <w:jc w:val="right"/>
              <w:ind w:right="60"/>
              <w:spacing w:after="0"/>
              <w:rPr>
                <w:sz w:val="20"/>
                <w:szCs w:val="20"/>
                <w:color w:val="auto"/>
              </w:rPr>
            </w:pPr>
            <w:r>
              <w:rPr>
                <w:rFonts w:ascii="Arial" w:cs="Arial" w:eastAsia="Arial" w:hAnsi="Arial"/>
                <w:sz w:val="16"/>
                <w:szCs w:val="16"/>
                <w:color w:val="auto"/>
              </w:rPr>
              <w:t>(5,089,777 )</w:t>
            </w:r>
          </w:p>
        </w:tc>
      </w:tr>
      <w:tr>
        <w:trPr>
          <w:trHeight w:val="23"/>
        </w:trPr>
        <w:tc>
          <w:tcPr>
            <w:tcW w:w="40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402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(7,978,587 )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(6,886,187 )</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(15,497,871 )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(11,860,241 )</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six months ended June 30, 2023 was 68 (2022:47).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income/(expense)</w:t>
      </w: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500" w:type="dxa"/>
            <w:vAlign w:val="bottom"/>
          </w:tcPr>
          <w:p>
            <w:pPr>
              <w:spacing w:after="0"/>
              <w:rPr>
                <w:sz w:val="19"/>
                <w:szCs w:val="19"/>
                <w:color w:val="auto"/>
              </w:rPr>
            </w:pPr>
          </w:p>
        </w:tc>
        <w:tc>
          <w:tcPr>
            <w:tcW w:w="2860" w:type="dxa"/>
            <w:vAlign w:val="bottom"/>
            <w:gridSpan w:val="4"/>
          </w:tcPr>
          <w:p>
            <w:pPr>
              <w:jc w:val="right"/>
              <w:ind w:right="320"/>
              <w:spacing w:after="0"/>
              <w:rPr>
                <w:sz w:val="20"/>
                <w:szCs w:val="20"/>
                <w:color w:val="auto"/>
              </w:rPr>
            </w:pPr>
            <w:r>
              <w:rPr>
                <w:rFonts w:ascii="Arial" w:cs="Arial" w:eastAsia="Arial" w:hAnsi="Arial"/>
                <w:sz w:val="16"/>
                <w:szCs w:val="16"/>
                <w:color w:val="auto"/>
                <w:w w:val="95"/>
              </w:rPr>
              <w:t>For the three months ended June 30,</w:t>
            </w:r>
          </w:p>
        </w:tc>
        <w:tc>
          <w:tcPr>
            <w:tcW w:w="2760" w:type="dxa"/>
            <w:vAlign w:val="bottom"/>
            <w:gridSpan w:val="4"/>
          </w:tcPr>
          <w:p>
            <w:pPr>
              <w:jc w:val="right"/>
              <w:ind w:right="340"/>
              <w:spacing w:after="0"/>
              <w:rPr>
                <w:sz w:val="20"/>
                <w:szCs w:val="20"/>
                <w:color w:val="auto"/>
              </w:rPr>
            </w:pPr>
            <w:r>
              <w:rPr>
                <w:rFonts w:ascii="Arial" w:cs="Arial" w:eastAsia="Arial" w:hAnsi="Arial"/>
                <w:sz w:val="16"/>
                <w:szCs w:val="16"/>
                <w:color w:val="auto"/>
                <w:w w:val="97"/>
              </w:rPr>
              <w:t>For the six months ended June 30,</w:t>
            </w:r>
          </w:p>
        </w:tc>
      </w:tr>
      <w:tr>
        <w:trPr>
          <w:trHeight w:val="223"/>
        </w:trPr>
        <w:tc>
          <w:tcPr>
            <w:tcW w:w="55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r>
      <w:tr>
        <w:trPr>
          <w:trHeight w:val="220"/>
        </w:trPr>
        <w:tc>
          <w:tcPr>
            <w:tcW w:w="550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r>
      <w:tr>
        <w:trPr>
          <w:trHeight w:val="239"/>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exchange differences</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667,710</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11,535,811</w:t>
            </w: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(927,768 )</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14,971,998</w:t>
            </w:r>
          </w:p>
        </w:tc>
        <w:tc>
          <w:tcPr>
            <w:tcW w:w="120" w:type="dxa"/>
            <w:vAlign w:val="bottom"/>
            <w:shd w:val="clear" w:color="auto" w:fill="CFF0FC"/>
          </w:tcPr>
          <w:p>
            <w:pPr>
              <w:spacing w:after="0"/>
              <w:rPr>
                <w:sz w:val="20"/>
                <w:szCs w:val="20"/>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6"/>
                <w:szCs w:val="16"/>
                <w:color w:val="auto"/>
              </w:rPr>
              <w:t>Interest (expense)/income over bank balances</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(11,161 )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(33,457 )</w:t>
            </w:r>
          </w:p>
        </w:tc>
        <w:tc>
          <w:tcPr>
            <w:tcW w:w="1260" w:type="dxa"/>
            <w:vAlign w:val="bottom"/>
          </w:tcPr>
          <w:p>
            <w:pPr>
              <w:jc w:val="right"/>
              <w:spacing w:after="0"/>
              <w:rPr>
                <w:sz w:val="20"/>
                <w:szCs w:val="20"/>
                <w:color w:val="auto"/>
              </w:rPr>
            </w:pPr>
            <w:r>
              <w:rPr>
                <w:rFonts w:ascii="Arial" w:cs="Arial" w:eastAsia="Arial" w:hAnsi="Arial"/>
                <w:sz w:val="16"/>
                <w:szCs w:val="16"/>
                <w:color w:val="auto"/>
              </w:rPr>
              <w:t>95,366</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(78,516 )</w:t>
            </w:r>
          </w:p>
        </w:tc>
      </w:tr>
      <w:tr>
        <w:trPr>
          <w:trHeight w:val="230"/>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finance expenses</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(4,879 )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(550 )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(10,193 )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(499 )</w:t>
            </w:r>
          </w:p>
        </w:tc>
      </w:tr>
      <w:tr>
        <w:trPr>
          <w:trHeight w:val="23"/>
        </w:trPr>
        <w:tc>
          <w:tcPr>
            <w:tcW w:w="550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223"/>
        </w:trPr>
        <w:tc>
          <w:tcPr>
            <w:tcW w:w="5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651,670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11,501,804</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(842,595 </w:t>
            </w:r>
            <w:r>
              <w:rPr>
                <w:rFonts w:ascii="Arial" w:cs="Arial" w:eastAsia="Arial" w:hAnsi="Arial"/>
                <w:sz w:val="16"/>
                <w:szCs w:val="16"/>
                <w:color w:val="auto"/>
                <w:highlight w:val="white"/>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14,892,983</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-179070</wp:posOffset>
            </wp:positionV>
            <wp:extent cx="8572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-179070</wp:posOffset>
            </wp:positionV>
            <wp:extent cx="85725"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-179070</wp:posOffset>
            </wp:positionV>
            <wp:extent cx="8572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2" w:right="39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19"/>
        </w:trPr>
        <w:tc>
          <w:tcPr>
            <w:tcW w:w="5540" w:type="dxa"/>
            <w:vAlign w:val="bottom"/>
          </w:tcPr>
          <w:p>
            <w:pPr>
              <w:spacing w:after="0"/>
              <w:rPr>
                <w:sz w:val="19"/>
                <w:szCs w:val="19"/>
                <w:color w:val="auto"/>
              </w:rPr>
            </w:pPr>
          </w:p>
        </w:tc>
        <w:tc>
          <w:tcPr>
            <w:tcW w:w="2840" w:type="dxa"/>
            <w:vAlign w:val="bottom"/>
            <w:gridSpan w:val="4"/>
          </w:tcPr>
          <w:p>
            <w:pPr>
              <w:jc w:val="right"/>
              <w:ind w:right="380"/>
              <w:spacing w:after="0"/>
              <w:rPr>
                <w:sz w:val="20"/>
                <w:szCs w:val="20"/>
                <w:color w:val="auto"/>
              </w:rPr>
            </w:pPr>
            <w:r>
              <w:rPr>
                <w:rFonts w:ascii="Arial" w:cs="Arial" w:eastAsia="Arial" w:hAnsi="Arial"/>
                <w:sz w:val="16"/>
                <w:szCs w:val="16"/>
                <w:color w:val="auto"/>
                <w:w w:val="92"/>
              </w:rPr>
              <w:t>For the three months ended June 30,</w:t>
            </w:r>
          </w:p>
        </w:tc>
        <w:tc>
          <w:tcPr>
            <w:tcW w:w="2740" w:type="dxa"/>
            <w:vAlign w:val="bottom"/>
            <w:gridSpan w:val="4"/>
          </w:tcPr>
          <w:p>
            <w:pPr>
              <w:jc w:val="right"/>
              <w:ind w:right="360"/>
              <w:spacing w:after="0"/>
              <w:rPr>
                <w:sz w:val="20"/>
                <w:szCs w:val="20"/>
                <w:color w:val="auto"/>
              </w:rPr>
            </w:pPr>
            <w:r>
              <w:rPr>
                <w:rFonts w:ascii="Arial" w:cs="Arial" w:eastAsia="Arial" w:hAnsi="Arial"/>
                <w:sz w:val="16"/>
                <w:szCs w:val="16"/>
                <w:color w:val="auto"/>
                <w:w w:val="98"/>
              </w:rPr>
              <w:t>For the six month ended June 30,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39"/>
        </w:trPr>
        <w:tc>
          <w:tcPr>
            <w:tcW w:w="5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(94,178 )</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(2,741,102 )</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(154,835 )</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(2,779,817 )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6"/>
                <w:szCs w:val="16"/>
                <w:color w:val="auto"/>
              </w:rPr>
              <w:t>Income tax expense</w:t>
            </w: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vMerge w:val="continue"/>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(94,178 )</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(2,741,102 )</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(154,835 )</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(2,779,817 )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420"/>
        <w:spacing w:after="0" w:line="261" w:lineRule="auto"/>
        <w:rPr>
          <w:sz w:val="20"/>
          <w:szCs w:val="20"/>
          <w:color w:val="auto"/>
        </w:rPr>
      </w:pPr>
      <w:r>
        <w:rPr>
          <w:rFonts w:ascii="Arial" w:cs="Arial" w:eastAsia="Arial" w:hAnsi="Arial"/>
          <w:sz w:val="16"/>
          <w:szCs w:val="16"/>
          <w:color w:val="auto"/>
        </w:rPr>
        <w:t>The tax expense over the six months ended June 30, 2023 and 2022 relates to the Company's U.S. and Dutch subsidiaries as the result of a cost-plus agreement between the Company's principal entity and the U.S. and the Dutch subsidiaries, resulting in an estimated taxable profit in the U.S. and the Netherlands.</w:t>
      </w:r>
    </w:p>
    <w:p>
      <w:pPr>
        <w:spacing w:after="0" w:line="7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280" w:type="dxa"/>
            <w:vAlign w:val="bottom"/>
          </w:tcPr>
          <w:p>
            <w:pPr>
              <w:spacing w:after="0"/>
              <w:rPr>
                <w:sz w:val="19"/>
                <w:szCs w:val="19"/>
                <w:color w:val="auto"/>
              </w:rPr>
            </w:pPr>
          </w:p>
        </w:tc>
        <w:tc>
          <w:tcPr>
            <w:tcW w:w="2980" w:type="dxa"/>
            <w:vAlign w:val="bottom"/>
            <w:gridSpan w:val="4"/>
          </w:tcPr>
          <w:p>
            <w:pPr>
              <w:jc w:val="right"/>
              <w:ind w:right="380"/>
              <w:spacing w:after="0"/>
              <w:rPr>
                <w:sz w:val="20"/>
                <w:szCs w:val="20"/>
                <w:color w:val="auto"/>
              </w:rPr>
            </w:pPr>
            <w:r>
              <w:rPr>
                <w:rFonts w:ascii="Arial" w:cs="Arial" w:eastAsia="Arial" w:hAnsi="Arial"/>
                <w:sz w:val="16"/>
                <w:szCs w:val="16"/>
                <w:color w:val="auto"/>
                <w:w w:val="97"/>
              </w:rPr>
              <w:t>For the three months ended June 30,</w:t>
            </w:r>
          </w:p>
        </w:tc>
        <w:tc>
          <w:tcPr>
            <w:tcW w:w="2860" w:type="dxa"/>
            <w:vAlign w:val="bottom"/>
            <w:gridSpan w:val="4"/>
          </w:tcPr>
          <w:p>
            <w:pPr>
              <w:jc w:val="right"/>
              <w:ind w:right="420"/>
              <w:spacing w:after="0"/>
              <w:rPr>
                <w:sz w:val="20"/>
                <w:szCs w:val="20"/>
                <w:color w:val="auto"/>
              </w:rPr>
            </w:pPr>
            <w:r>
              <w:rPr>
                <w:rFonts w:ascii="Arial" w:cs="Arial" w:eastAsia="Arial" w:hAnsi="Arial"/>
                <w:sz w:val="16"/>
                <w:szCs w:val="16"/>
                <w:color w:val="auto"/>
              </w:rPr>
              <w:t>For the six month ended June 30,</w:t>
            </w:r>
          </w:p>
        </w:tc>
      </w:tr>
      <w:tr>
        <w:trPr>
          <w:trHeight w:val="223"/>
        </w:trPr>
        <w:tc>
          <w:tcPr>
            <w:tcW w:w="52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r>
      <w:tr>
        <w:trPr>
          <w:trHeight w:val="220"/>
        </w:trPr>
        <w:tc>
          <w:tcPr>
            <w:tcW w:w="528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(21,803,695 )</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(9,879,966 )</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(44,373,987 )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(25,868,281 )</w:t>
            </w: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rPr>
              <w:t>Income tax against statutory rate in The Netherlands (25.8%)</w:t>
            </w:r>
          </w:p>
        </w:tc>
        <w:tc>
          <w:tcPr>
            <w:tcW w:w="1460" w:type="dxa"/>
            <w:vAlign w:val="bottom"/>
          </w:tcPr>
          <w:p>
            <w:pPr>
              <w:jc w:val="right"/>
              <w:spacing w:after="0"/>
              <w:rPr>
                <w:sz w:val="20"/>
                <w:szCs w:val="20"/>
                <w:color w:val="auto"/>
              </w:rPr>
            </w:pPr>
            <w:r>
              <w:rPr>
                <w:rFonts w:ascii="Arial" w:cs="Arial" w:eastAsia="Arial" w:hAnsi="Arial"/>
                <w:sz w:val="16"/>
                <w:szCs w:val="16"/>
                <w:color w:val="auto"/>
              </w:rPr>
              <w:t>5,625,353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2,549,031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11,448,489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6,674,016</w:t>
            </w:r>
          </w:p>
        </w:tc>
        <w:tc>
          <w:tcPr>
            <w:tcW w:w="120" w:type="dxa"/>
            <w:vAlign w:val="bottom"/>
          </w:tcPr>
          <w:p>
            <w:pPr>
              <w:spacing w:after="0"/>
              <w:rPr>
                <w:sz w:val="19"/>
                <w:szCs w:val="19"/>
                <w:color w:val="auto"/>
              </w:rPr>
            </w:pP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tax rates in other countries</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(3,135,934 )</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(3,211,414 )</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(6,380,538 )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(6,017,458 )</w:t>
            </w: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w w:val="99"/>
              </w:rPr>
              <w:t>Current period losses for which no deferred tax asset has been recognized</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(2,473,007 )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(1,994,025 )</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(4,989,138 )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(3,246,315 )</w:t>
            </w: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Non-deductible expenses</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(110,591 )</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(84,694 )</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(233,648 )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(190,060 )</w:t>
            </w:r>
          </w:p>
        </w:tc>
      </w:tr>
      <w:tr>
        <w:trPr>
          <w:trHeight w:val="23"/>
        </w:trPr>
        <w:tc>
          <w:tcPr>
            <w:tcW w:w="528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Total tax charge</w:t>
            </w:r>
          </w:p>
        </w:tc>
        <w:tc>
          <w:tcPr>
            <w:tcW w:w="1600" w:type="dxa"/>
            <w:vAlign w:val="bottom"/>
            <w:gridSpan w:val="2"/>
          </w:tcPr>
          <w:p>
            <w:pPr>
              <w:jc w:val="right"/>
              <w:ind w:right="80"/>
              <w:spacing w:after="0"/>
              <w:rPr>
                <w:sz w:val="20"/>
                <w:szCs w:val="20"/>
                <w:color w:val="auto"/>
              </w:rPr>
            </w:pPr>
            <w:r>
              <w:rPr>
                <w:rFonts w:ascii="Arial" w:cs="Arial" w:eastAsia="Arial" w:hAnsi="Arial"/>
                <w:sz w:val="16"/>
                <w:szCs w:val="16"/>
                <w:color w:val="auto"/>
              </w:rPr>
              <w:t>(94,178 )</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(2,741,102 )</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(154,835 </w:t>
            </w:r>
            <w:r>
              <w:rPr>
                <w:rFonts w:ascii="Arial" w:cs="Arial" w:eastAsia="Arial" w:hAnsi="Arial"/>
                <w:sz w:val="16"/>
                <w:szCs w:val="16"/>
                <w:color w:val="auto"/>
                <w:highlight w:val="white"/>
              </w:rPr>
              <w:t>)</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(2,779,817 )</w:t>
            </w:r>
          </w:p>
        </w:tc>
      </w:tr>
      <w:tr>
        <w:trPr>
          <w:trHeight w:val="20"/>
        </w:trPr>
        <w:tc>
          <w:tcPr>
            <w:tcW w:w="5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-179070</wp:posOffset>
            </wp:positionV>
            <wp:extent cx="8572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-179070</wp:posOffset>
            </wp:positionV>
            <wp:extent cx="8572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-179070</wp:posOffset>
            </wp:positionV>
            <wp:extent cx="8572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(estimated) average annual tax rate used for the six months ended June 30, 2023 is (0.3)%, compared to (10.7)% for the six months ended June 30, 2022. The estimated effective tax rate includes significant discrete tax effects relating to the tax impact (after utilization of DTAs previously not recognized) on foreign exchange gains. As foreign exchange results cannot be reliably forecasted, the effective tax rate at year end may deviate from the currently reflected estimated effective tax rate</w:t>
      </w:r>
    </w:p>
    <w:p>
      <w:pPr>
        <w:spacing w:after="0" w:line="79" w:lineRule="exact"/>
        <w:rPr>
          <w:sz w:val="20"/>
          <w:szCs w:val="20"/>
          <w:color w:val="auto"/>
        </w:rPr>
      </w:pPr>
    </w:p>
    <w:p>
      <w:pPr>
        <w:ind w:right="520"/>
        <w:spacing w:after="0" w:line="261"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and the higher tax rate in the U.S. compared to the statutory income tax rate in the Netherlands.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16"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6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8" w:right="399" w:bottom="1440" w:gutter="0" w:footer="0" w:header="0"/>
        </w:sectPr>
      </w:pPr>
    </w:p>
    <w:bookmarkStart w:id="33" w:name="page34"/>
    <w:bookmarkEnd w:id="33"/>
    <w:tbl>
      <w:tblPr>
        <w:tblLayout w:type="fixed"/>
        <w:tblInd w:w="1020" w:type="dxa"/>
        <w:tblCellMar>
          <w:top w:w="0" w:type="dxa"/>
          <w:left w:w="0" w:type="dxa"/>
          <w:bottom w:w="0" w:type="dxa"/>
          <w:right w:w="0" w:type="dxa"/>
        </w:tblCellMar>
      </w:tblPr>
      <w:tr>
        <w:trPr>
          <w:trHeight w:val="219"/>
        </w:trPr>
        <w:tc>
          <w:tcPr>
            <w:tcW w:w="48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June 30, 2023</w:t>
            </w:r>
          </w:p>
        </w:tc>
        <w:tc>
          <w:tcPr>
            <w:tcW w:w="26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 2022</w:t>
            </w:r>
          </w:p>
        </w:tc>
        <w:tc>
          <w:tcPr>
            <w:tcW w:w="120" w:type="dxa"/>
            <w:vAlign w:val="bottom"/>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Net book value</w:t>
            </w:r>
          </w:p>
        </w:tc>
        <w:tc>
          <w:tcPr>
            <w:tcW w:w="22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r>
      <w:tr>
        <w:trPr>
          <w:trHeight w:val="230"/>
        </w:trPr>
        <w:tc>
          <w:tcPr>
            <w:tcW w:w="4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period</w:t>
            </w: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26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120" w:type="dxa"/>
            <w:vAlign w:val="bottom"/>
            <w:shd w:val="clear" w:color="auto" w:fill="CFF0FC"/>
          </w:tcPr>
          <w:p>
            <w:pPr>
              <w:spacing w:after="0"/>
              <w:rPr>
                <w:sz w:val="19"/>
                <w:szCs w:val="19"/>
                <w:color w:val="auto"/>
              </w:rPr>
            </w:pPr>
          </w:p>
        </w:tc>
      </w:tr>
      <w:tr>
        <w:trPr>
          <w:trHeight w:val="227"/>
        </w:trPr>
        <w:tc>
          <w:tcPr>
            <w:tcW w:w="48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960" w:type="dxa"/>
            <w:vAlign w:val="bottom"/>
          </w:tcPr>
          <w:p>
            <w:pPr>
              <w:jc w:val="right"/>
              <w:spacing w:after="0"/>
              <w:rPr>
                <w:sz w:val="20"/>
                <w:szCs w:val="20"/>
                <w:color w:val="auto"/>
              </w:rPr>
            </w:pPr>
            <w:r>
              <w:rPr>
                <w:rFonts w:ascii="Arial" w:cs="Arial" w:eastAsia="Arial" w:hAnsi="Arial"/>
                <w:sz w:val="16"/>
                <w:szCs w:val="16"/>
                <w:color w:val="auto"/>
              </w:rPr>
              <w:t>54,113</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124,296</w:t>
            </w:r>
          </w:p>
        </w:tc>
        <w:tc>
          <w:tcPr>
            <w:tcW w:w="120" w:type="dxa"/>
            <w:vAlign w:val="bottom"/>
          </w:tcPr>
          <w:p>
            <w:pPr>
              <w:spacing w:after="0"/>
              <w:rPr>
                <w:sz w:val="19"/>
                <w:szCs w:val="19"/>
                <w:color w:val="auto"/>
              </w:rPr>
            </w:pPr>
          </w:p>
        </w:tc>
      </w:tr>
      <w:tr>
        <w:trPr>
          <w:trHeight w:val="232"/>
        </w:trPr>
        <w:tc>
          <w:tcPr>
            <w:tcW w:w="4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expenses</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(27,449 )</w:t>
            </w: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(38,920 )</w:t>
            </w:r>
          </w:p>
        </w:tc>
      </w:tr>
      <w:tr>
        <w:trPr>
          <w:trHeight w:val="223"/>
        </w:trPr>
        <w:tc>
          <w:tcPr>
            <w:tcW w:w="48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 at end of period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220,138</w:t>
            </w:r>
          </w:p>
        </w:tc>
        <w:tc>
          <w:tcPr>
            <w:tcW w:w="260" w:type="dxa"/>
            <w:vAlign w:val="bottom"/>
            <w:tcBorders>
              <w:top w:val="single" w:sz="8" w:color="CFF0FC"/>
            </w:tcBorders>
          </w:tcPr>
          <w:p>
            <w:pPr>
              <w:spacing w:after="0"/>
              <w:rPr>
                <w:sz w:val="19"/>
                <w:szCs w:val="19"/>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193,474</w:t>
            </w:r>
          </w:p>
        </w:tc>
        <w:tc>
          <w:tcPr>
            <w:tcW w:w="120" w:type="dxa"/>
            <w:vAlign w:val="bottom"/>
            <w:tcBorders>
              <w:top w:val="single" w:sz="8" w:color="CFF0FC"/>
            </w:tcBorders>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48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June 30, 2023</w:t>
            </w:r>
          </w:p>
        </w:tc>
        <w:tc>
          <w:tcPr>
            <w:tcW w:w="26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 2022</w:t>
            </w:r>
          </w:p>
        </w:tc>
        <w:tc>
          <w:tcPr>
            <w:tcW w:w="120" w:type="dxa"/>
            <w:vAlign w:val="bottom"/>
          </w:tcPr>
          <w:p>
            <w:pPr>
              <w:spacing w:after="0"/>
              <w:rPr>
                <w:sz w:val="24"/>
                <w:szCs w:val="24"/>
                <w:color w:val="auto"/>
              </w:rPr>
            </w:pPr>
          </w:p>
        </w:tc>
      </w:tr>
      <w:tr>
        <w:trPr>
          <w:trHeight w:val="230"/>
        </w:trPr>
        <w:tc>
          <w:tcPr>
            <w:tcW w:w="4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Cumulative depreciation</w:t>
            </w:r>
          </w:p>
        </w:tc>
        <w:tc>
          <w:tcPr>
            <w:tcW w:w="222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w w:val="89"/>
              </w:rPr>
              <w:t>€</w:t>
            </w:r>
          </w:p>
        </w:tc>
        <w:tc>
          <w:tcPr>
            <w:tcW w:w="2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w:t>
            </w:r>
          </w:p>
        </w:tc>
      </w:tr>
      <w:tr>
        <w:trPr>
          <w:trHeight w:val="227"/>
        </w:trPr>
        <w:tc>
          <w:tcPr>
            <w:tcW w:w="482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220" w:type="dxa"/>
            <w:vAlign w:val="bottom"/>
            <w:gridSpan w:val="2"/>
          </w:tcPr>
          <w:p>
            <w:pPr>
              <w:jc w:val="right"/>
              <w:ind w:right="200"/>
              <w:spacing w:after="0"/>
              <w:rPr>
                <w:sz w:val="20"/>
                <w:szCs w:val="20"/>
                <w:color w:val="auto"/>
              </w:rPr>
            </w:pPr>
            <w:r>
              <w:rPr>
                <w:rFonts w:ascii="Arial" w:cs="Arial" w:eastAsia="Arial" w:hAnsi="Arial"/>
                <w:sz w:val="16"/>
                <w:szCs w:val="16"/>
                <w:color w:val="auto"/>
              </w:rPr>
              <w:t>(65,526 )</w:t>
            </w:r>
          </w:p>
        </w:tc>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(26,606 )</w:t>
            </w:r>
          </w:p>
        </w:tc>
      </w:tr>
      <w:tr>
        <w:trPr>
          <w:trHeight w:val="233"/>
        </w:trPr>
        <w:tc>
          <w:tcPr>
            <w:tcW w:w="4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(27,449 )</w:t>
            </w: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(38,920 )</w:t>
            </w:r>
          </w:p>
        </w:tc>
      </w:tr>
      <w:tr>
        <w:trPr>
          <w:trHeight w:val="20"/>
        </w:trPr>
        <w:tc>
          <w:tcPr>
            <w:tcW w:w="48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220" w:type="dxa"/>
            <w:vAlign w:val="bottom"/>
            <w:gridSpan w:val="2"/>
          </w:tcPr>
          <w:p>
            <w:pPr>
              <w:jc w:val="right"/>
              <w:ind w:right="200"/>
              <w:spacing w:after="0"/>
              <w:rPr>
                <w:sz w:val="20"/>
                <w:szCs w:val="20"/>
                <w:color w:val="auto"/>
              </w:rPr>
            </w:pPr>
            <w:r>
              <w:rPr>
                <w:rFonts w:ascii="Arial" w:cs="Arial" w:eastAsia="Arial" w:hAnsi="Arial"/>
                <w:sz w:val="16"/>
                <w:szCs w:val="16"/>
                <w:color w:val="auto"/>
              </w:rPr>
              <w:t>(92,975 )</w:t>
            </w:r>
          </w:p>
        </w:tc>
        <w:tc>
          <w:tcPr>
            <w:tcW w:w="2160" w:type="dxa"/>
            <w:vAlign w:val="bottom"/>
            <w:gridSpan w:val="2"/>
          </w:tcPr>
          <w:p>
            <w:pPr>
              <w:jc w:val="right"/>
              <w:ind w:right="40"/>
              <w:spacing w:after="0"/>
              <w:rPr>
                <w:sz w:val="20"/>
                <w:szCs w:val="20"/>
                <w:color w:val="auto"/>
              </w:rPr>
            </w:pPr>
            <w:r>
              <w:rPr>
                <w:rFonts w:ascii="Arial" w:cs="Arial" w:eastAsia="Arial" w:hAnsi="Arial"/>
                <w:sz w:val="16"/>
                <w:szCs w:val="16"/>
                <w:color w:val="auto"/>
              </w:rPr>
              <w:t>(65,526 )</w:t>
            </w:r>
          </w:p>
        </w:tc>
      </w:tr>
      <w:tr>
        <w:trPr>
          <w:trHeight w:val="20"/>
        </w:trPr>
        <w:tc>
          <w:tcPr>
            <w:tcW w:w="48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7"/>
        </w:trPr>
        <w:tc>
          <w:tcPr>
            <w:tcW w:w="48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June 30, 2023</w:t>
            </w:r>
          </w:p>
        </w:tc>
        <w:tc>
          <w:tcPr>
            <w:tcW w:w="26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 2022</w:t>
            </w:r>
          </w:p>
        </w:tc>
        <w:tc>
          <w:tcPr>
            <w:tcW w:w="120" w:type="dxa"/>
            <w:vAlign w:val="bottom"/>
          </w:tcPr>
          <w:p>
            <w:pPr>
              <w:spacing w:after="0"/>
              <w:rPr>
                <w:sz w:val="24"/>
                <w:szCs w:val="2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Cumulative Costs</w:t>
            </w:r>
          </w:p>
        </w:tc>
        <w:tc>
          <w:tcPr>
            <w:tcW w:w="222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w w:val="89"/>
              </w:rPr>
              <w:t>€</w:t>
            </w:r>
          </w:p>
        </w:tc>
        <w:tc>
          <w:tcPr>
            <w:tcW w:w="21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w:t>
            </w:r>
          </w:p>
        </w:tc>
      </w:tr>
      <w:tr>
        <w:trPr>
          <w:trHeight w:val="240"/>
        </w:trPr>
        <w:tc>
          <w:tcPr>
            <w:tcW w:w="482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1960" w:type="dxa"/>
            <w:vAlign w:val="bottom"/>
          </w:tcPr>
          <w:p>
            <w:pPr>
              <w:jc w:val="right"/>
              <w:spacing w:after="0"/>
              <w:rPr>
                <w:sz w:val="20"/>
                <w:szCs w:val="20"/>
                <w:color w:val="auto"/>
              </w:rPr>
            </w:pPr>
            <w:r>
              <w:rPr>
                <w:rFonts w:ascii="Arial" w:cs="Arial" w:eastAsia="Arial" w:hAnsi="Arial"/>
                <w:sz w:val="16"/>
                <w:szCs w:val="16"/>
                <w:color w:val="auto"/>
              </w:rPr>
              <w:t>259,000</w:t>
            </w: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134,704</w:t>
            </w:r>
          </w:p>
        </w:tc>
        <w:tc>
          <w:tcPr>
            <w:tcW w:w="120" w:type="dxa"/>
            <w:vAlign w:val="bottom"/>
          </w:tcPr>
          <w:p>
            <w:pPr>
              <w:spacing w:after="0"/>
              <w:rPr>
                <w:sz w:val="20"/>
                <w:szCs w:val="20"/>
                <w:color w:val="auto"/>
              </w:rPr>
            </w:pPr>
          </w:p>
        </w:tc>
      </w:tr>
      <w:tr>
        <w:trPr>
          <w:trHeight w:val="233"/>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Additions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54,113</w:t>
            </w:r>
          </w:p>
        </w:tc>
        <w:tc>
          <w:tcPr>
            <w:tcW w:w="26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124,296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313,113</w:t>
            </w:r>
          </w:p>
        </w:tc>
        <w:tc>
          <w:tcPr>
            <w:tcW w:w="26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259,000</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-2039620</wp:posOffset>
            </wp:positionV>
            <wp:extent cx="77470" cy="4800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4800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-2039620</wp:posOffset>
            </wp:positionV>
            <wp:extent cx="77470" cy="4800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4800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77470" cy="4883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4883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-1122045</wp:posOffset>
            </wp:positionV>
            <wp:extent cx="77470" cy="4883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4883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-179070</wp:posOffset>
            </wp:positionV>
            <wp:extent cx="7747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-179070</wp:posOffset>
            </wp:positionV>
            <wp:extent cx="7747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321"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During the six months ended June 30, 2023, the Group acquired assets with a cost of €54,113 (2022: €49,739). The acquisitions were mainly related to equipment, tools and installations.</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Depreciation expense related to property and equipment for the three and six months ended June 30, 2023 was €14,161 and €27,449, respectively, and for the three and six months ended June 30, 2022 was €8,448 and €15,992,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Group’s right-of-use assets:</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1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June 30, 2023</w:t>
            </w:r>
          </w:p>
        </w:tc>
        <w:tc>
          <w:tcPr>
            <w:tcW w:w="280" w:type="dxa"/>
            <w:vAlign w:val="bottom"/>
          </w:tcPr>
          <w:p>
            <w:pPr>
              <w:spacing w:after="0"/>
              <w:rPr>
                <w:sz w:val="19"/>
                <w:szCs w:val="19"/>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December 31, 2022</w:t>
            </w:r>
          </w:p>
        </w:tc>
        <w:tc>
          <w:tcPr>
            <w:tcW w:w="120" w:type="dxa"/>
            <w:vAlign w:val="bottom"/>
          </w:tcPr>
          <w:p>
            <w:pPr>
              <w:spacing w:after="0"/>
              <w:rPr>
                <w:sz w:val="19"/>
                <w:szCs w:val="19"/>
                <w:color w:val="auto"/>
              </w:rPr>
            </w:pPr>
          </w:p>
        </w:tc>
      </w:tr>
      <w:tr>
        <w:trPr>
          <w:trHeight w:val="220"/>
        </w:trPr>
        <w:tc>
          <w:tcPr>
            <w:tcW w:w="7180" w:type="dxa"/>
            <w:vAlign w:val="bottom"/>
          </w:tcPr>
          <w:p>
            <w:pPr>
              <w:spacing w:after="0"/>
              <w:rPr>
                <w:sz w:val="19"/>
                <w:szCs w:val="19"/>
                <w:color w:val="auto"/>
              </w:rPr>
            </w:pPr>
          </w:p>
        </w:tc>
        <w:tc>
          <w:tcPr>
            <w:tcW w:w="2100" w:type="dxa"/>
            <w:vAlign w:val="bottom"/>
            <w:gridSpan w:val="2"/>
          </w:tcPr>
          <w:p>
            <w:pPr>
              <w:jc w:val="right"/>
              <w:ind w:right="114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r>
      <w:tr>
        <w:trPr>
          <w:trHeight w:val="23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period</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432,965</w:t>
            </w:r>
          </w:p>
        </w:tc>
        <w:tc>
          <w:tcPr>
            <w:tcW w:w="28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120" w:type="dxa"/>
            <w:vAlign w:val="bottom"/>
            <w:shd w:val="clear" w:color="auto" w:fill="CFF0FC"/>
          </w:tcPr>
          <w:p>
            <w:pPr>
              <w:spacing w:after="0"/>
              <w:rPr>
                <w:sz w:val="20"/>
                <w:szCs w:val="20"/>
                <w:color w:val="auto"/>
              </w:rPr>
            </w:pPr>
          </w:p>
        </w:tc>
      </w:tr>
      <w:tr>
        <w:trPr>
          <w:trHeight w:val="220"/>
        </w:trPr>
        <w:tc>
          <w:tcPr>
            <w:tcW w:w="7180" w:type="dxa"/>
            <w:vAlign w:val="bottom"/>
          </w:tcPr>
          <w:p>
            <w:pPr>
              <w:ind w:left="20"/>
              <w:spacing w:after="0"/>
              <w:rPr>
                <w:sz w:val="20"/>
                <w:szCs w:val="20"/>
                <w:color w:val="auto"/>
              </w:rPr>
            </w:pPr>
            <w:r>
              <w:rPr>
                <w:rFonts w:ascii="Arial" w:cs="Arial" w:eastAsia="Arial" w:hAnsi="Arial"/>
                <w:sz w:val="16"/>
                <w:szCs w:val="16"/>
                <w:color w:val="auto"/>
              </w:rPr>
              <w:t>Addition</w:t>
            </w:r>
          </w:p>
        </w:tc>
        <w:tc>
          <w:tcPr>
            <w:tcW w:w="2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303,734</w:t>
            </w:r>
          </w:p>
        </w:tc>
        <w:tc>
          <w:tcPr>
            <w:tcW w:w="120" w:type="dxa"/>
            <w:vAlign w:val="bottom"/>
          </w:tcPr>
          <w:p>
            <w:pPr>
              <w:spacing w:after="0"/>
              <w:rPr>
                <w:sz w:val="19"/>
                <w:szCs w:val="19"/>
                <w:color w:val="auto"/>
              </w:rPr>
            </w:pPr>
          </w:p>
        </w:tc>
      </w:tr>
      <w:tr>
        <w:trPr>
          <w:trHeight w:val="23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charges</w:t>
            </w: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(96,144 )</w:t>
            </w: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(114,020 )</w:t>
            </w: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color w:val="auto"/>
              </w:rPr>
              <w:t>Impact of transaction of foreign currency</w:t>
            </w:r>
          </w:p>
        </w:tc>
        <w:tc>
          <w:tcPr>
            <w:tcW w:w="2100" w:type="dxa"/>
            <w:vAlign w:val="bottom"/>
            <w:gridSpan w:val="2"/>
          </w:tcPr>
          <w:p>
            <w:pPr>
              <w:jc w:val="right"/>
              <w:ind w:right="220"/>
              <w:spacing w:after="0"/>
              <w:rPr>
                <w:sz w:val="20"/>
                <w:szCs w:val="20"/>
                <w:color w:val="auto"/>
              </w:rPr>
            </w:pPr>
            <w:r>
              <w:rPr>
                <w:rFonts w:ascii="Arial" w:cs="Arial" w:eastAsia="Arial" w:hAnsi="Arial"/>
                <w:sz w:val="16"/>
                <w:szCs w:val="16"/>
                <w:color w:val="auto"/>
              </w:rPr>
              <w:t>(2,581 )</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6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end of period</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334,240</w:t>
            </w:r>
          </w:p>
        </w:tc>
        <w:tc>
          <w:tcPr>
            <w:tcW w:w="28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432,965</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180"/>
          </w:cols>
          <w:pgMar w:left="320" w:top="724" w:right="3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lease liabilities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Office leases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portion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720" w:val="left"/>
        </w:tabs>
        <w:rPr>
          <w:sz w:val="20"/>
          <w:szCs w:val="20"/>
          <w:color w:val="auto"/>
        </w:rPr>
      </w:pPr>
      <w:r>
        <w:rPr>
          <w:rFonts w:ascii="Arial" w:cs="Arial" w:eastAsia="Arial" w:hAnsi="Arial"/>
          <w:sz w:val="16"/>
          <w:szCs w:val="16"/>
          <w:color w:val="auto"/>
        </w:rPr>
        <w:t>June 30,</w:t>
      </w:r>
      <w:r>
        <w:rPr>
          <w:sz w:val="20"/>
          <w:szCs w:val="20"/>
          <w:color w:val="auto"/>
        </w:rPr>
        <w:tab/>
      </w:r>
      <w:r>
        <w:rPr>
          <w:rFonts w:ascii="Arial" w:cs="Arial" w:eastAsia="Arial" w:hAnsi="Arial"/>
          <w:sz w:val="14"/>
          <w:szCs w:val="14"/>
          <w:color w:val="auto"/>
        </w:rPr>
        <w:t>December 31,</w:t>
      </w:r>
    </w:p>
    <w:p>
      <w:pPr>
        <w:spacing w:after="0" w:line="22"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6"/>
          <w:szCs w:val="16"/>
          <w:color w:val="auto"/>
        </w:rPr>
        <w:t>2023</w:t>
      </w:r>
      <w:r>
        <w:rPr>
          <w:sz w:val="20"/>
          <w:szCs w:val="20"/>
          <w:color w:val="auto"/>
        </w:rPr>
        <w:tab/>
      </w: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24130</wp:posOffset>
            </wp:positionV>
            <wp:extent cx="22459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240"/>
        <w:spacing w:after="0"/>
        <w:tabs>
          <w:tab w:leader="none" w:pos="2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46" w:lineRule="exact"/>
        <w:rPr>
          <w:sz w:val="20"/>
          <w:szCs w:val="20"/>
          <w:color w:val="auto"/>
        </w:rPr>
      </w:pPr>
    </w:p>
    <w:p>
      <w:pPr>
        <w:jc w:val="right"/>
        <w:spacing w:after="0"/>
        <w:tabs>
          <w:tab w:leader="none" w:pos="660" w:val="left"/>
        </w:tabs>
        <w:rPr>
          <w:sz w:val="20"/>
          <w:szCs w:val="20"/>
          <w:color w:val="auto"/>
        </w:rPr>
      </w:pPr>
      <w:r>
        <w:rPr>
          <w:rFonts w:ascii="Arial" w:cs="Arial" w:eastAsia="Arial" w:hAnsi="Arial"/>
          <w:sz w:val="16"/>
          <w:szCs w:val="16"/>
          <w:color w:val="auto"/>
        </w:rPr>
        <w:t>(338,428 )</w:t>
      </w:r>
      <w:r>
        <w:rPr>
          <w:sz w:val="20"/>
          <w:szCs w:val="20"/>
          <w:color w:val="auto"/>
        </w:rPr>
        <w:tab/>
      </w:r>
      <w:r>
        <w:rPr>
          <w:rFonts w:ascii="Arial" w:cs="Arial" w:eastAsia="Arial" w:hAnsi="Arial"/>
          <w:sz w:val="14"/>
          <w:szCs w:val="14"/>
          <w:color w:val="auto"/>
        </w:rPr>
        <w:t>(436,822 )</w:t>
      </w:r>
    </w:p>
    <w:p>
      <w:pPr>
        <w:spacing w:after="0" w:line="46" w:lineRule="exact"/>
        <w:rPr>
          <w:sz w:val="20"/>
          <w:szCs w:val="20"/>
          <w:color w:val="auto"/>
        </w:rPr>
      </w:pPr>
    </w:p>
    <w:p>
      <w:pPr>
        <w:jc w:val="right"/>
        <w:spacing w:after="0"/>
        <w:tabs>
          <w:tab w:leader="none" w:pos="660" w:val="left"/>
        </w:tabs>
        <w:rPr>
          <w:sz w:val="20"/>
          <w:szCs w:val="20"/>
          <w:color w:val="auto"/>
        </w:rPr>
      </w:pPr>
      <w:r>
        <w:rPr>
          <w:rFonts w:ascii="Arial" w:cs="Arial" w:eastAsia="Arial" w:hAnsi="Arial"/>
          <w:sz w:val="16"/>
          <w:szCs w:val="16"/>
          <w:color w:val="auto"/>
        </w:rPr>
        <w:t>(338,428 )</w:t>
      </w:r>
      <w:r>
        <w:rPr>
          <w:sz w:val="20"/>
          <w:szCs w:val="20"/>
          <w:color w:val="auto"/>
        </w:rPr>
        <w:tab/>
      </w:r>
      <w:r>
        <w:rPr>
          <w:rFonts w:ascii="Arial" w:cs="Arial" w:eastAsia="Arial" w:hAnsi="Arial"/>
          <w:sz w:val="14"/>
          <w:szCs w:val="14"/>
          <w:color w:val="auto"/>
        </w:rPr>
        <w:t>(436,822 )</w:t>
      </w:r>
    </w:p>
    <w:p>
      <w:pPr>
        <w:spacing w:after="0" w:line="42" w:lineRule="exact"/>
        <w:rPr>
          <w:sz w:val="20"/>
          <w:szCs w:val="20"/>
          <w:color w:val="auto"/>
        </w:rPr>
      </w:pPr>
    </w:p>
    <w:p>
      <w:pPr>
        <w:jc w:val="right"/>
        <w:spacing w:after="0"/>
        <w:tabs>
          <w:tab w:leader="none" w:pos="660" w:val="left"/>
        </w:tabs>
        <w:rPr>
          <w:sz w:val="20"/>
          <w:szCs w:val="20"/>
          <w:color w:val="auto"/>
        </w:rPr>
      </w:pPr>
      <w:r>
        <w:rPr>
          <w:rFonts w:ascii="Arial" w:cs="Arial" w:eastAsia="Arial" w:hAnsi="Arial"/>
          <w:sz w:val="16"/>
          <w:szCs w:val="16"/>
          <w:b w:val="1"/>
          <w:bCs w:val="1"/>
          <w:color w:val="auto"/>
        </w:rPr>
        <w:t>(228,120 )</w:t>
      </w:r>
      <w:r>
        <w:rPr>
          <w:sz w:val="20"/>
          <w:szCs w:val="20"/>
          <w:color w:val="auto"/>
        </w:rPr>
        <w:tab/>
      </w:r>
      <w:r>
        <w:rPr>
          <w:rFonts w:ascii="Arial" w:cs="Arial" w:eastAsia="Arial" w:hAnsi="Arial"/>
          <w:sz w:val="14"/>
          <w:szCs w:val="14"/>
          <w:b w:val="1"/>
          <w:bCs w:val="1"/>
          <w:color w:val="auto"/>
        </w:rPr>
        <w:t>(187,404 )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29210</wp:posOffset>
            </wp:positionV>
            <wp:extent cx="22459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9" w:lineRule="exact"/>
        <w:rPr>
          <w:sz w:val="20"/>
          <w:szCs w:val="20"/>
          <w:color w:val="auto"/>
        </w:rPr>
      </w:pPr>
    </w:p>
    <w:p>
      <w:pPr>
        <w:jc w:val="right"/>
        <w:spacing w:after="0"/>
        <w:tabs>
          <w:tab w:leader="none" w:pos="660" w:val="left"/>
        </w:tabs>
        <w:rPr>
          <w:sz w:val="20"/>
          <w:szCs w:val="20"/>
          <w:color w:val="auto"/>
        </w:rPr>
      </w:pPr>
      <w:r>
        <w:rPr>
          <w:rFonts w:ascii="Arial" w:cs="Arial" w:eastAsia="Arial" w:hAnsi="Arial"/>
          <w:sz w:val="16"/>
          <w:szCs w:val="16"/>
          <w:b w:val="1"/>
          <w:bCs w:val="1"/>
          <w:color w:val="auto"/>
        </w:rPr>
        <w:t>(110,308 )</w:t>
      </w:r>
      <w:r>
        <w:rPr>
          <w:sz w:val="20"/>
          <w:szCs w:val="20"/>
          <w:color w:val="auto"/>
        </w:rPr>
        <w:tab/>
      </w:r>
      <w:r>
        <w:rPr>
          <w:rFonts w:ascii="Arial" w:cs="Arial" w:eastAsia="Arial" w:hAnsi="Arial"/>
          <w:sz w:val="14"/>
          <w:szCs w:val="14"/>
          <w:b w:val="1"/>
          <w:bCs w:val="1"/>
          <w:color w:val="auto"/>
        </w:rPr>
        <w:t>(249,418 )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29210</wp:posOffset>
            </wp:positionV>
            <wp:extent cx="224599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45995" cy="2540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380" w:space="720"/>
            <w:col w:w="3080"/>
          </w:cols>
          <w:pgMar w:left="320" w:top="724" w:right="399" w:bottom="1440" w:gutter="0" w:footer="0" w:header="0"/>
          <w:type w:val="continuous"/>
        </w:sectPr>
      </w:pPr>
    </w:p>
    <w:p>
      <w:pPr>
        <w:ind w:right="20"/>
        <w:spacing w:after="0" w:line="276" w:lineRule="auto"/>
        <w:rPr>
          <w:sz w:val="20"/>
          <w:szCs w:val="20"/>
          <w:color w:val="auto"/>
        </w:rPr>
      </w:pPr>
      <w:r>
        <w:rPr>
          <w:rFonts w:ascii="Arial" w:cs="Arial" w:eastAsia="Arial" w:hAnsi="Arial"/>
          <w:sz w:val="16"/>
          <w:szCs w:val="16"/>
          <w:color w:val="auto"/>
        </w:rPr>
        <w:t>Office leases consist of a lease agreement entered into on June 1, 2021 for office space in Lexington, United States of America, and a lease entered into on December 1, 2022, for offices in Leiden, The Netherlands. Both leases have terms of three years and were assessed as being long-term.</w:t>
      </w:r>
    </w:p>
    <w:p>
      <w:pPr>
        <w:spacing w:after="0" w:line="6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average incremental borrowing rate applied to the lease liabilities was 7.77% during the six months ended June 30, 2023 (2022: 3.12%). Cash outflows related to leases during the three and six months ended June 30, 2023, were</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24"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€33,497 and €90,249, respectively, and for the three and six months ended June 30, 2022, were €16,022 and €38,428,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June 30,</w:t>
            </w:r>
          </w:p>
        </w:tc>
        <w:tc>
          <w:tcPr>
            <w:tcW w:w="30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9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VAT receivables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334,299</w:t>
            </w:r>
          </w:p>
        </w:tc>
        <w:tc>
          <w:tcPr>
            <w:tcW w:w="30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382,468</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334,299</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382,468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11. Other current assets</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5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7560" w:type="dxa"/>
            <w:vAlign w:val="bottom"/>
          </w:tcPr>
          <w:p>
            <w:pPr>
              <w:spacing w:after="0"/>
              <w:rPr>
                <w:sz w:val="24"/>
                <w:szCs w:val="24"/>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June 30,</w:t>
            </w:r>
          </w:p>
        </w:tc>
        <w:tc>
          <w:tcPr>
            <w:tcW w:w="300" w:type="dxa"/>
            <w:vAlign w:val="bottom"/>
          </w:tcPr>
          <w:p>
            <w:pPr>
              <w:spacing w:after="0"/>
              <w:rPr>
                <w:sz w:val="24"/>
                <w:szCs w:val="24"/>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9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8,533,998</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4,044,255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948,475</w:t>
            </w:r>
          </w:p>
        </w:tc>
        <w:tc>
          <w:tcPr>
            <w:tcW w:w="3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5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9,482,473</w:t>
            </w:r>
          </w:p>
        </w:tc>
        <w:tc>
          <w:tcPr>
            <w:tcW w:w="30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-1645285</wp:posOffset>
            </wp:positionV>
            <wp:extent cx="8572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-1645285</wp:posOffset>
            </wp:positionV>
            <wp:extent cx="8572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R&amp;D expenses and rent.</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Other assets mainly consist of deferred transaction costs related to Group’s in-process equity financing. The company defers the transaction costs related to any in-process financing. Upon recognition of the equity instruments, the related transaction costs are deducted from share premium.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of cash in bank and are not subject to any restriction.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16" w:lineRule="exact"/>
        <w:rPr>
          <w:sz w:val="20"/>
          <w:szCs w:val="20"/>
          <w:color w:val="auto"/>
        </w:rPr>
      </w:pPr>
    </w:p>
    <w:p>
      <w:pPr>
        <w:jc w:val="both"/>
        <w:ind w:right="400"/>
        <w:spacing w:after="0" w:line="261" w:lineRule="auto"/>
        <w:rPr>
          <w:sz w:val="20"/>
          <w:szCs w:val="20"/>
          <w:color w:val="auto"/>
        </w:rPr>
      </w:pPr>
      <w:r>
        <w:rPr>
          <w:rFonts w:ascii="Arial" w:cs="Arial" w:eastAsia="Arial" w:hAnsi="Arial"/>
          <w:sz w:val="16"/>
          <w:szCs w:val="16"/>
          <w:color w:val="auto"/>
        </w:rPr>
        <w:t>In June 30, 2023, the Company’s authorized share capital amounted to €14,100,000 divided into 58,750,000 ordinary shares and 58,750,000 preferred shares, each with a nominal value of €0.12. As of June 30, 2023 and 2022, the total number of ordinary shares issued was 40,822,916 and 33,765,967, respectively. As of December 31, 2022, the total number of issued shares was 33,816,459.</w:t>
      </w:r>
    </w:p>
    <w:p>
      <w:pPr>
        <w:spacing w:after="0" w:line="75"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As of June 30, 2023, and 2022, the issued share capital totaled €4,898,751 and €4,051,916, respectively. On December 31, 2022, the issued share capital totaled €4,057,976.</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relating to an at-the-market program providing for the sales from time to time of up to $75 million of its ordinary shares pursuant to a Sales Agreement with Leerink Partners. As of June 30, 2023, the Company has sold a total of 588,100 ordinary shares in two different transactions under the sales agreement generating total net proceeds of $9,698,504 (€9.2 million), after deducting $299,954 (€308,000), which was payable to Leerink Partners as commission in respect of such sales.</w:t>
      </w:r>
    </w:p>
    <w:p>
      <w:pPr>
        <w:spacing w:after="0" w:line="79"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(€64.1 million).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7"/>
              </w:rPr>
              <w:t>June 30,</w:t>
            </w:r>
          </w:p>
        </w:tc>
        <w:tc>
          <w:tcPr>
            <w:tcW w:w="3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December 31,</w:t>
            </w:r>
          </w:p>
        </w:tc>
        <w:tc>
          <w:tcPr>
            <w:tcW w:w="140" w:type="dxa"/>
            <w:vAlign w:val="bottom"/>
          </w:tcPr>
          <w:p>
            <w:pPr>
              <w:spacing w:after="0"/>
              <w:rPr>
                <w:sz w:val="17"/>
                <w:szCs w:val="17"/>
                <w:color w:val="auto"/>
              </w:rPr>
            </w:pPr>
          </w:p>
        </w:tc>
      </w:tr>
      <w:tr>
        <w:trPr>
          <w:trHeight w:val="219"/>
        </w:trPr>
        <w:tc>
          <w:tcPr>
            <w:tcW w:w="75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9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2022</w:t>
            </w:r>
          </w:p>
        </w:tc>
        <w:tc>
          <w:tcPr>
            <w:tcW w:w="140" w:type="dxa"/>
            <w:vAlign w:val="bottom"/>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1"/>
              </w:rPr>
              <w:t>Number of shares</w:t>
            </w: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1"/>
              </w:rPr>
              <w:t>Number of shares</w:t>
            </w:r>
          </w:p>
        </w:tc>
        <w:tc>
          <w:tcPr>
            <w:tcW w:w="14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40,822,916</w:t>
            </w:r>
          </w:p>
        </w:tc>
        <w:tc>
          <w:tcPr>
            <w:tcW w:w="30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33,816,459</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40,822,916</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33,816,459</w:t>
            </w:r>
          </w:p>
        </w:tc>
        <w:tc>
          <w:tcPr>
            <w:tcW w:w="14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-179705</wp:posOffset>
            </wp:positionV>
            <wp:extent cx="85725"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14. Trade and other payables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June 30,</w:t>
            </w:r>
          </w:p>
        </w:tc>
        <w:tc>
          <w:tcPr>
            <w:tcW w:w="30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40" w:type="dxa"/>
            <w:vAlign w:val="bottom"/>
          </w:tcPr>
          <w:p>
            <w:pPr>
              <w:spacing w:after="0"/>
              <w:rPr>
                <w:sz w:val="17"/>
                <w:szCs w:val="17"/>
                <w:color w:val="auto"/>
              </w:rPr>
            </w:pPr>
          </w:p>
        </w:tc>
      </w:tr>
      <w:tr>
        <w:trPr>
          <w:trHeight w:val="219"/>
        </w:trPr>
        <w:tc>
          <w:tcPr>
            <w:tcW w:w="75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2023</w:t>
            </w:r>
          </w:p>
        </w:tc>
        <w:tc>
          <w:tcPr>
            <w:tcW w:w="1920" w:type="dxa"/>
            <w:vAlign w:val="bottom"/>
            <w:gridSpan w:val="2"/>
          </w:tcPr>
          <w:p>
            <w:pPr>
              <w:jc w:val="right"/>
              <w:ind w:right="55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20"/>
        </w:trPr>
        <w:tc>
          <w:tcPr>
            <w:tcW w:w="75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4,648,105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5,979,168</w:t>
            </w:r>
          </w:p>
        </w:tc>
        <w:tc>
          <w:tcPr>
            <w:tcW w:w="140" w:type="dxa"/>
            <w:vAlign w:val="bottom"/>
            <w:shd w:val="clear" w:color="auto" w:fill="CFF0FC"/>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629,511</w:t>
            </w:r>
          </w:p>
        </w:tc>
        <w:tc>
          <w:tcPr>
            <w:tcW w:w="3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705,912</w:t>
            </w:r>
          </w:p>
        </w:tc>
        <w:tc>
          <w:tcPr>
            <w:tcW w:w="140" w:type="dxa"/>
            <w:vAlign w:val="bottom"/>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5,277,616</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6,685,080</w:t>
            </w:r>
          </w:p>
        </w:tc>
        <w:tc>
          <w:tcPr>
            <w:tcW w:w="14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color w:val="auto"/>
              </w:rPr>
              <w:t>June 30,</w:t>
            </w:r>
          </w:p>
        </w:tc>
        <w:tc>
          <w:tcPr>
            <w:tcW w:w="300" w:type="dxa"/>
            <w:vAlign w:val="bottom"/>
          </w:tcPr>
          <w:p>
            <w:pPr>
              <w:spacing w:after="0"/>
              <w:rPr>
                <w:sz w:val="17"/>
                <w:szCs w:val="17"/>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40" w:type="dxa"/>
            <w:vAlign w:val="bottom"/>
          </w:tcPr>
          <w:p>
            <w:pPr>
              <w:spacing w:after="0"/>
              <w:rPr>
                <w:sz w:val="17"/>
                <w:szCs w:val="17"/>
                <w:color w:val="auto"/>
              </w:rPr>
            </w:pPr>
          </w:p>
        </w:tc>
      </w:tr>
      <w:tr>
        <w:trPr>
          <w:trHeight w:val="219"/>
        </w:trPr>
        <w:tc>
          <w:tcPr>
            <w:tcW w:w="75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2023</w:t>
            </w:r>
          </w:p>
        </w:tc>
        <w:tc>
          <w:tcPr>
            <w:tcW w:w="1920" w:type="dxa"/>
            <w:vAlign w:val="bottom"/>
            <w:gridSpan w:val="2"/>
          </w:tcPr>
          <w:p>
            <w:pPr>
              <w:jc w:val="right"/>
              <w:ind w:right="559"/>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r>
      <w:tr>
        <w:trPr>
          <w:trHeight w:val="220"/>
        </w:trPr>
        <w:tc>
          <w:tcPr>
            <w:tcW w:w="75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1,010,867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642,662</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3,805,760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3,824,468</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1,748,687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2,285,584</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Pre-clinical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2,917,552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885,030</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404,931</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2,971,068</w:t>
            </w:r>
          </w:p>
        </w:tc>
        <w:tc>
          <w:tcPr>
            <w:tcW w:w="140" w:type="dxa"/>
            <w:vAlign w:val="bottom"/>
            <w:shd w:val="clear" w:color="auto" w:fill="CFF0FC"/>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353,120</w:t>
            </w:r>
          </w:p>
        </w:tc>
        <w:tc>
          <w:tcPr>
            <w:tcW w:w="3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281,937</w:t>
            </w:r>
          </w:p>
        </w:tc>
        <w:tc>
          <w:tcPr>
            <w:tcW w:w="140" w:type="dxa"/>
            <w:vAlign w:val="bottom"/>
          </w:tcPr>
          <w:p>
            <w:pPr>
              <w:spacing w:after="0"/>
              <w:rPr>
                <w:sz w:val="19"/>
                <w:szCs w:val="19"/>
                <w:color w:val="auto"/>
              </w:rPr>
            </w:pPr>
          </w:p>
        </w:tc>
      </w:tr>
      <w:tr>
        <w:trPr>
          <w:trHeight w:val="263"/>
        </w:trPr>
        <w:tc>
          <w:tcPr>
            <w:tcW w:w="756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10,240,917</w:t>
            </w:r>
          </w:p>
        </w:tc>
        <w:tc>
          <w:tcPr>
            <w:tcW w:w="30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16"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16"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Fair values of cash and cash equivalents, trade receivables, trade payables, and other current liabilities approximate their carrying amounts largely due to the short-term maturities of these instruments.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six months ended June 30,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00" w:type="dxa"/>
            <w:vAlign w:val="bottom"/>
          </w:tcPr>
          <w:p>
            <w:pPr>
              <w:spacing w:after="0"/>
              <w:rPr>
                <w:sz w:val="19"/>
                <w:szCs w:val="19"/>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color w:val="auto"/>
                <w:w w:val="94"/>
              </w:rPr>
              <w:t>Stock Options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RSUs</w:t>
            </w:r>
          </w:p>
        </w:tc>
      </w:tr>
      <w:tr>
        <w:trPr>
          <w:trHeight w:val="206"/>
        </w:trPr>
        <w:tc>
          <w:tcPr>
            <w:tcW w:w="64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w w:val="91"/>
              </w:rPr>
              <w:t>Weighted</w:t>
            </w: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color w:val="auto"/>
                <w:w w:val="86"/>
              </w:rPr>
              <w:t>average</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2020" w:type="dxa"/>
            <w:vAlign w:val="bottom"/>
            <w:gridSpan w:val="3"/>
          </w:tcPr>
          <w:p>
            <w:pPr>
              <w:jc w:val="center"/>
              <w:ind w:right="620"/>
              <w:spacing w:after="0"/>
              <w:rPr>
                <w:sz w:val="20"/>
                <w:szCs w:val="20"/>
                <w:color w:val="auto"/>
              </w:rPr>
            </w:pPr>
            <w:r>
              <w:rPr>
                <w:rFonts w:ascii="Arial" w:cs="Arial" w:eastAsia="Arial" w:hAnsi="Arial"/>
                <w:sz w:val="16"/>
                <w:szCs w:val="16"/>
                <w:color w:val="auto"/>
                <w:w w:val="92"/>
              </w:rPr>
              <w:t>Outstanding</w:t>
            </w:r>
          </w:p>
        </w:tc>
        <w:tc>
          <w:tcPr>
            <w:tcW w:w="1020" w:type="dxa"/>
            <w:vAlign w:val="bottom"/>
          </w:tcPr>
          <w:p>
            <w:pPr>
              <w:jc w:val="center"/>
              <w:ind w:right="279"/>
              <w:spacing w:after="0"/>
              <w:rPr>
                <w:sz w:val="20"/>
                <w:szCs w:val="20"/>
                <w:color w:val="auto"/>
              </w:rPr>
            </w:pPr>
            <w:r>
              <w:rPr>
                <w:rFonts w:ascii="Arial" w:cs="Arial" w:eastAsia="Arial" w:hAnsi="Arial"/>
                <w:sz w:val="16"/>
                <w:szCs w:val="16"/>
                <w:color w:val="auto"/>
                <w:w w:val="90"/>
              </w:rPr>
              <w:t>exercise</w:t>
            </w:r>
          </w:p>
        </w:tc>
        <w:tc>
          <w:tcPr>
            <w:tcW w:w="28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Outstanding</w:t>
            </w:r>
          </w:p>
        </w:tc>
      </w:tr>
      <w:tr>
        <w:trPr>
          <w:trHeight w:val="219"/>
        </w:trPr>
        <w:tc>
          <w:tcPr>
            <w:tcW w:w="6400" w:type="dxa"/>
            <w:vAlign w:val="bottom"/>
          </w:tcPr>
          <w:p>
            <w:pPr>
              <w:spacing w:after="0"/>
              <w:rPr>
                <w:sz w:val="19"/>
                <w:szCs w:val="19"/>
                <w:color w:val="auto"/>
              </w:rPr>
            </w:pPr>
          </w:p>
        </w:tc>
        <w:tc>
          <w:tcPr>
            <w:tcW w:w="2020" w:type="dxa"/>
            <w:vAlign w:val="bottom"/>
            <w:gridSpan w:val="3"/>
          </w:tcPr>
          <w:p>
            <w:pPr>
              <w:jc w:val="center"/>
              <w:ind w:right="620"/>
              <w:spacing w:after="0"/>
              <w:rPr>
                <w:sz w:val="20"/>
                <w:szCs w:val="20"/>
                <w:color w:val="auto"/>
              </w:rPr>
            </w:pPr>
            <w:r>
              <w:rPr>
                <w:rFonts w:ascii="Arial" w:cs="Arial" w:eastAsia="Arial" w:hAnsi="Arial"/>
                <w:sz w:val="16"/>
                <w:szCs w:val="16"/>
                <w:color w:val="auto"/>
                <w:w w:val="92"/>
              </w:rPr>
              <w:t>options</w:t>
            </w:r>
          </w:p>
        </w:tc>
        <w:tc>
          <w:tcPr>
            <w:tcW w:w="1020" w:type="dxa"/>
            <w:vAlign w:val="bottom"/>
          </w:tcPr>
          <w:p>
            <w:pPr>
              <w:jc w:val="center"/>
              <w:ind w:right="259"/>
              <w:spacing w:after="0"/>
              <w:rPr>
                <w:sz w:val="20"/>
                <w:szCs w:val="20"/>
                <w:color w:val="auto"/>
              </w:rPr>
            </w:pPr>
            <w:r>
              <w:rPr>
                <w:rFonts w:ascii="Arial" w:cs="Arial" w:eastAsia="Arial" w:hAnsi="Arial"/>
                <w:sz w:val="16"/>
                <w:szCs w:val="16"/>
                <w:color w:val="auto"/>
                <w:w w:val="92"/>
              </w:rPr>
              <w:t>price</w:t>
            </w:r>
          </w:p>
        </w:tc>
        <w:tc>
          <w:tcPr>
            <w:tcW w:w="28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RSUs</w:t>
            </w:r>
          </w:p>
        </w:tc>
      </w:tr>
      <w:tr>
        <w:trPr>
          <w:trHeight w:val="220"/>
        </w:trPr>
        <w:tc>
          <w:tcPr>
            <w:tcW w:w="64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259"/>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January 1, 2023</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140" w:type="dxa"/>
            <w:vAlign w:val="bottom"/>
            <w:shd w:val="clear" w:color="auto" w:fill="CFF0FC"/>
          </w:tcPr>
          <w:p>
            <w:pPr>
              <w:spacing w:after="0"/>
              <w:rPr>
                <w:sz w:val="20"/>
                <w:szCs w:val="20"/>
                <w:color w:val="auto"/>
              </w:rPr>
            </w:pPr>
          </w:p>
        </w:tc>
      </w:tr>
      <w:tr>
        <w:trPr>
          <w:trHeight w:val="220"/>
        </w:trPr>
        <w:tc>
          <w:tcPr>
            <w:tcW w:w="6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spacing w:after="0"/>
              <w:rPr>
                <w:sz w:val="20"/>
                <w:szCs w:val="20"/>
                <w:color w:val="auto"/>
              </w:rPr>
            </w:pPr>
            <w:r>
              <w:rPr>
                <w:rFonts w:ascii="Arial" w:cs="Arial" w:eastAsia="Arial" w:hAnsi="Arial"/>
                <w:sz w:val="16"/>
                <w:szCs w:val="16"/>
                <w:color w:val="auto"/>
              </w:rPr>
              <w:t>846,000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413,988</w:t>
            </w:r>
          </w:p>
        </w:tc>
        <w:tc>
          <w:tcPr>
            <w:tcW w:w="140" w:type="dxa"/>
            <w:vAlign w:val="bottom"/>
          </w:tcPr>
          <w:p>
            <w:pPr>
              <w:spacing w:after="0"/>
              <w:rPr>
                <w:sz w:val="19"/>
                <w:szCs w:val="19"/>
                <w:color w:val="auto"/>
              </w:rPr>
            </w:pPr>
          </w:p>
        </w:tc>
      </w:tr>
      <w:tr>
        <w:trPr>
          <w:trHeight w:val="239"/>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2020" w:type="dxa"/>
            <w:vAlign w:val="bottom"/>
            <w:gridSpan w:val="3"/>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(73,410 )</w:t>
            </w:r>
          </w:p>
        </w:tc>
      </w:tr>
      <w:tr>
        <w:trPr>
          <w:trHeight w:val="223"/>
        </w:trPr>
        <w:tc>
          <w:tcPr>
            <w:tcW w:w="64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(42,875 )</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11.28</w:t>
            </w:r>
          </w:p>
        </w:tc>
        <w:tc>
          <w:tcPr>
            <w:tcW w:w="1800" w:type="dxa"/>
            <w:vAlign w:val="bottom"/>
            <w:gridSpan w:val="3"/>
          </w:tcPr>
          <w:p>
            <w:pPr>
              <w:jc w:val="right"/>
              <w:ind w:right="60"/>
              <w:spacing w:after="0"/>
              <w:rPr>
                <w:sz w:val="20"/>
                <w:szCs w:val="20"/>
                <w:color w:val="auto"/>
              </w:rPr>
            </w:pPr>
            <w:r>
              <w:rPr>
                <w:rFonts w:ascii="Arial" w:cs="Arial" w:eastAsia="Arial" w:hAnsi="Arial"/>
                <w:sz w:val="16"/>
                <w:szCs w:val="16"/>
                <w:color w:val="auto"/>
              </w:rPr>
              <w:t>(49,937 )</w:t>
            </w:r>
          </w:p>
        </w:tc>
      </w:tr>
      <w:tr>
        <w:trPr>
          <w:trHeight w:val="263"/>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June 30,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3,984,663</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10.34</w:t>
            </w:r>
          </w:p>
        </w:tc>
        <w:tc>
          <w:tcPr>
            <w:tcW w:w="2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1,086,335</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-25400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April 6, 2023, a total of 846,000 stock options were granted to members of the Board of Directors and Key management with an exercise price of $8.05 per share with a final exercise date of April 5, 2033, unless forfeited or exercised on an earlier date. 25% of the aggregate number of share options shall vest on April 5,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 total number of 2,065,270 stock options are exercisable (June 30, 2022: 1,287,099).</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6" w:name="page37"/>
    <w:bookmarkEnd w:id="36"/>
    <w:p>
      <w:pPr>
        <w:jc w:val="both"/>
        <w:ind w:right="320"/>
        <w:spacing w:after="0" w:line="261" w:lineRule="auto"/>
        <w:rPr>
          <w:sz w:val="20"/>
          <w:szCs w:val="20"/>
          <w:color w:val="auto"/>
        </w:rPr>
      </w:pPr>
      <w:r>
        <w:rPr>
          <w:rFonts w:ascii="Arial" w:cs="Arial" w:eastAsia="Arial" w:hAnsi="Arial"/>
          <w:sz w:val="16"/>
          <w:szCs w:val="16"/>
          <w:color w:val="auto"/>
        </w:rPr>
        <w:t>During the six months ended June 30, 2023 a total of 413,988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75"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 were February 1, 2023 ($9.50), March 1, 2023 ($8.29), April 3, 2023 ($7.82), April 6, 2023 ($8.05) and May 1, 2023 ($9.25), respectively.</w:t>
      </w:r>
    </w:p>
    <w:p>
      <w:pPr>
        <w:spacing w:after="0" w:line="75"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For the six months ended June 30, 2023, the Group recognized €5,299,814 of share-based payment expense in the unaudited condensed consolidated statement of income or loss and other comprehensive income (six months ended June 30, 2022: €5,089,777). For the three months ended June 30, 2023, the Group recognized € 2,716,927 of share-based payment expense in the unaudited condensed consolidated statement of income or loss and other comprehensive income (three months ended June 30, 2022: €3,142,839).</w:t>
      </w:r>
    </w:p>
    <w:p>
      <w:pPr>
        <w:spacing w:after="0" w:line="79"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20" w:type="dxa"/>
            <w:vAlign w:val="bottom"/>
            <w:gridSpan w:val="3"/>
          </w:tcPr>
          <w:p>
            <w:pPr>
              <w:ind w:left="480"/>
              <w:spacing w:after="0"/>
              <w:rPr>
                <w:sz w:val="20"/>
                <w:szCs w:val="20"/>
                <w:color w:val="auto"/>
              </w:rPr>
            </w:pPr>
            <w:r>
              <w:rPr>
                <w:rFonts w:ascii="Arial" w:cs="Arial" w:eastAsia="Arial" w:hAnsi="Arial"/>
                <w:sz w:val="16"/>
                <w:szCs w:val="16"/>
                <w:color w:val="auto"/>
              </w:rPr>
              <w:t>April 6,</w:t>
            </w:r>
          </w:p>
        </w:tc>
      </w:tr>
      <w:tr>
        <w:trPr>
          <w:trHeight w:val="219"/>
        </w:trPr>
        <w:tc>
          <w:tcPr>
            <w:tcW w:w="84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options</w:t>
            </w:r>
          </w:p>
        </w:tc>
        <w:tc>
          <w:tcPr>
            <w:tcW w:w="5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846,000</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8460" w:type="dxa"/>
            <w:vAlign w:val="bottom"/>
          </w:tcPr>
          <w:p>
            <w:pPr>
              <w:ind w:left="20"/>
              <w:spacing w:after="0"/>
              <w:rPr>
                <w:sz w:val="20"/>
                <w:szCs w:val="20"/>
                <w:color w:val="auto"/>
              </w:rPr>
            </w:pPr>
            <w:r>
              <w:rPr>
                <w:rFonts w:ascii="Arial" w:cs="Arial" w:eastAsia="Arial" w:hAnsi="Arial"/>
                <w:sz w:val="16"/>
                <w:szCs w:val="16"/>
                <w:color w:val="auto"/>
              </w:rPr>
              <w:t>Fair value of the options</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5.92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8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the ordinary shares</w:t>
            </w:r>
          </w:p>
        </w:tc>
        <w:tc>
          <w:tcPr>
            <w:tcW w:w="5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8460" w:type="dxa"/>
            <w:vAlign w:val="bottom"/>
          </w:tcPr>
          <w:p>
            <w:pPr>
              <w:ind w:left="20"/>
              <w:spacing w:after="0"/>
              <w:rPr>
                <w:sz w:val="20"/>
                <w:szCs w:val="20"/>
                <w:color w:val="auto"/>
              </w:rPr>
            </w:pPr>
            <w:r>
              <w:rPr>
                <w:rFonts w:ascii="Arial" w:cs="Arial" w:eastAsia="Arial" w:hAnsi="Arial"/>
                <w:sz w:val="16"/>
                <w:szCs w:val="16"/>
                <w:color w:val="auto"/>
              </w:rPr>
              <w:t>Exercise price</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7.38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8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volatility (%)</w:t>
            </w:r>
          </w:p>
        </w:tc>
        <w:tc>
          <w:tcPr>
            <w:tcW w:w="580" w:type="dxa"/>
            <w:vAlign w:val="bottom"/>
            <w:shd w:val="clear" w:color="auto" w:fill="CFF0FC"/>
          </w:tcPr>
          <w:p>
            <w:pPr>
              <w:spacing w:after="0"/>
              <w:rPr>
                <w:sz w:val="20"/>
                <w:szCs w:val="20"/>
                <w:color w:val="auto"/>
              </w:rPr>
            </w:pP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20"/>
                <w:szCs w:val="20"/>
                <w:color w:val="auto"/>
              </w:rPr>
            </w:pPr>
          </w:p>
        </w:tc>
      </w:tr>
      <w:tr>
        <w:trPr>
          <w:trHeight w:val="220"/>
        </w:trPr>
        <w:tc>
          <w:tcPr>
            <w:tcW w:w="846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5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8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 (%)</w:t>
            </w:r>
          </w:p>
        </w:tc>
        <w:tc>
          <w:tcPr>
            <w:tcW w:w="580" w:type="dxa"/>
            <w:vAlign w:val="bottom"/>
            <w:shd w:val="clear" w:color="auto" w:fill="CFF0FC"/>
          </w:tcPr>
          <w:p>
            <w:pPr>
              <w:spacing w:after="0"/>
              <w:rPr>
                <w:sz w:val="20"/>
                <w:szCs w:val="20"/>
                <w:color w:val="auto"/>
              </w:rPr>
            </w:pP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20" w:type="dxa"/>
            <w:vAlign w:val="bottom"/>
          </w:tcPr>
          <w:p>
            <w:pPr>
              <w:spacing w:after="0"/>
              <w:rPr>
                <w:sz w:val="20"/>
                <w:szCs w:val="20"/>
                <w:color w:val="auto"/>
              </w:rPr>
            </w:pPr>
          </w:p>
        </w:tc>
      </w:tr>
      <w:tr>
        <w:trPr>
          <w:trHeight w:val="210"/>
        </w:trPr>
        <w:tc>
          <w:tcPr>
            <w:tcW w:w="84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580" w:type="dxa"/>
            <w:vAlign w:val="bottom"/>
          </w:tcPr>
          <w:p>
            <w:pPr>
              <w:spacing w:after="0"/>
              <w:rPr>
                <w:sz w:val="18"/>
                <w:szCs w:val="18"/>
                <w:color w:val="auto"/>
              </w:rPr>
            </w:pPr>
          </w:p>
        </w:tc>
        <w:tc>
          <w:tcPr>
            <w:tcW w:w="2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16"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and six months ended June 30, 2023 and 2022.</w:t>
      </w:r>
    </w:p>
    <w:p>
      <w:pPr>
        <w:spacing w:after="0" w:line="6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4940" w:type="dxa"/>
            <w:vAlign w:val="bottom"/>
          </w:tcPr>
          <w:p>
            <w:pPr>
              <w:spacing w:after="0"/>
              <w:rPr>
                <w:sz w:val="19"/>
                <w:szCs w:val="19"/>
                <w:color w:val="auto"/>
              </w:rPr>
            </w:pPr>
          </w:p>
        </w:tc>
        <w:tc>
          <w:tcPr>
            <w:tcW w:w="2380" w:type="dxa"/>
            <w:vAlign w:val="bottom"/>
            <w:gridSpan w:val="3"/>
          </w:tcPr>
          <w:p>
            <w:pPr>
              <w:spacing w:after="0"/>
              <w:rPr>
                <w:sz w:val="20"/>
                <w:szCs w:val="20"/>
                <w:color w:val="auto"/>
              </w:rPr>
            </w:pPr>
            <w:r>
              <w:rPr>
                <w:rFonts w:ascii="Arial" w:cs="Arial" w:eastAsia="Arial" w:hAnsi="Arial"/>
                <w:sz w:val="16"/>
                <w:szCs w:val="16"/>
                <w:color w:val="auto"/>
                <w:w w:val="89"/>
              </w:rPr>
              <w:t>For the three months ended June 30,</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4"/>
          </w:tcPr>
          <w:p>
            <w:pPr>
              <w:jc w:val="right"/>
              <w:ind w:right="340"/>
              <w:spacing w:after="0"/>
              <w:rPr>
                <w:sz w:val="20"/>
                <w:szCs w:val="20"/>
                <w:color w:val="auto"/>
              </w:rPr>
            </w:pPr>
            <w:r>
              <w:rPr>
                <w:rFonts w:ascii="Arial" w:cs="Arial" w:eastAsia="Arial" w:hAnsi="Arial"/>
                <w:sz w:val="16"/>
                <w:szCs w:val="16"/>
                <w:color w:val="auto"/>
                <w:w w:val="96"/>
              </w:rPr>
              <w:t>For the six months ended June 30,</w:t>
            </w:r>
          </w:p>
        </w:tc>
      </w:tr>
      <w:tr>
        <w:trPr>
          <w:trHeight w:val="223"/>
        </w:trPr>
        <w:tc>
          <w:tcPr>
            <w:tcW w:w="49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2022</w:t>
            </w:r>
          </w:p>
        </w:tc>
        <w:tc>
          <w:tcPr>
            <w:tcW w:w="1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r>
      <w:tr>
        <w:trPr>
          <w:trHeight w:val="220"/>
        </w:trPr>
        <w:tc>
          <w:tcPr>
            <w:tcW w:w="4940" w:type="dxa"/>
            <w:vAlign w:val="bottom"/>
          </w:tcPr>
          <w:p>
            <w:pPr>
              <w:spacing w:after="0"/>
              <w:rPr>
                <w:sz w:val="19"/>
                <w:szCs w:val="19"/>
                <w:color w:val="auto"/>
              </w:rPr>
            </w:pPr>
          </w:p>
        </w:tc>
        <w:tc>
          <w:tcPr>
            <w:tcW w:w="2380" w:type="dxa"/>
            <w:vAlign w:val="bottom"/>
            <w:gridSpan w:val="3"/>
          </w:tcPr>
          <w:p>
            <w:pPr>
              <w:jc w:val="center"/>
              <w:ind w:right="82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center"/>
              <w:ind w:right="70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(21,897,873 )</w:t>
            </w:r>
          </w:p>
        </w:tc>
        <w:tc>
          <w:tcPr>
            <w:tcW w:w="5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(12,710,159 )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(44,528,822 )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(28,728,509 )</w:t>
            </w:r>
          </w:p>
        </w:tc>
      </w:tr>
      <w:tr>
        <w:trPr>
          <w:trHeight w:val="220"/>
        </w:trPr>
        <w:tc>
          <w:tcPr>
            <w:tcW w:w="494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1560" w:type="dxa"/>
            <w:vAlign w:val="bottom"/>
          </w:tcPr>
          <w:p>
            <w:pPr>
              <w:jc w:val="right"/>
              <w:spacing w:after="0"/>
              <w:rPr>
                <w:sz w:val="20"/>
                <w:szCs w:val="20"/>
                <w:color w:val="auto"/>
              </w:rPr>
            </w:pPr>
            <w:r>
              <w:rPr>
                <w:rFonts w:ascii="Arial" w:cs="Arial" w:eastAsia="Arial" w:hAnsi="Arial"/>
                <w:sz w:val="16"/>
                <w:szCs w:val="16"/>
                <w:color w:val="auto"/>
              </w:rPr>
              <w:t>34,556,017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33,582,171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34,191,993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33,368,220</w:t>
            </w:r>
          </w:p>
        </w:tc>
        <w:tc>
          <w:tcPr>
            <w:tcW w:w="120" w:type="dxa"/>
            <w:vAlign w:val="bottom"/>
          </w:tcPr>
          <w:p>
            <w:pPr>
              <w:spacing w:after="0"/>
              <w:rPr>
                <w:sz w:val="19"/>
                <w:szCs w:val="19"/>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and diluted loss per share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(0.63 )</w:t>
            </w:r>
          </w:p>
        </w:tc>
        <w:tc>
          <w:tcPr>
            <w:tcW w:w="5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(0.38 )</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(1.30 )</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(0.86 )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21" w:lineRule="exact"/>
        <w:rPr>
          <w:sz w:val="20"/>
          <w:szCs w:val="20"/>
          <w:color w:val="auto"/>
        </w:rPr>
      </w:pPr>
    </w:p>
    <w:p>
      <w:pPr>
        <w:jc w:val="both"/>
        <w:ind w:right="160"/>
        <w:spacing w:after="0" w:line="276" w:lineRule="auto"/>
        <w:rPr>
          <w:sz w:val="20"/>
          <w:szCs w:val="20"/>
          <w:color w:val="auto"/>
        </w:rPr>
      </w:pPr>
      <w:r>
        <w:rPr>
          <w:rFonts w:ascii="Arial" w:cs="Arial" w:eastAsia="Arial" w:hAnsi="Arial"/>
          <w:sz w:val="16"/>
          <w:szCs w:val="16"/>
          <w:color w:val="auto"/>
        </w:rPr>
        <w:t>The Group’s contractual obligations and commitments as of June 30, 2023 amounted to €33.4 million, (December 31, 2022: €28 million) primarily related to research and development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June 30, 2023 and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16"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86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w w:val="94"/>
              </w:rPr>
              <w:t>For the three months ended June 30,</w:t>
            </w:r>
          </w:p>
        </w:tc>
        <w:tc>
          <w:tcPr>
            <w:tcW w:w="120" w:type="dxa"/>
            <w:vAlign w:val="bottom"/>
          </w:tcPr>
          <w:p>
            <w:pPr>
              <w:spacing w:after="0"/>
              <w:rPr>
                <w:sz w:val="19"/>
                <w:szCs w:val="19"/>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2"/>
              </w:rPr>
              <w:t>For the six months ended June 30,</w:t>
            </w:r>
          </w:p>
        </w:tc>
        <w:tc>
          <w:tcPr>
            <w:tcW w:w="120" w:type="dxa"/>
            <w:vAlign w:val="bottom"/>
          </w:tcPr>
          <w:p>
            <w:pPr>
              <w:spacing w:after="0"/>
              <w:rPr>
                <w:sz w:val="19"/>
                <w:szCs w:val="19"/>
                <w:color w:val="auto"/>
              </w:rPr>
            </w:pPr>
          </w:p>
        </w:tc>
      </w:tr>
      <w:tr>
        <w:trPr>
          <w:trHeight w:val="223"/>
        </w:trPr>
        <w:tc>
          <w:tcPr>
            <w:tcW w:w="5860" w:type="dxa"/>
            <w:vAlign w:val="bottom"/>
          </w:tcPr>
          <w:p>
            <w:pPr>
              <w:spacing w:after="0"/>
              <w:rPr>
                <w:sz w:val="19"/>
                <w:szCs w:val="19"/>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color w:val="auto"/>
              </w:rPr>
              <w:t>2023</w:t>
            </w:r>
          </w:p>
        </w:tc>
        <w:tc>
          <w:tcPr>
            <w:tcW w:w="1280" w:type="dxa"/>
            <w:vAlign w:val="bottom"/>
            <w:gridSpan w:val="2"/>
          </w:tcPr>
          <w:p>
            <w:pPr>
              <w:jc w:val="right"/>
              <w:ind w:right="339"/>
              <w:spacing w:after="0"/>
              <w:rPr>
                <w:sz w:val="20"/>
                <w:szCs w:val="20"/>
                <w:color w:val="auto"/>
              </w:rPr>
            </w:pPr>
            <w:r>
              <w:rPr>
                <w:rFonts w:ascii="Arial" w:cs="Arial" w:eastAsia="Arial" w:hAnsi="Arial"/>
                <w:sz w:val="16"/>
                <w:szCs w:val="16"/>
                <w:color w:val="auto"/>
              </w:rPr>
              <w:t>2022</w:t>
            </w:r>
          </w:p>
        </w:tc>
        <w:tc>
          <w:tcPr>
            <w:tcW w:w="1280" w:type="dxa"/>
            <w:vAlign w:val="bottom"/>
            <w:gridSpan w:val="2"/>
          </w:tcPr>
          <w:p>
            <w:pPr>
              <w:jc w:val="right"/>
              <w:ind w:right="319"/>
              <w:spacing w:after="0"/>
              <w:rPr>
                <w:sz w:val="20"/>
                <w:szCs w:val="20"/>
                <w:color w:val="auto"/>
              </w:rPr>
            </w:pPr>
            <w:r>
              <w:rPr>
                <w:rFonts w:ascii="Arial" w:cs="Arial" w:eastAsia="Arial" w:hAnsi="Arial"/>
                <w:sz w:val="16"/>
                <w:szCs w:val="16"/>
                <w:color w:val="auto"/>
              </w:rPr>
              <w:t>2023</w:t>
            </w:r>
          </w:p>
        </w:tc>
        <w:tc>
          <w:tcPr>
            <w:tcW w:w="1220" w:type="dxa"/>
            <w:vAlign w:val="bottom"/>
            <w:gridSpan w:val="2"/>
          </w:tcPr>
          <w:p>
            <w:pPr>
              <w:jc w:val="right"/>
              <w:ind w:right="2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r>
      <w:tr>
        <w:trPr>
          <w:trHeight w:val="220"/>
        </w:trPr>
        <w:tc>
          <w:tcPr>
            <w:tcW w:w="586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 term employee benefits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1,092,741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771,241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2,176,182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1,520,406</w:t>
            </w:r>
          </w:p>
        </w:tc>
        <w:tc>
          <w:tcPr>
            <w:tcW w:w="120" w:type="dxa"/>
            <w:vAlign w:val="bottom"/>
            <w:shd w:val="clear" w:color="auto" w:fill="CFF0FC"/>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6"/>
                <w:szCs w:val="16"/>
                <w:color w:val="auto"/>
              </w:rPr>
              <w:t>Post employee benefits</w:t>
            </w:r>
          </w:p>
        </w:tc>
        <w:tc>
          <w:tcPr>
            <w:tcW w:w="1360" w:type="dxa"/>
            <w:vAlign w:val="bottom"/>
          </w:tcPr>
          <w:p>
            <w:pPr>
              <w:jc w:val="right"/>
              <w:spacing w:after="0"/>
              <w:rPr>
                <w:sz w:val="20"/>
                <w:szCs w:val="20"/>
                <w:color w:val="auto"/>
              </w:rPr>
            </w:pPr>
            <w:r>
              <w:rPr>
                <w:rFonts w:ascii="Arial" w:cs="Arial" w:eastAsia="Arial" w:hAnsi="Arial"/>
                <w:sz w:val="16"/>
                <w:szCs w:val="16"/>
                <w:color w:val="auto"/>
              </w:rPr>
              <w:t>43,090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33,177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93,521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78,559</w:t>
            </w:r>
          </w:p>
        </w:tc>
        <w:tc>
          <w:tcPr>
            <w:tcW w:w="12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1,699,794</w:t>
            </w:r>
          </w:p>
        </w:tc>
        <w:tc>
          <w:tcPr>
            <w:tcW w:w="14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954,796</w:t>
            </w:r>
          </w:p>
        </w:tc>
        <w:tc>
          <w:tcPr>
            <w:tcW w:w="12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3,224,788</w:t>
            </w:r>
          </w:p>
        </w:tc>
        <w:tc>
          <w:tcPr>
            <w:tcW w:w="140" w:type="dxa"/>
            <w:vAlign w:val="bottom"/>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2,175,098</w:t>
            </w:r>
          </w:p>
        </w:tc>
        <w:tc>
          <w:tcPr>
            <w:tcW w:w="120" w:type="dxa"/>
            <w:vAlign w:val="bottom"/>
            <w:shd w:val="clear" w:color="auto" w:fill="CFF0FC"/>
          </w:tcPr>
          <w:p>
            <w:pPr>
              <w:spacing w:after="0"/>
              <w:rPr>
                <w:sz w:val="20"/>
                <w:szCs w:val="20"/>
                <w:color w:val="auto"/>
              </w:rPr>
            </w:pPr>
          </w:p>
        </w:tc>
      </w:tr>
      <w:tr>
        <w:trPr>
          <w:trHeight w:val="217"/>
        </w:trPr>
        <w:tc>
          <w:tcPr>
            <w:tcW w:w="5860" w:type="dxa"/>
            <w:vAlign w:val="bottom"/>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Pr>
          <w:p>
            <w:pPr>
              <w:jc w:val="right"/>
              <w:spacing w:after="0"/>
              <w:rPr>
                <w:sz w:val="20"/>
                <w:szCs w:val="20"/>
                <w:color w:val="auto"/>
              </w:rPr>
            </w:pPr>
            <w:r>
              <w:rPr>
                <w:rFonts w:ascii="Arial" w:cs="Arial" w:eastAsia="Arial" w:hAnsi="Arial"/>
                <w:sz w:val="16"/>
                <w:szCs w:val="16"/>
                <w:color w:val="auto"/>
              </w:rPr>
              <w:t>2,835,625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1,759,214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5,494,491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3,774,063</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A total number of 846,000 stock options and 15,000 RSUs are granted to key management during the six months ended June 30, 2023. Refer to note 18 for disclosures on the share-based payments.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 aggregate value of transactions related to key management personnel, or entities which they control were €282,364 and €270,251 in the three months ended June 30, 2023 and 2022, respectively. The aggregate value of transactions related to key management personnel, or entities which they control were €543,866 and €538,744 in the six months ended June 30, 2023 and 2022, respectively.</w:t>
      </w:r>
    </w:p>
    <w:p>
      <w:pPr>
        <w:spacing w:after="0" w:line="79" w:lineRule="exact"/>
        <w:rPr>
          <w:sz w:val="20"/>
          <w:szCs w:val="20"/>
          <w:color w:val="auto"/>
        </w:rPr>
      </w:pPr>
    </w:p>
    <w:p>
      <w:pPr>
        <w:ind w:right="560"/>
        <w:spacing w:after="0" w:line="276"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June 30, 2023 and December 31, 2022 were €771,423 and €1,162,963,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305"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Company has evaluated subsequent events through August 7, 2023, which is the date the condensed consolidated interim financial statements were authorized for issuance, and did not identify any significant event after reporting period that needs to be disclosed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38" w:name="page39"/>
    <w:bookmarkEnd w:id="38"/>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August 7,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7"/>
          <w:szCs w:val="17"/>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E. Björk</w:t>
      </w:r>
      <w:r>
        <w:rPr>
          <w:sz w:val="20"/>
          <w:szCs w:val="20"/>
          <w:color w:val="auto"/>
        </w:rPr>
        <w:tab/>
      </w:r>
      <w:r>
        <w:rPr>
          <w:rFonts w:ascii="Arial" w:cs="Arial" w:eastAsia="Arial" w:hAnsi="Arial"/>
          <w:sz w:val="17"/>
          <w:szCs w:val="17"/>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7"/>
          <w:szCs w:val="17"/>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3" w:lineRule="exact"/>
        <w:rPr>
          <w:sz w:val="20"/>
          <w:szCs w:val="20"/>
          <w:color w:val="auto"/>
        </w:rPr>
      </w:pPr>
    </w:p>
    <w:p>
      <w:pPr>
        <w:ind w:right="120" w:firstLine="458"/>
        <w:spacing w:after="0"/>
        <w:rPr>
          <w:sz w:val="20"/>
          <w:szCs w:val="20"/>
          <w:color w:val="auto"/>
        </w:rPr>
      </w:pPr>
      <w:r>
        <w:rPr>
          <w:rFonts w:ascii="Arial" w:cs="Arial" w:eastAsia="Arial" w:hAnsi="Arial"/>
          <w:sz w:val="17"/>
          <w:szCs w:val="17"/>
          <w:i w:val="1"/>
          <w:iCs w:val="1"/>
          <w:color w:val="auto"/>
        </w:rPr>
        <w:t>The following risk factors should be read in conjunction with, and amend and supplement, those included in the Annual Report on Form 20-F filed by Pharvaris N.V. (“we”, “our”, “us” or the “Company”) on April 5, 2023 (the “Form 20-F or the “Annual Report”). Investing in the Company’s ordinary shares involves a high degree of risk. You should carefully consider the risks described below, and all other information contained in or incorporated by reference in the Form 20-F, before making an investment decision regarding the Company’s securities. Defined terms used, but not defined, in these “Risk Factors” have the meaning ascribed to them in the Form 20-F.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Clinical Testing of Our Product Candidates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recent clinical holds. Moreover, we have established proof-of-mechanism for deucrictibant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287"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proof-of-mechanism for deucrictibant and have designed and advanced our future clinical development program based on a clinical trial that assessed a surrogate assessment,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The protocol for this nonclinical study has been reviewed by the FDA and the study has commenced. The FDA also agreed to partially lift the hold on our on-demand IND to allow the two remaining U.S. participants in our RAPIDe-1 trial to complete treatment, but there can be no assurance that both clinical holds will be fully lifted. Following review of data from a preplanned interim analysis of the ongoing 26-week nonclinical study, the FDA lifted the clinical hold on the IND application for deucrictibant for the on-demand treatment of HAE. The resolution of the hold has enabled Pharvaris to resume RAPIDe-2 in the U.S., an extension study of RAPIDe-1 evaluating PHVS416 for the on-demand treatment of HAE attacks, and schedule an End-of-Phase 2 meeting with the FDA to align on the design and key elements of a proposed Phase 3 clinical study for PHVS416 for the on-demand treatment of HAE.</w:t>
      </w:r>
    </w:p>
    <w:p>
      <w:pPr>
        <w:spacing w:after="0" w:line="200" w:lineRule="exact"/>
        <w:rPr>
          <w:sz w:val="20"/>
          <w:szCs w:val="20"/>
          <w:color w:val="auto"/>
        </w:rPr>
      </w:pPr>
    </w:p>
    <w:p>
      <w:pPr>
        <w:spacing w:after="0" w:line="291"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79" w:lineRule="exact"/>
        <w:rPr>
          <w:sz w:val="20"/>
          <w:szCs w:val="20"/>
          <w:color w:val="auto"/>
        </w:rPr>
      </w:pPr>
    </w:p>
    <w:p>
      <w:pPr>
        <w:ind w:left="1020" w:right="20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 including with respect to our strategy for sharing Phase 1 and Phase 2 data between PHVS416 and PHVS719 programs and designs for improving the efficiency of our clinical development path;</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obtaining regulatory approval or ethics committee approval to commence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CROs to adequately supervise investigators;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recruit sufficient investigators or recruit and enroll sufficient subjects for our clinical trials in a timely manner or at all, including due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99.4</w:t>
      </w:r>
    </w:p>
    <w:p>
      <w:pPr>
        <w:spacing w:after="0" w:line="121" w:lineRule="exact"/>
        <w:rPr>
          <w:sz w:val="20"/>
          <w:szCs w:val="20"/>
          <w:color w:val="auto"/>
        </w:rPr>
      </w:pPr>
    </w:p>
    <w:p>
      <w:pPr>
        <w:ind w:left="1020" w:right="2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or failure in having subjects complete a trial or return for post-treatment follow-up, including due to the COVID-19 pandemic; or the escalation of the ongoing conflict in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obtain and maintain the required institutional review board, or IRB, or ethics committee approval at each clinical trial site;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sites or investigators deviating from trial protocol or dropping out of a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62" w:lineRule="exact"/>
        <w:rPr>
          <w:rFonts w:ascii="Arial" w:cs="Arial" w:eastAsia="Arial" w:hAnsi="Arial"/>
          <w:sz w:val="18"/>
          <w:szCs w:val="18"/>
          <w:color w:val="auto"/>
        </w:rPr>
      </w:pPr>
    </w:p>
    <w:p>
      <w:pPr>
        <w:ind w:left="1020" w:right="360" w:hanging="503"/>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236" w:lineRule="exact"/>
        <w:rPr>
          <w:sz w:val="20"/>
          <w:szCs w:val="20"/>
          <w:color w:val="auto"/>
        </w:rPr>
      </w:pPr>
    </w:p>
    <w:p>
      <w:pPr>
        <w:ind w:right="60" w:firstLine="458"/>
        <w:spacing w:after="0" w:line="276"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additional patients at sites in other countries, we may not be able to complete CHAPTER-1 on our anticipated timeline.</w:t>
      </w:r>
    </w:p>
    <w:p>
      <w:pPr>
        <w:spacing w:after="0" w:line="63"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4"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the clinical holds on our clinical trials of deucrictibant in the U.S. are not resolved or if any of our other clinical trials are put on clinical hold or terminated, we may incur increased costs or be unable to continue development of deucrictibant, including our product candidates PHVS416 and PHVS719, which could have a material adverse effect on our business, financial condition, results of operations and prospects.</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as well as data from any interim analysis of ongoing non-clinical studies or clinical trials may not be predictive of future trial results. Clinical failure can occur at any stage of clinical development.</w:t>
      </w:r>
    </w:p>
    <w:p>
      <w:pPr>
        <w:spacing w:after="0" w:line="296"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deucrictibant as shown in preclinical, Phase 1 clinical trials, and a single Phase 2 clinical trial (RAPIDe-1). Potency as used in this Annual Report refers to the amount of drug required to produce a pharmacological effect of given intensity and is not a measure of therapeutic efficacy. We have released topline data demonstrating efficacy and tolerability in a Phase 2 clinical trial for treatment of attacks in our RAPIDe-1 study but have not completed assessment of efficacy for prevention of attacks in our CHAPTER-1 study. The results of preclinical studies and early clinical trials, as well as data from interim analysis of ongoing non-clinical studies or clinical trials, may not be predictive of the results of ongoing or future clinical trials.</w:t>
      </w:r>
    </w:p>
    <w:p>
      <w:pPr>
        <w:spacing w:after="0" w:line="84"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2023-08-07T05:56:01Z</dcterms:created>
  <dcterms:modified xsi:type="dcterms:W3CDTF">2023-08-07T05:56:01Z</dcterms:modified>
</cp:coreProperties>
</file>