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March 6, 2024</w:t>
      </w:r>
    </w:p>
    <w:p>
      <w:pPr>
        <w:spacing w:after="0" w:line="29" w:lineRule="exact"/>
        <w:rPr>
          <w:sz w:val="24"/>
          <w:szCs w:val="24"/>
          <w:color w:val="auto"/>
        </w:rPr>
      </w:pPr>
    </w:p>
    <w:p>
      <w:pPr>
        <w:ind w:left="9568"/>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6985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50165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77"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68"/>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9"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8"/>
          <w:szCs w:val="28"/>
          <w:b w:val="1"/>
          <w:bCs w:val="1"/>
          <w:color w:val="auto"/>
        </w:rPr>
        <w:t>FORM F-3</w:t>
      </w:r>
    </w:p>
    <w:p>
      <w:pPr>
        <w:spacing w:after="0" w:line="20"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spacing w:after="0" w:line="8"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UNDER</w:t>
      </w:r>
    </w:p>
    <w:p>
      <w:pPr>
        <w:spacing w:after="0" w:line="19"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19" w:lineRule="exact"/>
        <w:rPr>
          <w:sz w:val="24"/>
          <w:szCs w:val="24"/>
          <w:color w:val="auto"/>
        </w:rPr>
      </w:pPr>
    </w:p>
    <w:p>
      <w:pPr>
        <w:ind w:left="4568"/>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1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36"/>
          <w:szCs w:val="36"/>
          <w:b w:val="1"/>
          <w:bCs w:val="1"/>
          <w:color w:val="auto"/>
        </w:rPr>
        <w:t>Pharvaris N.V.</w:t>
      </w:r>
    </w:p>
    <w:p>
      <w:pPr>
        <w:spacing w:after="0" w:line="9"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028"/>
          </w:cols>
          <w:pgMar w:left="432" w:top="898" w:right="439" w:bottom="1440" w:gutter="0" w:footer="0" w:header="0"/>
        </w:sectPr>
      </w:pPr>
    </w:p>
    <w:p>
      <w:pPr>
        <w:spacing w:after="0" w:line="200" w:lineRule="exact"/>
        <w:rPr>
          <w:sz w:val="24"/>
          <w:szCs w:val="24"/>
          <w:color w:val="auto"/>
        </w:rPr>
      </w:pPr>
    </w:p>
    <w:p>
      <w:pPr>
        <w:spacing w:after="0" w:line="397" w:lineRule="exact"/>
        <w:rPr>
          <w:sz w:val="24"/>
          <w:szCs w:val="24"/>
          <w:color w:val="auto"/>
        </w:rPr>
      </w:pPr>
    </w:p>
    <w:p>
      <w:pPr>
        <w:ind w:left="3228"/>
        <w:spacing w:after="0"/>
        <w:rPr>
          <w:sz w:val="20"/>
          <w:szCs w:val="20"/>
          <w:color w:val="auto"/>
        </w:rPr>
      </w:pPr>
      <w:r>
        <w:rPr>
          <w:rFonts w:ascii="Times New Roman" w:cs="Times New Roman" w:eastAsia="Times New Roman" w:hAnsi="Times New Roman"/>
          <w:sz w:val="14"/>
          <w:szCs w:val="14"/>
          <w:b w:val="1"/>
          <w:bCs w:val="1"/>
          <w:color w:val="auto"/>
        </w:rPr>
        <w:t>Netherlands</w:t>
      </w:r>
    </w:p>
    <w:p>
      <w:pPr>
        <w:ind w:left="2708"/>
        <w:spacing w:after="0" w:line="229" w:lineRule="auto"/>
        <w:rPr>
          <w:sz w:val="20"/>
          <w:szCs w:val="20"/>
          <w:color w:val="auto"/>
        </w:rPr>
      </w:pPr>
      <w:r>
        <w:rPr>
          <w:rFonts w:ascii="Times New Roman" w:cs="Times New Roman" w:eastAsia="Times New Roman" w:hAnsi="Times New Roman"/>
          <w:sz w:val="14"/>
          <w:szCs w:val="14"/>
          <w:color w:val="auto"/>
        </w:rPr>
        <w:t>(State or Other Jurisdiction of</w:t>
      </w:r>
    </w:p>
    <w:p>
      <w:pPr>
        <w:ind w:left="2768"/>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Not Applicable</w:t>
      </w:r>
    </w:p>
    <w:p>
      <w:pPr>
        <w:ind w:left="100"/>
        <w:spacing w:after="0" w:line="229" w:lineRule="auto"/>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Number)</w:t>
      </w:r>
    </w:p>
    <w:p>
      <w:pPr>
        <w:spacing w:after="0" w:line="188" w:lineRule="exact"/>
        <w:rPr>
          <w:sz w:val="24"/>
          <w:szCs w:val="24"/>
          <w:color w:val="auto"/>
        </w:rPr>
      </w:pPr>
    </w:p>
    <w:p>
      <w:pPr>
        <w:sectPr>
          <w:pgSz w:w="11900" w:h="16838" w:orient="portrait"/>
          <w:cols w:equalWidth="0" w:num="2">
            <w:col w:w="6488" w:space="720"/>
            <w:col w:w="3820"/>
          </w:cols>
          <w:pgMar w:left="432" w:top="898" w:right="43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4"/>
          <w:szCs w:val="14"/>
          <w:color w:val="auto"/>
        </w:rPr>
        <w:t>Emmy Noetherweg 2,</w:t>
      </w:r>
    </w:p>
    <w:p>
      <w:pPr>
        <w:jc w:val="center"/>
        <w:ind w:right="-7"/>
        <w:spacing w:after="0" w:line="226" w:lineRule="auto"/>
        <w:rPr>
          <w:sz w:val="20"/>
          <w:szCs w:val="20"/>
          <w:color w:val="auto"/>
        </w:rPr>
      </w:pPr>
      <w:r>
        <w:rPr>
          <w:rFonts w:ascii="Times New Roman" w:cs="Times New Roman" w:eastAsia="Times New Roman" w:hAnsi="Times New Roman"/>
          <w:sz w:val="14"/>
          <w:szCs w:val="14"/>
          <w:color w:val="auto"/>
        </w:rPr>
        <w:t>2333 BK Leiden, The Netherlands</w:t>
      </w:r>
    </w:p>
    <w:p>
      <w:pPr>
        <w:jc w:val="center"/>
        <w:ind w:right="-7"/>
        <w:spacing w:after="0" w:line="222" w:lineRule="auto"/>
        <w:rPr>
          <w:sz w:val="20"/>
          <w:szCs w:val="20"/>
          <w:color w:val="auto"/>
        </w:rPr>
      </w:pPr>
      <w:r>
        <w:rPr>
          <w:rFonts w:ascii="Times New Roman" w:cs="Times New Roman" w:eastAsia="Times New Roman" w:hAnsi="Times New Roman"/>
          <w:sz w:val="14"/>
          <w:szCs w:val="14"/>
          <w:color w:val="auto"/>
        </w:rPr>
        <w:t>+31 (0)71 203 6410</w:t>
      </w:r>
    </w:p>
    <w:p>
      <w:pPr>
        <w:jc w:val="center"/>
        <w:ind w:right="-7"/>
        <w:spacing w:after="0" w:line="221" w:lineRule="auto"/>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ind w:left="4748"/>
        <w:spacing w:after="0" w:line="221" w:lineRule="auto"/>
        <w:rPr>
          <w:sz w:val="20"/>
          <w:szCs w:val="20"/>
          <w:color w:val="auto"/>
        </w:rPr>
      </w:pPr>
      <w:r>
        <w:rPr>
          <w:rFonts w:ascii="Times New Roman" w:cs="Times New Roman" w:eastAsia="Times New Roman" w:hAnsi="Times New Roman"/>
          <w:sz w:val="14"/>
          <w:szCs w:val="14"/>
          <w:b w:val="1"/>
          <w:bCs w:val="1"/>
          <w:color w:val="auto"/>
        </w:rPr>
        <w:t>_____________________</w:t>
      </w:r>
    </w:p>
    <w:p>
      <w:pPr>
        <w:jc w:val="center"/>
        <w:ind w:right="-7"/>
        <w:spacing w:after="0" w:line="222" w:lineRule="auto"/>
        <w:rPr>
          <w:sz w:val="20"/>
          <w:szCs w:val="20"/>
          <w:color w:val="auto"/>
        </w:rPr>
      </w:pPr>
      <w:r>
        <w:rPr>
          <w:rFonts w:ascii="Times New Roman" w:cs="Times New Roman" w:eastAsia="Times New Roman" w:hAnsi="Times New Roman"/>
          <w:sz w:val="14"/>
          <w:szCs w:val="14"/>
          <w:b w:val="1"/>
          <w:bCs w:val="1"/>
          <w:color w:val="auto"/>
        </w:rPr>
        <w:t>Berndt Modig</w:t>
      </w:r>
    </w:p>
    <w:p>
      <w:pPr>
        <w:jc w:val="center"/>
        <w:ind w:right="-7"/>
        <w:spacing w:after="0" w:line="221" w:lineRule="auto"/>
        <w:rPr>
          <w:sz w:val="20"/>
          <w:szCs w:val="20"/>
          <w:color w:val="auto"/>
        </w:rPr>
      </w:pPr>
      <w:r>
        <w:rPr>
          <w:rFonts w:ascii="Times New Roman" w:cs="Times New Roman" w:eastAsia="Times New Roman" w:hAnsi="Times New Roman"/>
          <w:sz w:val="14"/>
          <w:szCs w:val="14"/>
          <w:b w:val="1"/>
          <w:bCs w:val="1"/>
          <w:color w:val="auto"/>
        </w:rPr>
        <w:t>Pharvaris N.V.</w:t>
      </w:r>
    </w:p>
    <w:p>
      <w:pPr>
        <w:jc w:val="center"/>
        <w:ind w:right="-7"/>
        <w:spacing w:after="0" w:line="221" w:lineRule="auto"/>
        <w:rPr>
          <w:sz w:val="20"/>
          <w:szCs w:val="20"/>
          <w:color w:val="auto"/>
        </w:rPr>
      </w:pPr>
      <w:r>
        <w:rPr>
          <w:rFonts w:ascii="Times New Roman" w:cs="Times New Roman" w:eastAsia="Times New Roman" w:hAnsi="Times New Roman"/>
          <w:sz w:val="14"/>
          <w:szCs w:val="14"/>
          <w:b w:val="1"/>
          <w:bCs w:val="1"/>
          <w:color w:val="auto"/>
        </w:rPr>
        <w:t>Emmy Noetherweg 2</w:t>
      </w:r>
    </w:p>
    <w:p>
      <w:pPr>
        <w:jc w:val="center"/>
        <w:ind w:right="-7"/>
        <w:spacing w:after="0" w:line="222" w:lineRule="auto"/>
        <w:rPr>
          <w:sz w:val="20"/>
          <w:szCs w:val="20"/>
          <w:color w:val="auto"/>
        </w:rPr>
      </w:pPr>
      <w:r>
        <w:rPr>
          <w:rFonts w:ascii="Times New Roman" w:cs="Times New Roman" w:eastAsia="Times New Roman" w:hAnsi="Times New Roman"/>
          <w:sz w:val="14"/>
          <w:szCs w:val="14"/>
          <w:color w:val="auto"/>
        </w:rPr>
        <w:t>2333 BK Leiden</w:t>
      </w:r>
    </w:p>
    <w:p>
      <w:pPr>
        <w:jc w:val="center"/>
        <w:ind w:right="-7"/>
        <w:spacing w:after="0" w:line="221" w:lineRule="auto"/>
        <w:rPr>
          <w:sz w:val="20"/>
          <w:szCs w:val="20"/>
          <w:color w:val="auto"/>
        </w:rPr>
      </w:pPr>
      <w:r>
        <w:rPr>
          <w:rFonts w:ascii="Times New Roman" w:cs="Times New Roman" w:eastAsia="Times New Roman" w:hAnsi="Times New Roman"/>
          <w:sz w:val="14"/>
          <w:szCs w:val="14"/>
          <w:color w:val="auto"/>
        </w:rPr>
        <w:t>The Netherlands</w:t>
      </w:r>
    </w:p>
    <w:p>
      <w:pPr>
        <w:jc w:val="center"/>
        <w:ind w:right="-7"/>
        <w:spacing w:after="0" w:line="222" w:lineRule="auto"/>
        <w:rPr>
          <w:sz w:val="20"/>
          <w:szCs w:val="20"/>
          <w:color w:val="auto"/>
        </w:rPr>
      </w:pPr>
      <w:r>
        <w:rPr>
          <w:rFonts w:ascii="Times New Roman" w:cs="Times New Roman" w:eastAsia="Times New Roman" w:hAnsi="Times New Roman"/>
          <w:sz w:val="14"/>
          <w:szCs w:val="14"/>
          <w:color w:val="auto"/>
        </w:rPr>
        <w:t>+31 (0)71 203 6410</w:t>
      </w:r>
    </w:p>
    <w:p>
      <w:pPr>
        <w:jc w:val="center"/>
        <w:ind w:right="-7"/>
        <w:spacing w:after="0" w:line="221" w:lineRule="auto"/>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ind w:left="4748"/>
        <w:spacing w:after="0" w:line="221" w:lineRule="auto"/>
        <w:rPr>
          <w:sz w:val="20"/>
          <w:szCs w:val="20"/>
          <w:color w:val="auto"/>
        </w:rPr>
      </w:pPr>
      <w:r>
        <w:rPr>
          <w:rFonts w:ascii="Times New Roman" w:cs="Times New Roman" w:eastAsia="Times New Roman" w:hAnsi="Times New Roman"/>
          <w:sz w:val="14"/>
          <w:szCs w:val="14"/>
          <w:b w:val="1"/>
          <w:bCs w:val="1"/>
          <w:color w:val="auto"/>
        </w:rPr>
        <w:t>_____________________</w:t>
      </w:r>
    </w:p>
    <w:p>
      <w:pPr>
        <w:ind w:left="5188"/>
        <w:spacing w:after="0" w:line="222" w:lineRule="auto"/>
        <w:rPr>
          <w:sz w:val="20"/>
          <w:szCs w:val="20"/>
          <w:color w:val="auto"/>
        </w:rPr>
      </w:pPr>
      <w:r>
        <w:rPr>
          <w:rFonts w:ascii="Times New Roman" w:cs="Times New Roman" w:eastAsia="Times New Roman" w:hAnsi="Times New Roman"/>
          <w:sz w:val="14"/>
          <w:szCs w:val="14"/>
          <w:b w:val="1"/>
          <w:bCs w:val="1"/>
          <w:color w:val="auto"/>
        </w:rPr>
        <w:t>Copies to:</w:t>
      </w:r>
    </w:p>
    <w:p>
      <w:pPr>
        <w:ind w:left="4888"/>
        <w:spacing w:after="0" w:line="221" w:lineRule="auto"/>
        <w:rPr>
          <w:sz w:val="20"/>
          <w:szCs w:val="20"/>
          <w:color w:val="auto"/>
        </w:rPr>
      </w:pPr>
      <w:r>
        <w:rPr>
          <w:rFonts w:ascii="Times New Roman" w:cs="Times New Roman" w:eastAsia="Times New Roman" w:hAnsi="Times New Roman"/>
          <w:sz w:val="14"/>
          <w:szCs w:val="14"/>
          <w:b w:val="1"/>
          <w:bCs w:val="1"/>
          <w:color w:val="auto"/>
        </w:rPr>
        <w:t>Sophia Hudson, P.C.</w:t>
      </w:r>
    </w:p>
    <w:p>
      <w:pPr>
        <w:ind w:left="4888"/>
        <w:spacing w:after="0" w:line="222" w:lineRule="auto"/>
        <w:rPr>
          <w:sz w:val="20"/>
          <w:szCs w:val="20"/>
          <w:color w:val="auto"/>
        </w:rPr>
      </w:pPr>
      <w:r>
        <w:rPr>
          <w:rFonts w:ascii="Times New Roman" w:cs="Times New Roman" w:eastAsia="Times New Roman" w:hAnsi="Times New Roman"/>
          <w:sz w:val="14"/>
          <w:szCs w:val="14"/>
          <w:b w:val="1"/>
          <w:bCs w:val="1"/>
          <w:color w:val="auto"/>
        </w:rPr>
        <w:t>Jennifer L. Lee, P.C.</w:t>
      </w:r>
    </w:p>
    <w:p>
      <w:pPr>
        <w:ind w:left="4848"/>
        <w:spacing w:after="0" w:line="221" w:lineRule="auto"/>
        <w:rPr>
          <w:sz w:val="20"/>
          <w:szCs w:val="20"/>
          <w:color w:val="auto"/>
        </w:rPr>
      </w:pPr>
      <w:r>
        <w:rPr>
          <w:rFonts w:ascii="Times New Roman" w:cs="Times New Roman" w:eastAsia="Times New Roman" w:hAnsi="Times New Roman"/>
          <w:sz w:val="14"/>
          <w:szCs w:val="14"/>
          <w:b w:val="1"/>
          <w:bCs w:val="1"/>
          <w:color w:val="auto"/>
        </w:rPr>
        <w:t>Kirkland &amp; Ellis LLP</w:t>
      </w:r>
    </w:p>
    <w:p>
      <w:pPr>
        <w:ind w:left="4848"/>
        <w:spacing w:after="0" w:line="221" w:lineRule="auto"/>
        <w:rPr>
          <w:sz w:val="20"/>
          <w:szCs w:val="20"/>
          <w:color w:val="auto"/>
        </w:rPr>
      </w:pPr>
      <w:r>
        <w:rPr>
          <w:rFonts w:ascii="Times New Roman" w:cs="Times New Roman" w:eastAsia="Times New Roman" w:hAnsi="Times New Roman"/>
          <w:sz w:val="14"/>
          <w:szCs w:val="14"/>
          <w:color w:val="auto"/>
        </w:rPr>
        <w:t>601 Lexington Avenue</w:t>
      </w:r>
    </w:p>
    <w:p>
      <w:pPr>
        <w:ind w:left="4888"/>
        <w:spacing w:after="0" w:line="222" w:lineRule="auto"/>
        <w:rPr>
          <w:sz w:val="20"/>
          <w:szCs w:val="20"/>
          <w:color w:val="auto"/>
        </w:rPr>
      </w:pPr>
      <w:r>
        <w:rPr>
          <w:rFonts w:ascii="Times New Roman" w:cs="Times New Roman" w:eastAsia="Times New Roman" w:hAnsi="Times New Roman"/>
          <w:sz w:val="14"/>
          <w:szCs w:val="14"/>
          <w:color w:val="auto"/>
        </w:rPr>
        <w:t>New York, NY 10022</w:t>
      </w:r>
    </w:p>
    <w:p>
      <w:pPr>
        <w:ind w:left="5408" w:hanging="346"/>
        <w:spacing w:after="0" w:line="221" w:lineRule="auto"/>
        <w:tabs>
          <w:tab w:leader="none" w:pos="540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446-4800</w:t>
      </w:r>
    </w:p>
    <w:p>
      <w:pPr>
        <w:ind w:left="4748"/>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_____________________</w:t>
      </w:r>
    </w:p>
    <w:p>
      <w:pPr>
        <w:ind w:left="8" w:right="1280" w:firstLine="1278"/>
        <w:spacing w:after="0" w:line="192" w:lineRule="exact"/>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From time to time after this Registration Statement becomes effective. </w:t>
      </w: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8"/>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6" w:lineRule="exact"/>
        <w:rPr>
          <w:sz w:val="24"/>
          <w:szCs w:val="24"/>
          <w:color w:val="auto"/>
        </w:rPr>
      </w:pPr>
    </w:p>
    <w:p>
      <w:pPr>
        <w:ind w:left="8" w:right="34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8" w:right="34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8" w:right="36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8" w:right="2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8" w:right="100"/>
        <w:spacing w:after="0" w:line="17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8"/>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4"/>
          <w:szCs w:val="14"/>
          <w:color w:val="auto"/>
        </w:rPr>
        <w:t>☒</w:t>
      </w:r>
    </w:p>
    <w:p>
      <w:pPr>
        <w:spacing w:after="0" w:line="36" w:lineRule="exact"/>
        <w:rPr>
          <w:sz w:val="24"/>
          <w:szCs w:val="24"/>
          <w:color w:val="auto"/>
        </w:rPr>
      </w:pPr>
    </w:p>
    <w:p>
      <w:pPr>
        <w:ind w:left="8" w:right="280"/>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p>
    <w:p>
      <w:pPr>
        <w:ind w:left="368" w:hanging="368"/>
        <w:spacing w:after="0"/>
        <w:tabs>
          <w:tab w:leader="none" w:pos="36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w:t>
      </w:r>
    </w:p>
    <w:p>
      <w:pPr>
        <w:spacing w:after="0" w:line="27" w:lineRule="exact"/>
        <w:rPr>
          <w:rFonts w:ascii="Times New Roman" w:cs="Times New Roman" w:eastAsia="Times New Roman" w:hAnsi="Times New Roman"/>
          <w:sz w:val="14"/>
          <w:szCs w:val="14"/>
          <w:color w:val="auto"/>
        </w:rPr>
      </w:pP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-78105</wp:posOffset>
            </wp:positionH>
            <wp:positionV relativeFrom="paragraph">
              <wp:posOffset>611505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8"/>
          </w:cols>
          <w:pgMar w:left="432" w:top="898"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1C1C1C"/>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Pharvaris N.V.</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(incorporated in the Netherlands)</w:t>
      </w:r>
    </w:p>
    <w:p>
      <w:pPr>
        <w:spacing w:after="0" w:line="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5,545,155 Ordinary Shares Offered by Selling Securityholder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from time to time in one or more offerings by General Atlantic PH B.V. or its permitted transferees (the “selling securityholder”) of up to 5,545,155 ordinary shares, par value €0.12 per share (“Ordinary Shares”) of Pharvaris N.V., a Dutch public limited liability company (naamloze vennootschap) (the “Company”).</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are registering the securities described above for resale pursuant to the selling securityholder’s registration rights under the registration rights agreement which the Company and the selling securityholder entered into on February 5, 2024 (the “Registration Rights Agreement”). Our registration of the securities covered by this prospectus does not mean that the selling securityholder will issue, offer or sell, as applicable, any of the securities. The selling securityholder may offer and sell the securities covered by this prospectus in a number of different ways and at varying prices. We provide more information about how the selling securityholder may sell the Ordinary Shares in the section entitled “Plan of Distribution.”</w:t>
      </w:r>
    </w:p>
    <w:p>
      <w:pPr>
        <w:spacing w:after="0" w:line="183"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Ordinary Shares by the selling securityholder pursuant to this prospectus. However, we will pay certain expenses associated with the registration of the securities covered by this prospectus, as described in the section entitled “Plan of Distribution.” The selling securityholder will bear all commissions and discounts, if any, attributable to their sales of the Ordinary Shares.</w:t>
      </w:r>
    </w:p>
    <w:p>
      <w:pPr>
        <w:spacing w:after="0" w:line="176"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Global Select Market (“Nasdaq”) under the symbol “PHVS.” On February 29, 2024, the last sale price of our Ordinary Shares as reported on Nasdaq was $22.94 per share.</w:t>
      </w:r>
    </w:p>
    <w:p>
      <w:pPr>
        <w:spacing w:after="0" w:line="162"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“foreign private issuer” as defined under the U.S. Securities and Exchange Commission and, as such, we have elected to comply with certain reduced public company reporting requirements for this prospectus and future filings. Please see “Pharvaris N.V.—Implications of Being an “Emerging Growth Company” and a Foreign Private Issuer”.</w:t>
      </w:r>
    </w:p>
    <w:p>
      <w:pPr>
        <w:spacing w:after="0" w:line="17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25" w:lineRule="exact"/>
        <w:rPr>
          <w:sz w:val="20"/>
          <w:szCs w:val="20"/>
          <w:color w:val="auto"/>
        </w:rPr>
      </w:pPr>
    </w:p>
    <w:p>
      <w:pPr>
        <w:ind w:right="26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ordinary shares involves a high degree of risk. See “Risk Factors” beginning on page 11 of this prospectus and in the documents incorporated by reference herein.</w:t>
      </w:r>
    </w:p>
    <w:p>
      <w:pPr>
        <w:spacing w:after="0" w:line="155" w:lineRule="exact"/>
        <w:rPr>
          <w:sz w:val="20"/>
          <w:szCs w:val="20"/>
          <w:color w:val="auto"/>
        </w:rPr>
      </w:pPr>
    </w:p>
    <w:p>
      <w:pPr>
        <w:ind w:right="6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1258570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 w:name="page3"/>
    <w:bookmarkEnd w:id="2"/>
    <w:p>
      <w:pPr>
        <w:ind w:firstLine="749"/>
        <w:spacing w:after="0" w:line="275" w:lineRule="auto"/>
        <w:rPr>
          <w:sz w:val="20"/>
          <w:szCs w:val="20"/>
          <w:color w:val="auto"/>
        </w:rPr>
      </w:pPr>
      <w:r>
        <w:rPr>
          <w:rFonts w:ascii="Times New Roman" w:cs="Times New Roman" w:eastAsia="Times New Roman" w:hAnsi="Times New Roman"/>
          <w:sz w:val="17"/>
          <w:szCs w:val="17"/>
          <w:b w:val="1"/>
          <w:bCs w:val="1"/>
          <w:color w:val="auto"/>
        </w:rPr>
        <w:t>We have not, and the selling securityholder has not, authorized anyone to provide any information other than that contained in or incorporated by reference in this prospectus and any related prospectus supplement we provide to you. We have not, and the selling securityholder has not, authorized anyone to provide you with different or additional information. This prospectus does not constitute an offer to sell securities in any jurisdiction where such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“Pharvaris” “the Company,” “our company,” “we,” “us” or “our” refer to Pharvaris N.V. and its subsidiaries.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04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40" w:type="dxa"/>
            <w:vAlign w:val="bottom"/>
          </w:tcPr>
          <w:p>
            <w:pPr>
              <w:ind w:left="50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ABOUT THIS PROSPECTUS</w:t>
            </w: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24"/>
                <w:szCs w:val="24"/>
                <w:color w:val="auto"/>
              </w:rPr>
            </w:pP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WHERE YOU CAN FIND MORE INFORMATION</w:t>
            </w: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24"/>
                <w:szCs w:val="24"/>
                <w:color w:val="auto"/>
              </w:rPr>
            </w:pP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PRESENTATION OF FINANCIAL INFORMATION</w:t>
            </w: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24"/>
                <w:szCs w:val="24"/>
                <w:color w:val="auto"/>
              </w:rPr>
            </w:pP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TRADEMARKS</w:t>
            </w: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24"/>
                <w:szCs w:val="24"/>
                <w:color w:val="auto"/>
              </w:rPr>
            </w:pPr>
          </w:p>
        </w:tc>
      </w:tr>
      <w:tr>
        <w:trPr>
          <w:trHeight w:val="547"/>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SPECIAL NOTE REGARDING FORWARD-LOOKING STATEMENTS</w:t>
            </w: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24"/>
                <w:szCs w:val="24"/>
                <w:color w:val="auto"/>
              </w:rPr>
            </w:pP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PROSPECTUS SUMMARY</w:t>
            </w: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Pr>
          <w:p>
            <w:pPr>
              <w:spacing w:after="0"/>
              <w:rPr>
                <w:sz w:val="24"/>
                <w:szCs w:val="24"/>
                <w:color w:val="auto"/>
              </w:rPr>
            </w:pP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THE OFFERING</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10</w:t>
            </w: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RISK FACTORS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11</w:t>
            </w:r>
          </w:p>
        </w:tc>
      </w:tr>
      <w:tr>
        <w:trPr>
          <w:trHeight w:val="547"/>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USE OF PROCEEDS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12</w:t>
            </w: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SELLING SECURITYHOLDER</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13</w:t>
            </w: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MATERIAL UNITED STATES FEDERAL INCOME TAX AND DUTCH TAX CONSIDERATIONS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15</w:t>
            </w: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PLAN OF DISTRIBUTION</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26</w:t>
            </w: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DESCRIPTION OF SHARE CAPITAL</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29</w:t>
            </w: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ENFORCEMENT OF JUDGMENTS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46</w:t>
            </w: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EXPENSES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47</w:t>
            </w: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LEGAL MATTERS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48</w:t>
            </w: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EXPERTS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48</w:t>
            </w:r>
          </w:p>
        </w:tc>
      </w:tr>
      <w:tr>
        <w:trPr>
          <w:trHeight w:val="439"/>
        </w:trPr>
        <w:tc>
          <w:tcPr>
            <w:tcW w:w="10040" w:type="dxa"/>
            <w:vAlign w:val="bottom"/>
          </w:tcPr>
          <w:p>
            <w:pPr>
              <w:spacing w:after="0"/>
              <w:rPr>
                <w:sz w:val="20"/>
                <w:szCs w:val="20"/>
                <w:color w:val="auto"/>
              </w:rPr>
            </w:pPr>
            <w:r>
              <w:rPr>
                <w:rFonts w:ascii="Times New Roman" w:cs="Times New Roman" w:eastAsia="Times New Roman" w:hAnsi="Times New Roman"/>
                <w:sz w:val="18"/>
                <w:szCs w:val="18"/>
                <w:color w:val="2354E8"/>
              </w:rPr>
              <w:t>INCORPORATION BY REFERENCE</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F-3 that we filed with the U.S. Securities and Exchange Commission (the “SEC”) as a “well-known seasoned issuer” as defined in Rule 405 under the Securities Act of 1933, as amended (the “Securities Act”). Under the automatic shelf process, the selling securityholder may offer and sell Ordinary Shares as described in this prospectus, from time to time, in one or more offerings. To the extent permitted by law, we may also file or authorize one or more prospectus supplements and/or free writing prospectuses to be provided to you that may contain material information relating to these offerings. The prospectus supplement and/or free writing prospectus may also add, update or change information contained in this prospectus. Any statement made in this prospectus will be modified or superseded by any inconsistent statement made in a prospectus supplement and/or free writing prospectus.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90"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Neither we, nor the selling securityholder,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 take no responsibility for, and can provide no assurance as to the reliability of, any other information that others may give you. The selling securityholder will not make an offer to sell these securities in any jurisdiction where the offer or sale is not permitted.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file annual reports on Form 20-F, reports on Form 6-K, and other information with the SEC under the Securities Exchange Act of 1934, as amended (the “Exchange Act”). The SEC maintains a website that contains reports and other information about issuers like us who file electronically with the SEC. The address of the site is http://www.sec.gov. Copies of certain information filed by us with the SEC are also available on our website at http://www.pharvaris.com. Our website is not a part of this prospectus and is not incorporated by reference in this prospectus.</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managing directors and supervisory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report under International Financial Reporting Standards (“IFRS”), as issued by the International Accounting Standards Board (the “IASB”). None of the financial statements incorporated by reference herein were prepared in accordance with generally accepted accounting principles in the United States. We present our consolidated financial statements in euros and in accordance with IFRS as issued by the IASB. We have made rounding adjustments to some of the figures included in this prospectus. Accordingly, numerical figures shown as totals in some tables may not be an arithmetic aggregation of the figures that preceded them.</w:t>
      </w:r>
    </w:p>
    <w:p>
      <w:pPr>
        <w:spacing w:after="0" w:line="18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Unless otherwise indicated, all references in this prospectus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18"/>
          <w:szCs w:val="18"/>
          <w:color w:val="auto"/>
        </w:rPr>
        <w:t xml:space="preserve">All trademarks, trade names and service marks appearing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This prospectus and the financial statements and other documents incorporated by reference in this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and Section 21E of the Securities Exchange Act of 1934, as amended (the “Exchange Act”). Many of the forward-looking statements contained in this prospectus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92"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The following represent some, but not necessarily all, of the factors that could cause actual results to differ from historical results or those anticipated or predicted by our forward-looking statements:</w:t>
      </w:r>
    </w:p>
    <w:p>
      <w:pPr>
        <w:spacing w:after="0" w:line="162" w:lineRule="exact"/>
        <w:rPr>
          <w:sz w:val="20"/>
          <w:szCs w:val="20"/>
          <w:color w:val="auto"/>
        </w:rPr>
      </w:pPr>
    </w:p>
    <w:p>
      <w:pPr>
        <w:jc w:val="both"/>
        <w:ind w:left="1020" w:right="2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or success of our clinical development programs, especially for PHVS416 (immediate-release deucrictibant capsules) and PHVS719 (extended-release deucrictibant tablets), which are in mid-stage global clinical trials;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epidemic diseases, such as the COVID-19 pandemic, which may adversely impact our business, nonclinical studies and clinical trials, the outcome and timing of regulatory approvals and the value of our ordinary shares;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and other limitations involved in obtaining regulatory approval for our product candidates PHVS416 and PHVS719 or any other product candidate that we may develop in the future;</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commercial capabilities or enter into agreements with third parties to market, sell and distribute our product candidates;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to perform critical activities related to the research, nonclinical safety and toxicology studies, development and manufacturing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and on acceptable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any new licensing agreements or to maintain any licensing agreements with respect to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collaboration partners and licensees, whose actions we cannot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private insurers and other payors to provide reimbursement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European Union and other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 timing of price negotiations with governmental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pharmaceutical industry, including with respect to existing therapies, emerging potentially competitive therapies and with competitive generic products;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8" w:name="page9"/>
    <w:bookmarkEnd w:id="8"/>
    <w:p>
      <w:pPr>
        <w:spacing w:after="0" w:line="86" w:lineRule="exact"/>
        <w:rPr>
          <w:sz w:val="20"/>
          <w:szCs w:val="20"/>
          <w:color w:val="auto"/>
        </w:rPr>
      </w:pPr>
    </w:p>
    <w:p>
      <w:pPr>
        <w:ind w:left="1020" w:right="2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know-how and operate our business without infringing the intellectual property rights or regulatory exclusivity of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 or adverse events associated with the use of our product candidates;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costly and damaging liability claims resulting from the testing of our product candidates in the clinic or, if, approved, any commercial sales;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sizes and anticipated uses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anticipated operating losses, future revenues, expenses,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or future laws and regulations in a cost-efficient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negative consequences from changes in applicable laws and regulations, including tax laws;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remediate the material weaknesses in our internal control over financial reporting and to maintain an effective system of internal control over financial reporting;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 or a foreign private issuer;</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general market, political and economic conditions, including as a result of inflation and the current conflict between Russia and Ukraine and the Hamas attack against Israel and the ensuing war; and other risk factors discussed herein under “Risk Factors” or incorporated herein by reference.</w:t>
      </w:r>
    </w:p>
    <w:p>
      <w:pPr>
        <w:spacing w:after="0" w:line="27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related to this offering discussed under “Risk Factors” beginning on page 11 of this prospectus, along with the other risk factors, our consolidated financial statements and notes to those consolidated financial statements and the other information incorporated by reference in this prospectus.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 B2-receptor antagonist for the treatment of hereditary angioedema (“HAE”). Bradykinin-B2-receptor inhibition is a clinically validated mechanism for the treatment of HAE, as demonstrated by icatibant, which is a bradykinin B2-receptor antagonist approved in Europe in 2008 and in the United States in 2011 (as FIRAZYR</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We designed deucrictibant to improve upon the therapeutic profile of existing therapies and, through oral delivery, aim to provide patients with quality of life and ease-of-administration that is superior to current standard-of-care HAE treatments. We believe deucrictibant has the potential to provide a safe, effective and easy-to-administer option for both acute and prophylactic treatments of HAE, in the form of our PHVS416 (deucrictibant immediate-release—“IR”) on-demand rapid exposure product candidate, and for prophylaxis of HAE, in the form of our PHVS719 (deucrictibant extended-release—“XR”) small daily-dose extended-release product candidate. We believe that our product candidates may address a broader range of angioedema attacks than other available treatments since deucrictibant blocks the actual signal that leads to angioedema (the interaction of bradykinin (“BK”), with the bradykinin B2 receptor), rather than an upstream process. By blocking the action of bradykinin, we can prevent its aberrant signaling regardless of the pathway that generates it.</w:t>
      </w:r>
    </w:p>
    <w:p>
      <w:pPr>
        <w:spacing w:after="0" w:line="19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our completed Phase 1 trials to-date, we have observed that deucrictibant was orally bioavailable and well tolerated at all doses studied, with approximately dose-proportional exposure. We also have successfully demonstrated proof-of-mechanism through a clinical pharmacodynamics (“PD”) assessment using a bradykinin challenge in healthy volunteers, which had been utilized as a validated surrogate assessment for dose selection in the icatibant development program. The data allowed us to compare the projected therapeutic performance of deucrictibant with that of icatibant. However, we have not conducted a head-to-head comparison of icatibant to deucrictibant in a clinical study.</w:t>
      </w:r>
    </w:p>
    <w:p>
      <w:pPr>
        <w:spacing w:after="0" w:line="18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demonstrated clinical efficacy and tolerability in a Phase 2 study (RAPIDe-1) treating attacks of HAE.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also commenced the CHAPTER-1 Phase 2 clinical trial for prophylaxis in 2021 using twice-daily dosing of the PHVS416 soft capsules. Our primary objective with this trial is to assess the efficacy and safety profile of deucrictibant dose regimens for prophylactic treatments in HAE patients. We reported Phase 2 data from CHAPTER-1 in December 2023. In February 2022, we reported Phase 1 clinical data with PHVS719 demonstrating pharmacokinetics of the extended-release formulation in healthy volunteers and the potential for once-daily dosing. In healthy volunteers, a single dose of PHVS719 was well tolerated with an extended-release profile supporting once-daily dosing.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 Data from CHAPTER-1 Released</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In December 2023, we reported topline Phase 2 data evaluating the efficacy as well as the safety and tolerability of deucrictibant for long-term prophylaxis against angioedema attacks in HAE-1 or -2. The study’s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primary endpoint measured the time-normalized number of investigator-confirmed HAE attacks during the treatment period. The monthly attack rate was reduced by 84.5% compared to placebo in participants who received 40 mg/day of deucrictibant. Throughout 12 weeks of treatment in CHAPTER-1, both doses of deucrictibant were well tolerated. There were no serious adverse events, no severe treatment-emergent adverse events, and no adverse events leading to treatment discontinuation.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Lifting of Clinical Hold</w:t>
      </w:r>
    </w:p>
    <w:p>
      <w:pPr>
        <w:spacing w:after="0" w:line="121" w:lineRule="exact"/>
        <w:rPr>
          <w:sz w:val="20"/>
          <w:szCs w:val="20"/>
          <w:color w:val="auto"/>
        </w:rPr>
      </w:pPr>
    </w:p>
    <w:p>
      <w:pPr>
        <w:ind w:right="120" w:firstLine="509"/>
        <w:spacing w:after="0" w:line="277" w:lineRule="auto"/>
        <w:rPr>
          <w:sz w:val="20"/>
          <w:szCs w:val="20"/>
          <w:color w:val="auto"/>
        </w:rPr>
      </w:pPr>
      <w:r>
        <w:rPr>
          <w:rFonts w:ascii="Times New Roman" w:cs="Times New Roman" w:eastAsia="Times New Roman" w:hAnsi="Times New Roman"/>
          <w:sz w:val="17"/>
          <w:szCs w:val="17"/>
          <w:color w:val="auto"/>
        </w:rPr>
        <w:t>In August 2022, the FDA placed clinical studies of deucrictibant, including CHAPTER-1, on hold. We notified ex-U.S. country-specific regulatory authorities of the clinical hold in the U.S., and the regulatory status of deucrictibant outside the U.S. was not affected. In June 2023, we announced the FDA’s removal of the clinical hold of deucrictibant for the on-demand treatment of HAE in the U.S. following FDA review of data from a preplanned interim analysis of a 26-week rodent toxicology study. In January 2024, we announced that the FDA lifted the clinical hold on the Investigational New Drug (IND) application for deucrictibant for the prophylactic treatment of HAE attacks following review of data from a 26-week rodent toxicology study.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The offices of Pharvaris N.V. are located at Emmy Noetherweg 2, 2333 BK Leiden, The Netherlands. Our telephone number is +31 (0)71 203 6410. Investors should contact us for any inquiries at the address and telephone number of our principal executive office. Our principal website is </w:t>
      </w:r>
      <w:r>
        <w:rPr>
          <w:rFonts w:ascii="Times New Roman" w:cs="Times New Roman" w:eastAsia="Times New Roman" w:hAnsi="Times New Roman"/>
          <w:sz w:val="18"/>
          <w:szCs w:val="18"/>
          <w:i w:val="1"/>
          <w:iCs w:val="1"/>
          <w:color w:val="auto"/>
        </w:rPr>
        <w:t>www.pharvaris.com</w:t>
      </w:r>
      <w:r>
        <w:rPr>
          <w:rFonts w:ascii="Times New Roman" w:cs="Times New Roman" w:eastAsia="Times New Roman" w:hAnsi="Times New Roman"/>
          <w:sz w:val="18"/>
          <w:szCs w:val="18"/>
          <w:color w:val="auto"/>
        </w:rPr>
        <w:t>. The information contained on our website is not a part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An emerging growth company may take advantage of relief from certain reporting requirements and other burdens that are otherwise applicable generally to public companies. These provisions include an exception from compliance with the auditor attestation requirements of Section 404 of the Sarbanes Oxley Act of 2002, as amended.</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may take advantage of these provisions until such time that we cease to qualify as an emerging growth company. We would cease to qualify as an emerging growth company upon the earliest of: (i) the last day of the fiscal year (A) in which we had more than $1.235 billion in annual revenue, (B) we are deemed to be a “large accelerated filer” under the rules of the SEC, or (C) following the fifth anniversary of the date of the completion of our initial public offering (ii) the date on which we issue more than $1.0 billion of non-convertible debt over a three-year period. We may choose to take advantage of some but not all of these reduced reporting requirements. To the extent that we take advantage of these reduced reporting requirements, the information that we provide shareholders may be different than the information you might obtain from other public companies in which you hold equity interests.</w:t>
      </w:r>
    </w:p>
    <w:p>
      <w:pPr>
        <w:spacing w:after="0" w:line="18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We also report under the Exchange Act, as a non-U.S. company with foreign private issuer status. Even after we no longer qualify as an emerging growth company, as long as we qualify as a foreign private issuer under the Exchange Act we will continue to be exempt from certain provisions of the Exchange Act that are applicable to U.S. domestic public companies, including, but not limited to:</w:t>
      </w:r>
    </w:p>
    <w:p>
      <w:pPr>
        <w:spacing w:after="0" w:line="176"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domestic filers to issue financial statements prepared under U.S. GAAP;</w:t>
      </w:r>
    </w:p>
    <w:p>
      <w:pPr>
        <w:spacing w:after="0" w:line="225"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1140" w:right="260" w:hanging="383"/>
        <w:spacing w:after="0" w:line="266"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 the rules under the Exchange Act requiring the filing with the SEC of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ind w:left="1140" w:right="80"/>
        <w:spacing w:after="0" w:line="282" w:lineRule="auto"/>
        <w:rPr>
          <w:sz w:val="20"/>
          <w:szCs w:val="20"/>
          <w:color w:val="auto"/>
        </w:rPr>
      </w:pPr>
      <w:r>
        <w:rPr>
          <w:rFonts w:ascii="Times New Roman" w:cs="Times New Roman" w:eastAsia="Times New Roman" w:hAnsi="Times New Roman"/>
          <w:sz w:val="18"/>
          <w:szCs w:val="18"/>
          <w:color w:val="auto"/>
        </w:rPr>
        <w:t>containing unaudited financial and other specific information, or current reports on Form 8-K, upon the occurrence of specified significant events.</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(i) more than 50% of our outstanding voting securities are held by U.S. residents and (ii) any of the following three circumstances applies: (A) the majority of our executive officers or directors are U.S. citizens or residents, (B) more than 50% of our assets are located in the United States or (C) our business is administered principally in the United States.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2" w:name="page13"/>
    <w:bookmarkEnd w:id="12"/>
    <w:p>
      <w:pPr>
        <w:ind w:left="48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3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Pharvaris N.V.</w:t>
      </w:r>
    </w:p>
    <w:p>
      <w:pPr>
        <w:sectPr>
          <w:pgSz w:w="11900" w:h="16838" w:orient="portrait"/>
          <w:cols w:equalWidth="0" w:num="1">
            <w:col w:w="10900"/>
          </w:cols>
          <w:pgMar w:left="420" w:top="1413" w:right="579" w:bottom="1440" w:gutter="0" w:footer="0" w:header="0"/>
        </w:sectPr>
      </w:pPr>
    </w:p>
    <w:p>
      <w:pPr>
        <w:spacing w:after="0" w:line="252" w:lineRule="exact"/>
        <w:rPr>
          <w:sz w:val="20"/>
          <w:szCs w:val="20"/>
          <w:color w:val="auto"/>
        </w:rPr>
      </w:pPr>
    </w:p>
    <w:p>
      <w:pPr>
        <w:ind w:left="220" w:hanging="219"/>
        <w:spacing w:after="0" w:line="286" w:lineRule="auto"/>
        <w:rPr>
          <w:sz w:val="20"/>
          <w:szCs w:val="20"/>
          <w:color w:val="auto"/>
        </w:rPr>
      </w:pPr>
      <w:r>
        <w:rPr>
          <w:rFonts w:ascii="Times New Roman" w:cs="Times New Roman" w:eastAsia="Times New Roman" w:hAnsi="Times New Roman"/>
          <w:sz w:val="18"/>
          <w:szCs w:val="18"/>
          <w:b w:val="1"/>
          <w:bCs w:val="1"/>
          <w:color w:val="auto"/>
        </w:rPr>
        <w:t>Ordinary Shares that may be offered and sold from time to time by the selling securityholder</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5,545,155 Ordinary Shares.</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of the Ordinary Shares offered by the selling securityholder pursuant to this prospectus will be sold by the selling securityholder for its account. We will not receive any of the proceeds from such sales.</w:t>
      </w:r>
    </w:p>
    <w:p>
      <w:pPr>
        <w:spacing w:after="0" w:line="199" w:lineRule="exact"/>
        <w:rPr>
          <w:sz w:val="20"/>
          <w:szCs w:val="20"/>
          <w:color w:val="auto"/>
        </w:rPr>
      </w:pPr>
    </w:p>
    <w:p>
      <w:pPr>
        <w:sectPr>
          <w:pgSz w:w="11900" w:h="16838" w:orient="portrait"/>
          <w:cols w:equalWidth="0" w:num="2">
            <w:col w:w="3780" w:space="260"/>
            <w:col w:w="6860"/>
          </w:cols>
          <w:pgMar w:left="420" w:top="1413" w:right="57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as well as those risks and</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uncertainties identified in the documents incorporated by reference herein, including our most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recent Annual Report on Form 20-F, for a discussion of factors to consider carefully before</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deciding to purchase our Ordinary Shares.</w:t>
            </w:r>
          </w:p>
        </w:tc>
        <w:tc>
          <w:tcPr>
            <w:tcW w:w="0" w:type="dxa"/>
            <w:vAlign w:val="bottom"/>
          </w:tcPr>
          <w:p>
            <w:pPr>
              <w:spacing w:after="0"/>
              <w:rPr>
                <w:sz w:val="1"/>
                <w:szCs w:val="1"/>
                <w:color w:val="auto"/>
              </w:rPr>
            </w:pPr>
          </w:p>
        </w:tc>
      </w:tr>
      <w:tr>
        <w:trPr>
          <w:trHeight w:val="459"/>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 Symbol</w:t>
            </w:r>
          </w:p>
        </w:tc>
        <w:tc>
          <w:tcPr>
            <w:tcW w:w="71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“PHVS.”</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20" w:top="1413" w:right="579"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risks. Before making a decision to invest in our securities, you should carefully consider the risks described under “Risk Factors” in the applicable prospectus supplement, as well as those risks and uncertainties identified in the documents incorporated by reference herein, including our most recent Annual Report on Form 20-F, and in any updates to those risk factors in our reports on Form 6-K incorporated herein, together with all of the other information appearing or incorporated by reference in this prospectus and any applicable prospectus supplement, before making an investment in our securities in light of your particular investment objectives and financial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4" w:name="page15"/>
    <w:bookmarkEnd w:id="1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All of the Ordinary Shares offered by the selling securityholder pursuant to this prospectus will be sold by the selling securityholder for its account. We will not receive any of the proceeds from such sales. We will pay certain expenses associated with the registration of the securities covered by this prospectus, as described in the section “Plan of Distribution.” The selling securityholder will bear all commissions and discounts, if any, attributable to its sales of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SECURITYHOLDER</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prospectus relates to the possible offer and sale from time to time of up to 5,545,155 Ordinary Shares held by the selling securityholder.</w:t>
      </w:r>
    </w:p>
    <w:p>
      <w:pPr>
        <w:spacing w:after="0" w:line="22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selling securityholder may from time to time offer and sell any or all of the Ordinary Shares set forth below pursuant to this prospectus. When we refer to the “selling securityholder” in this prospectus, we mean the entity listed in the table below, and the permitted transferees of such entity who later come to hold the selling securityholder’s interest in our securities after the date of this prospectus in accordance with the terms of the Registration Rights Agreement.</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following table is prepared based on information provided to us by the selling securityholder. It sets forth the name and address of the selling securityholder, the aggregate number of Ordinary Shares that the selling securityholder may offer pursuant to this prospectus, and the beneficial ownership of the selling securityholder both before and after the offering. We have based percentage ownership in the following table on 53,790,489 of the Company’s Ordinary Shares outstanding as of February 29, 2024.</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entity listed below has beneficial ownership over its respective securities. The number of Ordinary Shares beneficially owned by the entity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February 29, 2024 through the exercise of any option, warrant or other right. Except as otherwise indicated, and subject to applicable community property laws, the person named in the table has sole voting and investment power with respect to all Ordinary Shares held by that person.</w:t>
      </w:r>
    </w:p>
    <w:p>
      <w:pPr>
        <w:spacing w:after="0" w:line="187" w:lineRule="exact"/>
        <w:rPr>
          <w:sz w:val="20"/>
          <w:szCs w:val="20"/>
          <w:color w:val="auto"/>
        </w:rPr>
      </w:pPr>
    </w:p>
    <w:p>
      <w:pPr>
        <w:ind w:right="700" w:firstLine="749"/>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 will in fact sell any or all of such Ordinary Shares. In addition, the selling securityholder may sell, transfer or otherwise dispose of, at any time and from time to time, the Ordinary Shares in transactions exempt from the registration requirements of the Securities Act after the date of this prospectus, subject to applicable law.</w:t>
      </w:r>
    </w:p>
    <w:p>
      <w:pPr>
        <w:spacing w:after="0" w:line="176"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the selling securityholder’s securities pursuant to this prospectus. Any prospectus supplement may add, update, substitute, or change the information contained in this prospectus, including the identity of the selling securityholder and the number of Ordinary Shares registered on its behalf. The selling securityholder may sell all, some or none of such securities in this offering. See the section titled “Plan of Distribution.”</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Beneficially</w:t>
            </w:r>
          </w:p>
        </w:tc>
        <w:tc>
          <w:tcPr>
            <w:tcW w:w="0" w:type="dxa"/>
            <w:vAlign w:val="bottom"/>
          </w:tcPr>
          <w:p>
            <w:pPr>
              <w:spacing w:after="0"/>
              <w:rPr>
                <w:sz w:val="1"/>
                <w:szCs w:val="1"/>
                <w:color w:val="auto"/>
              </w:rPr>
            </w:pPr>
          </w:p>
        </w:tc>
      </w:tr>
      <w:tr>
        <w:trPr>
          <w:trHeight w:val="211"/>
        </w:trPr>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Ordinary</w:t>
            </w:r>
          </w:p>
        </w:tc>
        <w:tc>
          <w:tcPr>
            <w:tcW w:w="200" w:type="dxa"/>
            <w:vAlign w:val="bottom"/>
          </w:tcPr>
          <w:p>
            <w:pPr>
              <w:spacing w:after="0"/>
              <w:rPr>
                <w:sz w:val="18"/>
                <w:szCs w:val="18"/>
                <w:color w:val="auto"/>
              </w:rPr>
            </w:pPr>
          </w:p>
        </w:tc>
        <w:tc>
          <w:tcPr>
            <w:tcW w:w="23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After the Ordinary</w:t>
            </w:r>
          </w:p>
        </w:tc>
        <w:tc>
          <w:tcPr>
            <w:tcW w:w="0" w:type="dxa"/>
            <w:vAlign w:val="bottom"/>
          </w:tcPr>
          <w:p>
            <w:pPr>
              <w:spacing w:after="0"/>
              <w:rPr>
                <w:sz w:val="1"/>
                <w:szCs w:val="1"/>
                <w:color w:val="auto"/>
              </w:rPr>
            </w:pPr>
          </w:p>
        </w:tc>
      </w:tr>
      <w:tr>
        <w:trPr>
          <w:trHeight w:val="113"/>
        </w:trPr>
        <w:tc>
          <w:tcPr>
            <w:tcW w:w="2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80" w:type="dxa"/>
            <w:vAlign w:val="bottom"/>
          </w:tcPr>
          <w:p>
            <w:pPr>
              <w:spacing w:after="0"/>
              <w:rPr>
                <w:sz w:val="9"/>
                <w:szCs w:val="9"/>
                <w:color w:val="auto"/>
              </w:rPr>
            </w:pPr>
          </w:p>
        </w:tc>
        <w:tc>
          <w:tcPr>
            <w:tcW w:w="17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a % of Ordinary</w:t>
            </w:r>
          </w:p>
        </w:tc>
        <w:tc>
          <w:tcPr>
            <w:tcW w:w="18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w w:val="99"/>
              </w:rPr>
              <w:t>Shares are Sold</w:t>
            </w:r>
          </w:p>
        </w:tc>
        <w:tc>
          <w:tcPr>
            <w:tcW w:w="640" w:type="dxa"/>
            <w:vAlign w:val="bottom"/>
          </w:tcPr>
          <w:p>
            <w:pPr>
              <w:jc w:val="right"/>
              <w:ind w:right="420"/>
              <w:spacing w:after="0" w:line="113" w:lineRule="exact"/>
              <w:rPr>
                <w:sz w:val="20"/>
                <w:szCs w:val="20"/>
                <w:color w:val="auto"/>
              </w:rPr>
            </w:pPr>
            <w:r>
              <w:rPr>
                <w:rFonts w:ascii="Times New Roman" w:cs="Times New Roman" w:eastAsia="Times New Roman" w:hAnsi="Times New Roman"/>
                <w:sz w:val="12"/>
                <w:szCs w:val="12"/>
                <w:b w:val="1"/>
                <w:bCs w:val="1"/>
                <w:color w:val="auto"/>
                <w:w w:val="99"/>
              </w:rPr>
              <w:t>(3)</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 Being Offered</w:t>
            </w:r>
          </w:p>
        </w:tc>
        <w:tc>
          <w:tcPr>
            <w:tcW w:w="200" w:type="dxa"/>
            <w:vAlign w:val="bottom"/>
          </w:tcPr>
          <w:p>
            <w:pPr>
              <w:spacing w:after="0"/>
              <w:rPr>
                <w:sz w:val="12"/>
                <w:szCs w:val="12"/>
                <w:color w:val="auto"/>
              </w:rPr>
            </w:pPr>
          </w:p>
        </w:tc>
        <w:tc>
          <w:tcPr>
            <w:tcW w:w="1700" w:type="dxa"/>
            <w:vAlign w:val="bottom"/>
            <w:tcBorders>
              <w:bottom w:val="single" w:sz="8" w:color="auto"/>
            </w:tcBorders>
            <w:gridSpan w:val="3"/>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80" w:type="dxa"/>
            <w:vAlign w:val="bottom"/>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line="20" w:lineRule="exact"/>
              <w:rPr>
                <w:sz w:val="1"/>
                <w:szCs w:val="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line="20" w:lineRule="exact"/>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Prior to the Offering</w:t>
            </w:r>
          </w:p>
        </w:tc>
        <w:tc>
          <w:tcPr>
            <w:tcW w:w="180" w:type="dxa"/>
            <w:vAlign w:val="bottom"/>
          </w:tcPr>
          <w:p>
            <w:pPr>
              <w:spacing w:after="0"/>
              <w:rPr>
                <w:sz w:val="17"/>
                <w:szCs w:val="17"/>
                <w:color w:val="auto"/>
              </w:rPr>
            </w:pPr>
          </w:p>
        </w:tc>
        <w:tc>
          <w:tcPr>
            <w:tcW w:w="176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Shares outstanding</w:t>
            </w:r>
          </w:p>
        </w:tc>
        <w:tc>
          <w:tcPr>
            <w:tcW w:w="1900" w:type="dxa"/>
            <w:vAlign w:val="bottom"/>
            <w:gridSpan w:val="2"/>
          </w:tcPr>
          <w:p>
            <w:pPr>
              <w:jc w:val="center"/>
              <w:ind w:left="125"/>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2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8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General Atlantic PH</w:t>
            </w:r>
          </w:p>
        </w:tc>
        <w:tc>
          <w:tcPr>
            <w:tcW w:w="180" w:type="dxa"/>
            <w:vAlign w:val="bottom"/>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B.V. </w:t>
            </w:r>
            <w:r>
              <w:rPr>
                <w:rFonts w:ascii="Times New Roman" w:cs="Times New Roman" w:eastAsia="Times New Roman" w:hAnsi="Times New Roman"/>
                <w:sz w:val="24"/>
                <w:szCs w:val="24"/>
                <w:color w:val="auto"/>
                <w:vertAlign w:val="superscript"/>
              </w:rPr>
              <w:t>(1)</w:t>
            </w:r>
          </w:p>
        </w:tc>
        <w:tc>
          <w:tcPr>
            <w:tcW w:w="20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7,531,252</w:t>
            </w:r>
          </w:p>
        </w:tc>
        <w:tc>
          <w:tcPr>
            <w:tcW w:w="194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14.0%</w:t>
            </w:r>
          </w:p>
        </w:tc>
        <w:tc>
          <w:tcPr>
            <w:tcW w:w="19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5,545,155</w:t>
            </w:r>
          </w:p>
        </w:tc>
        <w:tc>
          <w:tcPr>
            <w:tcW w:w="12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1,986,097</w:t>
            </w:r>
          </w:p>
        </w:tc>
        <w:tc>
          <w:tcPr>
            <w:tcW w:w="12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 w:right="100" w:hanging="352"/>
        <w:spacing w:after="0" w:line="228" w:lineRule="auto"/>
        <w:tabs>
          <w:tab w:leader="none" w:pos="30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7,531,252 Ordinary Shares held by General Atlantic PH B.V. General Atlantic PH B.V. (“GA PH”), is a wholly owned subsidiary of General Atlantic Coöperatief U.A. (“GA Coop UA”). The members that share beneficial ownership of the shares held by GA PH through GA Coop UA are the following General Atlantic investment funds (the “GA Funds”): General Atlantic Partners (Bermuda) IV, L.P. (“GAP Bermuda IV”), General Atlantic Partners (Bermuda) EU, L.P. (“GAP Bermuda EU”), General Atlantic Partners (Lux) SCSp (“GAP Lux”), General Atlantic Cooperatief, L.P. (“GA Coop LP”), GAP Coinvestments III, LLC (“GAPCO III”), GAP Coinvestments IV, LLC (“GAPCO IV”), GAP Coinvestments V, LLC (“GAPCO V”), and GAP Coinvestments CDA, L.P. (“GAPCO CDA”). The general partner of GAP Lux is General Atlantic GenPar, (Lux) SCSp (“GA GenPar Lux”), and the general partner of GA GenPar Lux is General Atlantic (Lux) S.à r.l. (“GA Lux”). The general partner of GAP Bermuda IV and GAP Bermuda EU and the sole shareholder of GA Lux is General Atlantic GenPar (Bermuda), L.P. (“GenPar Bermuda”). GAP (Bermuda) L.P. (“GAP (Bermuda)”), which is controlled by the Management Committee of GASC MGP, LLC which is being renamed as the Partnership Committee (the “GA Partnership Committee”),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ind w:left="352"/>
        <w:spacing w:after="0" w:line="229" w:lineRule="auto"/>
        <w:rPr>
          <w:sz w:val="20"/>
          <w:szCs w:val="20"/>
          <w:color w:val="auto"/>
        </w:rPr>
      </w:pPr>
      <w:r>
        <w:rPr>
          <w:rFonts w:ascii="Times New Roman" w:cs="Times New Roman" w:eastAsia="Times New Roman" w:hAnsi="Times New Roman"/>
          <w:sz w:val="14"/>
          <w:szCs w:val="14"/>
          <w:color w:val="auto"/>
        </w:rPr>
        <w:t>effective subject to applicable regulatory approvals, is the general partner of GenPar Bermuda and GA Coop LP. GA LP, which is also controlled by the GA Partnership Committee, is the managing member of GAPCO III, GAPCO IV and GAPCO V and the general partner of GAPCO CDA.GAP (Bermuda),GA LP, GenPar Bermuda, GA Lux, GA GenPar Lux, and the GA Funds, (collectively, the “GA Group”) are a “group” within the meaning of Rule 13d-5 of the Securities Exchange Act of 1934, as amended. The address of GA Coop LP, GAP Bermuda IV, GAP Bermuda EU, GenPar Bermuda, and GAP (Bermuda) is Clarendon House, 2 Church Street, Hamilton HM 11, Bermuda. The address of GA Coop UA is Prinsengracht 769, 1017 JZ, Amsterdam, The Netherlands. The address of GAP Lux, GA GenPar Lux and GA Lux is 412F, Route d’Esch, L-1471 Luxembourg. The address of GA LP, GAPCO III, GAPCO IV, GAPCO V, and GAPCO CDA is c/o General Atlantic Service Company, L.P., 55 East 52nd Street, 33rd Floor, New York, NY 10055. Each of the members of the GA Partnership Committee disclaims ownership of the shares except to the extent that he has a pecuniary interest therein.</w:t>
      </w:r>
    </w:p>
    <w:p>
      <w:pPr>
        <w:spacing w:after="0" w:line="140" w:lineRule="exact"/>
        <w:rPr>
          <w:sz w:val="20"/>
          <w:szCs w:val="20"/>
          <w:color w:val="auto"/>
        </w:rPr>
      </w:pPr>
    </w:p>
    <w:p>
      <w:pPr>
        <w:ind w:left="352" w:right="80" w:hanging="352"/>
        <w:spacing w:after="0" w:line="261" w:lineRule="auto"/>
        <w:tabs>
          <w:tab w:leader="none" w:pos="29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Ordinary Shares in the column “Number of Ordinary Shares Being Offered” represents all of the Ordinary Shares that the selling securityholder may offer and sell from time to time under this prospectus.</w:t>
      </w:r>
    </w:p>
    <w:p>
      <w:pPr>
        <w:spacing w:after="0" w:line="135" w:lineRule="exact"/>
        <w:rPr>
          <w:rFonts w:ascii="Times New Roman" w:cs="Times New Roman" w:eastAsia="Times New Roman" w:hAnsi="Times New Roman"/>
          <w:sz w:val="14"/>
          <w:szCs w:val="14"/>
          <w:color w:val="auto"/>
        </w:rPr>
      </w:pPr>
    </w:p>
    <w:p>
      <w:pPr>
        <w:ind w:left="352" w:right="320" w:hanging="352"/>
        <w:spacing w:after="0" w:line="236" w:lineRule="auto"/>
        <w:tabs>
          <w:tab w:leader="none" w:pos="29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know when or in what amounts the selling securityholder may offer shares for sale. The selling securityholder might not sell any or might sell all of the shares offered by this prospectus. Because the selling securityholder may offer all or some of the shares pursuant to this prospectus, and because there are currently no agreements, arrangements or understandings with respect to the sale of any of the shares, we cannot estimate the number of the shares that will be held by the selling securityholder after completion of the offering. However, for purposes of this table, we have assumed that, after completion of the offering, none of the shares covered by this prospectus will be held by the selling securityholder.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3" w:right="35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AND DUTCH TAX CONSIDERATIONS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w:t>
      </w:r>
    </w:p>
    <w:p>
      <w:pPr>
        <w:spacing w:after="0" w:line="180"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You should consult your tax adviser regarding the applicable tax consequences to you of investing in our ordinary shares under the laws of the United States (federal, state and local), the Netherlands, and any other applicable jurisdiction.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to U.S. Holders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This discussion applies only to a U.S. Holder that holds our ordinary shares as capital assets within the meaning of Section 1221 of the United States Internal Revenue Code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189" w:lineRule="exact"/>
        <w:rPr>
          <w:sz w:val="20"/>
          <w:szCs w:val="20"/>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 or expatriated entities subject to Section 7874 of the Code;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who use a mark-to-market method of tax accounting;</w:t>
      </w:r>
    </w:p>
    <w:p>
      <w:pPr>
        <w:spacing w:after="0" w:line="225"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as part of a hedging transaction, straddle, wash sale, conversion transaction or other integrated transaction or persons entering into a constructive sale with respect to the ordinary shares;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for U.S. federal income tax purposes;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accounts” or “Roth IRAs” or other tax-deferred accounts;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persons that acquire ordinary shares directly or indirectly in connection with the performance of services;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subject to Section 451(b) of the Code;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ten percent or more of our shares (by vote or value);</w:t>
      </w:r>
    </w:p>
    <w:p>
      <w:pPr>
        <w:spacing w:after="0" w:line="225"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and any investors therein, regulated investment companies, real estate investment trusts, real estate mortgage investment conduits; or persons holding ordinary shares in connection with a trade or business conducted outside of the United States.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8" w:name="page19"/>
    <w:bookmarkEnd w:id="18"/>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ordinary shares, the U.S. federal income tax treatment of a partner will generally depend on the status of the partner and the activities of the partner and the partnership. Partnerships holding ordinary shares and partners in such partnerships should consult their tax advisers as to the particular U.S. federal income tax consequences of owning and disposing of ordinary shares.</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final, temporary and proposed Treasury regulations, and the income tax treaty between the Netherlands and the United States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87"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A “U.S. Holder” is a holder who, for U.S. federal income tax purposes, is a beneficial owner of ordinary shares, who is eligible for the benefits of the Treaty and who is:</w:t>
      </w:r>
    </w:p>
    <w:p>
      <w:pPr>
        <w:spacing w:after="0" w:line="162" w:lineRule="exact"/>
        <w:rPr>
          <w:sz w:val="20"/>
          <w:szCs w:val="20"/>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in the US;</w:t>
      </w:r>
    </w:p>
    <w:p>
      <w:pPr>
        <w:spacing w:after="0" w:line="225"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therein or the District of Columbia;</w:t>
      </w:r>
    </w:p>
    <w:p>
      <w:pPr>
        <w:spacing w:after="0" w:line="161" w:lineRule="exact"/>
        <w:rPr>
          <w:rFonts w:ascii="Times New Roman" w:cs="Times New Roman" w:eastAsia="Times New Roman" w:hAnsi="Times New Roman"/>
          <w:sz w:val="18"/>
          <w:szCs w:val="18"/>
          <w:color w:val="auto"/>
        </w:rPr>
      </w:pPr>
    </w:p>
    <w:p>
      <w:pPr>
        <w:ind w:left="1140" w:right="180" w:hanging="383"/>
        <w:spacing w:after="0" w:line="261"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 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80"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do not expect to make distributions on our ordinary shares in the near future. In the event that we do make distributions of cash or other property, subject to the passive foreign investment company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generally not be eligible for the dividends-received deduction generally available to U.S. corporations under the Code.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Ordinary Shares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Under the Code, we will be a PFIC for any taxable year in which, after the application of certain “look- 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and our expectations about the nature and amount of our income, assets and activities we do not believe we were a PFIC in 2023 and we do not expect to be a PFIC for our current taxable year or in the foreseeable future. In addition, we may, directly or indirectly, hold equity interests in other PFICs, or Lower-tier PFICs. Whether we or any of our subsidiaries will be a PFIC in 2024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2024 or any 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9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ind w:firstLine="749"/>
        <w:spacing w:after="0" w:line="254" w:lineRule="auto"/>
        <w:rPr>
          <w:sz w:val="20"/>
          <w:szCs w:val="20"/>
          <w:color w:val="auto"/>
        </w:rPr>
      </w:pPr>
      <w:r>
        <w:rPr>
          <w:rFonts w:ascii="Times New Roman" w:cs="Times New Roman" w:eastAsia="Times New Roman" w:hAnsi="Times New Roman"/>
          <w:sz w:val="18"/>
          <w:szCs w:val="18"/>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88" w:lineRule="exact"/>
        <w:rPr>
          <w:sz w:val="20"/>
          <w:szCs w:val="20"/>
          <w:color w:val="auto"/>
        </w:rPr>
      </w:pPr>
    </w:p>
    <w:p>
      <w:pPr>
        <w:ind w:right="140" w:firstLine="749"/>
        <w:spacing w:after="0" w:line="252" w:lineRule="auto"/>
        <w:rPr>
          <w:sz w:val="20"/>
          <w:szCs w:val="20"/>
          <w:color w:val="auto"/>
        </w:rPr>
      </w:pPr>
      <w:r>
        <w:rPr>
          <w:rFonts w:ascii="Times New Roman" w:cs="Times New Roman" w:eastAsia="Times New Roman" w:hAnsi="Times New Roman"/>
          <w:sz w:val="18"/>
          <w:szCs w:val="18"/>
          <w:color w:val="auto"/>
        </w:rPr>
        <w:t>A U.S. Holder can avoid certain of the adverse rules described above by making a mark-to-market election with respect to its ordinary shares, provided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qualifying electing fund election (“QEF Election”) with respect to such Lower-tier PFIC, as discussed below. U.S. Holders should consult their tax advisers regarding the availability and advisability of making a mark-to-market election in their particular circumstances.</w:t>
      </w:r>
    </w:p>
    <w:p>
      <w:pPr>
        <w:spacing w:after="0" w:line="19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 subject to an interest charge.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ind w:right="600"/>
        <w:spacing w:after="0" w:line="282" w:lineRule="auto"/>
        <w:rPr>
          <w:sz w:val="20"/>
          <w:szCs w:val="20"/>
          <w:color w:val="auto"/>
        </w:rPr>
      </w:pPr>
      <w:r>
        <w:rPr>
          <w:rFonts w:ascii="Times New Roman" w:cs="Times New Roman" w:eastAsia="Times New Roman" w:hAnsi="Times New Roman"/>
          <w:sz w:val="18"/>
          <w:szCs w:val="18"/>
          <w:color w:val="auto"/>
        </w:rPr>
        <w:t>make a QEF Election with respect to such Lower-tier PFIC. U.S. Holders should consult their tax advisers regarding making QEF Elections in their particular circumstances.</w:t>
      </w:r>
    </w:p>
    <w:p>
      <w:pPr>
        <w:spacing w:after="0" w:line="162"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76"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With respect to Foreign Financial Assets</w:t>
      </w:r>
    </w:p>
    <w:p>
      <w:pPr>
        <w:spacing w:after="0" w:line="229"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80"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Dutch 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Scope of Discussion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This section only outlines certain material Dutch tax consequences of the acquisition, holding and disposal of our ordinary shares. This section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This section is based on the tax laws of the Netherlands, published regulations thereunder and published authoritative case law, all as in effect on the date hereof, including, for the avoidance of doubt, the tax rates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THIS SECTION IS INTENDED AS GENERAL INFORMATION ONLY AND IS NOT DUTCH TAX ADVICE OR A COMPLETE DESCRIPTION OF ALL DUTCH TAX CONSEQUENCES RELATING TO THE ACQUISITION, HOLDING AND DISPOSAL OF OUR ORDINARY SHARES. HOLDERS OR PROSPECTIVE HOLDERS OF OUR ORDINARY SHARES SHOULD CONSULT THEIR OWN TAX ADVISERS REGARDING THE DUTCH TAX CONSEQUENCES RELATING TO THE ACQUISITION, HOLDING AND DISPOSAL OF THE ORDINARY SHARES IN LIGHT OF THEIR PARTICULAR CIRCUMSTANCES.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Please note that this section does not describe the Dutch tax consequences for:</w:t>
      </w:r>
    </w:p>
    <w:p>
      <w:pPr>
        <w:spacing w:after="0" w:line="223" w:lineRule="exact"/>
        <w:rPr>
          <w:sz w:val="20"/>
          <w:szCs w:val="20"/>
          <w:color w:val="auto"/>
        </w:rPr>
      </w:pPr>
    </w:p>
    <w:p>
      <w:pPr>
        <w:ind w:right="100" w:firstLine="757"/>
        <w:spacing w:after="0" w:line="255" w:lineRule="auto"/>
        <w:tabs>
          <w:tab w:leader="none" w:pos="11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our ordinary shares if such holder has a substantial interest (</w:t>
      </w:r>
      <w:r>
        <w:rPr>
          <w:rFonts w:ascii="Times New Roman" w:cs="Times New Roman" w:eastAsia="Times New Roman" w:hAnsi="Times New Roman"/>
          <w:sz w:val="18"/>
          <w:szCs w:val="18"/>
          <w:i w:val="1"/>
          <w:iCs w:val="1"/>
          <w:color w:val="auto"/>
        </w:rPr>
        <w:t>aanmerkelijk belang</w:t>
      </w:r>
      <w:r>
        <w:rPr>
          <w:rFonts w:ascii="Times New Roman" w:cs="Times New Roman" w:eastAsia="Times New Roman" w:hAnsi="Times New Roman"/>
          <w:sz w:val="18"/>
          <w:szCs w:val="18"/>
          <w:color w:val="auto"/>
        </w:rPr>
        <w:t>) or deemed substantial interest (</w:t>
      </w:r>
      <w:r>
        <w:rPr>
          <w:rFonts w:ascii="Times New Roman" w:cs="Times New Roman" w:eastAsia="Times New Roman" w:hAnsi="Times New Roman"/>
          <w:sz w:val="18"/>
          <w:szCs w:val="18"/>
          <w:i w:val="1"/>
          <w:iCs w:val="1"/>
          <w:color w:val="auto"/>
        </w:rPr>
        <w:t>fictief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aanmerkelijk belang</w:t>
      </w:r>
      <w:r>
        <w:rPr>
          <w:rFonts w:ascii="Times New Roman" w:cs="Times New Roman" w:eastAsia="Times New Roman" w:hAnsi="Times New Roman"/>
          <w:sz w:val="18"/>
          <w:szCs w:val="18"/>
          <w:color w:val="auto"/>
        </w:rPr>
        <w:t>) in us under the Dutch Income Tax Act 2001 (</w:t>
      </w:r>
      <w:r>
        <w:rPr>
          <w:rFonts w:ascii="Times New Roman" w:cs="Times New Roman" w:eastAsia="Times New Roman" w:hAnsi="Times New Roman"/>
          <w:sz w:val="18"/>
          <w:szCs w:val="18"/>
          <w:i w:val="1"/>
          <w:iCs w:val="1"/>
          <w:color w:val="auto"/>
        </w:rPr>
        <w:t>Wet inkomstenbelasting 2001</w:t>
      </w:r>
      <w:r>
        <w:rPr>
          <w:rFonts w:ascii="Times New Roman" w:cs="Times New Roman" w:eastAsia="Times New Roman" w:hAnsi="Times New Roman"/>
          <w:sz w:val="18"/>
          <w:szCs w:val="18"/>
          <w:color w:val="auto"/>
        </w:rPr>
        <w:t>). Generally, a holder of securities in a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184" w:lineRule="exact"/>
        <w:rPr>
          <w:rFonts w:ascii="Times New Roman" w:cs="Times New Roman" w:eastAsia="Times New Roman" w:hAnsi="Times New Roman"/>
          <w:sz w:val="18"/>
          <w:szCs w:val="18"/>
          <w:color w:val="auto"/>
        </w:rPr>
      </w:pPr>
    </w:p>
    <w:p>
      <w:pPr>
        <w:ind w:firstLine="757"/>
        <w:spacing w:after="0" w:line="261" w:lineRule="auto"/>
        <w:tabs>
          <w:tab w:leader="none" w:pos="11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our ordinary shares, if the ordinary shares held by such holder qualify or qualified as a participation (</w:t>
      </w:r>
      <w:r>
        <w:rPr>
          <w:rFonts w:ascii="Times New Roman" w:cs="Times New Roman" w:eastAsia="Times New Roman" w:hAnsi="Times New Roman"/>
          <w:sz w:val="18"/>
          <w:szCs w:val="18"/>
          <w:i w:val="1"/>
          <w:iCs w:val="1"/>
          <w:color w:val="auto"/>
        </w:rPr>
        <w:t>deelneming</w:t>
      </w:r>
      <w:r>
        <w:rPr>
          <w:rFonts w:ascii="Times New Roman" w:cs="Times New Roman" w:eastAsia="Times New Roman" w:hAnsi="Times New Roman"/>
          <w:sz w:val="18"/>
          <w:szCs w:val="18"/>
          <w:color w:val="auto"/>
        </w:rPr>
        <w:t>) for purposes of the Dutch Corporate Income Tax Act 1969 (</w:t>
      </w:r>
      <w:r>
        <w:rPr>
          <w:rFonts w:ascii="Times New Roman" w:cs="Times New Roman" w:eastAsia="Times New Roman" w:hAnsi="Times New Roman"/>
          <w:sz w:val="18"/>
          <w:szCs w:val="18"/>
          <w:i w:val="1"/>
          <w:iCs w:val="1"/>
          <w:color w:val="auto"/>
        </w:rPr>
        <w:t>Wet op de vennootschapsbelasting 1969</w:t>
      </w:r>
      <w:r>
        <w:rPr>
          <w:rFonts w:ascii="Times New Roman" w:cs="Times New Roman" w:eastAsia="Times New Roman" w:hAnsi="Times New Roman"/>
          <w:sz w:val="18"/>
          <w:szCs w:val="18"/>
          <w:color w:val="auto"/>
        </w:rPr>
        <w:t>). Generally, a holder’s shareholding of 5% or more in a 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w:t>
      </w:r>
    </w:p>
    <w:p>
      <w:pPr>
        <w:spacing w:after="0" w:line="179" w:lineRule="exact"/>
        <w:rPr>
          <w:rFonts w:ascii="Times New Roman" w:cs="Times New Roman" w:eastAsia="Times New Roman" w:hAnsi="Times New Roman"/>
          <w:sz w:val="18"/>
          <w:szCs w:val="18"/>
          <w:color w:val="auto"/>
        </w:rPr>
      </w:pPr>
    </w:p>
    <w:p>
      <w:pPr>
        <w:ind w:firstLine="757"/>
        <w:spacing w:after="0" w:line="261" w:lineRule="auto"/>
        <w:tabs>
          <w:tab w:leader="none" w:pos="11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our ordinary shares which is or who is entitled to the dividend withholding tax exemption (</w:t>
      </w:r>
      <w:r>
        <w:rPr>
          <w:rFonts w:ascii="Times New Roman" w:cs="Times New Roman" w:eastAsia="Times New Roman" w:hAnsi="Times New Roman"/>
          <w:sz w:val="18"/>
          <w:szCs w:val="18"/>
          <w:i w:val="1"/>
          <w:iCs w:val="1"/>
          <w:color w:val="auto"/>
        </w:rPr>
        <w:t>inhoudingsvrijstelling</w:t>
      </w:r>
      <w:r>
        <w:rPr>
          <w:rFonts w:ascii="Times New Roman" w:cs="Times New Roman" w:eastAsia="Times New Roman" w:hAnsi="Times New Roman"/>
          <w:sz w:val="18"/>
          <w:szCs w:val="18"/>
          <w:color w:val="auto"/>
        </w:rPr>
        <w:t>) with respect to any income (</w:t>
      </w:r>
      <w:r>
        <w:rPr>
          <w:rFonts w:ascii="Times New Roman" w:cs="Times New Roman" w:eastAsia="Times New Roman" w:hAnsi="Times New Roman"/>
          <w:sz w:val="18"/>
          <w:szCs w:val="18"/>
          <w:i w:val="1"/>
          <w:iCs w:val="1"/>
          <w:color w:val="auto"/>
        </w:rPr>
        <w:t>opbrengst</w:t>
      </w:r>
      <w:r>
        <w:rPr>
          <w:rFonts w:ascii="Times New Roman" w:cs="Times New Roman" w:eastAsia="Times New Roman" w:hAnsi="Times New Roman"/>
          <w:sz w:val="18"/>
          <w:szCs w:val="18"/>
          <w:color w:val="auto"/>
        </w:rPr>
        <w:t>) derived from the ordinary shares (as defined in Article 4 of the Dutch Dividend Withholding Tax Act 1965 (</w:t>
      </w:r>
      <w:r>
        <w:rPr>
          <w:rFonts w:ascii="Times New Roman" w:cs="Times New Roman" w:eastAsia="Times New Roman" w:hAnsi="Times New Roman"/>
          <w:sz w:val="18"/>
          <w:szCs w:val="18"/>
          <w:i w:val="1"/>
          <w:iCs w:val="1"/>
          <w:color w:val="auto"/>
        </w:rPr>
        <w:t>Wet op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dividendbelasting</w:t>
      </w:r>
      <w:r>
        <w:rPr>
          <w:rFonts w:ascii="Times New Roman" w:cs="Times New Roman" w:eastAsia="Times New Roman" w:hAnsi="Times New Roman"/>
          <w:sz w:val="18"/>
          <w:szCs w:val="18"/>
          <w:color w:val="auto"/>
        </w:rPr>
        <w:t>). Generally, a holder of our ordinary shares may be entitled or required to apply, subject to certain other requirements, the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exemption if it is an entity and holds an interest of 5% or more in our nominal paid-up shares capital;</w:t>
      </w:r>
    </w:p>
    <w:p>
      <w:pPr>
        <w:spacing w:after="0" w:line="179"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 investment institutions (</w:t>
      </w:r>
      <w:r>
        <w:rPr>
          <w:rFonts w:ascii="Times New Roman" w:cs="Times New Roman" w:eastAsia="Times New Roman" w:hAnsi="Times New Roman"/>
          <w:sz w:val="18"/>
          <w:szCs w:val="18"/>
          <w:i w:val="1"/>
          <w:iCs w:val="1"/>
          <w:color w:val="auto"/>
        </w:rPr>
        <w:t>fiscale beleggingsinstellingen</w:t>
      </w:r>
      <w:r>
        <w:rPr>
          <w:rFonts w:ascii="Times New Roman" w:cs="Times New Roman" w:eastAsia="Times New Roman" w:hAnsi="Times New Roman"/>
          <w:sz w:val="18"/>
          <w:szCs w:val="18"/>
          <w:color w:val="auto"/>
        </w:rPr>
        <w:t>), tax exempt investment institutions (</w:t>
      </w:r>
      <w:r>
        <w:rPr>
          <w:rFonts w:ascii="Times New Roman" w:cs="Times New Roman" w:eastAsia="Times New Roman" w:hAnsi="Times New Roman"/>
          <w:sz w:val="18"/>
          <w:szCs w:val="18"/>
          <w:i w:val="1"/>
          <w:iCs w:val="1"/>
          <w:color w:val="auto"/>
        </w:rPr>
        <w:t>vrijgestelde</w:t>
      </w:r>
    </w:p>
    <w:p>
      <w:pPr>
        <w:spacing w:after="0" w:line="29" w:lineRule="exact"/>
        <w:rPr>
          <w:rFonts w:ascii="Times New Roman" w:cs="Times New Roman" w:eastAsia="Times New Roman" w:hAnsi="Times New Roman"/>
          <w:sz w:val="18"/>
          <w:szCs w:val="18"/>
          <w:color w:val="auto"/>
        </w:rPr>
      </w:pP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beleggingsinstellingen</w:t>
      </w:r>
      <w:r>
        <w:rPr>
          <w:rFonts w:ascii="Times New Roman" w:cs="Times New Roman" w:eastAsia="Times New Roman" w:hAnsi="Times New Roman"/>
          <w:sz w:val="18"/>
          <w:szCs w:val="18"/>
          <w:color w:val="auto"/>
        </w:rPr>
        <w:t>) (each as defined in the Dutch Corporate Income Tax Act 1969) and other entities that are, in whole or in part, not subject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w:t>
      </w:r>
    </w:p>
    <w:p>
      <w:pPr>
        <w:spacing w:after="0" w:line="188" w:lineRule="exact"/>
        <w:rPr>
          <w:rFonts w:ascii="Times New Roman" w:cs="Times New Roman" w:eastAsia="Times New Roman" w:hAnsi="Times New Roman"/>
          <w:sz w:val="18"/>
          <w:szCs w:val="18"/>
          <w:color w:val="auto"/>
        </w:rPr>
      </w:pPr>
    </w:p>
    <w:p>
      <w:pPr>
        <w:jc w:val="both"/>
        <w:ind w:right="120" w:firstLine="757"/>
        <w:spacing w:after="0" w:line="266" w:lineRule="auto"/>
        <w:tabs>
          <w:tab w:leader="none" w:pos="11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our ordinary shares if such holder is an individual for whom the ordinary shares or any benefit derived from the ordinary shares are a remuneration or deemed to be a remuneration for (employment) activities performed by such holder or certain individuals related to such holders (as defined in the Dutch Income Tax Act 2001); and</w:t>
      </w:r>
    </w:p>
    <w:p>
      <w:pPr>
        <w:spacing w:after="0" w:line="17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options for our ordinary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520" w:firstLine="749"/>
        <w:spacing w:after="0" w:line="312" w:lineRule="auto"/>
        <w:rPr>
          <w:sz w:val="20"/>
          <w:szCs w:val="20"/>
          <w:color w:val="auto"/>
        </w:rPr>
      </w:pPr>
      <w:r>
        <w:rPr>
          <w:rFonts w:ascii="Times New Roman" w:cs="Times New Roman" w:eastAsia="Times New Roman" w:hAnsi="Times New Roman"/>
          <w:sz w:val="17"/>
          <w:szCs w:val="17"/>
          <w:color w:val="auto"/>
        </w:rPr>
        <w:t>Dividends distributed by us are generally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expression “dividends distributed” includes, among other things:</w:t>
      </w:r>
    </w:p>
    <w:p>
      <w:pPr>
        <w:spacing w:after="0" w:line="225" w:lineRule="exact"/>
        <w:rPr>
          <w:sz w:val="20"/>
          <w:szCs w:val="20"/>
          <w:color w:val="auto"/>
        </w:rPr>
      </w:pPr>
    </w:p>
    <w:p>
      <w:pPr>
        <w:ind w:left="1140" w:right="12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in cash or in kind, deemed and constructive distributions and repayments of paid-in capital not recognized for Dutch dividend withholding tax purposes;</w:t>
      </w:r>
    </w:p>
    <w:p>
      <w:pPr>
        <w:spacing w:after="0" w:line="161" w:lineRule="exact"/>
        <w:rPr>
          <w:rFonts w:ascii="Times New Roman" w:cs="Times New Roman" w:eastAsia="Times New Roman" w:hAnsi="Times New Roman"/>
          <w:sz w:val="18"/>
          <w:szCs w:val="18"/>
          <w:color w:val="auto"/>
        </w:rPr>
      </w:pPr>
    </w:p>
    <w:p>
      <w:pPr>
        <w:ind w:left="1140" w:right="260" w:hanging="383"/>
        <w:spacing w:after="0" w:line="289" w:lineRule="auto"/>
        <w:tabs>
          <w:tab w:leader="none" w:pos="11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liquidation proceeds, proceeds of redemption of our ordinary shares, or proceeds of the repurchase of ordinary shares (other than as temporary portfolio investment; </w:t>
      </w:r>
      <w:r>
        <w:rPr>
          <w:rFonts w:ascii="Times New Roman" w:cs="Times New Roman" w:eastAsia="Times New Roman" w:hAnsi="Times New Roman"/>
          <w:sz w:val="17"/>
          <w:szCs w:val="17"/>
          <w:i w:val="1"/>
          <w:iCs w:val="1"/>
          <w:color w:val="auto"/>
        </w:rPr>
        <w:t>tijdelijke belegging</w:t>
      </w:r>
      <w:r>
        <w:rPr>
          <w:rFonts w:ascii="Times New Roman" w:cs="Times New Roman" w:eastAsia="Times New Roman" w:hAnsi="Times New Roman"/>
          <w:sz w:val="17"/>
          <w:szCs w:val="17"/>
          <w:color w:val="auto"/>
        </w:rPr>
        <w:t>) by us or one of our subsidiaries or other affiliated entities, in each case to the extent such proceeds exceed the average paid-in capital of those ordinary shares as recognized for Dutch dividend withholding tax purposes;</w:t>
      </w:r>
    </w:p>
    <w:p>
      <w:pPr>
        <w:spacing w:after="0" w:line="157" w:lineRule="exact"/>
        <w:rPr>
          <w:rFonts w:ascii="Times New Roman" w:cs="Times New Roman" w:eastAsia="Times New Roman" w:hAnsi="Times New Roman"/>
          <w:sz w:val="17"/>
          <w:szCs w:val="17"/>
          <w:color w:val="auto"/>
        </w:rPr>
      </w:pPr>
    </w:p>
    <w:p>
      <w:pPr>
        <w:ind w:left="1140" w:right="26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par value of our ordinary shares issued or an increase of the par value of ordinary shares, to the extent that it does not appear that a contribution, recognized for Dutch dividend withholding tax purposes, has been made or will be made; and</w:t>
      </w:r>
    </w:p>
    <w:p>
      <w:pPr>
        <w:spacing w:after="0" w:line="161" w:lineRule="exact"/>
        <w:rPr>
          <w:rFonts w:ascii="Times New Roman" w:cs="Times New Roman" w:eastAsia="Times New Roman" w:hAnsi="Times New Roman"/>
          <w:sz w:val="18"/>
          <w:szCs w:val="18"/>
          <w:color w:val="auto"/>
        </w:rPr>
      </w:pPr>
    </w:p>
    <w:p>
      <w:pPr>
        <w:ind w:left="1140" w:right="100" w:hanging="383"/>
        <w:spacing w:after="0" w:line="261"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repayment of the paid-in capital, recognized for Dutch dividend withholding tax purposes, if and to the extent that we have net profits (</w:t>
      </w:r>
      <w:r>
        <w:rPr>
          <w:rFonts w:ascii="Times New Roman" w:cs="Times New Roman" w:eastAsia="Times New Roman" w:hAnsi="Times New Roman"/>
          <w:sz w:val="18"/>
          <w:szCs w:val="18"/>
          <w:i w:val="1"/>
          <w:iCs w:val="1"/>
          <w:color w:val="auto"/>
        </w:rPr>
        <w:t>zuivere winst</w:t>
      </w:r>
      <w:r>
        <w:rPr>
          <w:rFonts w:ascii="Times New Roman" w:cs="Times New Roman" w:eastAsia="Times New Roman" w:hAnsi="Times New Roman"/>
          <w:sz w:val="18"/>
          <w:szCs w:val="18"/>
          <w:color w:val="auto"/>
        </w:rPr>
        <w:t>),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our ordinary shares that are neither resident nor deemed to be resident of the Netherlands (“Non-Resident Holders”) if the ordinary shares are attributable to a Dutch permanent establishment of such Non-Resident Holder.</w:t>
      </w:r>
    </w:p>
    <w:p>
      <w:pPr>
        <w:spacing w:after="0" w:line="192"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 law, or treaties for the avoidance of double taxation in effect between the Netherlands and such other country.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stripping</w:t>
      </w:r>
    </w:p>
    <w:p>
      <w:pPr>
        <w:spacing w:after="0" w:line="22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Times New Roman" w:cs="Times New Roman" w:eastAsia="Times New Roman" w:hAnsi="Times New Roman"/>
          <w:sz w:val="18"/>
          <w:szCs w:val="18"/>
          <w:i w:val="1"/>
          <w:iCs w:val="1"/>
          <w:color w:val="auto"/>
        </w:rPr>
        <w:t>uiteindelijk gerechtigde</w:t>
      </w:r>
      <w:r>
        <w:rPr>
          <w:rFonts w:ascii="Times New Roman" w:cs="Times New Roman" w:eastAsia="Times New Roman" w:hAnsi="Times New Roman"/>
          <w:sz w:val="18"/>
          <w:szCs w:val="18"/>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As of January 1, 2024, more stringent rules apply to the setoff, exemption from, and reduction or refund of Dutch dividend withholding tax to address situations where a claim for setoff, exemption, reduction or refund may align with the letter of Dutch tax law or a double taxation convention but goes against the underlying intention or spirit of the dividend stripping rules, as perceived by the legislator. The burden of proof with respect to beneficial ownership of dividends distributed by us rests on the Dutch tax authorities. If, however, a shareholder would receive dividends, including dividends on the ordinary shares, in a calendar year in respect of which an aggregate amount of EUR 1,000 in Dutch dividend withholding tax would otherwise be due based on the rate of 15%, the burden of proof with respect to beneficial ownership of such dividends lies with the shareholder. Furthermore, for shares traded on a regulated market, including the ordinary shares, it has been codified that the record date is used when determining the person who is entitled to the dividend.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withholding tax on dividends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addition to the regular Dutch dividend withholding tax as described above, a Dutch conditional withholding tax will be imposed on dividends distributed by us to entities related (</w:t>
      </w:r>
      <w:r>
        <w:rPr>
          <w:rFonts w:ascii="Times New Roman" w:cs="Times New Roman" w:eastAsia="Times New Roman" w:hAnsi="Times New Roman"/>
          <w:sz w:val="18"/>
          <w:szCs w:val="18"/>
          <w:i w:val="1"/>
          <w:iCs w:val="1"/>
          <w:color w:val="auto"/>
        </w:rPr>
        <w:t>gelieerd</w:t>
      </w:r>
      <w:r>
        <w:rPr>
          <w:rFonts w:ascii="Times New Roman" w:cs="Times New Roman" w:eastAsia="Times New Roman" w:hAnsi="Times New Roman"/>
          <w:sz w:val="18"/>
          <w:szCs w:val="18"/>
          <w:color w:val="auto"/>
        </w:rPr>
        <w:t xml:space="preserve">) to us (within the meaning of the Dutch Withholding Tax Act 2021; </w:t>
      </w:r>
      <w:r>
        <w:rPr>
          <w:rFonts w:ascii="Times New Roman" w:cs="Times New Roman" w:eastAsia="Times New Roman" w:hAnsi="Times New Roman"/>
          <w:sz w:val="18"/>
          <w:szCs w:val="18"/>
          <w:i w:val="1"/>
          <w:iCs w:val="1"/>
          <w:color w:val="auto"/>
        </w:rPr>
        <w:t>Wet bronbelasting 2021</w:t>
      </w:r>
      <w:r>
        <w:rPr>
          <w:rFonts w:ascii="Times New Roman" w:cs="Times New Roman" w:eastAsia="Times New Roman" w:hAnsi="Times New Roman"/>
          <w:sz w:val="18"/>
          <w:szCs w:val="18"/>
          <w:color w:val="auto"/>
        </w:rPr>
        <w:t>), if such related entity:</w:t>
      </w:r>
    </w:p>
    <w:p>
      <w:pPr>
        <w:spacing w:after="0" w:line="174" w:lineRule="exact"/>
        <w:rPr>
          <w:sz w:val="20"/>
          <w:szCs w:val="20"/>
          <w:color w:val="auto"/>
        </w:rPr>
      </w:pPr>
    </w:p>
    <w:p>
      <w:pPr>
        <w:ind w:right="180" w:firstLine="757"/>
        <w:spacing w:after="0" w:line="267" w:lineRule="auto"/>
        <w:tabs>
          <w:tab w:leader="none" w:pos="11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considered to be resident (</w:t>
      </w:r>
      <w:r>
        <w:rPr>
          <w:rFonts w:ascii="Times New Roman" w:cs="Times New Roman" w:eastAsia="Times New Roman" w:hAnsi="Times New Roman"/>
          <w:sz w:val="18"/>
          <w:szCs w:val="18"/>
          <w:i w:val="1"/>
          <w:iCs w:val="1"/>
          <w:color w:val="auto"/>
        </w:rPr>
        <w:t>gevestigd</w:t>
      </w:r>
      <w:r>
        <w:rPr>
          <w:rFonts w:ascii="Times New Roman" w:cs="Times New Roman" w:eastAsia="Times New Roman" w:hAnsi="Times New Roman"/>
          <w:sz w:val="18"/>
          <w:szCs w:val="18"/>
          <w:color w:val="auto"/>
        </w:rPr>
        <w:t>) in a jurisdiction that is listed in the yearly updated Dutch Regulation on low-taxing states and non-cooperative jurisdictions for tax purposes (</w:t>
      </w:r>
      <w:r>
        <w:rPr>
          <w:rFonts w:ascii="Times New Roman" w:cs="Times New Roman" w:eastAsia="Times New Roman" w:hAnsi="Times New Roman"/>
          <w:sz w:val="18"/>
          <w:szCs w:val="18"/>
          <w:i w:val="1"/>
          <w:iCs w:val="1"/>
          <w:color w:val="auto"/>
        </w:rPr>
        <w:t>Regeling laagbelastende staten en niet-coöperatieve rechtsgebieden voor belastingdoeleinden</w:t>
      </w:r>
      <w:r>
        <w:rPr>
          <w:rFonts w:ascii="Times New Roman" w:cs="Times New Roman" w:eastAsia="Times New Roman" w:hAnsi="Times New Roman"/>
          <w:sz w:val="18"/>
          <w:szCs w:val="18"/>
          <w:color w:val="auto"/>
        </w:rPr>
        <w:t>) (a “Listed Jurisdiction”); or</w:t>
      </w:r>
    </w:p>
    <w:p>
      <w:pPr>
        <w:spacing w:after="0" w:line="17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permanent establishment located in a Listed Jurisdiction to which the ordinary shares are attributable; or</w:t>
      </w:r>
    </w:p>
    <w:p>
      <w:pPr>
        <w:spacing w:after="0" w:line="225" w:lineRule="exact"/>
        <w:rPr>
          <w:rFonts w:ascii="Times New Roman" w:cs="Times New Roman" w:eastAsia="Times New Roman" w:hAnsi="Times New Roman"/>
          <w:sz w:val="18"/>
          <w:szCs w:val="18"/>
          <w:color w:val="auto"/>
        </w:rPr>
      </w:pPr>
    </w:p>
    <w:p>
      <w:pPr>
        <w:ind w:right="20" w:firstLine="757"/>
        <w:spacing w:after="0" w:line="266" w:lineRule="auto"/>
        <w:tabs>
          <w:tab w:leader="none" w:pos="11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the ordinary shares with the main purpose or one of the main purposes of avoiding taxation for another person or entity and there is an artificial arrangement or transaction or a series of artificial arrangements or transactions; or iv.is not considered to be the beneficial owner of the ordinary shares in its jurisdiction of residence because such jurisdiction treats another entity as the beneficial owner of the ordinary shares (a hybrid mismatch); or</w:t>
      </w:r>
    </w:p>
    <w:p>
      <w:pPr>
        <w:spacing w:after="0" w:line="176" w:lineRule="exact"/>
        <w:rPr>
          <w:sz w:val="20"/>
          <w:szCs w:val="20"/>
          <w:color w:val="auto"/>
        </w:rPr>
      </w:pPr>
    </w:p>
    <w:p>
      <w:pPr>
        <w:ind w:right="80" w:firstLine="757"/>
        <w:spacing w:after="0" w:line="258" w:lineRule="auto"/>
        <w:tabs>
          <w:tab w:leader="none" w:pos="11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resident in any jurisdiction (also a hybrid mismatch); or vi.is a reverse hybrid (within the meaning of Article 2(12) of the Dutch Corporate Income Tax Act 1969), if and to the extent (x) there is a participant in the reverse hybrid which is related (</w:t>
      </w:r>
      <w:r>
        <w:rPr>
          <w:rFonts w:ascii="Times New Roman" w:cs="Times New Roman" w:eastAsia="Times New Roman" w:hAnsi="Times New Roman"/>
          <w:sz w:val="18"/>
          <w:szCs w:val="18"/>
          <w:i w:val="1"/>
          <w:iCs w:val="1"/>
          <w:color w:val="auto"/>
        </w:rPr>
        <w:t>gelieerd</w:t>
      </w:r>
      <w:r>
        <w:rPr>
          <w:rFonts w:ascii="Times New Roman" w:cs="Times New Roman" w:eastAsia="Times New Roman" w:hAnsi="Times New Roman"/>
          <w:sz w:val="18"/>
          <w:szCs w:val="18"/>
          <w:color w:val="auto"/>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all within the meaning of the Dutch Withholding Tax Act 2021.</w:t>
      </w:r>
    </w:p>
    <w:p>
      <w:pPr>
        <w:spacing w:after="0" w:line="183"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Dutch conditional withholding tax on dividends will be imposed at the highest Dutch corporate income tax rate in effect at the time of the distribution (2024: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(2024: 25.8%).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Income and Capital Gains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Dutch Resident Entities</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Generally,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Dutch Resident Individuals</w:t>
      </w:r>
    </w:p>
    <w:p>
      <w:pPr>
        <w:spacing w:after="0" w:line="22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If the holder of our ordinary shares is a Dutch Resident Individual, any income derived or deemed to be derived from the ordinary shares or any capital gains realized on the disposal or deemed disposal of the ordinary shares is subject to Dutch personal income tax at the progressive rates (with a maximum of 49.50% in 2024), if:</w:t>
      </w:r>
    </w:p>
    <w:p>
      <w:pPr>
        <w:spacing w:after="0" w:line="176" w:lineRule="exact"/>
        <w:rPr>
          <w:sz w:val="20"/>
          <w:szCs w:val="20"/>
          <w:color w:val="auto"/>
        </w:rPr>
      </w:pPr>
    </w:p>
    <w:p>
      <w:pPr>
        <w:ind w:right="160" w:firstLine="757"/>
        <w:spacing w:after="0" w:line="266" w:lineRule="auto"/>
        <w:tabs>
          <w:tab w:leader="none" w:pos="11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attributable to an enterprise from which the holder of ordinary shares derives a share of the profit, whether as an entrepreneur (</w:t>
      </w:r>
      <w:r>
        <w:rPr>
          <w:rFonts w:ascii="Times New Roman" w:cs="Times New Roman" w:eastAsia="Times New Roman" w:hAnsi="Times New Roman"/>
          <w:sz w:val="18"/>
          <w:szCs w:val="18"/>
          <w:i w:val="1"/>
          <w:iCs w:val="1"/>
          <w:color w:val="auto"/>
        </w:rPr>
        <w:t>ondernemer</w:t>
      </w:r>
      <w:r>
        <w:rPr>
          <w:rFonts w:ascii="Times New Roman" w:cs="Times New Roman" w:eastAsia="Times New Roman" w:hAnsi="Times New Roman"/>
          <w:sz w:val="18"/>
          <w:szCs w:val="18"/>
          <w:color w:val="auto"/>
        </w:rPr>
        <w:t>) or as a person who has a co-entitlement to the net worth (</w:t>
      </w:r>
      <w:r>
        <w:rPr>
          <w:rFonts w:ascii="Times New Roman" w:cs="Times New Roman" w:eastAsia="Times New Roman" w:hAnsi="Times New Roman"/>
          <w:sz w:val="18"/>
          <w:szCs w:val="18"/>
          <w:i w:val="1"/>
          <w:iCs w:val="1"/>
          <w:color w:val="auto"/>
        </w:rPr>
        <w:t>medegerechtigd tot het vermogen</w:t>
      </w:r>
      <w:r>
        <w:rPr>
          <w:rFonts w:ascii="Times New Roman" w:cs="Times New Roman" w:eastAsia="Times New Roman" w:hAnsi="Times New Roman"/>
          <w:sz w:val="18"/>
          <w:szCs w:val="18"/>
          <w:color w:val="auto"/>
        </w:rPr>
        <w:t>) of such enterprise without being a shareholder (as defined in the Dutch Income Tax Act 2001); or</w:t>
      </w:r>
    </w:p>
    <w:p>
      <w:pPr>
        <w:spacing w:after="0" w:line="175" w:lineRule="exact"/>
        <w:rPr>
          <w:rFonts w:ascii="Times New Roman" w:cs="Times New Roman" w:eastAsia="Times New Roman" w:hAnsi="Times New Roman"/>
          <w:sz w:val="18"/>
          <w:szCs w:val="18"/>
          <w:color w:val="auto"/>
        </w:rPr>
      </w:pPr>
    </w:p>
    <w:p>
      <w:pPr>
        <w:ind w:right="380" w:firstLine="757"/>
        <w:spacing w:after="0" w:line="266" w:lineRule="auto"/>
        <w:tabs>
          <w:tab w:leader="none" w:pos="11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ordinary shares is considered to perform activities with respect to the ordinary shares that go beyond ordinary asset management (</w:t>
      </w:r>
      <w:r>
        <w:rPr>
          <w:rFonts w:ascii="Times New Roman" w:cs="Times New Roman" w:eastAsia="Times New Roman" w:hAnsi="Times New Roman"/>
          <w:sz w:val="18"/>
          <w:szCs w:val="18"/>
          <w:i w:val="1"/>
          <w:iCs w:val="1"/>
          <w:color w:val="auto"/>
        </w:rPr>
        <w:t>normaal, actief vermogensbeheer</w:t>
      </w:r>
      <w:r>
        <w:rPr>
          <w:rFonts w:ascii="Times New Roman" w:cs="Times New Roman" w:eastAsia="Times New Roman" w:hAnsi="Times New Roman"/>
          <w:sz w:val="18"/>
          <w:szCs w:val="18"/>
          <w:color w:val="auto"/>
        </w:rPr>
        <w:t>) or otherwise derives benefits from the ordinary shares that are taxable as benefits from miscellaneous activities (</w:t>
      </w:r>
      <w:r>
        <w:rPr>
          <w:rFonts w:ascii="Times New Roman" w:cs="Times New Roman" w:eastAsia="Times New Roman" w:hAnsi="Times New Roman"/>
          <w:sz w:val="18"/>
          <w:szCs w:val="18"/>
          <w:i w:val="1"/>
          <w:iCs w:val="1"/>
          <w:color w:val="auto"/>
        </w:rPr>
        <w:t>resultaat uit overige werkzaamheden</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savings and investments</w:t>
      </w:r>
    </w:p>
    <w:p>
      <w:pPr>
        <w:spacing w:after="0" w:line="22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If the above-mentioned conditions (i) and (ii) do not apply to the Dutch Resident Individual, the ordinary shares will be subject to an annual Dutch income tax under the regime for savings and investments (</w:t>
      </w:r>
      <w:r>
        <w:rPr>
          <w:rFonts w:ascii="Times New Roman" w:cs="Times New Roman" w:eastAsia="Times New Roman" w:hAnsi="Times New Roman"/>
          <w:sz w:val="18"/>
          <w:szCs w:val="18"/>
          <w:i w:val="1"/>
          <w:iCs w:val="1"/>
          <w:color w:val="auto"/>
        </w:rPr>
        <w:t>inkomen uit sparen en beleggen</w:t>
      </w:r>
      <w:r>
        <w:rPr>
          <w:rFonts w:ascii="Times New Roman" w:cs="Times New Roman" w:eastAsia="Times New Roman" w:hAnsi="Times New Roman"/>
          <w:sz w:val="18"/>
          <w:szCs w:val="18"/>
          <w:color w:val="auto"/>
        </w:rPr>
        <w:t>). Taxation only occurs insofar the Dutch Resident Individual’s net investment assets for the year exceed a statutory threshold (</w:t>
      </w:r>
      <w:r>
        <w:rPr>
          <w:rFonts w:ascii="Times New Roman" w:cs="Times New Roman" w:eastAsia="Times New Roman" w:hAnsi="Times New Roman"/>
          <w:sz w:val="18"/>
          <w:szCs w:val="18"/>
          <w:i w:val="1"/>
          <w:iCs w:val="1"/>
          <w:color w:val="auto"/>
        </w:rPr>
        <w:t>heffingvrij vermogen</w:t>
      </w:r>
      <w:r>
        <w:rPr>
          <w:rFonts w:ascii="Times New Roman" w:cs="Times New Roman" w:eastAsia="Times New Roman" w:hAnsi="Times New Roman"/>
          <w:sz w:val="18"/>
          <w:szCs w:val="18"/>
          <w:color w:val="auto"/>
        </w:rPr>
        <w:t xml:space="preserve">). The net investment assets for the year are the fair market value of the investment assets less the fair market value of the liabilities on January 1 of the relevant calendar year (reference date; </w:t>
      </w:r>
      <w:r>
        <w:rPr>
          <w:rFonts w:ascii="Times New Roman" w:cs="Times New Roman" w:eastAsia="Times New Roman" w:hAnsi="Times New Roman"/>
          <w:sz w:val="18"/>
          <w:szCs w:val="18"/>
          <w:i w:val="1"/>
          <w:iCs w:val="1"/>
          <w:color w:val="auto"/>
        </w:rPr>
        <w:t>peildatum</w:t>
      </w:r>
      <w:r>
        <w:rPr>
          <w:rFonts w:ascii="Times New Roman" w:cs="Times New Roman" w:eastAsia="Times New Roman" w:hAnsi="Times New Roman"/>
          <w:sz w:val="18"/>
          <w:szCs w:val="18"/>
          <w:color w:val="auto"/>
        </w:rPr>
        <w:t>). Actual income or capital gains realized in respect of the ordinary shares are as such not subject to Dutch income tax.</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Dutch Resident Individual’s assets and liabilities taxed under this regime, including the ordinary shares, are allocated over the following three categories: (a) bank savings (</w:t>
      </w:r>
      <w:r>
        <w:rPr>
          <w:rFonts w:ascii="Times New Roman" w:cs="Times New Roman" w:eastAsia="Times New Roman" w:hAnsi="Times New Roman"/>
          <w:sz w:val="18"/>
          <w:szCs w:val="18"/>
          <w:i w:val="1"/>
          <w:iCs w:val="1"/>
          <w:color w:val="auto"/>
        </w:rPr>
        <w:t>banktegoeden</w:t>
      </w:r>
      <w:r>
        <w:rPr>
          <w:rFonts w:ascii="Times New Roman" w:cs="Times New Roman" w:eastAsia="Times New Roman" w:hAnsi="Times New Roman"/>
          <w:sz w:val="18"/>
          <w:szCs w:val="18"/>
          <w:color w:val="auto"/>
        </w:rPr>
        <w:t>), (b) other investments (</w:t>
      </w:r>
      <w:r>
        <w:rPr>
          <w:rFonts w:ascii="Times New Roman" w:cs="Times New Roman" w:eastAsia="Times New Roman" w:hAnsi="Times New Roman"/>
          <w:sz w:val="18"/>
          <w:szCs w:val="18"/>
          <w:i w:val="1"/>
          <w:iCs w:val="1"/>
          <w:color w:val="auto"/>
        </w:rPr>
        <w:t>overige bezittingen</w:t>
      </w:r>
      <w:r>
        <w:rPr>
          <w:rFonts w:ascii="Times New Roman" w:cs="Times New Roman" w:eastAsia="Times New Roman" w:hAnsi="Times New Roman"/>
          <w:sz w:val="18"/>
          <w:szCs w:val="18"/>
          <w:color w:val="auto"/>
        </w:rPr>
        <w:t>), including the ordinary shares, and (c) liabilities (</w:t>
      </w:r>
      <w:r>
        <w:rPr>
          <w:rFonts w:ascii="Times New Roman" w:cs="Times New Roman" w:eastAsia="Times New Roman" w:hAnsi="Times New Roman"/>
          <w:sz w:val="18"/>
          <w:szCs w:val="18"/>
          <w:i w:val="1"/>
          <w:iCs w:val="1"/>
          <w:color w:val="auto"/>
        </w:rPr>
        <w:t>schulden</w:t>
      </w:r>
      <w:r>
        <w:rPr>
          <w:rFonts w:ascii="Times New Roman" w:cs="Times New Roman" w:eastAsia="Times New Roman" w:hAnsi="Times New Roman"/>
          <w:sz w:val="18"/>
          <w:szCs w:val="18"/>
          <w:color w:val="auto"/>
        </w:rPr>
        <w:t>). The taxable benefit for the year (</w:t>
      </w:r>
      <w:r>
        <w:rPr>
          <w:rFonts w:ascii="Times New Roman" w:cs="Times New Roman" w:eastAsia="Times New Roman" w:hAnsi="Times New Roman"/>
          <w:sz w:val="18"/>
          <w:szCs w:val="18"/>
          <w:i w:val="1"/>
          <w:iCs w:val="1"/>
          <w:color w:val="auto"/>
        </w:rPr>
        <w:t>voordeel uit sparen en beleggen</w:t>
      </w:r>
      <w:r>
        <w:rPr>
          <w:rFonts w:ascii="Times New Roman" w:cs="Times New Roman" w:eastAsia="Times New Roman" w:hAnsi="Times New Roman"/>
          <w:sz w:val="18"/>
          <w:szCs w:val="18"/>
          <w:color w:val="auto"/>
        </w:rPr>
        <w:t>) is equal to the product of (x) the total deemed return divided by the sum of bank savings, other investments and liabilities and (b) the sum of bank savings, other investments and liabilities minus the statutory threshold, and is taxed at a flat rate of 36% (rate for 2024).</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deemed return applicable to other investments, including the ordinary shares, is set at 6.04% for the calendar year 2024. Transactions in the three-month period before and after January 1 of the relevant calendar year implemented to arbitrate between the deemed return percentages applicable to bank savings, other investments and liabilities will for this purpose be ignored if the holder of the ordinary shares cannot sufficiently demonstrate that such transactions are implemented for other than tax reasons.</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current Dutch income tax regime for savings and investments was implemented in Dutch tax law following the decision of the Dutch Supreme Court (</w:t>
      </w:r>
      <w:r>
        <w:rPr>
          <w:rFonts w:ascii="Times New Roman" w:cs="Times New Roman" w:eastAsia="Times New Roman" w:hAnsi="Times New Roman"/>
          <w:sz w:val="18"/>
          <w:szCs w:val="18"/>
          <w:i w:val="1"/>
          <w:iCs w:val="1"/>
          <w:color w:val="auto"/>
        </w:rPr>
        <w:t>Hoge Raad</w:t>
      </w:r>
      <w:r>
        <w:rPr>
          <w:rFonts w:ascii="Times New Roman" w:cs="Times New Roman" w:eastAsia="Times New Roman" w:hAnsi="Times New Roman"/>
          <w:sz w:val="18"/>
          <w:szCs w:val="18"/>
          <w:color w:val="auto"/>
        </w:rPr>
        <w:t>) of December 24, 2021 (ECLI:NL:2021:1963) (the “Decision”). In the Decision, the Dutch Supreme Court ruled that the (old) system of taxation for savings and investments based on a deemed return may, under specific circumstances, contravene with Section 1 of the First Protocol to the European Convention on Human Rights in combination with Section 14 of the European Convention on Human Rights (the “EC-Human Rights”). A new court procedure is pending before the Dutch Supreme Court questioning whether the current tax system for savings and investments is in line with the Decision. On September 18, 2023 (ECLI:NL:PHR:2023:655) the Attorney General Wattel concluded that the new tax system is not in line with the Decision, except for the taxation of bank savings, as the system is, in short, still based on a deemed return rather than actual returns, and as a result, the regime violates the EC-Human Rights. The decision of the Dutch Supreme Court is expected mid-2024. In addition, on September 8, 2023, the outgoing (</w:t>
      </w:r>
      <w:r>
        <w:rPr>
          <w:rFonts w:ascii="Times New Roman" w:cs="Times New Roman" w:eastAsia="Times New Roman" w:hAnsi="Times New Roman"/>
          <w:sz w:val="18"/>
          <w:szCs w:val="18"/>
          <w:i w:val="1"/>
          <w:iCs w:val="1"/>
          <w:color w:val="auto"/>
        </w:rPr>
        <w:t>demissionair</w:t>
      </w:r>
      <w:r>
        <w:rPr>
          <w:rFonts w:ascii="Times New Roman" w:cs="Times New Roman" w:eastAsia="Times New Roman" w:hAnsi="Times New Roman"/>
          <w:sz w:val="18"/>
          <w:szCs w:val="18"/>
          <w:color w:val="auto"/>
        </w:rPr>
        <w:t>) cabinet published a law proposal for a new tax system for savings and investments on the basis of actual returns according to an asset accumulation system, the 'Actual Return Box 3 Act' (</w:t>
      </w:r>
      <w:r>
        <w:rPr>
          <w:rFonts w:ascii="Times New Roman" w:cs="Times New Roman" w:eastAsia="Times New Roman" w:hAnsi="Times New Roman"/>
          <w:sz w:val="18"/>
          <w:szCs w:val="18"/>
          <w:i w:val="1"/>
          <w:iCs w:val="1"/>
          <w:color w:val="auto"/>
        </w:rPr>
        <w:t>Wet werkelijk rendement box 3</w:t>
      </w:r>
      <w:r>
        <w:rPr>
          <w:rFonts w:ascii="Times New Roman" w:cs="Times New Roman" w:eastAsia="Times New Roman" w:hAnsi="Times New Roman"/>
          <w:sz w:val="18"/>
          <w:szCs w:val="18"/>
          <w:color w:val="auto"/>
        </w:rPr>
        <w:t>). The proposed system is expected to come into effect on January 1, 2027, at the earliest.</w:t>
      </w:r>
    </w:p>
    <w:p>
      <w:pPr>
        <w:spacing w:after="0" w:line="19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Holders of our ordinary shares are advised to consult their own tax advisor to ensure that the tax in respect of the ordinary shares is levied in accordance with the applicable Dutch tax rules at the relevant time.</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Non-residents of the Netherlands</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 holder of our ordinary shares that is neither a Dutch Resident Entity nor a Dutch Resident Individual will not be subject to Dutch income tax in respect of income derived or deemed to be derived from our ordinary shares or in respect of capital gains realized on the disposal or deemed disposal of the ordinary shares, provided that:</w:t>
      </w:r>
    </w:p>
    <w:p>
      <w:pPr>
        <w:spacing w:after="0" w:line="176" w:lineRule="exact"/>
        <w:rPr>
          <w:sz w:val="20"/>
          <w:szCs w:val="20"/>
          <w:color w:val="auto"/>
        </w:rPr>
      </w:pPr>
    </w:p>
    <w:p>
      <w:pPr>
        <w:ind w:right="420" w:firstLine="757"/>
        <w:spacing w:after="0" w:line="261" w:lineRule="auto"/>
        <w:tabs>
          <w:tab w:leader="none" w:pos="11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does not have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179" w:lineRule="exact"/>
        <w:rPr>
          <w:rFonts w:ascii="Times New Roman" w:cs="Times New Roman" w:eastAsia="Times New Roman" w:hAnsi="Times New Roman"/>
          <w:sz w:val="18"/>
          <w:szCs w:val="18"/>
          <w:color w:val="auto"/>
        </w:rPr>
      </w:pPr>
    </w:p>
    <w:p>
      <w:pPr>
        <w:jc w:val="both"/>
        <w:ind w:right="160" w:firstLine="757"/>
        <w:spacing w:after="0" w:line="266" w:lineRule="auto"/>
        <w:tabs>
          <w:tab w:leader="none" w:pos="11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holder is an individual, such holder does not carry out any activities in the Netherlands with respect to the ordinary shares that go beyond ordinary asset management and does not derive benefits from the ordinary shares that are taxable as benefits from miscellaneous activities in the Netherlands.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Gift and Inheritance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Residents of the Netherlands</w:t>
      </w:r>
    </w:p>
    <w:p>
      <w:pPr>
        <w:spacing w:after="0" w:line="22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death.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Non-residents of the Netherlands</w:t>
      </w:r>
    </w:p>
    <w:p>
      <w:pPr>
        <w:spacing w:after="0" w:line="227"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No gift or inheritance taxes will arise in the Netherlands with respect to a transfer of our ordinary shares by way of gift by, or on the death of, a holder of our ordinary shares who is neither resident nor deemed to be resident of the Netherlands, unless:</w:t>
      </w:r>
    </w:p>
    <w:p>
      <w:pPr>
        <w:spacing w:after="0" w:line="162" w:lineRule="exact"/>
        <w:rPr>
          <w:sz w:val="20"/>
          <w:szCs w:val="20"/>
          <w:color w:val="auto"/>
        </w:rPr>
      </w:pPr>
    </w:p>
    <w:p>
      <w:pPr>
        <w:ind w:right="160" w:firstLine="757"/>
        <w:spacing w:after="0" w:line="282" w:lineRule="auto"/>
        <w:tabs>
          <w:tab w:leader="none" w:pos="11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161" w:lineRule="exact"/>
        <w:rPr>
          <w:rFonts w:ascii="Times New Roman" w:cs="Times New Roman" w:eastAsia="Times New Roman" w:hAnsi="Times New Roman"/>
          <w:sz w:val="18"/>
          <w:szCs w:val="18"/>
          <w:color w:val="auto"/>
        </w:rPr>
      </w:pPr>
    </w:p>
    <w:p>
      <w:pPr>
        <w:ind w:right="500" w:firstLine="757"/>
        <w:spacing w:after="0" w:line="282" w:lineRule="auto"/>
        <w:tabs>
          <w:tab w:leader="none" w:pos="11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gift of our ordinary shares made under a condition precedent, the holder of ordinary shares is resident or deemed to be resident of the Netherlands at the time the condition is fulfilled; or</w:t>
      </w:r>
    </w:p>
    <w:p>
      <w:pPr>
        <w:spacing w:after="0" w:line="161" w:lineRule="exact"/>
        <w:rPr>
          <w:rFonts w:ascii="Times New Roman" w:cs="Times New Roman" w:eastAsia="Times New Roman" w:hAnsi="Times New Roman"/>
          <w:sz w:val="18"/>
          <w:szCs w:val="18"/>
          <w:color w:val="auto"/>
        </w:rPr>
      </w:pPr>
    </w:p>
    <w:p>
      <w:pPr>
        <w:ind w:right="340" w:firstLine="757"/>
        <w:spacing w:after="0" w:line="282" w:lineRule="auto"/>
        <w:tabs>
          <w:tab w:leader="none" w:pos="11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otherwise construed as a gift or inheritance made by, or on behalf of, a person who, at the time of the gift or death, is or is deemed to be resident of the Netherlands.</w:t>
      </w:r>
    </w:p>
    <w:p>
      <w:pPr>
        <w:spacing w:after="0" w:line="16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Added Tax (VAT)</w:t>
      </w:r>
    </w:p>
    <w:p>
      <w:pPr>
        <w:spacing w:after="0" w:line="229"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No Dutch value added tax will be payable by a holder of our ordinary shares in respect of any payment in consideration for the holding or disposal of our ordinary shares.</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Real Property Transfer Tax</w:t>
      </w:r>
    </w:p>
    <w:p>
      <w:pPr>
        <w:spacing w:after="0" w:line="227" w:lineRule="exact"/>
        <w:rPr>
          <w:sz w:val="20"/>
          <w:szCs w:val="20"/>
          <w:color w:val="auto"/>
        </w:rPr>
      </w:pPr>
    </w:p>
    <w:p>
      <w:pPr>
        <w:ind w:right="200" w:firstLine="749"/>
        <w:spacing w:after="0" w:line="284" w:lineRule="auto"/>
        <w:rPr>
          <w:sz w:val="20"/>
          <w:szCs w:val="20"/>
          <w:color w:val="auto"/>
        </w:rPr>
      </w:pPr>
      <w:r>
        <w:rPr>
          <w:rFonts w:ascii="Times New Roman" w:cs="Times New Roman" w:eastAsia="Times New Roman" w:hAnsi="Times New Roman"/>
          <w:sz w:val="18"/>
          <w:szCs w:val="18"/>
          <w:color w:val="auto"/>
        </w:rPr>
        <w:t>Under circumstances, our ordinary shares could, for the purposes of Dutch real property transfer tax (</w:t>
      </w:r>
      <w:r>
        <w:rPr>
          <w:rFonts w:ascii="Times New Roman" w:cs="Times New Roman" w:eastAsia="Times New Roman" w:hAnsi="Times New Roman"/>
          <w:sz w:val="18"/>
          <w:szCs w:val="18"/>
          <w:i w:val="1"/>
          <w:iCs w:val="1"/>
          <w:color w:val="auto"/>
        </w:rPr>
        <w:t>overdrachtsbelasting</w:t>
      </w:r>
      <w:r>
        <w:rPr>
          <w:rFonts w:ascii="Times New Roman" w:cs="Times New Roman" w:eastAsia="Times New Roman" w:hAnsi="Times New Roman"/>
          <w:sz w:val="18"/>
          <w:szCs w:val="18"/>
          <w:color w:val="auto"/>
        </w:rPr>
        <w:t>), be treated as real property (</w:t>
      </w:r>
      <w:r>
        <w:rPr>
          <w:rFonts w:ascii="Times New Roman" w:cs="Times New Roman" w:eastAsia="Times New Roman" w:hAnsi="Times New Roman"/>
          <w:sz w:val="18"/>
          <w:szCs w:val="18"/>
          <w:i w:val="1"/>
          <w:iCs w:val="1"/>
          <w:color w:val="auto"/>
        </w:rPr>
        <w:t>fictieve onroerende zaken</w:t>
      </w:r>
      <w:r>
        <w:rPr>
          <w:rFonts w:ascii="Times New Roman" w:cs="Times New Roman" w:eastAsia="Times New Roman" w:hAnsi="Times New Roman"/>
          <w:sz w:val="18"/>
          <w:szCs w:val="18"/>
          <w:color w:val="auto"/>
        </w:rPr>
        <w:t>) located in the Netherlands, in which case this tax could be payable upon acquisition of our ordinary shares.</w:t>
      </w:r>
    </w:p>
    <w:p>
      <w:pPr>
        <w:spacing w:after="0" w:line="16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ordinary shares will generally not be treated as real property if at the time of, or at any time during the year preceding, the acquisition of the ordinary shares:</w:t>
      </w:r>
    </w:p>
    <w:p>
      <w:pPr>
        <w:spacing w:after="0" w:line="162" w:lineRule="exact"/>
        <w:rPr>
          <w:sz w:val="20"/>
          <w:szCs w:val="20"/>
          <w:color w:val="auto"/>
        </w:rPr>
      </w:pPr>
    </w:p>
    <w:p>
      <w:pPr>
        <w:ind w:left="1500" w:hanging="743"/>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do not and did not include real property situated in the Netherlands; or</w:t>
      </w:r>
    </w:p>
    <w:p>
      <w:pPr>
        <w:spacing w:after="0" w:line="225" w:lineRule="exact"/>
        <w:rPr>
          <w:rFonts w:ascii="Times New Roman" w:cs="Times New Roman" w:eastAsia="Times New Roman" w:hAnsi="Times New Roman"/>
          <w:sz w:val="18"/>
          <w:szCs w:val="18"/>
          <w:color w:val="auto"/>
        </w:rPr>
      </w:pPr>
    </w:p>
    <w:p>
      <w:pPr>
        <w:ind w:left="1500" w:right="160" w:hanging="743"/>
        <w:spacing w:after="0" w:line="282" w:lineRule="auto"/>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only include and included real property, situated either in or outside the Netherlands, that we do not and did not hold, and currently do not intend to hold, predominantly as a financial investment.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Real property as referred to under (i) and (ii) above includes legal ownership and more limited legal rights over the property (rights in rem)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zakelijke rechten</w:t>
      </w:r>
      <w:r>
        <w:rPr>
          <w:rFonts w:ascii="Times New Roman" w:cs="Times New Roman" w:eastAsia="Times New Roman" w:hAnsi="Times New Roman"/>
          <w:sz w:val="18"/>
          <w:szCs w:val="18"/>
          <w:color w:val="auto"/>
        </w:rPr>
        <w:t>) as well as contractual rights that give us economic exposure to the value of such real property, and certain participations or interests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 that are treated as real property.</w:t>
      </w:r>
    </w:p>
    <w:p>
      <w:pPr>
        <w:spacing w:after="0" w:line="207"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Our assets do not include and have not included real property situated in the Netherlands as described above. Consequently, no Dutch real property transfer tax becomes payable upon an acquisition of our ordinary shares.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Duties</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No Dutch documentation taxes (commonly referred to as stamp duties) will be payable by a holder of our ordinary shares in respect of any payment in consideration for the holding or disposal of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28" w:name="page29"/>
    <w:bookmarkEnd w:id="2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 or its permitted transferees of an aggregate of up to 5,545,155 Ordinary Shares pursuant to the Registration Rights Agreement. This prospectus also covers any additional securities that may become issuable by reason of share splits, share dividends or other similar transactions. All of the Ordinary Shares offered by the selling securityholder pursuant to this prospectus will be sold by the selling securityholder for its account. The aggregate proceeds to the selling securityholder from the sale of the Ordinary Shares offered by it will be the purchase price less discounts or commissions, if any. We will not receive any of the proceeds from such sales.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selling securityholder will pay any discounts and commissions and expenses incurred by the selling securityholder for brokerage, accounting, tax or legal services or any other expenses incurred by the selling securityholder in disposing of the securities. Except as provided otherwise in the Registration Rights Agreement,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securities beneficially owned by the selling securityholder covered by this prospectus may be offered and sold from time to time by the selling securityholder. The selling securityholder may also transfer their Ordinary Shares in accordance with the provisions of the Registration Rights Agreement, in which case such transferees or other successors in interest will be the selling beneficial owners for purposes of this prospectus and may sell the Ordinary Shares from time to time under this prospectus after we have filed an update to this prospectus under Rule 424(b) or other applicable provision of the Securities Act amending the list of selling securityholders to include the permitted transferee or other successors in interest as a “selling security shareholder” under this prospectus. The term “selling securityholder” includes the permitted transferees. The selling securityholder will act independently of us in making decisions with respect to the timing, manner and size of each sale. Such sales may be made on one or more exchanges or in the over-the-counter market or otherwise, at prices and under terms then prevailing or at prices related to our then current market price or in negotiated transactions. The selling securityholder reserves the right to accept and, together with its agents, to reject, any proposed purchase of securities to be made directly or through agents. The selling securityholder and any of its permitted transferees may sell their securities offered by this prospectus on any stock exchange, market or trading facility on which the securities are traded or in private transactions.</w:t>
      </w:r>
    </w:p>
    <w:p>
      <w:pPr>
        <w:spacing w:after="0" w:line="192"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the Registration Rights Agreement, the selling securityholder may use any one or more of the following methods when selling the securities offered by this prospectus:</w:t>
      </w:r>
    </w:p>
    <w:p>
      <w:pPr>
        <w:spacing w:after="0" w:line="162" w:lineRule="exact"/>
        <w:rPr>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225" w:lineRule="exact"/>
        <w:rPr>
          <w:rFonts w:ascii="Times New Roman" w:cs="Times New Roman" w:eastAsia="Times New Roman" w:hAnsi="Times New Roman"/>
          <w:sz w:val="18"/>
          <w:szCs w:val="18"/>
          <w:color w:val="auto"/>
        </w:rPr>
      </w:pPr>
    </w:p>
    <w:p>
      <w:pPr>
        <w:ind w:left="1140" w:right="282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225"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of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9" w:name="page30"/>
    <w:bookmarkEnd w:id="29"/>
    <w:p>
      <w:pPr>
        <w:ind w:left="1140" w:right="500" w:hanging="383"/>
        <w:spacing w:after="0" w:line="312"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39"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 or through a combination of any of the above methods of sale.</w:t>
      </w:r>
    </w:p>
    <w:p>
      <w:pPr>
        <w:spacing w:after="0" w:line="225"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selling securityholder will sell all or any of the securities offered by this prospectus. In addition, the selling securityholder may also sell securities under Rule 144 under the Securities Act, if available, or in other transactions exempt from registration, rather than under this prospectus. The selling securityholder has the sole and absolute discretion not to accept any purchase offer or make any sale of securities if it deems the purchase price to be unsatisfactory at any particular time.</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selling securityholder may also transfer the securities in other circumstances, including in connection with distributions to members, partners, shareholders or other equityholders of the selling securityholder, in which case the permitted transferees will be the selling beneficial owners for purposes of this prospectus. Upon being notified by the selling securityholder that a permitted transferee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selling securityholder may enter into hedging transactions with underwriters, broker-dealers or other financial institutions. In connection with such transactions, underwriters, broker-dealers or other financial institutions may engage in short sales of the securities in the course of hedging the positions they assume with the selling securityholder. The selling securityholder may also sell the securities short and redeliver the securities to close out such short positions. The selling securityholder may also enter into option or other transactions with underwriters, broker-dealers or other financial institutions which require the delivery to such underwriter, broker-dealer or other financial institution of securities offered by this prospectus, which securities such underwriter, broker-dealer or other financial institution may resell pursuant to this prospectus (as supplemented or amended to reflect such transaction). The selling securityholder may also pledge securities to an underwriter, broker-dealer or other financial institution, and, upon a default, such underwriter, broker-dealer or other financial institution, may effect sales of the pledged securities pursuant to this prospectus (as supplemented or amended to reflect such transaction).</w:t>
      </w:r>
    </w:p>
    <w:p>
      <w:pPr>
        <w:spacing w:after="0" w:line="188"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To the extent required, our Ordinary Shares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order to facilitate the offering of the securities, any agents involved in the offering of such securities may engage in transactions that stabilize, maintain or otherwise affect the price of our securities. Specifically, the agents, as the case may be, may overallot in connection with the offering, creating a short position in our securities for their own account. In addition, to cover overallotments or to stabilize the price of our securities, the agents may bid for, and purchase, such securities in the open market. The agents are not required to engage in these activities, and may end any of these activities at any time.</w:t>
      </w:r>
    </w:p>
    <w:p>
      <w:pPr>
        <w:spacing w:after="0" w:line="180"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The selling securityholder may solicit offers to purchase the securities directly from, and they may sell such securities directly to, institutional investors or others. In this case, no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cannot give any assurance as to the liquidity of the trading market for our securities. Our Ordinary Shares are listed on Nasdaq under the symbol “PHVS.”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selling securityholder may be deemed to be an “underwriter” within the meaning of the Securities Act with respect to the shares it is offering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resale.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In effecting sales, underwriters, broker-dealers or agents engaged by the selling securityholder may arrange for other underwriters or broker-dealers to participate. Underwriters, broker-dealers or agents may receive commissions, discounts or concessions from the selling securityholder in amounts to be negotiated immediately prior to the sale.</w:t>
      </w:r>
    </w:p>
    <w:p>
      <w:pPr>
        <w:spacing w:after="0" w:line="176"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have agreed to indemnify the selling securityholder against certain liabilities, including certain liabilities under the Securities Act, the Exchange Act or other federal or state law.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have agreed with the selling securityholder pursuant to the Registration Rights Agreement to keep the registration statement of which this prospectus constitutes a part effective until the earlier of the following: (i) the date on which the Ordinary Shares subscribed for by the selling securityholder pursuant to the Registration Rights Agreement may be resold without volume or manner of sale limitations, and without the requirement that the Company be current in its public reporting, in each case pursuant to Rule 144 promulgated under the Securities Act, (ii) the date on which all Ordinary Shares subscribed for by the selling securityholder pursuant to the Registration Rights Agreement have actually been sold and (iii) the date which is three (3) years after this registration statement is declared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of the registration statement includes a description of the material terms of Pharvaris’ articles of association and of applicable Dutch law. The following description is intended as a summary only and does not constitute legal advice regarding those matters and should not be regarded as such. The description is qualified in its entirety by reference to the complete text of Pharvaris’ articles of association, which are included as an exhibit to this registration statement. We urge you to read the full text of Pharvaris’ articles of association.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Ordinary Shares of the Registrant</w:t>
      </w:r>
    </w:p>
    <w:p>
      <w:pPr>
        <w:spacing w:after="0" w:line="229"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have only one class of securities registered under Section 12 of the Securities Exchange Act of 1934, as amended; our registered ordinary shares.</w:t>
      </w:r>
    </w:p>
    <w:p>
      <w:pPr>
        <w:spacing w:after="0" w:line="160"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color w:val="auto"/>
        </w:rPr>
        <w:t>We are registered with the Trade Register of the Chamber of Commerce (</w:t>
      </w:r>
      <w:r>
        <w:rPr>
          <w:rFonts w:ascii="Times New Roman" w:cs="Times New Roman" w:eastAsia="Times New Roman" w:hAnsi="Times New Roman"/>
          <w:sz w:val="18"/>
          <w:szCs w:val="18"/>
          <w:i w:val="1"/>
          <w:iCs w:val="1"/>
          <w:color w:val="auto"/>
        </w:rPr>
        <w:t>Kamer van Koophandel</w:t>
      </w:r>
      <w:r>
        <w:rPr>
          <w:rFonts w:ascii="Times New Roman" w:cs="Times New Roman" w:eastAsia="Times New Roman" w:hAnsi="Times New Roman"/>
          <w:sz w:val="18"/>
          <w:szCs w:val="18"/>
          <w:color w:val="auto"/>
        </w:rPr>
        <w:t>) under number 64239411. Our corporate seat is in Leiden, the Netherlands, and our registered office is also in Leiden, the Netherlands.</w:t>
      </w:r>
    </w:p>
    <w:p>
      <w:pPr>
        <w:spacing w:after="0" w:line="16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ordinary shares is a summary and does not purport to be complete. It is subject to and qualified in its entirety by reference to our Articles of Association, which are incorporated herein by reference to Exhibit 3.1 to the Company’s Registration Statement on Form S-8 filed with the SEC on February 9, 2021.</w:t>
      </w:r>
    </w:p>
    <w:p>
      <w:pPr>
        <w:spacing w:after="0" w:line="172"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227" w:lineRule="exact"/>
        <w:rPr>
          <w:sz w:val="20"/>
          <w:szCs w:val="20"/>
          <w:color w:val="auto"/>
        </w:rPr>
      </w:pPr>
    </w:p>
    <w:p>
      <w:pPr>
        <w:ind w:right="140" w:firstLine="749"/>
        <w:spacing w:after="0" w:line="267" w:lineRule="auto"/>
        <w:rPr>
          <w:sz w:val="20"/>
          <w:szCs w:val="20"/>
          <w:color w:val="auto"/>
        </w:rPr>
      </w:pPr>
      <w:r>
        <w:rPr>
          <w:rFonts w:ascii="Times New Roman" w:cs="Times New Roman" w:eastAsia="Times New Roman" w:hAnsi="Times New Roman"/>
          <w:sz w:val="18"/>
          <w:szCs w:val="18"/>
          <w:color w:val="auto"/>
        </w:rPr>
        <w:t>Our ordinary shares shall be in registered form (</w:t>
      </w:r>
      <w:r>
        <w:rPr>
          <w:rFonts w:ascii="Times New Roman" w:cs="Times New Roman" w:eastAsia="Times New Roman" w:hAnsi="Times New Roman"/>
          <w:sz w:val="18"/>
          <w:szCs w:val="18"/>
          <w:i w:val="1"/>
          <w:iCs w:val="1"/>
          <w:color w:val="auto"/>
        </w:rPr>
        <w:t>op naam</w:t>
      </w:r>
      <w:r>
        <w:rPr>
          <w:rFonts w:ascii="Times New Roman" w:cs="Times New Roman" w:eastAsia="Times New Roman" w:hAnsi="Times New Roman"/>
          <w:sz w:val="18"/>
          <w:szCs w:val="18"/>
          <w:color w:val="auto"/>
        </w:rPr>
        <w:t>). We may issue share certificates (</w:t>
      </w:r>
      <w:r>
        <w:rPr>
          <w:rFonts w:ascii="Times New Roman" w:cs="Times New Roman" w:eastAsia="Times New Roman" w:hAnsi="Times New Roman"/>
          <w:sz w:val="18"/>
          <w:szCs w:val="18"/>
          <w:i w:val="1"/>
          <w:iCs w:val="1"/>
          <w:color w:val="auto"/>
        </w:rPr>
        <w:t>aandeelbewijzen</w:t>
      </w:r>
      <w:r>
        <w:rPr>
          <w:rFonts w:ascii="Times New Roman" w:cs="Times New Roman" w:eastAsia="Times New Roman" w:hAnsi="Times New Roman"/>
          <w:sz w:val="18"/>
          <w:szCs w:val="18"/>
          <w:color w:val="auto"/>
        </w:rPr>
        <w:t>) for registered shares in such form as may be approved by our Board. Our authorized share capital amounts to €14,100,000, divided into 117,500,000 ordinary shares, each with a nominal value of €0.12.</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Under Dutch law, our authorized share capital is the maximum capital that we may issue without amending our Articles of Association.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summarizes the main rights of holders of our ordinary shares:</w:t>
      </w:r>
    </w:p>
    <w:p>
      <w:pPr>
        <w:spacing w:after="0" w:line="225" w:lineRule="exact"/>
        <w:rPr>
          <w:sz w:val="20"/>
          <w:szCs w:val="20"/>
          <w:color w:val="auto"/>
        </w:rPr>
      </w:pPr>
    </w:p>
    <w:p>
      <w:pPr>
        <w:ind w:right="620" w:firstLine="757"/>
        <w:spacing w:after="0" w:line="282" w:lineRule="auto"/>
        <w:tabs>
          <w:tab w:leader="none" w:pos="11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ordinary shares is entitled to one vote per share on all matters to be voted on by shareholders generally, including the appointment of directors;</w:t>
      </w:r>
    </w:p>
    <w:p>
      <w:pPr>
        <w:spacing w:after="0" w:line="162" w:lineRule="exact"/>
        <w:rPr>
          <w:sz w:val="20"/>
          <w:szCs w:val="20"/>
          <w:color w:val="auto"/>
        </w:rPr>
      </w:pPr>
    </w:p>
    <w:p>
      <w:pPr>
        <w:ind w:left="1120" w:hanging="363"/>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cumulative voting rights;</w:t>
      </w:r>
    </w:p>
    <w:p>
      <w:pPr>
        <w:spacing w:after="0" w:line="225" w:lineRule="exact"/>
        <w:rPr>
          <w:sz w:val="20"/>
          <w:szCs w:val="20"/>
          <w:color w:val="auto"/>
        </w:rPr>
      </w:pPr>
    </w:p>
    <w:p>
      <w:pPr>
        <w:ind w:right="160" w:firstLine="757"/>
        <w:spacing w:after="0" w:line="282" w:lineRule="auto"/>
        <w:tabs>
          <w:tab w:leader="none" w:pos="11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ordinary shares are entitled to dividends and other distributions as may be declared from time to time by us out of funds legally available for that purpose, if any;</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IV. upon our liquidation or dissolution, the holders of ordinary shares will be entitled to share ratably in the distribution of all of our assets remaining available for distribution after satisfaction of all our liabilities; and</w:t>
      </w:r>
    </w:p>
    <w:p>
      <w:pPr>
        <w:spacing w:after="0" w:line="162" w:lineRule="exact"/>
        <w:rPr>
          <w:sz w:val="20"/>
          <w:szCs w:val="20"/>
          <w:color w:val="auto"/>
        </w:rPr>
      </w:pPr>
    </w:p>
    <w:p>
      <w:pPr>
        <w:ind w:right="20" w:firstLine="757"/>
        <w:spacing w:after="0" w:line="282" w:lineRule="auto"/>
        <w:tabs>
          <w:tab w:leader="none" w:pos="110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preemptive rights in case of share issuances or the grant of rights to subscribe for shares, except if such rights are limited or excluded by the corporate body authorized to do so and except in such cases as provided by Dutch law and our Articles of Association.</w:t>
      </w:r>
    </w:p>
    <w:p>
      <w:pPr>
        <w:spacing w:after="0" w:line="15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to our Articles of Association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 amendment to our Articles of Association would require a resolution of the general meeting upon proposal by the Board.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2" w:name="page33"/>
    <w:bookmarkEnd w:id="32"/>
    <w:p>
      <w:pPr>
        <w:ind w:left="360" w:hanging="352"/>
        <w:spacing w:after="0"/>
        <w:tabs>
          <w:tab w:leader="none" w:pos="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the Rights to Own Ordinary Shares</w:t>
      </w:r>
    </w:p>
    <w:p>
      <w:pPr>
        <w:spacing w:after="0" w:line="229" w:lineRule="exact"/>
        <w:rPr>
          <w:sz w:val="20"/>
          <w:szCs w:val="20"/>
          <w:color w:val="auto"/>
        </w:rPr>
      </w:pPr>
    </w:p>
    <w:p>
      <w:pPr>
        <w:ind w:right="620" w:firstLine="749"/>
        <w:spacing w:after="0" w:line="266" w:lineRule="auto"/>
        <w:rPr>
          <w:sz w:val="20"/>
          <w:szCs w:val="20"/>
          <w:color w:val="auto"/>
        </w:rPr>
      </w:pPr>
      <w:r>
        <w:rPr>
          <w:rFonts w:ascii="Times New Roman" w:cs="Times New Roman" w:eastAsia="Times New Roman" w:hAnsi="Times New Roman"/>
          <w:sz w:val="18"/>
          <w:szCs w:val="18"/>
          <w:color w:val="auto"/>
        </w:rPr>
        <w:t>Our ordinary shares may be issued to individuals, corporations, trusts, estates of deceased individuals, partnerships and unincorporated associations of persons. Our Articles of Association contain no limitation on the rights to own our ordinary shares and no limitation on the rights of nonresidents of the Netherlands or foreign shareholders to hold or exercise voting rights.</w:t>
      </w:r>
    </w:p>
    <w:p>
      <w:pPr>
        <w:spacing w:after="0" w:line="172"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on Liability and Indemnification Matters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Under Dutch law,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 Subject to certain exceptions, our Articles of Association provide for indemnification of our current and former directors (and other current and former officers and employees as designated by our Board). No indemnification under our Articles of Association shall be given to an indemnified person:</w:t>
      </w:r>
    </w:p>
    <w:p>
      <w:pPr>
        <w:spacing w:after="0" w:line="183" w:lineRule="exact"/>
        <w:rPr>
          <w:sz w:val="20"/>
          <w:szCs w:val="20"/>
          <w:color w:val="auto"/>
        </w:rPr>
      </w:pPr>
    </w:p>
    <w:p>
      <w:pPr>
        <w:ind w:left="1140" w:right="440" w:hanging="383"/>
        <w:spacing w:after="0" w:line="26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179"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161" w:lineRule="exact"/>
        <w:rPr>
          <w:rFonts w:ascii="Times New Roman" w:cs="Times New Roman" w:eastAsia="Times New Roman" w:hAnsi="Times New Roman"/>
          <w:sz w:val="18"/>
          <w:szCs w:val="18"/>
          <w:color w:val="auto"/>
        </w:rPr>
      </w:pPr>
    </w:p>
    <w:p>
      <w:pPr>
        <w:ind w:left="1140" w:right="120" w:hanging="383"/>
        <w:spacing w:after="0" w:line="258"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proceedings brought by such indemnified person against the Company, except for proceedings brought to enforce indemnification to which he or she is entitled pursuant to our Articles of Association, pursuant to an agreement between such indemnified person and the Company which has been approved by the Board or pursuant to insurance taken out by the Company for the benefit of such indemnified person; or for any financial losses, damages or expenses incurred in connection with a settlement of any proceedings effected without the Company’s prior consent.</w:t>
      </w:r>
    </w:p>
    <w:p>
      <w:pPr>
        <w:spacing w:after="0" w:line="183"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Under our Articles of Association, our Board may stipulate additional terms, conditions and restrictions in relation to the indemnification described above.</w:t>
      </w:r>
    </w:p>
    <w:p>
      <w:pPr>
        <w:spacing w:after="0" w:line="158"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Meetings and Consents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Meeting</w:t>
      </w:r>
    </w:p>
    <w:p>
      <w:pPr>
        <w:spacing w:after="0" w:line="22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General meetings may be held in Amsterdam, Arnhem, Assen, The Hague, Haarlem, s-Hertogenbosch, Groningen, Leeuwarden, Lelystad, Leiden, Maastricht, Middelburg, Rotterdam, Schiphol (Haarlemmermeer), Utrecht or Zwolle, all in the Netherlands.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has decreased to an amount equal to or lower than half of our paid-up and called-up share capital, in order to discuss the measures to be taken if so required.</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have previously requested our Board to convene a general meeting and our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ind w:right="780"/>
        <w:spacing w:after="0" w:line="282" w:lineRule="auto"/>
        <w:rPr>
          <w:sz w:val="20"/>
          <w:szCs w:val="20"/>
          <w:color w:val="auto"/>
        </w:rPr>
      </w:pPr>
      <w:r>
        <w:rPr>
          <w:rFonts w:ascii="Times New Roman" w:cs="Times New Roman" w:eastAsia="Times New Roman" w:hAnsi="Times New Roman"/>
          <w:sz w:val="18"/>
          <w:szCs w:val="18"/>
          <w:color w:val="auto"/>
        </w:rPr>
        <w:t>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the statutory annual accounts, appropriation of our profits and proposals relating to the composition of the Board, including the filling of any vacancies in the Board. In addition, the agenda shall include such items as have been included therein by the Board.</w:t>
      </w:r>
    </w:p>
    <w:p>
      <w:pPr>
        <w:spacing w:after="0" w:line="187"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agenda shall also include such items requested by one or more shareholders, or others with meeting rights under Dutch law, representing at least 3% of our issued share capital. These requests must be made in writing or by electronic means and received by the Board at least 60 days before the day of the meeting. No resolutions shall be adopted on items other than those that have been included in the agenda.</w:t>
      </w:r>
    </w:p>
    <w:p>
      <w:pPr>
        <w:spacing w:after="0" w:line="17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accordance with the Dutch Corporate Governance Code, or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 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shall not apply: (a) in respect of a matter for which either a response period or a statutory cooling-off period (as discussed below) has been previously invoked; or (b) in situations where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8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at our office for inspection by shareholders and others with meeting rights under Dutch law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92" w:lineRule="exact"/>
        <w:rPr>
          <w:sz w:val="20"/>
          <w:szCs w:val="20"/>
          <w:color w:val="auto"/>
        </w:rPr>
      </w:pPr>
    </w:p>
    <w:p>
      <w:pPr>
        <w:ind w:left="1140" w:right="34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ind w:left="1140" w:right="60" w:hanging="383"/>
        <w:spacing w:after="0" w:line="261"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cannot reasonably believe that a continuation of the cooling-off period would contribute to careful policy-making; or 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general meeting is presided over by the chair of the Board. If no chair has been elected or if he or she is not present at the meeting, the general meeting shall be presided over by the vice-Chair. If no vice-Chair has been elected or if he or she is not present at the meeting, the general meeting shall be presided over by the chief executive officer. If no chief executive officer has been elected or if he or she is not present at the meeting, the general meeting shall be presided over by another director present at the meeting. If no director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Directors may always attend a general meeting. In these meetings, they have an advisory vote. The chair of the meeting may decide at his or her discretion to admit other persons to the meeting.</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 and voting requirements</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Each ordinary share, confers the right on the holder to cast one vote at the general meeting. Shareholders may vote by proxy. No votes may be cast at a general meeting on shares held by us or our subsidiaries or on shares for which we or our subsidiaries hold depository receipts. Nonetheless, the holders of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the holders of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the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9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Decisions of the general meeting are taken by a simple majority of votes cast, except where Dutch law or our Articles of Association provide for a qualified majority or unanimity.</w:t>
      </w:r>
    </w:p>
    <w:p>
      <w:pPr>
        <w:spacing w:after="0" w:line="158" w:lineRule="exact"/>
        <w:rPr>
          <w:sz w:val="20"/>
          <w:szCs w:val="20"/>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directors</w:t>
      </w:r>
    </w:p>
    <w:p>
      <w:pPr>
        <w:spacing w:after="0" w:line="22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Duties and liabilities of directors</w:t>
      </w:r>
    </w:p>
    <w:p>
      <w:pPr>
        <w:spacing w:after="0" w:line="227"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Under Dutch law, the Board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w:t>
      </w:r>
    </w:p>
    <w:p>
      <w:pPr>
        <w:spacing w:after="0" w:line="176"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Subject to certain limitations under Dutch law, the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G.</w:t>
        <w:tab/>
        <w:t>Dividends and Other Distributions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 available for distribution</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may only make distributions, whether of profits or from our reserves, to our shareholders to the extent our shareholders’ equity (</w:t>
      </w:r>
      <w:r>
        <w:rPr>
          <w:rFonts w:ascii="Times New Roman" w:cs="Times New Roman" w:eastAsia="Times New Roman" w:hAnsi="Times New Roman"/>
          <w:sz w:val="18"/>
          <w:szCs w:val="18"/>
          <w:i w:val="1"/>
          <w:iCs w:val="1"/>
          <w:color w:val="auto"/>
        </w:rPr>
        <w:t>eigen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vermogen</w:t>
      </w:r>
      <w:r>
        <w:rPr>
          <w:rFonts w:ascii="Times New Roman" w:cs="Times New Roman" w:eastAsia="Times New Roman" w:hAnsi="Times New Roman"/>
          <w:sz w:val="18"/>
          <w:szCs w:val="18"/>
          <w:color w:val="auto"/>
        </w:rPr>
        <w:t>) exceeds the sum of the paid-up and called-up share capital plus any reserves required by Dutch law or by our Articles of Association.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decide that all or part of our profits are carried to reserves. After such reservation, any remaining profit will be at the disposal of the general meeting at the proposal of our Board for distribution on our ordinary shares, subject to the applicable restrictions of Dutch law.</w:t>
      </w:r>
    </w:p>
    <w:p>
      <w:pPr>
        <w:spacing w:after="0" w:line="18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We only make a distribution of dividends to our shareholders after the adoption of our annual accounts demonstrating that such distribution is legally permitted. The Board is permitted, subject to certain requirements, to declare interim dividends without the approval of the general meeting.</w:t>
      </w:r>
    </w:p>
    <w:p>
      <w:pPr>
        <w:spacing w:after="0" w:line="162" w:lineRule="exact"/>
        <w:rPr>
          <w:sz w:val="20"/>
          <w:szCs w:val="20"/>
          <w:color w:val="auto"/>
        </w:rPr>
      </w:pPr>
    </w:p>
    <w:p>
      <w:pPr>
        <w:ind w:right="620" w:firstLine="749"/>
        <w:spacing w:after="0" w:line="266" w:lineRule="auto"/>
        <w:rPr>
          <w:sz w:val="20"/>
          <w:szCs w:val="20"/>
          <w:color w:val="auto"/>
        </w:rPr>
      </w:pPr>
      <w:r>
        <w:rPr>
          <w:rFonts w:ascii="Times New Roman" w:cs="Times New Roman" w:eastAsia="Times New Roman" w:hAnsi="Times New Roman"/>
          <w:sz w:val="18"/>
          <w:szCs w:val="18"/>
          <w:color w:val="auto"/>
        </w:rPr>
        <w:t>Dividends and other distributions shall be made payable not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controls</w:t>
      </w:r>
    </w:p>
    <w:p>
      <w:pPr>
        <w:spacing w:after="0" w:line="22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Times New Roman" w:cs="Times New Roman" w:eastAsia="Times New Roman" w:hAnsi="Times New Roman"/>
          <w:sz w:val="18"/>
          <w:szCs w:val="18"/>
          <w:i w:val="1"/>
          <w:iCs w:val="1"/>
          <w:color w:val="auto"/>
        </w:rPr>
        <w:t>Sanctiewet 1977</w:t>
      </w:r>
      <w:r>
        <w:rPr>
          <w:rFonts w:ascii="Times New Roman" w:cs="Times New Roman" w:eastAsia="Times New Roman" w:hAnsi="Times New Roman"/>
          <w:sz w:val="18"/>
          <w:szCs w:val="18"/>
          <w:color w:val="auto"/>
        </w:rPr>
        <w:t>)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the Articles of Association or Dutch law that limit the right of shareholders who are not citizens or residents of the Netherlands to hold or vote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Squeeze-out procedures</w:t>
      </w:r>
    </w:p>
    <w:p>
      <w:pPr>
        <w:spacing w:after="0" w:line="22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 shareholder who alone or together with group companies holds at least 95% of our issued share capital for his or her own account may initiate proceedings against the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Times New Roman" w:cs="Times New Roman" w:eastAsia="Times New Roman" w:hAnsi="Times New Roman"/>
          <w:sz w:val="18"/>
          <w:szCs w:val="18"/>
          <w:i w:val="1"/>
          <w:iCs w:val="1"/>
          <w:color w:val="auto"/>
        </w:rPr>
        <w:t>Wetboek van Burgerlijke Rechtsvordering</w:t>
      </w:r>
      <w:r>
        <w:rPr>
          <w:rFonts w:ascii="Times New Roman" w:cs="Times New Roman" w:eastAsia="Times New Roman" w:hAnsi="Times New Roman"/>
          <w:sz w:val="18"/>
          <w:szCs w:val="18"/>
          <w:color w:val="auto"/>
        </w:rPr>
        <w:t>). The Enterprise Chamber may grant the claim for squeeze-out in relation to the other shareholders and will determine the price to be paid for the shares, if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36" w:name="page37"/>
    <w:bookmarkEnd w:id="36"/>
    <w:p>
      <w:pPr>
        <w:ind w:right="160"/>
        <w:spacing w:after="0" w:line="261" w:lineRule="auto"/>
        <w:rPr>
          <w:sz w:val="20"/>
          <w:szCs w:val="20"/>
          <w:color w:val="auto"/>
        </w:rPr>
      </w:pPr>
      <w:r>
        <w:rPr>
          <w:rFonts w:ascii="Times New Roman" w:cs="Times New Roman" w:eastAsia="Times New Roman" w:hAnsi="Times New Roman"/>
          <w:sz w:val="18"/>
          <w:szCs w:val="18"/>
          <w:color w:val="auto"/>
        </w:rPr>
        <w:t>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17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H.</w:t>
        <w:tab/>
        <w:t>Dissolution and Liquidation</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our liabilities, , the remaining assets shall be distributed to the holders of ordinary shares in proportion to their ordinary shares.</w:t>
      </w:r>
    </w:p>
    <w:p>
      <w:pPr>
        <w:spacing w:after="0" w:line="176"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Our Articles of Association provide that the U.S. federal district courts shall be the sole and exclusive forum for any claim asserting a cause of action arising under the Securities Act. Section 22 of the Securities Act creates concurrent jurisdiction for federal and state courts over all such Securities Act actions. Accordingly, both state and federal courts have jurisdiction to entertain such claims.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Articles of Association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Articles of Association described above.</w:t>
      </w:r>
    </w:p>
    <w:p>
      <w:pPr>
        <w:spacing w:after="0" w:line="184"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Comparison of Dutch Corporate Law and U.S. Corporate Law</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Dutch Corporate Governance Code</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a listed Dutch public company with limited liability (naamloze vennootschap),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statutory annual reports whether they comply with the provisions of the DCGC. If a company subject to the DCGC does not comply with those provisions, that company would be required to give the reasons for such non-compliance. We do not comply with all best practice provisions of the DCGC. As of the date of this prospectus, our main deviations from the DCGC are summarized below, but we cannot exclude the possibility of deviating from additional provisions of the DCGC after the date of this prospectus, including in order to follow market practice or governance practices in the United States.</w:t>
      </w:r>
    </w:p>
    <w:p>
      <w:pPr>
        <w:spacing w:after="0" w:line="192"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ind w:right="420"/>
        <w:spacing w:after="0" w:line="282" w:lineRule="auto"/>
        <w:rPr>
          <w:sz w:val="20"/>
          <w:szCs w:val="20"/>
          <w:color w:val="auto"/>
        </w:rPr>
      </w:pPr>
      <w:r>
        <w:rPr>
          <w:rFonts w:ascii="Times New Roman" w:cs="Times New Roman" w:eastAsia="Times New Roman" w:hAnsi="Times New Roman"/>
          <w:sz w:val="18"/>
          <w:szCs w:val="18"/>
          <w:color w:val="auto"/>
        </w:rPr>
        <w:t>least a two-thirds majority of the votes cast, representing more than half of the issued share capital. However, the DCGC recommends that the general meeting can pass such a resolution by simple majority, representing no more than one-third of the issued share capital.</w:t>
      </w:r>
    </w:p>
    <w:p>
      <w:pPr>
        <w:spacing w:after="0" w:line="16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Under the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DCGC recommends against providing equity awards as part of the compensation of a non-executive director. However, consistent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practice, we have granted equity awards to our non-executive directors.</w:t>
      </w:r>
    </w:p>
    <w:p>
      <w:pPr>
        <w:spacing w:after="0" w:line="2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Our equity incentive plan allows us to set the terms and conditions of equity awards granted thereunder. Under our equity incentive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Duties of Directors</w:t>
      </w:r>
    </w:p>
    <w:p>
      <w:pPr>
        <w:spacing w:after="0" w:line="227" w:lineRule="exact"/>
        <w:rPr>
          <w:sz w:val="20"/>
          <w:szCs w:val="20"/>
          <w:color w:val="auto"/>
        </w:rPr>
      </w:pPr>
    </w:p>
    <w:p>
      <w:pPr>
        <w:ind w:right="80" w:firstLine="749"/>
        <w:spacing w:after="0" w:line="271" w:lineRule="auto"/>
        <w:rPr>
          <w:sz w:val="20"/>
          <w:szCs w:val="20"/>
          <w:color w:val="auto"/>
        </w:rPr>
      </w:pPr>
      <w:r>
        <w:rPr>
          <w:rFonts w:ascii="Times New Roman" w:cs="Times New Roman" w:eastAsia="Times New Roman" w:hAnsi="Times New Roman"/>
          <w:sz w:val="17"/>
          <w:szCs w:val="17"/>
          <w:u w:val="single" w:color="auto"/>
          <w:color w:val="auto"/>
        </w:rPr>
        <w:t>The Netherlands</w:t>
      </w:r>
      <w:r>
        <w:rPr>
          <w:rFonts w:ascii="Times New Roman" w:cs="Times New Roman" w:eastAsia="Times New Roman" w:hAnsi="Times New Roman"/>
          <w:sz w:val="17"/>
          <w:szCs w:val="17"/>
          <w:color w:val="auto"/>
        </w:rPr>
        <w:t>. We have a one-tier board structure consisting of one or more executive directors and one or more non-executive directors. Under Dutch law, the board of directors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 Subject to certain limitations under Dutch law, the directors may divide their tasks among themselves in or pursuant to the internal rules applicable to the board of directors.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of directors regarding a material change in our identity or character requires approval of the general meeting.</w:t>
      </w:r>
    </w:p>
    <w:p>
      <w:pPr>
        <w:spacing w:after="0" w:line="173"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terms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The DCGC provides the following best practice recommendations on the terms for directors’ service:</w:t>
      </w:r>
    </w:p>
    <w:p>
      <w:pPr>
        <w:spacing w:after="0" w:line="225" w:lineRule="exact"/>
        <w:rPr>
          <w:sz w:val="20"/>
          <w:szCs w:val="20"/>
          <w:color w:val="auto"/>
        </w:rPr>
      </w:pPr>
    </w:p>
    <w:p>
      <w:pPr>
        <w:ind w:left="1140" w:right="200" w:hanging="383"/>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directors should be appointed for a maximum period of four years, without limiting the number of consecutive terms executive directors may serve.</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8" w:name="page39"/>
    <w:bookmarkEnd w:id="38"/>
    <w:p>
      <w:pPr>
        <w:ind w:left="1140" w:hanging="383"/>
        <w:spacing w:after="0" w:line="266"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directors should be appointed for two consecutive periods of no more than four years. Thereafter, non-executive directors may be reappointed for a maximum of two consecutive periods of no more than two years, provided that in the event of reappointment after an eight-year term of office the reasons for such reappointment should be disclosed in the Company’s statutory annual Board report.</w:t>
      </w:r>
    </w:p>
    <w:p>
      <w:pPr>
        <w:spacing w:after="0" w:line="17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general meeting shall at all times be entitled to suspend or dismiss a director. Under our Articles of Association, the general meeting may only adopt a resolution to suspend or dismiss such director by at least a two-thirds majority of the votes cast, provided such majority represents more than half of the issued share capital, unless the resolution is passed at the proposal of the board of directors, in which case a simple majority of the votes cast is sufficient. If a director is suspended and the general meeting does not resolve to dismiss him or her within three months from the date of such suspension, the suspension shall lapse.</w:t>
      </w:r>
    </w:p>
    <w:p>
      <w:pPr>
        <w:spacing w:after="0" w:line="18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vacancies</w:t>
      </w:r>
    </w:p>
    <w:p>
      <w:pPr>
        <w:spacing w:after="0" w:line="22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Our Board can temporarily fill vacancies in its midst caused by temporary absence or incapacity of directors without requiring a shareholder vote. If all of our directors are absent or incapacitated, our management shall be attributed to the person who most recently ceased to hold office as the chair of our Board. If such former chair would be unwilling or unable to accept that position, our management would be attributed to the person who most recently ceased to hold office as our chief executive officer. If such former chief executive officer would also be unwilling or unable to accept that position, our management would be attributed to one or more persons whom the general meeting would designate for that purpose. The person(s) charged with our management in this manner, may designate one or more persons to be charged with our management instead of, or together with, such person(s).</w:t>
      </w:r>
    </w:p>
    <w:p>
      <w:pPr>
        <w:spacing w:after="0" w:line="18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Under Dutch law, directors are appointed and reappointed by the general meeting, on a recommendation of our nomination and corporate governance committee. Under our Articles of Association, directors are appointed by the general meeting upon the binding nomination by our Board.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The Delaware General Corporation Law provides that vacancies and newly created directorships may be filled by a majority of the directors then in office (even though less than a quorum) unless (i) otherwise provided in the certificate of incorporation or bylaws of the corporation or (ii) the certificate of incorporation directs that a particular class of stock is to elect such director, in which case any other directors elected by such class, or a sole remaining director elected by such class, will fill such vacancy.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Conflict-of-interest transactions</w:t>
      </w:r>
    </w:p>
    <w:p>
      <w:pPr>
        <w:spacing w:after="0" w:line="22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Dutch law and our Articles of Association, our directors shall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latter case, each director is entitled to participate in the discussion and decision-making process and to cast a vote.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9" w:name="page40"/>
    <w:bookmarkEnd w:id="39"/>
    <w:p>
      <w:pPr>
        <w:ind w:left="760"/>
        <w:spacing w:after="0"/>
        <w:rPr>
          <w:sz w:val="20"/>
          <w:szCs w:val="20"/>
          <w:color w:val="auto"/>
        </w:rPr>
      </w:pPr>
      <w:r>
        <w:rPr>
          <w:rFonts w:ascii="Times New Roman" w:cs="Times New Roman" w:eastAsia="Times New Roman" w:hAnsi="Times New Roman"/>
          <w:sz w:val="18"/>
          <w:szCs w:val="18"/>
          <w:color w:val="auto"/>
        </w:rPr>
        <w:t>The DCGC provides the following best practice recommendations in relation to conflicts of interests in respect of directors:</w:t>
      </w:r>
    </w:p>
    <w:p>
      <w:pPr>
        <w:spacing w:after="0" w:line="225" w:lineRule="exact"/>
        <w:rPr>
          <w:sz w:val="20"/>
          <w:szCs w:val="20"/>
          <w:color w:val="auto"/>
        </w:rPr>
      </w:pPr>
    </w:p>
    <w:p>
      <w:pPr>
        <w:ind w:left="1140" w:hanging="383"/>
        <w:spacing w:after="0" w:line="258"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should report any conflict of interest or potential conflict of interest in a transaction that is of material significance to the company and/or to such person to the chairperson of the board of directors without delay and should provide all relevant information in that regard, including the relevant information pertaining to his or her spouse, registered partner or other life companion, foster child and relatives by blood or marriage up to the second degree. If the chairperson of the board of directors has a conflict of interest or potential conflict of interest, he or she should report this to the vice-chairperson of the board of directors without delay;</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should decide, outside the presence of the director concerned, whether there is a conflict of interest;</w:t>
      </w:r>
    </w:p>
    <w:p>
      <w:pPr>
        <w:spacing w:after="0" w:line="225" w:lineRule="exact"/>
        <w:rPr>
          <w:rFonts w:ascii="Times New Roman" w:cs="Times New Roman" w:eastAsia="Times New Roman" w:hAnsi="Times New Roman"/>
          <w:sz w:val="18"/>
          <w:szCs w:val="18"/>
          <w:color w:val="auto"/>
        </w:rPr>
      </w:pPr>
    </w:p>
    <w:p>
      <w:pPr>
        <w:ind w:left="1140" w:right="20" w:hanging="383"/>
        <w:spacing w:after="0" w:line="258"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which there are conflicts of interest with directors should be agreed on terms that are customary in the market; and decisions to enter into transactions in which there are conflicts of interest with directors that are of material significance to the Company and/or to the relevant directors should require the approval of the Board. Such transactions should be published in our statutory annual report, together with a description of the conflict of interest and a declaration that the relevant best practice provisions of the DCGC have been complied with.</w:t>
      </w:r>
    </w:p>
    <w:p>
      <w:pPr>
        <w:spacing w:after="0" w:line="183"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transactions involving a Delaware corporation and an interested director of that corporation would not be voidable if:</w:t>
      </w:r>
    </w:p>
    <w:p>
      <w:pPr>
        <w:spacing w:after="0" w:line="162" w:lineRule="exact"/>
        <w:rPr>
          <w:sz w:val="20"/>
          <w:szCs w:val="20"/>
          <w:color w:val="auto"/>
        </w:rPr>
      </w:pPr>
    </w:p>
    <w:p>
      <w:pPr>
        <w:ind w:left="1140" w:right="32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161" w:lineRule="exact"/>
        <w:rPr>
          <w:rFonts w:ascii="Times New Roman" w:cs="Times New Roman" w:eastAsia="Times New Roman" w:hAnsi="Times New Roman"/>
          <w:sz w:val="18"/>
          <w:szCs w:val="18"/>
          <w:color w:val="auto"/>
        </w:rPr>
      </w:pPr>
    </w:p>
    <w:p>
      <w:pPr>
        <w:ind w:left="1140" w:right="120" w:hanging="383"/>
        <w:spacing w:after="0" w:line="266"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are disclosed or known as to the director’s relationship or interest and the transaction is specifically approved in good faith by vote of the majority of shares entitled to vote thereon; or the transaction is fair to the corporation at the time it is authorized by the board of directors, a committee of the board of directors or the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voting by directors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An absent director may issue a proxy for a specific board meeting but only to another director in writing or by electronic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A director of a Delaware corporation may not issue a proxy representing the director’s voting rights as a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In accordance with Dutch law and our Articles of Association, each issued ordinary share, confers the right to cast one vote at the general meeting. No votes may be cast at a general meeting on shares held by us or our subsidiaries or on shares for which we or our subsidiaries hold depository receipts. Nonetheless, the holders of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the holders of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the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Shares which are not entitled to voting rights pursuant to the preceding sentences will not be taken into account for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0" w:name="page41"/>
    <w:bookmarkEnd w:id="40"/>
    <w:p>
      <w:pPr>
        <w:ind w:right="20"/>
        <w:spacing w:after="0" w:line="282" w:lineRule="auto"/>
        <w:rPr>
          <w:sz w:val="20"/>
          <w:szCs w:val="20"/>
          <w:color w:val="auto"/>
        </w:rPr>
      </w:pPr>
      <w:r>
        <w:rPr>
          <w:rFonts w:ascii="Times New Roman" w:cs="Times New Roman" w:eastAsia="Times New Roman" w:hAnsi="Times New Roman"/>
          <w:sz w:val="18"/>
          <w:szCs w:val="18"/>
          <w:color w:val="auto"/>
        </w:rPr>
        <w:t>purpose of determining the number of shareholders that vote and that are present or represented, or the amount of the share capital that is provided or that is represented at a general meeting.</w:t>
      </w:r>
    </w:p>
    <w:p>
      <w:pPr>
        <w:spacing w:after="0" w:line="162"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accordance with our Articles of Association, 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9" w:lineRule="exact"/>
        <w:rPr>
          <w:sz w:val="20"/>
          <w:szCs w:val="20"/>
          <w:color w:val="auto"/>
        </w:rPr>
      </w:pPr>
    </w:p>
    <w:p>
      <w:pPr>
        <w:ind w:right="320"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each stockholder is entitled to one vote per share of stock, unless the 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22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Pursuant to our Articles of Association, extraordinary general meetings will be held whenever required under Dutch law or whenever our Board deems such to be appropriate or necessary. 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9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Also, the agenda for a general meeting shall include such items requested by one or more shareholders, and others with meeting rights under Dutch law, representing at least 3% of our issued share capital, except where the Articles of Association state a lower percentage. Our Articles of Association do not state such lower percentage. These requests must be made in writing or by electronic means and received by the Board at least 60 days before the day of the meeting. No resolutions shall be adopted on items other than those that have been included in the agenda.</w:t>
      </w:r>
    </w:p>
    <w:p>
      <w:pPr>
        <w:spacing w:after="0" w:line="18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accordance with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 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ind w:right="80"/>
        <w:spacing w:after="0" w:line="261" w:lineRule="auto"/>
        <w:rPr>
          <w:sz w:val="20"/>
          <w:szCs w:val="20"/>
          <w:color w:val="auto"/>
        </w:rPr>
      </w:pPr>
      <w:r>
        <w:rPr>
          <w:rFonts w:ascii="Times New Roman" w:cs="Times New Roman" w:eastAsia="Times New Roman" w:hAnsi="Times New Roman"/>
          <w:sz w:val="18"/>
          <w:szCs w:val="18"/>
          <w:color w:val="auto"/>
        </w:rPr>
        <w:t>and the exploration of alternatives to the general meeting. The response period may be invoked only once for any given general meeting and shall not apply: (a) in respect of a matter for which either a response period has been previously invoked; or (b) in situations where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8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at our office for inspection by shareholders and others with meeting rights under Dutch law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92" w:lineRule="exact"/>
        <w:rPr>
          <w:sz w:val="20"/>
          <w:szCs w:val="20"/>
          <w:color w:val="auto"/>
        </w:rPr>
      </w:pPr>
    </w:p>
    <w:p>
      <w:pPr>
        <w:ind w:left="1140" w:right="340" w:hanging="38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61" w:lineRule="exact"/>
        <w:rPr>
          <w:rFonts w:ascii="Times New Roman" w:cs="Times New Roman" w:eastAsia="Times New Roman" w:hAnsi="Times New Roman"/>
          <w:sz w:val="18"/>
          <w:szCs w:val="18"/>
          <w:color w:val="auto"/>
        </w:rPr>
      </w:pPr>
    </w:p>
    <w:p>
      <w:pPr>
        <w:ind w:left="1140" w:right="80" w:hanging="383"/>
        <w:spacing w:after="0" w:line="26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cannot reasonably believe that a continuation of the cooling-off period would contribute to careful policy-making; or 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Delaware law does not specifically grant stockholders the right to bring business before an annual or special meeting. Delaware law 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u w:val="single" w:color="auto"/>
          <w:color w:val="auto"/>
        </w:rPr>
        <w:t>The Netherlands</w:t>
      </w:r>
      <w:r>
        <w:rPr>
          <w:rFonts w:ascii="Times New Roman" w:cs="Times New Roman" w:eastAsia="Times New Roman" w:hAnsi="Times New Roman"/>
          <w:sz w:val="17"/>
          <w:szCs w:val="17"/>
          <w:color w:val="auto"/>
        </w:rPr>
        <w:t>. Under Dutch law, shareholders’ resolutions may be adopted in writing without holding a meeting of shareholders, provided that</w:t>
      </w:r>
    </w:p>
    <w:p>
      <w:pPr>
        <w:spacing w:after="0" w:line="39" w:lineRule="exact"/>
        <w:rPr>
          <w:sz w:val="20"/>
          <w:szCs w:val="20"/>
          <w:color w:val="auto"/>
        </w:rPr>
      </w:pPr>
    </w:p>
    <w:p>
      <w:pPr>
        <w:ind w:right="440" w:firstLine="8"/>
        <w:spacing w:after="0" w:line="253" w:lineRule="auto"/>
        <w:tabs>
          <w:tab w:leader="none" w:pos="2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ind w:right="40"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Although permitted by Delaware law, publicly listed companies do not typically permit stockholders of a corporation to take action by written consent.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Appraisal rights</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Subject to certain exceptions, Dutch law does not recognize the concept of appraisal or dissenters’ rights. However, Dutch law does provide for squeeze-out procedures as described under “—G.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87"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The Delaware General Corporation Law provides for stockholder appraisal rights, or the right to demand payment in cash of the judicially determined fair value of the stockholder’s shares, in connection with certain mergers and consolidations.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suits</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In the event a third-party is liable to a Dutch company, only the Company itself 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directors and officers can still be subject to liability under U.S. securities laws.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Articles of Association provide that the sole and exclusive forum for any complaint asserting a cause of action arising under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of 1933, as amended, to the fullest extent permitted by applicable law, shall be the U.S. federal district courts.</w:t>
      </w:r>
    </w:p>
    <w:p>
      <w:pPr>
        <w:spacing w:after="0" w:line="20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shares</w:t>
      </w:r>
    </w:p>
    <w:p>
      <w:pPr>
        <w:spacing w:after="0" w:line="22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Dutch law, when issuing shares, a public company with limited liability such as ours may not subscribe for newly issued shares in its own capital. Such company may, however, subject to certain</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ind w:right="40"/>
        <w:spacing w:after="0" w:line="255" w:lineRule="auto"/>
        <w:rPr>
          <w:sz w:val="20"/>
          <w:szCs w:val="20"/>
          <w:color w:val="auto"/>
        </w:rPr>
      </w:pPr>
      <w:r>
        <w:rPr>
          <w:rFonts w:ascii="Times New Roman" w:cs="Times New Roman" w:eastAsia="Times New Roman" w:hAnsi="Times New Roman"/>
          <w:sz w:val="18"/>
          <w:szCs w:val="18"/>
          <w:color w:val="auto"/>
        </w:rPr>
        <w:t>restrictions of Dutch law and its Articles of Association, acquire shares in its own capital. A listed public company with limited liability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less the payment required to make the acquisition does not fall below the sum of paid-up and called-up share capital plus any reserves required by Dutch law or its Articles of Association and (ii) the aggregate nominal value of shares of the company which the company acquires, holds or on which the company holds a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or which are held by a subsidiary of the company, would not exceed 50% of its then current issued share capital. Such company may only acquire its own shares if its general meeting has granted the board of directors the authority to effect such acquisitions.</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An acquisition by us of ordinary shares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On June 23, 2023, our general meeting adopted a resolution pursuant to which our Board is authorized, for a period of 18 months following June 23, 2023 to cause the repurchase of ordinary shares (or depositary receipts for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 No authorization of the general meeting is required if ordinary shares are acquired by us with the intention of transferring such ordinary shares to our employees under an applicable employee stock purchase plan.</w:t>
      </w:r>
    </w:p>
    <w:p>
      <w:pPr>
        <w:spacing w:after="0" w:line="188"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a corporation may generally purchase or redeem its own shares unless the capital of the 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ind w:right="120" w:firstLine="749"/>
        <w:spacing w:after="0" w:line="312" w:lineRule="auto"/>
        <w:rPr>
          <w:sz w:val="20"/>
          <w:szCs w:val="20"/>
          <w:color w:val="auto"/>
        </w:rPr>
      </w:pPr>
      <w:r>
        <w:rPr>
          <w:rFonts w:ascii="Times New Roman" w:cs="Times New Roman" w:eastAsia="Times New Roman" w:hAnsi="Times New Roman"/>
          <w:sz w:val="17"/>
          <w:szCs w:val="17"/>
          <w:u w:val="single" w:color="auto"/>
          <w:color w:val="auto"/>
        </w:rPr>
        <w:t>The Netherlands</w:t>
      </w:r>
      <w:r>
        <w:rPr>
          <w:rFonts w:ascii="Times New Roman" w:cs="Times New Roman" w:eastAsia="Times New Roman" w:hAnsi="Times New Roman"/>
          <w:sz w:val="17"/>
          <w:szCs w:val="17"/>
          <w:color w:val="auto"/>
        </w:rPr>
        <w:t>. Under Dutch law, various protective measures are possible and permissible within the boundaries set by Dutch law and Dutch case law. We have adopted several provisions that may have the effect of making a takeover of our Company more difficult or less attractive, including:</w:t>
      </w:r>
    </w:p>
    <w:p>
      <w:pPr>
        <w:spacing w:after="0" w:line="140" w:lineRule="exact"/>
        <w:rPr>
          <w:sz w:val="20"/>
          <w:szCs w:val="20"/>
          <w:color w:val="auto"/>
        </w:rPr>
      </w:pPr>
    </w:p>
    <w:p>
      <w:pPr>
        <w:ind w:left="1140" w:right="240" w:hanging="383"/>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directors may only be dismissed at the general meeting by a two-thirds majority of votes cast representing more than half of our issued share capital if such removal is not proposed by our Board;</w:t>
      </w:r>
    </w:p>
    <w:p>
      <w:pPr>
        <w:spacing w:after="0" w:line="161" w:lineRule="exact"/>
        <w:rPr>
          <w:rFonts w:ascii="Times New Roman" w:cs="Times New Roman" w:eastAsia="Times New Roman" w:hAnsi="Times New Roman"/>
          <w:sz w:val="18"/>
          <w:szCs w:val="18"/>
          <w:color w:val="auto"/>
        </w:rPr>
      </w:pPr>
    </w:p>
    <w:p>
      <w:pPr>
        <w:ind w:left="1140" w:right="140" w:hanging="383"/>
        <w:spacing w:after="0" w:line="266"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being appointed on the basis of a binding nomination by our Board, which can only be overruled by the general meeting by a resolution adopted by at least a two-thirds majority of the votes cast, provided such majority represents more than half of the issued share capital (in which case the Board shall make a new nomination);</w:t>
      </w:r>
    </w:p>
    <w:p>
      <w:pPr>
        <w:spacing w:after="0" w:line="175" w:lineRule="exact"/>
        <w:rPr>
          <w:rFonts w:ascii="Times New Roman" w:cs="Times New Roman" w:eastAsia="Times New Roman" w:hAnsi="Times New Roman"/>
          <w:sz w:val="18"/>
          <w:szCs w:val="18"/>
          <w:color w:val="auto"/>
        </w:rPr>
      </w:pPr>
    </w:p>
    <w:p>
      <w:pPr>
        <w:ind w:left="1140" w:hanging="383"/>
        <w:spacing w:after="0" w:line="266"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which allows the former chair of our Board or our former chief executive officer to be charged with our management if all of our directors are absent or incapacitated; and requirements that certain matters, including an amendment of our Articles of Association, may only be brought to our shareholders for a vote upon a proposal by our Board.</w:t>
      </w:r>
    </w:p>
    <w:p>
      <w:pPr>
        <w:spacing w:after="0" w:line="176"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In addition, Dutch law allows for staggered multi-year terms of our directors, as a result of which only part of our directors may be subject to appointment or re-appointment in any one year.</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4" w:name="page45"/>
    <w:bookmarkEnd w:id="44"/>
    <w:p>
      <w:pPr>
        <w:ind w:left="760"/>
        <w:spacing w:after="0"/>
        <w:rPr>
          <w:sz w:val="20"/>
          <w:szCs w:val="20"/>
          <w:color w:val="auto"/>
        </w:rPr>
      </w:pPr>
      <w:r>
        <w:rPr>
          <w:rFonts w:ascii="Times New Roman" w:cs="Times New Roman" w:eastAsia="Times New Roman" w:hAnsi="Times New Roman"/>
          <w:sz w:val="18"/>
          <w:szCs w:val="18"/>
          <w:color w:val="auto"/>
        </w:rPr>
        <w:t>In addition, our Board can invoke the ‘cooling-off period’ as described under “—E. Shareholders’ Meetings and Consents”</w:t>
      </w:r>
    </w:p>
    <w:p>
      <w:pPr>
        <w:spacing w:after="0" w:line="225"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In addition to other aspects of Delaware law governing fiduciary duties of directors during a potential takeover, the Delaware General Corporation Law also contains provisions that protect Delaware companies from hostile takeovers and from actions following the takeover by prohibiting some transactions once an acquirer has gained a significant holding in the corporation.</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176" w:lineRule="exact"/>
        <w:rPr>
          <w:sz w:val="20"/>
          <w:szCs w:val="20"/>
          <w:color w:val="auto"/>
        </w:rPr>
      </w:pPr>
    </w:p>
    <w:p>
      <w:pPr>
        <w:ind w:left="1140" w:right="4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1140" w:right="100" w:hanging="383"/>
        <w:spacing w:after="0" w:line="258"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 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books and records</w:t>
      </w:r>
    </w:p>
    <w:p>
      <w:pPr>
        <w:spacing w:after="0" w:line="229" w:lineRule="exact"/>
        <w:rPr>
          <w:sz w:val="20"/>
          <w:szCs w:val="20"/>
          <w:color w:val="auto"/>
        </w:rPr>
      </w:pPr>
    </w:p>
    <w:p>
      <w:pPr>
        <w:ind w:right="500"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The board of directors provides the general meeting, within a reasonable amount of time with all information that the shareholders require for the exercise of their powers, unless this would be contrary to an overriding interest of our Company. If the board of directors invokes such an overriding interest, it must give reasons.</w:t>
      </w:r>
    </w:p>
    <w:p>
      <w:pPr>
        <w:spacing w:after="0" w:line="176"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any stockholder may inspect for any proper purpose certain of the corporation’s books and records during the corporation’s usual hours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Dismissal of Directors</w:t>
      </w:r>
    </w:p>
    <w:p>
      <w:pPr>
        <w:spacing w:after="0" w:line="229" w:lineRule="exact"/>
        <w:rPr>
          <w:sz w:val="20"/>
          <w:szCs w:val="20"/>
          <w:color w:val="auto"/>
        </w:rPr>
      </w:pPr>
    </w:p>
    <w:p>
      <w:pPr>
        <w:ind w:right="160" w:firstLine="749"/>
        <w:spacing w:after="0" w:line="289" w:lineRule="auto"/>
        <w:rPr>
          <w:sz w:val="20"/>
          <w:szCs w:val="20"/>
          <w:color w:val="auto"/>
        </w:rPr>
      </w:pPr>
      <w:r>
        <w:rPr>
          <w:rFonts w:ascii="Times New Roman" w:cs="Times New Roman" w:eastAsia="Times New Roman" w:hAnsi="Times New Roman"/>
          <w:sz w:val="17"/>
          <w:szCs w:val="17"/>
          <w:u w:val="single" w:color="auto"/>
          <w:color w:val="auto"/>
        </w:rPr>
        <w:t>The Netherlands</w:t>
      </w:r>
      <w:r>
        <w:rPr>
          <w:rFonts w:ascii="Times New Roman" w:cs="Times New Roman" w:eastAsia="Times New Roman" w:hAnsi="Times New Roman"/>
          <w:sz w:val="17"/>
          <w:szCs w:val="17"/>
          <w:color w:val="auto"/>
        </w:rPr>
        <w:t>. Under our Articles of Association, the general meeting shall at all times be entitled to suspend or dismiss a director. The general meeting may only adopt a resolution to suspend or dismiss a director by at least a two-thirds majority of the votes cast, if such majority represents more than half of the issued share capital, unless the proposal was made by the board of directors, in which latter case a simple majority is sufficient.</w:t>
      </w:r>
    </w:p>
    <w:p>
      <w:pPr>
        <w:spacing w:after="0" w:line="158"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Shares</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Dutch law, a company’s general meeting is the corporate body authorized to resolve on the issuance of shares and the granting of rights to subscribe for shares. The general meeting can delegate such authority to another corporate body of the company, such as the board of directors, for a period not exceeding five years; this authorization may only be extended from time to time for a maximum period of five years.</w:t>
      </w:r>
    </w:p>
    <w:p>
      <w:pPr>
        <w:spacing w:after="0" w:line="176"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On February 1, 2021, our general meeting authorized our Board, for a period of five years following February 5, 2021, to issue shares or grant rights to subscribe for shares up to our authorized share capital from time to time. We may not subscribe for our own shares on issue.</w:t>
      </w:r>
    </w:p>
    <w:p>
      <w:pPr>
        <w:spacing w:after="0" w:line="162"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The issuance of shares requires the board of directors to adopt a resolution or resolutions, authorizing the issuance, pursuant to authority expressly vested in the board of directors by the provisions of the Company’s certificate of incorporation.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Dutch law, in the event of an issuance of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 or excluded by a resolution of the general meeting upon proposal of the board of directors.</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board of directors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the board of directors as the authorized body to do so requires a majority of not less than two-thirds of the votes cast, if less than one-half of our issued share capital is represented at the meeting.</w:t>
      </w:r>
    </w:p>
    <w:p>
      <w:pPr>
        <w:spacing w:after="0" w:line="180"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On February 1, 2021, our general meeting authorized our Board, for a period of five years following February 5, 2021, to limit or exclude preemptive rights in relation to an issuance of shares or a grant of rights to subscribe for shares that the Board is authorized to resolve upon. See above under “—Issuance of Shares.”</w:t>
      </w:r>
    </w:p>
    <w:p>
      <w:pPr>
        <w:spacing w:after="0" w:line="176"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stockholders have no preemptive rights to subscribe for additional issues of stock or to any security convertible into such stock unless, and to the extent that, such rights are expressly provided for in the certificate of incorporation.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Dutch law provides that dividends may be distributed after adoption of the annual accounts by the general meeting from which it appears that such dividend distribution is allowed. Moreover, dividends may be distributed only to the extent the shareholders’ equity exceeds the amount of the paid-up and called-up issued share capital and the reserves that must be maintained under the law or the Articles of Association. Interim dividends may be declared as provided in the Articles of Association and may be distributed to the extent that the shareholders’ equity exceeds the amount of the paid-up and called-up issued share capital plus any reserves as described above as apparent from our financial statements. Under Dutch law, the Articles of Association may prescribe that the board of directors decide what portion of the profits are to be held as reserves.</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Under the Articles of Association, profit is carried to the reserve as the board of directors determines. After reservation by the board of directors of any profit, the remaining profit will be at the disposal of the general meeting at the proposal of our Board for distribution on our ordinary shares, subject to the applicable restrictions of Dutch law. We only make a distribution of dividends to our shareholders after the adoption of our annual accounts demonstrating that such distribution is legally permitted. The board of directors is permitted, subject to certain requirements, to declare interim dividends without the approval of the general meeting.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6" w:name="page47"/>
    <w:bookmarkEnd w:id="46"/>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Dividends and other distributions shall be made payable not later than the date determined by the board of directors.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subject to any restrictions contained in the corporation’s certificate of incorporation,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vote on Certain Reorganizations</w:t>
      </w:r>
    </w:p>
    <w:p>
      <w:pPr>
        <w:spacing w:after="0" w:line="229" w:lineRule="exact"/>
        <w:rPr>
          <w:sz w:val="20"/>
          <w:szCs w:val="20"/>
          <w:color w:val="auto"/>
        </w:rPr>
      </w:pPr>
    </w:p>
    <w:p>
      <w:pPr>
        <w:jc w:val="both"/>
        <w:ind w:right="80"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Dutch law, the general meeting must approve resolutions of the board of directors relating to a significant change in the identity or the character of the Company or the business of the Company, which includes:</w:t>
      </w:r>
    </w:p>
    <w:p>
      <w:pPr>
        <w:spacing w:after="0" w:line="162" w:lineRule="exact"/>
        <w:rPr>
          <w:sz w:val="20"/>
          <w:szCs w:val="20"/>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business or virtually the entire business to a third-party;</w:t>
      </w:r>
    </w:p>
    <w:p>
      <w:pPr>
        <w:spacing w:after="0" w:line="225" w:lineRule="exact"/>
        <w:rPr>
          <w:rFonts w:ascii="Times New Roman" w:cs="Times New Roman" w:eastAsia="Times New Roman" w:hAnsi="Times New Roman"/>
          <w:sz w:val="18"/>
          <w:szCs w:val="18"/>
          <w:color w:val="auto"/>
        </w:rPr>
      </w:pPr>
    </w:p>
    <w:p>
      <w:pPr>
        <w:ind w:left="1140" w:right="120" w:hanging="383"/>
        <w:spacing w:after="0" w:line="266"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175" w:lineRule="exact"/>
        <w:rPr>
          <w:rFonts w:ascii="Times New Roman" w:cs="Times New Roman" w:eastAsia="Times New Roman" w:hAnsi="Times New Roman"/>
          <w:sz w:val="18"/>
          <w:szCs w:val="18"/>
          <w:color w:val="auto"/>
        </w:rPr>
      </w:pPr>
    </w:p>
    <w:p>
      <w:pPr>
        <w:jc w:val="both"/>
        <w:ind w:left="1140" w:right="200" w:hanging="383"/>
        <w:spacing w:after="0" w:line="289" w:lineRule="auto"/>
        <w:tabs>
          <w:tab w:leader="none" w:pos="118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58"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absence of such approval shall result in the relevant resolution being null and void but shall not affect the powers of representation of the Board or of the executive directors.</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80" w:lineRule="exact"/>
        <w:rPr>
          <w:sz w:val="20"/>
          <w:szCs w:val="20"/>
          <w:color w:val="auto"/>
        </w:rPr>
      </w:pPr>
    </w:p>
    <w:p>
      <w:pPr>
        <w:ind w:right="240" w:firstLine="749"/>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w:t>
      </w:r>
    </w:p>
    <w:p>
      <w:pPr>
        <w:spacing w:after="0" w:line="229"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Dutch law and our Articles of Association, we must adopt a compensation policy for our Board. Such compensation policy shall be adopted by the general meeting upon the proposal of the board of directors. The board of directors determines the compensation of individual directors with due observance of the compensation policy. Our executive directors may not participate in the discussions or decision-making regarding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7" w:name="page48"/>
    <w:bookmarkEnd w:id="47"/>
    <w:p>
      <w:pPr>
        <w:ind w:right="200"/>
        <w:spacing w:after="0" w:line="266" w:lineRule="auto"/>
        <w:rPr>
          <w:sz w:val="20"/>
          <w:szCs w:val="20"/>
          <w:color w:val="auto"/>
        </w:rPr>
      </w:pPr>
      <w:r>
        <w:rPr>
          <w:rFonts w:ascii="Times New Roman" w:cs="Times New Roman" w:eastAsia="Times New Roman" w:hAnsi="Times New Roman"/>
          <w:sz w:val="18"/>
          <w:szCs w:val="18"/>
          <w:color w:val="auto"/>
        </w:rPr>
        <w:t>the compensation of executive directors. A proposal by the board of directors with respect to compensation schemes in the form of shares or rights to shares is submitted by the board of directors to the general meeting for its approval. This proposal must set out at least the maximum number of shares or rights to subscribe for shares to be granted to the board of directors and the criteria for granting or amendment.</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the stockholders do not generally have the right to approve the compensation policy for directors or the senior management of the corporation, although certain aspects of executive compensation may be subject to stockholder vote due to the provisions of U.S. federal securities and tax law, as well as exchange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ENFORCEMENT OF JUDGMENTS</w:t>
      </w:r>
    </w:p>
    <w:p>
      <w:pPr>
        <w:spacing w:after="0" w:line="229" w:lineRule="exact"/>
        <w:rPr>
          <w:sz w:val="20"/>
          <w:szCs w:val="20"/>
          <w:color w:val="auto"/>
        </w:rPr>
      </w:pPr>
    </w:p>
    <w:p>
      <w:pPr>
        <w:jc w:val="both"/>
        <w:ind w:right="200" w:firstLine="849"/>
        <w:spacing w:after="0" w:line="266" w:lineRule="auto"/>
        <w:rPr>
          <w:sz w:val="20"/>
          <w:szCs w:val="20"/>
          <w:color w:val="auto"/>
        </w:rPr>
      </w:pPr>
      <w:r>
        <w:rPr>
          <w:rFonts w:ascii="Times New Roman" w:cs="Times New Roman" w:eastAsia="Times New Roman" w:hAnsi="Times New Roman"/>
          <w:sz w:val="18"/>
          <w:szCs w:val="18"/>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Times New Roman" w:cs="Times New Roman" w:eastAsia="Times New Roman" w:hAnsi="Times New Roman"/>
          <w:sz w:val="18"/>
          <w:szCs w:val="18"/>
          <w:i w:val="1"/>
          <w:iCs w:val="1"/>
          <w:color w:val="auto"/>
        </w:rPr>
        <w:t>functionarissen</w:t>
      </w:r>
      <w:r>
        <w:rPr>
          <w:rFonts w:ascii="Times New Roman" w:cs="Times New Roman" w:eastAsia="Times New Roman" w:hAnsi="Times New Roman"/>
          <w:sz w:val="18"/>
          <w:szCs w:val="18"/>
          <w:color w:val="auto"/>
        </w:rPr>
        <w:t>) (including our directors and executive officers) are governed in certain respects by the laws of the Netherlands.</w:t>
      </w:r>
    </w:p>
    <w:p>
      <w:pPr>
        <w:spacing w:after="0" w:line="176" w:lineRule="exact"/>
        <w:rPr>
          <w:sz w:val="20"/>
          <w:szCs w:val="20"/>
          <w:color w:val="auto"/>
        </w:rPr>
      </w:pPr>
    </w:p>
    <w:p>
      <w:pPr>
        <w:ind w:right="360" w:firstLine="849"/>
        <w:spacing w:after="0" w:line="261" w:lineRule="auto"/>
        <w:rPr>
          <w:sz w:val="20"/>
          <w:szCs w:val="20"/>
          <w:color w:val="auto"/>
        </w:rPr>
      </w:pPr>
      <w:r>
        <w:rPr>
          <w:rFonts w:ascii="Times New Roman" w:cs="Times New Roman" w:eastAsia="Times New Roman" w:hAnsi="Times New Roman"/>
          <w:sz w:val="18"/>
          <w:szCs w:val="18"/>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80" w:lineRule="exact"/>
        <w:rPr>
          <w:sz w:val="20"/>
          <w:szCs w:val="20"/>
          <w:color w:val="auto"/>
        </w:rPr>
      </w:pPr>
    </w:p>
    <w:p>
      <w:pPr>
        <w:ind w:right="440" w:firstLine="849"/>
        <w:spacing w:after="0" w:line="282" w:lineRule="auto"/>
        <w:rPr>
          <w:sz w:val="20"/>
          <w:szCs w:val="20"/>
          <w:color w:val="auto"/>
        </w:rPr>
      </w:pPr>
      <w:r>
        <w:rPr>
          <w:rFonts w:ascii="Times New Roman" w:cs="Times New Roman" w:eastAsia="Times New Roman" w:hAnsi="Times New Roman"/>
          <w:sz w:val="18"/>
          <w:szCs w:val="18"/>
          <w:color w:val="auto"/>
        </w:rPr>
        <w:t>Also, service of process against non-residents of the United States can in principle (absent, for example, a valid choice of domicile) not be effected in the United States.</w:t>
      </w:r>
    </w:p>
    <w:p>
      <w:pPr>
        <w:spacing w:after="0" w:line="162" w:lineRule="exact"/>
        <w:rPr>
          <w:sz w:val="20"/>
          <w:szCs w:val="20"/>
          <w:color w:val="auto"/>
        </w:rPr>
      </w:pPr>
    </w:p>
    <w:p>
      <w:pPr>
        <w:ind w:firstLine="849"/>
        <w:spacing w:after="0" w:line="252" w:lineRule="auto"/>
        <w:rPr>
          <w:sz w:val="20"/>
          <w:szCs w:val="20"/>
          <w:color w:val="auto"/>
        </w:rPr>
      </w:pPr>
      <w:r>
        <w:rPr>
          <w:rFonts w:ascii="Times New Roman" w:cs="Times New Roman" w:eastAsia="Times New Roman" w:hAnsi="Times New Roman"/>
          <w:sz w:val="18"/>
          <w:szCs w:val="18"/>
          <w:color w:val="auto"/>
        </w:rPr>
        <w:t>Furthermore, substantially all of our assets are located outside the United States. As of the date of this prospectus,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cs="Times New Roman" w:eastAsia="Times New Roman" w:hAnsi="Times New Roman"/>
          <w:sz w:val="18"/>
          <w:szCs w:val="18"/>
          <w:i w:val="1"/>
          <w:iCs w:val="1"/>
          <w:color w:val="auto"/>
        </w:rPr>
        <w:t>behoorlijke rechtspleging</w:t>
      </w:r>
      <w:r>
        <w:rPr>
          <w:rFonts w:ascii="Times New Roman" w:cs="Times New Roman" w:eastAsia="Times New Roman" w:hAnsi="Times New Roman"/>
          <w:sz w:val="18"/>
          <w:szCs w:val="18"/>
          <w:color w:val="auto"/>
        </w:rPr>
        <w:t>), (iii) binding effect of such United States judgment is not contrary to Dutch public order (</w:t>
      </w:r>
      <w:r>
        <w:rPr>
          <w:rFonts w:ascii="Times New Roman" w:cs="Times New Roman" w:eastAsia="Times New Roman" w:hAnsi="Times New Roman"/>
          <w:sz w:val="18"/>
          <w:szCs w:val="18"/>
          <w:i w:val="1"/>
          <w:iCs w:val="1"/>
          <w:color w:val="auto"/>
        </w:rPr>
        <w:t>openbare orde</w:t>
      </w:r>
      <w:r>
        <w:rPr>
          <w:rFonts w:ascii="Times New Roman" w:cs="Times New Roman" w:eastAsia="Times New Roman" w:hAnsi="Times New Roman"/>
          <w:sz w:val="18"/>
          <w:szCs w:val="18"/>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95" w:lineRule="exact"/>
        <w:rPr>
          <w:sz w:val="20"/>
          <w:szCs w:val="20"/>
          <w:color w:val="auto"/>
        </w:rPr>
      </w:pPr>
    </w:p>
    <w:p>
      <w:pPr>
        <w:ind w:right="60" w:firstLine="849"/>
        <w:spacing w:after="0" w:line="261" w:lineRule="auto"/>
        <w:rPr>
          <w:sz w:val="20"/>
          <w:szCs w:val="20"/>
          <w:color w:val="auto"/>
        </w:rPr>
      </w:pPr>
      <w:r>
        <w:rPr>
          <w:rFonts w:ascii="Times New Roman" w:cs="Times New Roman" w:eastAsia="Times New Roman" w:hAnsi="Times New Roman"/>
          <w:sz w:val="18"/>
          <w:szCs w:val="18"/>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Thus, United States investors may not be able, or experience difficulty, to enforce a judgment obtained in a United States court against us or our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expenses expected to be incurred by us in connection with the offering of securities registered under this registration statement. All amounts are estimated except for the SEC registration fee.</w:t>
      </w:r>
    </w:p>
    <w:p>
      <w:pPr>
        <w:spacing w:after="0" w:line="158" w:lineRule="exact"/>
        <w:rPr>
          <w:sz w:val="20"/>
          <w:szCs w:val="20"/>
          <w:color w:val="auto"/>
        </w:rPr>
      </w:pPr>
    </w:p>
    <w:tbl>
      <w:tblPr>
        <w:tblLayout w:type="fixed"/>
        <w:tblInd w:w="10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19,664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40" w:type="dxa"/>
            <w:vAlign w:val="bottom"/>
          </w:tcPr>
          <w:p>
            <w:pPr>
              <w:spacing w:after="0"/>
              <w:rPr>
                <w:sz w:val="18"/>
                <w:szCs w:val="18"/>
                <w:color w:val="auto"/>
              </w:rPr>
            </w:pPr>
          </w:p>
        </w:tc>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40" w:type="dxa"/>
            <w:vAlign w:val="bottom"/>
          </w:tcPr>
          <w:p>
            <w:pPr>
              <w:spacing w:after="0"/>
              <w:rPr>
                <w:sz w:val="18"/>
                <w:szCs w:val="18"/>
                <w:color w:val="auto"/>
              </w:rPr>
            </w:pPr>
          </w:p>
        </w:tc>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r>
      <w:tr>
        <w:trPr>
          <w:trHeight w:val="241"/>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540" w:right="1320" w:hanging="5532"/>
        <w:spacing w:after="0" w:line="783" w:lineRule="auto"/>
        <w:tabs>
          <w:tab w:leader="none" w:pos="1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validity of the Ordinary Shares and certain other matters of Dutch law will be passed upon for us by NautaDutilh N.V.</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20-F for the year ended December 31, 2022 have been so incorporated in reliance on the report of PricewaterhouseCoopers Accountants N.V., an independent registered public accounting firm, given on the authority of said firm as experts in auditing and accounting.</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incorporate by reference the following documents or information that we have filed with the SEC:</w:t>
      </w:r>
    </w:p>
    <w:p>
      <w:pPr>
        <w:spacing w:after="0" w:line="225" w:lineRule="exact"/>
        <w:rPr>
          <w:sz w:val="20"/>
          <w:szCs w:val="20"/>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20-F for the fiscal year ended December 31, 2022 filed on </w:t>
      </w:r>
      <w:hyperlink r:id="rId62">
        <w:r>
          <w:rPr>
            <w:rFonts w:ascii="Times New Roman" w:cs="Times New Roman" w:eastAsia="Times New Roman" w:hAnsi="Times New Roman"/>
            <w:sz w:val="18"/>
            <w:szCs w:val="18"/>
            <w:u w:val="single" w:color="auto"/>
            <w:color w:val="0000EE"/>
          </w:rPr>
          <w:t>April 5,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40" w:right="20" w:hanging="383"/>
        <w:spacing w:after="0" w:line="255" w:lineRule="auto"/>
        <w:tabs>
          <w:tab w:leader="none" w:pos="1140" w:val="left"/>
        </w:tabs>
        <w:numPr>
          <w:ilvl w:val="0"/>
          <w:numId w:val="45"/>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Forms 6-K filed on </w:t>
      </w:r>
      <w:hyperlink r:id="rId63">
        <w:r>
          <w:rPr>
            <w:rFonts w:ascii="Times New Roman" w:cs="Times New Roman" w:eastAsia="Times New Roman" w:hAnsi="Times New Roman"/>
            <w:sz w:val="18"/>
            <w:szCs w:val="18"/>
            <w:u w:val="single" w:color="auto"/>
            <w:color w:val="0000EE"/>
          </w:rPr>
          <w:t>January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(Exhibit 99.1 only), </w:t>
      </w:r>
      <w:hyperlink r:id="rId64">
        <w:r>
          <w:rPr>
            <w:rFonts w:ascii="Times New Roman" w:cs="Times New Roman" w:eastAsia="Times New Roman" w:hAnsi="Times New Roman"/>
            <w:sz w:val="18"/>
            <w:szCs w:val="18"/>
            <w:u w:val="single" w:color="auto"/>
            <w:color w:val="0000EE"/>
          </w:rPr>
          <w:t>February 14,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Exhibit 99.1), </w:t>
      </w:r>
      <w:hyperlink r:id="rId65">
        <w:r>
          <w:rPr>
            <w:rFonts w:ascii="Times New Roman" w:cs="Times New Roman" w:eastAsia="Times New Roman" w:hAnsi="Times New Roman"/>
            <w:sz w:val="18"/>
            <w:szCs w:val="18"/>
            <w:u w:val="single" w:color="auto"/>
            <w:color w:val="0000EE"/>
          </w:rPr>
          <w:t>March 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Exhibit 99.1), </w:t>
      </w:r>
      <w:hyperlink r:id="rId66">
        <w:r>
          <w:rPr>
            <w:rFonts w:ascii="Times New Roman" w:cs="Times New Roman" w:eastAsia="Times New Roman" w:hAnsi="Times New Roman"/>
            <w:sz w:val="18"/>
            <w:szCs w:val="18"/>
            <w:u w:val="single" w:color="auto"/>
            <w:color w:val="0000EE"/>
          </w:rPr>
          <w:t>May 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Exhibit 99.1), </w:t>
      </w:r>
      <w:hyperlink r:id="rId67">
        <w:r>
          <w:rPr>
            <w:rFonts w:ascii="Times New Roman" w:cs="Times New Roman" w:eastAsia="Times New Roman" w:hAnsi="Times New Roman"/>
            <w:sz w:val="18"/>
            <w:szCs w:val="18"/>
            <w:u w:val="single" w:color="auto"/>
            <w:color w:val="0000EE"/>
          </w:rPr>
          <w:t>June 20,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Exhibits 99.1 and 99.2), </w:t>
      </w:r>
      <w:hyperlink r:id="rId68">
        <w:r>
          <w:rPr>
            <w:rFonts w:ascii="Times New Roman" w:cs="Times New Roman" w:eastAsia="Times New Roman" w:hAnsi="Times New Roman"/>
            <w:sz w:val="18"/>
            <w:szCs w:val="18"/>
            <w:u w:val="single" w:color="auto"/>
            <w:color w:val="0000EE"/>
          </w:rPr>
          <w:t>June 26, 2023</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June 27, 2023</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July 3, 2023</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EE"/>
          </w:rPr>
          <w:t>August 7,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Exhibit 99.1)</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000EE"/>
        </w:rPr>
        <w:t xml:space="preserve"> </w:t>
      </w:r>
      <w:hyperlink r:id="rId72">
        <w:r>
          <w:rPr>
            <w:rFonts w:ascii="Times New Roman" w:cs="Times New Roman" w:eastAsia="Times New Roman" w:hAnsi="Times New Roman"/>
            <w:sz w:val="18"/>
            <w:szCs w:val="18"/>
            <w:u w:val="single" w:color="auto"/>
            <w:color w:val="0000FF"/>
          </w:rPr>
          <w:t>November 2, 2023</w:t>
        </w:r>
        <w:r>
          <w:rPr>
            <w:rFonts w:ascii="Times New Roman" w:cs="Times New Roman" w:eastAsia="Times New Roman" w:hAnsi="Times New Roman"/>
            <w:sz w:val="18"/>
            <w:szCs w:val="18"/>
            <w:u w:val="single" w:color="auto"/>
            <w:color w:val="0000EE"/>
          </w:rPr>
          <w:t xml:space="preserve"> </w:t>
        </w:r>
      </w:hyperlink>
      <w:r>
        <w:rPr>
          <w:rFonts w:ascii="Times New Roman" w:cs="Times New Roman" w:eastAsia="Times New Roman" w:hAnsi="Times New Roman"/>
          <w:sz w:val="18"/>
          <w:szCs w:val="18"/>
          <w:color w:val="1C1C1C"/>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1C1C1C"/>
        </w:rPr>
        <w:t>Exhibit 99.1),</w:t>
      </w:r>
      <w:r>
        <w:rPr>
          <w:rFonts w:ascii="Times New Roman" w:cs="Times New Roman" w:eastAsia="Times New Roman" w:hAnsi="Times New Roman"/>
          <w:sz w:val="18"/>
          <w:szCs w:val="18"/>
          <w:color w:val="0000EE"/>
        </w:rPr>
        <w:t xml:space="preserve"> </w:t>
      </w:r>
      <w:hyperlink r:id="rId73">
        <w:r>
          <w:rPr>
            <w:rFonts w:ascii="Times New Roman" w:cs="Times New Roman" w:eastAsia="Times New Roman" w:hAnsi="Times New Roman"/>
            <w:sz w:val="18"/>
            <w:szCs w:val="18"/>
            <w:u w:val="single" w:color="auto"/>
            <w:color w:val="0000FF"/>
          </w:rPr>
          <w:t>December 6, 202</w:t>
        </w:r>
      </w:hyperlink>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(excluding Exhibit 99.1)</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000EE"/>
        </w:rPr>
        <w:t xml:space="preserve"> </w:t>
      </w:r>
      <w:hyperlink r:id="rId74">
        <w:r>
          <w:rPr>
            <w:rFonts w:ascii="Times New Roman" w:cs="Times New Roman" w:eastAsia="Times New Roman" w:hAnsi="Times New Roman"/>
            <w:sz w:val="18"/>
            <w:szCs w:val="18"/>
            <w:u w:val="single" w:color="auto"/>
            <w:color w:val="0000FF"/>
          </w:rPr>
          <w:t>December 8, 2023</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January 8, 2024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1C1C1C"/>
          </w:rPr>
          <w:t>(excluding Exhibit 99.2),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January 22, 2024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1C1C1C"/>
          </w:rPr>
          <w:t>(excluding Exhibit 99.2),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February 7, 2024</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February 16,</w:t>
        </w:r>
      </w:hyperlink>
      <w:r>
        <w:rPr>
          <w:rFonts w:ascii="Times New Roman" w:cs="Times New Roman" w:eastAsia="Times New Roman" w:hAnsi="Times New Roman"/>
          <w:sz w:val="18"/>
          <w:szCs w:val="18"/>
          <w:color w:val="0000FF"/>
        </w:rPr>
        <w:t xml:space="preserve"> </w:t>
      </w:r>
      <w:hyperlink r:id="rId74">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(excluding Exhibits 99.4 and 99.5) and</w:t>
        </w:r>
        <w:r>
          <w:rPr>
            <w:rFonts w:ascii="Times New Roman" w:cs="Times New Roman" w:eastAsia="Times New Roman" w:hAnsi="Times New Roman"/>
            <w:sz w:val="18"/>
            <w:szCs w:val="18"/>
            <w:color w:val="0000FF"/>
          </w:rPr>
          <w:t xml:space="preserve"> </w:t>
        </w:r>
      </w:hyperlink>
      <w:hyperlink r:id="rId75">
        <w:r>
          <w:rPr>
            <w:rFonts w:ascii="Times New Roman" w:cs="Times New Roman" w:eastAsia="Times New Roman" w:hAnsi="Times New Roman"/>
            <w:sz w:val="18"/>
            <w:szCs w:val="18"/>
            <w:u w:val="single" w:color="auto"/>
            <w:color w:val="0000FF"/>
          </w:rPr>
          <w:t>March 6, 2024</w:t>
        </w:r>
      </w:hyperlink>
      <w:hyperlink r:id="rId74">
        <w:r>
          <w:rPr>
            <w:rFonts w:ascii="Times New Roman" w:cs="Times New Roman" w:eastAsia="Times New Roman" w:hAnsi="Times New Roman"/>
            <w:sz w:val="18"/>
            <w:szCs w:val="18"/>
            <w:color w:val="000000"/>
          </w:rPr>
          <w:t>; and the description of our Ordinary Shares contained in our registration</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statement on Form 8-A filed with the SEC on </w:t>
      </w:r>
      <w:hyperlink r:id="rId76">
        <w:r>
          <w:rPr>
            <w:rFonts w:ascii="Times New Roman" w:cs="Times New Roman" w:eastAsia="Times New Roman" w:hAnsi="Times New Roman"/>
            <w:sz w:val="18"/>
            <w:szCs w:val="18"/>
            <w:u w:val="single" w:color="auto"/>
            <w:color w:val="0000EE"/>
          </w:rPr>
          <w:t>February 4, 2021</w:t>
        </w:r>
      </w:hyperlink>
      <w:r>
        <w:rPr>
          <w:rFonts w:ascii="Times New Roman" w:cs="Times New Roman" w:eastAsia="Times New Roman" w:hAnsi="Times New Roman"/>
          <w:sz w:val="18"/>
          <w:szCs w:val="18"/>
          <w:color w:val="000000"/>
        </w:rPr>
        <w:t xml:space="preserve">, as updated by the description of our Ordinary Shares filed as </w:t>
      </w:r>
      <w:hyperlink r:id="rId77">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our Annual Report on Form 20-F for the fiscal year ended December 31, 2022.</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2342515</wp:posOffset>
            </wp:positionH>
            <wp:positionV relativeFrom="paragraph">
              <wp:posOffset>-442595</wp:posOffset>
            </wp:positionV>
            <wp:extent cx="285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-305435</wp:posOffset>
            </wp:positionV>
            <wp:extent cx="285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9" w:lineRule="exact"/>
        <w:rPr>
          <w:rFonts w:ascii="Times New Roman" w:cs="Times New Roman" w:eastAsia="Times New Roman" w:hAnsi="Times New Roman"/>
          <w:sz w:val="18"/>
          <w:szCs w:val="18"/>
          <w:color w:val="0000FF"/>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on or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6-K that it is being incorporated by reference into this prospectus.</w:t>
      </w:r>
    </w:p>
    <w:p>
      <w:pPr>
        <w:spacing w:after="0" w:line="180" w:lineRule="exact"/>
        <w:rPr>
          <w:rFonts w:ascii="Times New Roman" w:cs="Times New Roman" w:eastAsia="Times New Roman" w:hAnsi="Times New Roman"/>
          <w:sz w:val="18"/>
          <w:szCs w:val="18"/>
          <w:color w:val="0000FF"/>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Emmy Noetherweg 2, 2333 BK Leiden, The Netherlands or via telephone at +31 (0)71 203 6410.</w:t>
      </w: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40" w:lineRule="exact"/>
        <w:rPr>
          <w:rFonts w:ascii="Times New Roman" w:cs="Times New Roman" w:eastAsia="Times New Roman" w:hAnsi="Times New Roman"/>
          <w:sz w:val="18"/>
          <w:szCs w:val="18"/>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INFORMATION NOT REQUIRED IN PROSPECTUS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INDEMNIFICATION OF OFFICERS AND DIRECTORS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Under Dutch law, members of the Board may be liable for damages in the event of improper or negligent performance of their duties. They may be jointly and severally liable for damages to the Company and to third parties for infringement of the Articles of Association or of certain provisions of Dutch law. In certain circumstances, they may also incur additional specific civil and criminal liabilities. Members of the Board and senior management and certain other officers of the Company and certain subsidiaries are insured under an insurance policy against damages resulting from their conduct when acting in the capacities as such members or officers.</w:t>
      </w:r>
    </w:p>
    <w:p>
      <w:pPr>
        <w:spacing w:after="0" w:line="18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Articles of Association provide for an indemnity for current and former members of the Board and such current and former officers and employees of the Company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 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documents are filed as part of this registration statement:</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0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4.1</w:t>
            </w:r>
          </w:p>
        </w:tc>
        <w:tc>
          <w:tcPr>
            <w:tcW w:w="92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Amended Articles of Association of Pharvaris N.V. (English Translation) (incorporated herein by reference to Exhibit 3.1 to the</w:t>
              </w:r>
            </w:hyperlink>
          </w:p>
        </w:tc>
        <w:tc>
          <w:tcPr>
            <w:tcW w:w="300" w:type="dxa"/>
            <w:vAlign w:val="bottom"/>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9540" w:type="dxa"/>
            <w:vAlign w:val="bottom"/>
            <w:gridSpan w:val="9"/>
          </w:tcPr>
          <w:p>
            <w:pPr>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Company’s Current Report on Form 6-K filed with the SEC on March 6, 2024)</w:t>
              </w:r>
            </w:hyperlink>
          </w:p>
        </w:tc>
      </w:tr>
      <w:tr>
        <w:trPr>
          <w:trHeight w:val="20"/>
        </w:trPr>
        <w:tc>
          <w:tcPr>
            <w:tcW w:w="100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331"/>
        </w:trPr>
        <w:tc>
          <w:tcPr>
            <w:tcW w:w="10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4.2</w:t>
            </w:r>
          </w:p>
        </w:tc>
        <w:tc>
          <w:tcPr>
            <w:tcW w:w="9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Registration Rights Agreement by and between Pharvaris N.V. and General Atlantic PH B.V. (filed as Exhibit 99.1 to our Report on</w:t>
              </w:r>
            </w:hyperlink>
          </w:p>
        </w:tc>
      </w:tr>
      <w:tr>
        <w:trPr>
          <w:trHeight w:val="196"/>
        </w:trPr>
        <w:tc>
          <w:tcPr>
            <w:tcW w:w="1000" w:type="dxa"/>
            <w:vAlign w:val="bottom"/>
          </w:tcPr>
          <w:p>
            <w:pPr>
              <w:spacing w:after="0"/>
              <w:rPr>
                <w:sz w:val="17"/>
                <w:szCs w:val="17"/>
                <w:color w:val="auto"/>
              </w:rPr>
            </w:pPr>
          </w:p>
        </w:tc>
        <w:tc>
          <w:tcPr>
            <w:tcW w:w="9540" w:type="dxa"/>
            <w:vAlign w:val="bottom"/>
            <w:gridSpan w:val="9"/>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Form 6-K furnished to the Securities and Exchange Commission on February 7, 2024 and incorporated herein by reference)</w:t>
              </w:r>
            </w:hyperlink>
          </w:p>
        </w:tc>
      </w:tr>
      <w:tr>
        <w:trPr>
          <w:trHeight w:val="331"/>
        </w:trPr>
        <w:tc>
          <w:tcPr>
            <w:tcW w:w="10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5"/>
              </w:rPr>
              <w:t>5.1*</w:t>
            </w:r>
          </w:p>
        </w:tc>
        <w:tc>
          <w:tcPr>
            <w:tcW w:w="21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Opinion of NautaDutilh N.V.</w:t>
            </w:r>
          </w:p>
        </w:tc>
        <w:tc>
          <w:tcPr>
            <w:tcW w:w="6820" w:type="dxa"/>
            <w:vAlign w:val="bottom"/>
            <w:tcBorders>
              <w:top w:val="single" w:sz="8" w:color="0000FF"/>
            </w:tcBorders>
            <w:gridSpan w:val="5"/>
          </w:tcPr>
          <w:p>
            <w:pPr>
              <w:spacing w:after="0"/>
              <w:rPr>
                <w:sz w:val="24"/>
                <w:szCs w:val="24"/>
                <w:color w:val="auto"/>
              </w:rPr>
            </w:pPr>
          </w:p>
        </w:tc>
        <w:tc>
          <w:tcPr>
            <w:tcW w:w="620" w:type="dxa"/>
            <w:vAlign w:val="bottom"/>
            <w:gridSpan w:val="2"/>
          </w:tcPr>
          <w:p>
            <w:pPr>
              <w:spacing w:after="0"/>
              <w:rPr>
                <w:sz w:val="24"/>
                <w:szCs w:val="24"/>
                <w:color w:val="auto"/>
              </w:rPr>
            </w:pPr>
          </w:p>
        </w:tc>
      </w:tr>
      <w:tr>
        <w:trPr>
          <w:trHeight w:val="331"/>
        </w:trPr>
        <w:tc>
          <w:tcPr>
            <w:tcW w:w="10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23.1*</w:t>
            </w:r>
          </w:p>
        </w:tc>
        <w:tc>
          <w:tcPr>
            <w:tcW w:w="95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Consent of PricewaterhouseCoopers Accountants N.V.</w:t>
            </w:r>
          </w:p>
        </w:tc>
      </w:tr>
      <w:tr>
        <w:trPr>
          <w:trHeight w:val="331"/>
        </w:trPr>
        <w:tc>
          <w:tcPr>
            <w:tcW w:w="10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23.2*</w:t>
            </w:r>
          </w:p>
        </w:tc>
        <w:tc>
          <w:tcPr>
            <w:tcW w:w="3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Consent of NautaDutilh N.V. (included in Exhibit 5.1)</w:t>
            </w:r>
          </w:p>
        </w:tc>
        <w:tc>
          <w:tcPr>
            <w:tcW w:w="20" w:type="dxa"/>
            <w:vAlign w:val="bottom"/>
            <w:tcBorders>
              <w:top w:val="single" w:sz="8" w:color="0000FF"/>
            </w:tcBorders>
          </w:tcPr>
          <w:p>
            <w:pPr>
              <w:spacing w:after="0"/>
              <w:rPr>
                <w:sz w:val="24"/>
                <w:szCs w:val="24"/>
                <w:color w:val="auto"/>
              </w:rPr>
            </w:pPr>
          </w:p>
        </w:tc>
        <w:tc>
          <w:tcPr>
            <w:tcW w:w="5600" w:type="dxa"/>
            <w:vAlign w:val="bottom"/>
            <w:gridSpan w:val="5"/>
          </w:tcPr>
          <w:p>
            <w:pPr>
              <w:spacing w:after="0"/>
              <w:rPr>
                <w:sz w:val="24"/>
                <w:szCs w:val="24"/>
                <w:color w:val="auto"/>
              </w:rPr>
            </w:pPr>
          </w:p>
        </w:tc>
      </w:tr>
      <w:tr>
        <w:trPr>
          <w:trHeight w:val="331"/>
        </w:trPr>
        <w:tc>
          <w:tcPr>
            <w:tcW w:w="10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5"/>
              </w:rPr>
              <w:t>24.1</w:t>
            </w:r>
          </w:p>
        </w:tc>
        <w:tc>
          <w:tcPr>
            <w:tcW w:w="95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Powers of Attorney (included on signature page to the registration statement)</w:t>
            </w:r>
          </w:p>
        </w:tc>
      </w:tr>
      <w:tr>
        <w:trPr>
          <w:trHeight w:val="331"/>
        </w:trPr>
        <w:tc>
          <w:tcPr>
            <w:tcW w:w="10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107*</w:t>
            </w:r>
          </w:p>
        </w:tc>
        <w:tc>
          <w:tcPr>
            <w:tcW w:w="13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Filing Fee Exhibit</w:t>
            </w:r>
          </w:p>
        </w:tc>
        <w:tc>
          <w:tcPr>
            <w:tcW w:w="4240" w:type="dxa"/>
            <w:vAlign w:val="bottom"/>
            <w:tcBorders>
              <w:top w:val="single" w:sz="8" w:color="0000FF"/>
            </w:tcBorders>
            <w:gridSpan w:val="4"/>
          </w:tcPr>
          <w:p>
            <w:pPr>
              <w:spacing w:after="0"/>
              <w:rPr>
                <w:sz w:val="24"/>
                <w:szCs w:val="24"/>
                <w:color w:val="auto"/>
              </w:rPr>
            </w:pPr>
          </w:p>
        </w:tc>
        <w:tc>
          <w:tcPr>
            <w:tcW w:w="3980" w:type="dxa"/>
            <w:vAlign w:val="bottom"/>
            <w:gridSpan w:val="4"/>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UNDERTAKINGS</w:t>
      </w:r>
    </w:p>
    <w:p>
      <w:pPr>
        <w:spacing w:after="0" w:line="229"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ind w:right="120" w:firstLine="1505"/>
        <w:spacing w:after="0" w:line="256" w:lineRule="auto"/>
        <w:tabs>
          <w:tab w:leader="none" w:pos="1857"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right="140" w:firstLine="1505"/>
        <w:spacing w:after="0" w:line="282" w:lineRule="auto"/>
        <w:tabs>
          <w:tab w:leader="none" w:pos="1857"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w:t>
      </w:r>
    </w:p>
    <w:p>
      <w:pPr>
        <w:spacing w:after="0" w:line="227" w:lineRule="exact"/>
        <w:rPr>
          <w:sz w:val="20"/>
          <w:szCs w:val="20"/>
          <w:color w:val="auto"/>
        </w:rPr>
      </w:pPr>
    </w:p>
    <w:p>
      <w:pPr>
        <w:jc w:val="both"/>
        <w:ind w:firstLine="1505"/>
        <w:spacing w:after="0" w:line="261" w:lineRule="auto"/>
        <w:tabs>
          <w:tab w:leader="none" w:pos="185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79" w:lineRule="exact"/>
        <w:rPr>
          <w:rFonts w:ascii="Times New Roman" w:cs="Times New Roman" w:eastAsia="Times New Roman" w:hAnsi="Times New Roman"/>
          <w:sz w:val="18"/>
          <w:szCs w:val="18"/>
          <w:color w:val="auto"/>
        </w:rPr>
      </w:pPr>
    </w:p>
    <w:p>
      <w:pPr>
        <w:ind w:firstLine="757"/>
        <w:spacing w:after="0" w:line="266" w:lineRule="auto"/>
        <w:tabs>
          <w:tab w:leader="none" w:pos="11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right="440" w:firstLine="757"/>
        <w:spacing w:after="0" w:line="282" w:lineRule="auto"/>
        <w:tabs>
          <w:tab w:leader="none" w:pos="11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right="20" w:firstLine="757"/>
        <w:spacing w:after="0" w:line="254" w:lineRule="auto"/>
        <w:tabs>
          <w:tab w:leader="none" w:pos="11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(15 U.S.C. 77j(a)(3))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9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18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ind w:right="40" w:firstLine="1505"/>
        <w:spacing w:after="0" w:line="253" w:lineRule="auto"/>
        <w:tabs>
          <w:tab w:leader="none" w:pos="18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9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w:t>
      </w:r>
    </w:p>
    <w:p>
      <w:pPr>
        <w:spacing w:after="0" w:line="20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left="1860" w:hanging="355"/>
        <w:spacing w:after="0"/>
        <w:tabs>
          <w:tab w:leader="none" w:pos="1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424;</w:t>
      </w:r>
    </w:p>
    <w:p>
      <w:pPr>
        <w:spacing w:after="0" w:line="207" w:lineRule="exact"/>
        <w:rPr>
          <w:sz w:val="20"/>
          <w:szCs w:val="20"/>
          <w:color w:val="auto"/>
        </w:rPr>
      </w:pPr>
    </w:p>
    <w:p>
      <w:pPr>
        <w:ind w:right="160" w:firstLine="1505"/>
        <w:spacing w:after="0" w:line="282" w:lineRule="auto"/>
        <w:tabs>
          <w:tab w:leader="none" w:pos="18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right="240" w:firstLine="1505"/>
        <w:spacing w:after="0" w:line="282" w:lineRule="auto"/>
        <w:tabs>
          <w:tab w:leader="none" w:pos="18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760" w:right="40" w:hanging="748"/>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ind w:left="760" w:right="60" w:hanging="748"/>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Amsterdam, The Netherlands on March 6, 2024.</w:t>
      </w:r>
    </w:p>
    <w:p>
      <w:pPr>
        <w:spacing w:after="0" w:line="1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Pharvaris N.V.</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-7620</wp:posOffset>
            </wp:positionV>
            <wp:extent cx="9201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92011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Berndt Modig</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Berndt Modig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 in the capacities indicated:</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200" w:type="dxa"/>
            <w:vAlign w:val="bottom"/>
          </w:tcPr>
          <w:p>
            <w:pPr>
              <w:spacing w:after="0"/>
              <w:rPr>
                <w:sz w:val="18"/>
                <w:szCs w:val="18"/>
                <w:color w:val="auto"/>
              </w:rPr>
            </w:pPr>
          </w:p>
        </w:tc>
        <w:tc>
          <w:tcPr>
            <w:tcW w:w="16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4020" w:type="dxa"/>
            <w:vAlign w:val="bottom"/>
          </w:tcPr>
          <w:p>
            <w:pPr>
              <w:spacing w:after="0"/>
              <w:rPr>
                <w:sz w:val="18"/>
                <w:szCs w:val="18"/>
                <w:color w:val="auto"/>
              </w:rPr>
            </w:pPr>
          </w:p>
        </w:tc>
        <w:tc>
          <w:tcPr>
            <w:tcW w:w="232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2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/s/ Berndt Modig</w:t>
            </w:r>
          </w:p>
        </w:tc>
        <w:tc>
          <w:tcPr>
            <w:tcW w:w="6340" w:type="dxa"/>
            <w:vAlign w:val="bottom"/>
            <w:gridSpan w:val="3"/>
          </w:tcPr>
          <w:p>
            <w:pPr>
              <w:jc w:val="center"/>
              <w:ind w:left="197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0" w:type="dxa"/>
            <w:vAlign w:val="bottom"/>
          </w:tcPr>
          <w:p>
            <w:pPr>
              <w:spacing w:after="0"/>
              <w:rPr>
                <w:sz w:val="1"/>
                <w:szCs w:val="1"/>
                <w:color w:val="auto"/>
              </w:rPr>
            </w:pPr>
          </w:p>
        </w:tc>
      </w:tr>
      <w:tr>
        <w:trPr>
          <w:trHeight w:val="125"/>
        </w:trPr>
        <w:tc>
          <w:tcPr>
            <w:tcW w:w="2840" w:type="dxa"/>
            <w:vAlign w:val="bottom"/>
            <w:tcBorders>
              <w:bottom w:val="single" w:sz="8" w:color="auto"/>
            </w:tcBorders>
            <w:gridSpan w:val="3"/>
            <w:vMerge w:val="continue"/>
          </w:tcPr>
          <w:p>
            <w:pPr>
              <w:spacing w:after="0"/>
              <w:rPr>
                <w:sz w:val="10"/>
                <w:szCs w:val="10"/>
                <w:color w:val="auto"/>
              </w:rPr>
            </w:pPr>
          </w:p>
        </w:tc>
        <w:tc>
          <w:tcPr>
            <w:tcW w:w="6340" w:type="dxa"/>
            <w:vAlign w:val="bottom"/>
            <w:gridSpan w:val="3"/>
            <w:vMerge w:val="restart"/>
          </w:tcPr>
          <w:p>
            <w:pPr>
              <w:jc w:val="center"/>
              <w:ind w:left="195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76"/>
        </w:trPr>
        <w:tc>
          <w:tcPr>
            <w:tcW w:w="2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Berndt Modig</w:t>
            </w:r>
          </w:p>
        </w:tc>
        <w:tc>
          <w:tcPr>
            <w:tcW w:w="63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840" w:type="dxa"/>
            <w:vAlign w:val="bottom"/>
            <w:gridSpan w:val="3"/>
            <w:vMerge w:val="continue"/>
          </w:tcPr>
          <w:p>
            <w:pPr>
              <w:spacing w:after="0"/>
              <w:rPr>
                <w:sz w:val="13"/>
                <w:szCs w:val="13"/>
                <w:color w:val="auto"/>
              </w:rPr>
            </w:pPr>
          </w:p>
        </w:tc>
        <w:tc>
          <w:tcPr>
            <w:tcW w:w="6340" w:type="dxa"/>
            <w:vAlign w:val="bottom"/>
            <w:gridSpan w:val="3"/>
            <w:vMerge w:val="restart"/>
          </w:tcPr>
          <w:p>
            <w:pPr>
              <w:jc w:val="center"/>
              <w:ind w:left="195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0" w:type="dxa"/>
            <w:vAlign w:val="bottom"/>
          </w:tcPr>
          <w:p>
            <w:pPr>
              <w:spacing w:after="0"/>
              <w:rPr>
                <w:sz w:val="1"/>
                <w:szCs w:val="1"/>
                <w:color w:val="auto"/>
              </w:rPr>
            </w:pPr>
          </w:p>
        </w:tc>
      </w:tr>
      <w:tr>
        <w:trPr>
          <w:trHeight w:val="76"/>
        </w:trPr>
        <w:tc>
          <w:tcPr>
            <w:tcW w:w="1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3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0"/>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Elisabeth Björk</w:t>
            </w:r>
          </w:p>
        </w:tc>
        <w:tc>
          <w:tcPr>
            <w:tcW w:w="6340" w:type="dxa"/>
            <w:vAlign w:val="bottom"/>
            <w:gridSpan w:val="3"/>
            <w:vMerge w:val="restart"/>
          </w:tcPr>
          <w:p>
            <w:pPr>
              <w:jc w:val="center"/>
              <w:ind w:left="19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95"/>
        </w:trPr>
        <w:tc>
          <w:tcPr>
            <w:tcW w:w="2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Elisabeth Björk</w:t>
            </w:r>
          </w:p>
        </w:tc>
        <w:tc>
          <w:tcPr>
            <w:tcW w:w="63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840" w:type="dxa"/>
            <w:vAlign w:val="bottom"/>
            <w:gridSpan w:val="3"/>
            <w:vMerge w:val="continue"/>
          </w:tcPr>
          <w:p>
            <w:pPr>
              <w:spacing w:after="0"/>
              <w:rPr>
                <w:sz w:val="12"/>
                <w:szCs w:val="12"/>
                <w:color w:val="auto"/>
              </w:rPr>
            </w:pPr>
          </w:p>
        </w:tc>
        <w:tc>
          <w:tcPr>
            <w:tcW w:w="4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7"/>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Robert Glassman</w:t>
            </w:r>
          </w:p>
        </w:tc>
        <w:tc>
          <w:tcPr>
            <w:tcW w:w="6340" w:type="dxa"/>
            <w:vAlign w:val="bottom"/>
            <w:gridSpan w:val="3"/>
            <w:vMerge w:val="restart"/>
          </w:tcPr>
          <w:p>
            <w:pPr>
              <w:jc w:val="center"/>
              <w:ind w:left="19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95"/>
        </w:trPr>
        <w:tc>
          <w:tcPr>
            <w:tcW w:w="2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Robert Glassman</w:t>
            </w:r>
          </w:p>
        </w:tc>
        <w:tc>
          <w:tcPr>
            <w:tcW w:w="63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840" w:type="dxa"/>
            <w:vAlign w:val="bottom"/>
            <w:gridSpan w:val="3"/>
            <w:vMerge w:val="continue"/>
          </w:tcPr>
          <w:p>
            <w:pPr>
              <w:spacing w:after="0"/>
              <w:rPr>
                <w:sz w:val="12"/>
                <w:szCs w:val="12"/>
                <w:color w:val="auto"/>
              </w:rPr>
            </w:pPr>
          </w:p>
        </w:tc>
        <w:tc>
          <w:tcPr>
            <w:tcW w:w="4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7"/>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David Meeker</w:t>
            </w:r>
          </w:p>
        </w:tc>
        <w:tc>
          <w:tcPr>
            <w:tcW w:w="6340" w:type="dxa"/>
            <w:vAlign w:val="bottom"/>
            <w:gridSpan w:val="3"/>
            <w:vMerge w:val="restart"/>
          </w:tcPr>
          <w:p>
            <w:pPr>
              <w:jc w:val="center"/>
              <w:ind w:left="19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95"/>
        </w:trPr>
        <w:tc>
          <w:tcPr>
            <w:tcW w:w="2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David Meeker</w:t>
            </w:r>
          </w:p>
        </w:tc>
        <w:tc>
          <w:tcPr>
            <w:tcW w:w="63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840" w:type="dxa"/>
            <w:vAlign w:val="bottom"/>
            <w:gridSpan w:val="3"/>
            <w:vMerge w:val="continue"/>
          </w:tcPr>
          <w:p>
            <w:pPr>
              <w:spacing w:after="0"/>
              <w:rPr>
                <w:sz w:val="12"/>
                <w:szCs w:val="12"/>
                <w:color w:val="auto"/>
              </w:rPr>
            </w:pPr>
          </w:p>
        </w:tc>
        <w:tc>
          <w:tcPr>
            <w:tcW w:w="4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Vivian Monges</w:t>
            </w:r>
          </w:p>
        </w:tc>
        <w:tc>
          <w:tcPr>
            <w:tcW w:w="5720" w:type="dxa"/>
            <w:vAlign w:val="bottom"/>
            <w:vMerge w:val="restart"/>
          </w:tcPr>
          <w:p>
            <w:pPr>
              <w:jc w:val="center"/>
              <w:ind w:left="22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94"/>
        </w:trPr>
        <w:tc>
          <w:tcPr>
            <w:tcW w:w="3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Vivian Monges</w:t>
            </w: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180" w:type="dxa"/>
            <w:vAlign w:val="bottom"/>
            <w:vMerge w:val="continue"/>
          </w:tcPr>
          <w:p>
            <w:pPr>
              <w:spacing w:after="0"/>
              <w:rPr>
                <w:sz w:val="12"/>
                <w:szCs w:val="12"/>
                <w:color w:val="auto"/>
              </w:rPr>
            </w:pPr>
          </w:p>
        </w:tc>
        <w:tc>
          <w:tcPr>
            <w:tcW w:w="5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7"/>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Hans Schikan</w:t>
            </w:r>
          </w:p>
        </w:tc>
        <w:tc>
          <w:tcPr>
            <w:tcW w:w="5720" w:type="dxa"/>
            <w:vAlign w:val="bottom"/>
            <w:vMerge w:val="restart"/>
          </w:tcPr>
          <w:p>
            <w:pPr>
              <w:jc w:val="center"/>
              <w:ind w:left="22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94"/>
        </w:trPr>
        <w:tc>
          <w:tcPr>
            <w:tcW w:w="3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Hans Schikan</w:t>
            </w: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180" w:type="dxa"/>
            <w:vAlign w:val="bottom"/>
            <w:vMerge w:val="continue"/>
          </w:tcPr>
          <w:p>
            <w:pPr>
              <w:spacing w:after="0"/>
              <w:rPr>
                <w:sz w:val="12"/>
                <w:szCs w:val="12"/>
                <w:color w:val="auto"/>
              </w:rPr>
            </w:pPr>
          </w:p>
        </w:tc>
        <w:tc>
          <w:tcPr>
            <w:tcW w:w="5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5"/>
        </w:trPr>
        <w:tc>
          <w:tcPr>
            <w:tcW w:w="3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Morgan Conn</w:t>
            </w:r>
          </w:p>
        </w:tc>
        <w:tc>
          <w:tcPr>
            <w:tcW w:w="572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w w:val="99"/>
              </w:rPr>
              <w:t>Authorized Representative in the United States</w:t>
            </w:r>
          </w:p>
        </w:tc>
        <w:tc>
          <w:tcPr>
            <w:tcW w:w="0" w:type="dxa"/>
            <w:vAlign w:val="bottom"/>
          </w:tcPr>
          <w:p>
            <w:pPr>
              <w:spacing w:after="0"/>
              <w:rPr>
                <w:sz w:val="1"/>
                <w:szCs w:val="1"/>
                <w:color w:val="auto"/>
              </w:rPr>
            </w:pPr>
          </w:p>
        </w:tc>
      </w:tr>
      <w:tr>
        <w:trPr>
          <w:trHeight w:val="107"/>
        </w:trPr>
        <w:tc>
          <w:tcPr>
            <w:tcW w:w="3180" w:type="dxa"/>
            <w:vAlign w:val="bottom"/>
            <w:tcBorders>
              <w:bottom w:val="single" w:sz="8" w:color="auto"/>
            </w:tcBorders>
            <w:vMerge w:val="continue"/>
          </w:tcPr>
          <w:p>
            <w:pPr>
              <w:spacing w:after="0"/>
              <w:rPr>
                <w:sz w:val="8"/>
                <w:szCs w:val="8"/>
                <w:color w:val="auto"/>
              </w:rPr>
            </w:pPr>
          </w:p>
        </w:tc>
        <w:tc>
          <w:tcPr>
            <w:tcW w:w="5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Morgan Conn</w:t>
            </w: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56" w:name="page57"/>
    <w:bookmarkEnd w:id="56"/>
    <w:p>
      <w:pPr>
        <w:ind w:left="140"/>
        <w:spacing w:after="0"/>
        <w:rPr>
          <w:sz w:val="20"/>
          <w:szCs w:val="20"/>
          <w:color w:val="auto"/>
        </w:rPr>
      </w:pPr>
      <w:r>
        <w:rPr>
          <w:rFonts w:ascii="Arial" w:cs="Arial" w:eastAsia="Arial" w:hAnsi="Arial"/>
          <w:sz w:val="13"/>
          <w:szCs w:val="13"/>
          <w:color w:val="auto"/>
        </w:rPr>
        <w:t>ATTORNEYS • CIVIL LAW NOTARIES • TAX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-34925</wp:posOffset>
            </wp:positionV>
            <wp:extent cx="113982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jc w:val="center"/>
        <w:ind w:left="7420"/>
        <w:spacing w:after="0"/>
        <w:rPr>
          <w:sz w:val="20"/>
          <w:szCs w:val="20"/>
          <w:color w:val="auto"/>
        </w:rPr>
      </w:pPr>
      <w:r>
        <w:rPr>
          <w:rFonts w:ascii="Times New Roman" w:cs="Times New Roman" w:eastAsia="Times New Roman" w:hAnsi="Times New Roman"/>
          <w:sz w:val="18"/>
          <w:szCs w:val="18"/>
          <w:color w:val="auto"/>
        </w:rPr>
        <w:t>Exhibit 5.1</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P.O. Box 7113</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1007 JC Amsterdam</w:t>
      </w:r>
    </w:p>
    <w:p>
      <w:pPr>
        <w:ind w:left="140"/>
        <w:spacing w:after="0"/>
        <w:tabs>
          <w:tab w:leader="none" w:pos="5880" w:val="left"/>
        </w:tabs>
        <w:rPr>
          <w:sz w:val="20"/>
          <w:szCs w:val="20"/>
          <w:color w:val="auto"/>
        </w:rPr>
      </w:pPr>
      <w:r>
        <w:rPr>
          <w:rFonts w:ascii="Times New Roman" w:cs="Times New Roman" w:eastAsia="Times New Roman" w:hAnsi="Times New Roman"/>
          <w:sz w:val="20"/>
          <w:szCs w:val="20"/>
          <w:color w:val="auto"/>
        </w:rPr>
        <w:t>Beethovenstraat 400</w:t>
      </w:r>
      <w:r>
        <w:rPr>
          <w:sz w:val="20"/>
          <w:szCs w:val="20"/>
          <w:color w:val="auto"/>
        </w:rPr>
        <w:tab/>
      </w:r>
      <w:r>
        <w:rPr>
          <w:rFonts w:ascii="Times New Roman" w:cs="Times New Roman" w:eastAsia="Times New Roman" w:hAnsi="Times New Roman"/>
          <w:sz w:val="19"/>
          <w:szCs w:val="19"/>
          <w:color w:val="auto"/>
        </w:rPr>
        <w:t>Amsterdam, 6 March 2024.</w:t>
      </w:r>
    </w:p>
    <w:p>
      <w:pPr>
        <w:ind w:left="140"/>
        <w:spacing w:after="0"/>
        <w:rPr>
          <w:sz w:val="20"/>
          <w:szCs w:val="20"/>
          <w:color w:val="auto"/>
        </w:rPr>
      </w:pPr>
      <w:r>
        <w:rPr>
          <w:rFonts w:ascii="Times New Roman" w:cs="Times New Roman" w:eastAsia="Times New Roman" w:hAnsi="Times New Roman"/>
          <w:sz w:val="20"/>
          <w:szCs w:val="20"/>
          <w:color w:val="auto"/>
        </w:rPr>
        <w:t>1082 PR Amsterdam</w:t>
      </w:r>
    </w:p>
    <w:p>
      <w:pPr>
        <w:ind w:left="140"/>
        <w:spacing w:after="0"/>
        <w:rPr>
          <w:sz w:val="20"/>
          <w:szCs w:val="20"/>
          <w:color w:val="auto"/>
        </w:rPr>
      </w:pPr>
      <w:r>
        <w:rPr>
          <w:rFonts w:ascii="Times New Roman" w:cs="Times New Roman" w:eastAsia="Times New Roman" w:hAnsi="Times New Roman"/>
          <w:sz w:val="20"/>
          <w:szCs w:val="20"/>
          <w:color w:val="auto"/>
        </w:rPr>
        <w:t>T +31 20 71 71 000</w:t>
      </w:r>
    </w:p>
    <w:p>
      <w:pPr>
        <w:ind w:left="140"/>
        <w:spacing w:after="0"/>
        <w:rPr>
          <w:sz w:val="20"/>
          <w:szCs w:val="20"/>
          <w:color w:val="auto"/>
        </w:rPr>
      </w:pPr>
      <w:r>
        <w:rPr>
          <w:rFonts w:ascii="Times New Roman" w:cs="Times New Roman" w:eastAsia="Times New Roman" w:hAnsi="Times New Roman"/>
          <w:sz w:val="20"/>
          <w:szCs w:val="20"/>
          <w:color w:val="auto"/>
        </w:rPr>
        <w:t>F +31 20 71 71 111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acted as legal counsel as to Dutch law to the Company in connection with the filing of the Registration Statement with the SEC.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opinion letter is rendered to you in order to be filed with the SEC as an exhibit to the Registration Statement.</w:t>
      </w:r>
    </w:p>
    <w:p>
      <w:pPr>
        <w:spacing w:after="0" w:line="1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w:t>
      </w:r>
    </w:p>
    <w:p>
      <w:pPr>
        <w:spacing w:after="0" w:line="13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rendering the opinions expressed in this opinion letter, we have reviewed and relied upon a draft of the Registration Statement and pdf copies of the Corporate Documents, and we have assumed that the issuance of Warrant Shares was effected for bona fide commercial reasons. We have not investigated or verified any factual matter disclosed to us in the course of our review.</w:t>
      </w:r>
    </w:p>
    <w:p>
      <w:pPr>
        <w:spacing w:after="0" w:line="1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Registration Statement or the Corporate Documents subsequent to the date of this opinion letter.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opinions expressed in this opinion letter are to be construed and interpreted in</w:t>
      </w:r>
    </w:p>
    <w:p>
      <w:pPr>
        <w:spacing w:after="0" w:line="3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82045253 M 54463186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57" w:name="page58"/>
    <w:bookmarkEnd w:id="57"/>
    <w:p>
      <w:pPr>
        <w:ind w:left="38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423545</wp:posOffset>
            </wp:positionV>
            <wp:extent cx="113982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purposes of this opinion letter, we have assumed that:</w:t>
      </w:r>
    </w:p>
    <w:p>
      <w:pPr>
        <w:spacing w:after="0" w:line="189" w:lineRule="exact"/>
        <w:rPr>
          <w:sz w:val="20"/>
          <w:szCs w:val="20"/>
          <w:color w:val="auto"/>
        </w:rPr>
      </w:pPr>
    </w:p>
    <w:p>
      <w:pPr>
        <w:ind w:left="760" w:hanging="752"/>
        <w:spacing w:after="0" w:line="269" w:lineRule="auto"/>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copy of a document conforms to the original, each original is authentic, and each signature is the genuine signature of the individual purported to have placed that signature;</w:t>
      </w:r>
    </w:p>
    <w:p>
      <w:pPr>
        <w:spacing w:after="0" w:line="118" w:lineRule="exact"/>
        <w:rPr>
          <w:rFonts w:ascii="Times New Roman" w:cs="Times New Roman" w:eastAsia="Times New Roman" w:hAnsi="Times New Roman"/>
          <w:sz w:val="20"/>
          <w:szCs w:val="20"/>
          <w:color w:val="auto"/>
        </w:rPr>
      </w:pPr>
    </w:p>
    <w:p>
      <w:pPr>
        <w:jc w:val="both"/>
        <w:ind w:left="760" w:hanging="752"/>
        <w:spacing w:after="0" w:line="254" w:lineRule="auto"/>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signature under any document is an electronic signature (as opposed to a handwritten ("wet ink") signature) only, it is either a qualified electronic signature within the meaning of the eIDAS Regulation, or the method used for signing is otherwise sufficiently reliable;</w:t>
      </w:r>
    </w:p>
    <w:p>
      <w:pPr>
        <w:spacing w:after="0" w:line="133"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 has been or will be declared effective by the SEC in the form reviewed by us;</w:t>
      </w:r>
    </w:p>
    <w:p>
      <w:pPr>
        <w:spacing w:after="0" w:line="188" w:lineRule="exact"/>
        <w:rPr>
          <w:rFonts w:ascii="Times New Roman" w:cs="Times New Roman" w:eastAsia="Times New Roman" w:hAnsi="Times New Roman"/>
          <w:sz w:val="20"/>
          <w:szCs w:val="20"/>
          <w:color w:val="auto"/>
        </w:rPr>
      </w:pPr>
    </w:p>
    <w:p>
      <w:pPr>
        <w:jc w:val="both"/>
        <w:ind w:left="760" w:hanging="752"/>
        <w:spacing w:after="0" w:line="245" w:lineRule="auto"/>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Relevant Moment, (i) Ordinary Shares were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w:t>
      </w:r>
    </w:p>
    <w:p>
      <w:pPr>
        <w:spacing w:after="0" w:line="143"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Deed of Incorporation is a valid notarial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8" w:name="page59"/>
    <w:bookmarkEnd w:id="58"/>
    <w:p>
      <w:pPr>
        <w:ind w:left="38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423545</wp:posOffset>
            </wp:positionV>
            <wp:extent cx="113982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60" w:right="20" w:hanging="752"/>
        <w:spacing w:after="0" w:line="269" w:lineRule="auto"/>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Articles are the Articles of Association currently in force and as they were in force at the moment when the Warrant was granted and at the Relevant Moment;</w:t>
      </w:r>
    </w:p>
    <w:p>
      <w:pPr>
        <w:spacing w:after="0" w:line="114" w:lineRule="exact"/>
        <w:rPr>
          <w:rFonts w:ascii="Times New Roman" w:cs="Times New Roman" w:eastAsia="Times New Roman" w:hAnsi="Times New Roman"/>
          <w:sz w:val="20"/>
          <w:szCs w:val="20"/>
          <w:color w:val="auto"/>
        </w:rPr>
      </w:pPr>
    </w:p>
    <w:p>
      <w:pPr>
        <w:ind w:left="760" w:hanging="752"/>
        <w:spacing w:after="0" w:line="273" w:lineRule="auto"/>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moment when the Warrant was granted and at the Relevant Moment, the authorised share capital (</w:t>
      </w:r>
      <w:r>
        <w:rPr>
          <w:rFonts w:ascii="Times New Roman" w:cs="Times New Roman" w:eastAsia="Times New Roman" w:hAnsi="Times New Roman"/>
          <w:sz w:val="20"/>
          <w:szCs w:val="20"/>
          <w:i w:val="1"/>
          <w:iCs w:val="1"/>
          <w:color w:val="auto"/>
        </w:rPr>
        <w:t>maatschappelijk kapitaal</w:t>
      </w:r>
      <w:r>
        <w:rPr>
          <w:rFonts w:ascii="Times New Roman" w:cs="Times New Roman" w:eastAsia="Times New Roman" w:hAnsi="Times New Roman"/>
          <w:sz w:val="20"/>
          <w:szCs w:val="20"/>
          <w:color w:val="auto"/>
        </w:rPr>
        <w:t>) of the Company allowed for the issuance of the Warrant Shares;</w:t>
      </w:r>
    </w:p>
    <w:p>
      <w:pPr>
        <w:spacing w:after="0" w:line="111" w:lineRule="exact"/>
        <w:rPr>
          <w:rFonts w:ascii="Times New Roman" w:cs="Times New Roman" w:eastAsia="Times New Roman" w:hAnsi="Times New Roman"/>
          <w:sz w:val="20"/>
          <w:szCs w:val="20"/>
          <w:color w:val="auto"/>
        </w:rPr>
      </w:pPr>
    </w:p>
    <w:p>
      <w:pPr>
        <w:jc w:val="both"/>
        <w:ind w:left="760" w:hanging="752"/>
        <w:spacing w:after="0" w:line="246" w:lineRule="auto"/>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Relevant Moment, the Company had not (i) been dissolved (</w:t>
      </w:r>
      <w:r>
        <w:rPr>
          <w:rFonts w:ascii="Times New Roman" w:cs="Times New Roman" w:eastAsia="Times New Roman" w:hAnsi="Times New Roman"/>
          <w:sz w:val="20"/>
          <w:szCs w:val="20"/>
          <w:i w:val="1"/>
          <w:iCs w:val="1"/>
          <w:color w:val="auto"/>
        </w:rPr>
        <w:t>ontbonden</w:t>
      </w:r>
      <w:r>
        <w:rPr>
          <w:rFonts w:ascii="Times New Roman" w:cs="Times New Roman" w:eastAsia="Times New Roman" w:hAnsi="Times New Roman"/>
          <w:sz w:val="20"/>
          <w:szCs w:val="20"/>
          <w:color w:val="auto"/>
        </w:rPr>
        <w:t>), (ii) ceased to exist pursuant to a merger (</w:t>
      </w:r>
      <w:r>
        <w:rPr>
          <w:rFonts w:ascii="Times New Roman" w:cs="Times New Roman" w:eastAsia="Times New Roman" w:hAnsi="Times New Roman"/>
          <w:sz w:val="20"/>
          <w:szCs w:val="20"/>
          <w:i w:val="1"/>
          <w:iCs w:val="1"/>
          <w:color w:val="auto"/>
        </w:rPr>
        <w:t>fusie</w:t>
      </w:r>
      <w:r>
        <w:rPr>
          <w:rFonts w:ascii="Times New Roman" w:cs="Times New Roman" w:eastAsia="Times New Roman" w:hAnsi="Times New Roman"/>
          <w:sz w:val="20"/>
          <w:szCs w:val="20"/>
          <w:color w:val="auto"/>
        </w:rPr>
        <w:t>) or a division (</w:t>
      </w:r>
      <w:r>
        <w:rPr>
          <w:rFonts w:ascii="Times New Roman" w:cs="Times New Roman" w:eastAsia="Times New Roman" w:hAnsi="Times New Roman"/>
          <w:sz w:val="20"/>
          <w:szCs w:val="20"/>
          <w:i w:val="1"/>
          <w:iCs w:val="1"/>
          <w:color w:val="auto"/>
        </w:rPr>
        <w:t>splitsing</w:t>
      </w:r>
      <w:r>
        <w:rPr>
          <w:rFonts w:ascii="Times New Roman" w:cs="Times New Roman" w:eastAsia="Times New Roman" w:hAnsi="Times New Roman"/>
          <w:sz w:val="20"/>
          <w:szCs w:val="20"/>
          <w:color w:val="auto"/>
        </w:rPr>
        <w:t>), (iii) been converted (</w:t>
      </w:r>
      <w:r>
        <w:rPr>
          <w:rFonts w:ascii="Times New Roman" w:cs="Times New Roman" w:eastAsia="Times New Roman" w:hAnsi="Times New Roman"/>
          <w:sz w:val="20"/>
          <w:szCs w:val="20"/>
          <w:i w:val="1"/>
          <w:iCs w:val="1"/>
          <w:color w:val="auto"/>
        </w:rPr>
        <w:t>omgezet</w:t>
      </w:r>
      <w:r>
        <w:rPr>
          <w:rFonts w:ascii="Times New Roman" w:cs="Times New Roman" w:eastAsia="Times New Roman" w:hAnsi="Times New Roman"/>
          <w:sz w:val="20"/>
          <w:szCs w:val="20"/>
          <w:color w:val="auto"/>
        </w:rPr>
        <w:t>) into another legal form, either national or foreign, (iv) had its assets placed under administration (</w:t>
      </w:r>
      <w:r>
        <w:rPr>
          <w:rFonts w:ascii="Times New Roman" w:cs="Times New Roman" w:eastAsia="Times New Roman" w:hAnsi="Times New Roman"/>
          <w:sz w:val="20"/>
          <w:szCs w:val="20"/>
          <w:i w:val="1"/>
          <w:iCs w:val="1"/>
          <w:color w:val="auto"/>
        </w:rPr>
        <w:t>onder bewind gesteld</w:t>
      </w:r>
      <w:r>
        <w:rPr>
          <w:rFonts w:ascii="Times New Roman" w:cs="Times New Roman" w:eastAsia="Times New Roman" w:hAnsi="Times New Roman"/>
          <w:sz w:val="20"/>
          <w:szCs w:val="20"/>
          <w:color w:val="auto"/>
        </w:rPr>
        <w:t>), (v) been declared bankrupt (</w:t>
      </w:r>
      <w:r>
        <w:rPr>
          <w:rFonts w:ascii="Times New Roman" w:cs="Times New Roman" w:eastAsia="Times New Roman" w:hAnsi="Times New Roman"/>
          <w:sz w:val="20"/>
          <w:szCs w:val="20"/>
          <w:i w:val="1"/>
          <w:iCs w:val="1"/>
          <w:color w:val="auto"/>
        </w:rPr>
        <w:t>failliet verklaard</w:t>
      </w:r>
      <w:r>
        <w:rPr>
          <w:rFonts w:ascii="Times New Roman" w:cs="Times New Roman" w:eastAsia="Times New Roman" w:hAnsi="Times New Roman"/>
          <w:sz w:val="20"/>
          <w:szCs w:val="20"/>
          <w:color w:val="auto"/>
        </w:rPr>
        <w:t>), (vi) been granted a suspension of payments (</w:t>
      </w:r>
      <w:r>
        <w:rPr>
          <w:rFonts w:ascii="Times New Roman" w:cs="Times New Roman" w:eastAsia="Times New Roman" w:hAnsi="Times New Roman"/>
          <w:sz w:val="20"/>
          <w:szCs w:val="20"/>
          <w:i w:val="1"/>
          <w:iCs w:val="1"/>
          <w:color w:val="auto"/>
        </w:rPr>
        <w:t>surseance van betaling verleend</w:t>
      </w:r>
      <w:r>
        <w:rPr>
          <w:rFonts w:ascii="Times New Roman" w:cs="Times New Roman" w:eastAsia="Times New Roman" w:hAnsi="Times New Roman"/>
          <w:sz w:val="20"/>
          <w:szCs w:val="20"/>
          <w:color w:val="auto"/>
        </w:rPr>
        <w:t>), (vii) started or become subject to statutory proceedings for the restructuring of its debts (</w:t>
      </w:r>
      <w:r>
        <w:rPr>
          <w:rFonts w:ascii="Times New Roman" w:cs="Times New Roman" w:eastAsia="Times New Roman" w:hAnsi="Times New Roman"/>
          <w:sz w:val="20"/>
          <w:szCs w:val="20"/>
          <w:i w:val="1"/>
          <w:iCs w:val="1"/>
          <w:color w:val="auto"/>
        </w:rPr>
        <w:t>akkoordprocedure</w:t>
      </w:r>
      <w:r>
        <w:rPr>
          <w:rFonts w:ascii="Times New Roman" w:cs="Times New Roman" w:eastAsia="Times New Roman" w:hAnsi="Times New Roman"/>
          <w:sz w:val="20"/>
          <w:szCs w:val="20"/>
          <w:color w:val="auto"/>
        </w:rPr>
        <w:t>) or (viii) been made subject to similar proceedings in any jurisdiction or otherwise been limited in its power to dispose of its assets;</w:t>
      </w:r>
    </w:p>
    <w:p>
      <w:pPr>
        <w:spacing w:after="0" w:line="155"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 Shares have been issued, and any pre-emption rights in connection therewith have been excluded, pursuant to resolutions validly passed by the corporate body (</w:t>
      </w:r>
      <w:r>
        <w:rPr>
          <w:rFonts w:ascii="Times New Roman" w:cs="Times New Roman" w:eastAsia="Times New Roman" w:hAnsi="Times New Roman"/>
          <w:sz w:val="20"/>
          <w:szCs w:val="20"/>
          <w:i w:val="1"/>
          <w:iCs w:val="1"/>
          <w:color w:val="auto"/>
        </w:rPr>
        <w:t>orgaan</w:t>
      </w:r>
      <w:r>
        <w:rPr>
          <w:rFonts w:ascii="Times New Roman" w:cs="Times New Roman" w:eastAsia="Times New Roman" w:hAnsi="Times New Roman"/>
          <w:sz w:val="20"/>
          <w:szCs w:val="20"/>
          <w:color w:val="auto"/>
        </w:rPr>
        <w:t>) of the Company duly authorised to do so;</w:t>
      </w:r>
    </w:p>
    <w:p>
      <w:pPr>
        <w:spacing w:after="0" w:line="118" w:lineRule="exact"/>
        <w:rPr>
          <w:rFonts w:ascii="Times New Roman" w:cs="Times New Roman" w:eastAsia="Times New Roman" w:hAnsi="Times New Roman"/>
          <w:sz w:val="20"/>
          <w:szCs w:val="20"/>
          <w:color w:val="auto"/>
        </w:rPr>
      </w:pPr>
    </w:p>
    <w:p>
      <w:pPr>
        <w:jc w:val="both"/>
        <w:ind w:left="760" w:hanging="752"/>
        <w:spacing w:after="0" w:line="249" w:lineRule="auto"/>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exercise price of the Warrant, including any pre-funded portion thereof, is at least equal to the aggregate nominal value of the underlying Ordinary Shares, such aggregate exercise price has been satisfied in cash and has been received and accepted by the Company ultimately upon the issuance of the Warrant Shares and, where relevant, the Company has consented to payment in a currency other than Euro;</w:t>
      </w:r>
    </w:p>
    <w:p>
      <w:pPr>
        <w:spacing w:after="0" w:line="135" w:lineRule="exact"/>
        <w:rPr>
          <w:rFonts w:ascii="Times New Roman" w:cs="Times New Roman" w:eastAsia="Times New Roman" w:hAnsi="Times New Roman"/>
          <w:sz w:val="20"/>
          <w:szCs w:val="20"/>
          <w:color w:val="auto"/>
        </w:rPr>
      </w:pPr>
    </w:p>
    <w:p>
      <w:pPr>
        <w:jc w:val="both"/>
        <w:ind w:left="760" w:hanging="752"/>
        <w:spacing w:after="0" w:line="256" w:lineRule="auto"/>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 (i) has been validly executed by the Company and granted as a right to subscribe for Ordinary Shares (</w:t>
      </w:r>
      <w:r>
        <w:rPr>
          <w:rFonts w:ascii="Times New Roman" w:cs="Times New Roman" w:eastAsia="Times New Roman" w:hAnsi="Times New Roman"/>
          <w:sz w:val="20"/>
          <w:szCs w:val="20"/>
          <w:i w:val="1"/>
          <w:iCs w:val="1"/>
          <w:color w:val="auto"/>
        </w:rPr>
        <w:t>recht tot het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nemen van aandelen</w:t>
      </w:r>
      <w:r>
        <w:rPr>
          <w:rFonts w:ascii="Times New Roman" w:cs="Times New Roman" w:eastAsia="Times New Roman" w:hAnsi="Times New Roman"/>
          <w:sz w:val="20"/>
          <w:szCs w:val="20"/>
          <w:color w:val="auto"/>
        </w:rPr>
        <w:t>), (ii) was in full force and effect upon being exercised and (iii) has been validly exercised in accordance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terms of the Warrant;</w:t>
      </w:r>
    </w:p>
    <w:p>
      <w:pPr>
        <w:spacing w:after="0" w:line="141" w:lineRule="exact"/>
        <w:rPr>
          <w:rFonts w:ascii="Times New Roman" w:cs="Times New Roman" w:eastAsia="Times New Roman" w:hAnsi="Times New Roman"/>
          <w:sz w:val="20"/>
          <w:szCs w:val="20"/>
          <w:color w:val="auto"/>
        </w:rPr>
      </w:pPr>
    </w:p>
    <w:p>
      <w:pPr>
        <w:ind w:left="760" w:hanging="752"/>
        <w:spacing w:after="0" w:line="300" w:lineRule="auto"/>
        <w:tabs>
          <w:tab w:leader="none" w:pos="76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Warrant nor any Warrant Shares have been or shall be offered to the public (</w:t>
      </w:r>
      <w:r>
        <w:rPr>
          <w:rFonts w:ascii="Times New Roman" w:cs="Times New Roman" w:eastAsia="Times New Roman" w:hAnsi="Times New Roman"/>
          <w:sz w:val="19"/>
          <w:szCs w:val="19"/>
          <w:i w:val="1"/>
          <w:iCs w:val="1"/>
          <w:color w:val="auto"/>
        </w:rPr>
        <w:t>aanbieden aan het publiek</w:t>
      </w:r>
      <w:r>
        <w:rPr>
          <w:rFonts w:ascii="Times New Roman" w:cs="Times New Roman" w:eastAsia="Times New Roman" w:hAnsi="Times New Roman"/>
          <w:sz w:val="19"/>
          <w:szCs w:val="19"/>
          <w:color w:val="auto"/>
        </w:rPr>
        <w:t>) in the Netherlands other than in conformity with the Prospectus Regulation, the PRIIPs Regulation and the rules promulgated thereunder.</w:t>
      </w:r>
    </w:p>
    <w:p>
      <w:pPr>
        <w:spacing w:after="0" w:line="9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Based upon and subject to the foregoing and subject to the qualifications set forth in this opinion letter and to any matters, documents or events not disclosed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840105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9" w:name="page60"/>
    <w:bookmarkEnd w:id="59"/>
    <w:p>
      <w:pPr>
        <w:ind w:left="38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423545</wp:posOffset>
            </wp:positionV>
            <wp:extent cx="113982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express the following opinions:</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Corporate Status</w:t>
      </w:r>
    </w:p>
    <w:p>
      <w:pPr>
        <w:spacing w:after="0" w:line="175" w:lineRule="exact"/>
        <w:rPr>
          <w:sz w:val="20"/>
          <w:szCs w:val="20"/>
          <w:color w:val="auto"/>
        </w:rPr>
      </w:pPr>
    </w:p>
    <w:p>
      <w:pPr>
        <w:ind w:left="740" w:hanging="732"/>
        <w:spacing w:after="0" w:line="273" w:lineRule="auto"/>
        <w:tabs>
          <w:tab w:leader="none" w:pos="7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has been duly incorporated as a </w:t>
      </w:r>
      <w:r>
        <w:rPr>
          <w:rFonts w:ascii="Times New Roman" w:cs="Times New Roman" w:eastAsia="Times New Roman" w:hAnsi="Times New Roman"/>
          <w:sz w:val="20"/>
          <w:szCs w:val="20"/>
          <w:i w:val="1"/>
          <w:iCs w:val="1"/>
          <w:color w:val="auto"/>
        </w:rPr>
        <w:t>besloten vennootschap met beperkte aansprakelijkheid</w:t>
      </w:r>
      <w:r>
        <w:rPr>
          <w:rFonts w:ascii="Times New Roman" w:cs="Times New Roman" w:eastAsia="Times New Roman" w:hAnsi="Times New Roman"/>
          <w:sz w:val="20"/>
          <w:szCs w:val="20"/>
          <w:color w:val="auto"/>
        </w:rPr>
        <w:t xml:space="preserve"> and is validly existing as a </w:t>
      </w:r>
      <w:r>
        <w:rPr>
          <w:rFonts w:ascii="Times New Roman" w:cs="Times New Roman" w:eastAsia="Times New Roman" w:hAnsi="Times New Roman"/>
          <w:sz w:val="20"/>
          <w:szCs w:val="20"/>
          <w:i w:val="1"/>
          <w:iCs w:val="1"/>
          <w:color w:val="auto"/>
        </w:rPr>
        <w:t>naamloze vennootschap</w:t>
      </w:r>
      <w:r>
        <w:rPr>
          <w:rFonts w:ascii="Times New Roman" w:cs="Times New Roman" w:eastAsia="Times New Roman" w:hAnsi="Times New Roman"/>
          <w:sz w:val="20"/>
          <w:szCs w:val="20"/>
          <w:color w:val="auto"/>
        </w:rPr>
        <w:t>.</w:t>
      </w:r>
    </w:p>
    <w:p>
      <w:pPr>
        <w:spacing w:after="0" w:line="124"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Warrant Shares</w:t>
      </w:r>
    </w:p>
    <w:p>
      <w:pPr>
        <w:spacing w:after="0" w:line="179"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 Shares have been validly issued pursuant to the exercise of the Warrant and are fully paid and non-assessable.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opinions expressed above are subject to the following qualifications:</w:t>
      </w:r>
    </w:p>
    <w:p>
      <w:pPr>
        <w:spacing w:after="0" w:line="185" w:lineRule="exact"/>
        <w:rPr>
          <w:sz w:val="20"/>
          <w:szCs w:val="20"/>
          <w:color w:val="auto"/>
        </w:rPr>
      </w:pPr>
    </w:p>
    <w:p>
      <w:pPr>
        <w:jc w:val="both"/>
        <w:ind w:left="740" w:hanging="732"/>
        <w:spacing w:after="0" w:line="250" w:lineRule="auto"/>
        <w:tabs>
          <w:tab w:leader="none" w:pos="7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Opinion 1 must not be read to imply that the Company cannot be dissolved (</w:t>
      </w:r>
      <w:r>
        <w:rPr>
          <w:rFonts w:ascii="Times New Roman" w:cs="Times New Roman" w:eastAsia="Times New Roman" w:hAnsi="Times New Roman"/>
          <w:sz w:val="20"/>
          <w:szCs w:val="20"/>
          <w:i w:val="1"/>
          <w:iCs w:val="1"/>
          <w:color w:val="auto"/>
        </w:rPr>
        <w:t>ontbonden</w:t>
      </w:r>
      <w:r>
        <w:rPr>
          <w:rFonts w:ascii="Times New Roman" w:cs="Times New Roman" w:eastAsia="Times New Roman" w:hAnsi="Times New Roman"/>
          <w:sz w:val="20"/>
          <w:szCs w:val="20"/>
          <w:color w:val="auto"/>
        </w:rPr>
        <w:t>). A company such as the Company may be dissolved, inter alia by the competent court at the request of the company's board of directors, any interested party (</w:t>
      </w:r>
      <w:r>
        <w:rPr>
          <w:rFonts w:ascii="Times New Roman" w:cs="Times New Roman" w:eastAsia="Times New Roman" w:hAnsi="Times New Roman"/>
          <w:sz w:val="20"/>
          <w:szCs w:val="20"/>
          <w:i w:val="1"/>
          <w:iCs w:val="1"/>
          <w:color w:val="auto"/>
        </w:rPr>
        <w:t>belanghebbende</w:t>
      </w:r>
      <w:r>
        <w:rPr>
          <w:rFonts w:ascii="Times New Roman" w:cs="Times New Roman" w:eastAsia="Times New Roman" w:hAnsi="Times New Roman"/>
          <w:sz w:val="20"/>
          <w:szCs w:val="20"/>
          <w:color w:val="auto"/>
        </w:rPr>
        <w:t>) or the public prosecution office in certain circumstances, such as when there are certain defects in the incorporation of the company. Any such dissolution will not have retro-active effect.</w:t>
      </w:r>
    </w:p>
    <w:p>
      <w:pPr>
        <w:spacing w:after="0" w:line="139" w:lineRule="exact"/>
        <w:rPr>
          <w:rFonts w:ascii="Times New Roman" w:cs="Times New Roman" w:eastAsia="Times New Roman" w:hAnsi="Times New Roman"/>
          <w:sz w:val="20"/>
          <w:szCs w:val="20"/>
          <w:color w:val="auto"/>
        </w:rPr>
      </w:pPr>
    </w:p>
    <w:p>
      <w:pPr>
        <w:jc w:val="both"/>
        <w:ind w:left="740" w:hanging="732"/>
        <w:spacing w:after="0" w:line="242" w:lineRule="auto"/>
        <w:tabs>
          <w:tab w:leader="none" w:pos="7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2:7 DCC, any transaction entered into by a legal entity may be nullified by the legal entity itself or its liquidator in bankruptcy proceedings (</w:t>
      </w:r>
      <w:r>
        <w:rPr>
          <w:rFonts w:ascii="Times New Roman" w:cs="Times New Roman" w:eastAsia="Times New Roman" w:hAnsi="Times New Roman"/>
          <w:sz w:val="20"/>
          <w:szCs w:val="20"/>
          <w:i w:val="1"/>
          <w:iCs w:val="1"/>
          <w:color w:val="auto"/>
        </w:rPr>
        <w:t>curator</w:t>
      </w:r>
      <w:r>
        <w:rPr>
          <w:rFonts w:ascii="Times New Roman" w:cs="Times New Roman" w:eastAsia="Times New Roman" w:hAnsi="Times New Roman"/>
          <w:sz w:val="20"/>
          <w:szCs w:val="20"/>
          <w:color w:val="auto"/>
        </w:rPr>
        <w:t>) if the objects of that entity were transgressed by the transaction and the other party to the transaction knew or should have known this without independent investigation (</w:t>
      </w:r>
      <w:r>
        <w:rPr>
          <w:rFonts w:ascii="Times New Roman" w:cs="Times New Roman" w:eastAsia="Times New Roman" w:hAnsi="Times New Roman"/>
          <w:sz w:val="20"/>
          <w:szCs w:val="20"/>
          <w:i w:val="1"/>
          <w:iCs w:val="1"/>
          <w:color w:val="auto"/>
        </w:rPr>
        <w:t>wist of zonder eigen onderzoek moest weten</w:t>
      </w:r>
      <w:r>
        <w:rPr>
          <w:rFonts w:ascii="Times New Roman" w:cs="Times New Roman" w:eastAsia="Times New Roman" w:hAnsi="Times New Roman"/>
          <w:sz w:val="20"/>
          <w:szCs w:val="20"/>
          <w:color w:val="auto"/>
        </w:rPr>
        <w:t>). The Dutch Supreme Court (</w:t>
      </w:r>
      <w:r>
        <w:rPr>
          <w:rFonts w:ascii="Times New Roman" w:cs="Times New Roman" w:eastAsia="Times New Roman" w:hAnsi="Times New Roman"/>
          <w:sz w:val="20"/>
          <w:szCs w:val="20"/>
          <w:i w:val="1"/>
          <w:iCs w:val="1"/>
          <w:color w:val="auto"/>
        </w:rPr>
        <w:t>Hoge Raad der Nederlanden</w:t>
      </w:r>
      <w:r>
        <w:rPr>
          <w:rFonts w:ascii="Times New Roman" w:cs="Times New Roman" w:eastAsia="Times New Roman" w:hAnsi="Times New Roman"/>
          <w:sz w:val="20"/>
          <w:szCs w:val="20"/>
          <w:color w:val="auto"/>
        </w:rPr>
        <w:t>) has ruled that in determining whether the objects of a legal entity are transgressed, not only the description of the objects in that legal entity's articles of association (</w:t>
      </w:r>
      <w:r>
        <w:rPr>
          <w:rFonts w:ascii="Times New Roman" w:cs="Times New Roman" w:eastAsia="Times New Roman" w:hAnsi="Times New Roman"/>
          <w:sz w:val="20"/>
          <w:szCs w:val="20"/>
          <w:i w:val="1"/>
          <w:iCs w:val="1"/>
          <w:color w:val="auto"/>
        </w:rPr>
        <w:t>statuten</w:t>
      </w:r>
      <w:r>
        <w:rPr>
          <w:rFonts w:ascii="Times New Roman" w:cs="Times New Roman" w:eastAsia="Times New Roman" w:hAnsi="Times New Roman"/>
          <w:sz w:val="20"/>
          <w:szCs w:val="20"/>
          <w:color w:val="auto"/>
        </w:rPr>
        <w:t>) is decisive, but all (relevant) circumstances must be taken into account, in particular whether the interests of the legal entity were served by the transaction. Based on the objects clause contained in the Current Articles, we have no reason to believe that, by issuing Warrant Shares, the Company would transgress the description of the objects contained in its Articles of Association. However, we cannot assess whether there are other relevant circumstances that must be taken into account, in particular whether the interests of the Company are served by issuing Warrant Shares since this is a matter of fact.</w:t>
      </w:r>
    </w:p>
    <w:p>
      <w:pPr>
        <w:spacing w:after="0" w:line="151"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2:98c DCC, a company such as the Company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60" w:name="page61"/>
    <w:bookmarkEnd w:id="60"/>
    <w:p>
      <w:pPr>
        <w:ind w:left="3812"/>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423545</wp:posOffset>
            </wp:positionV>
            <wp:extent cx="113982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732"/>
        <w:spacing w:after="0" w:line="246" w:lineRule="auto"/>
        <w:rPr>
          <w:sz w:val="20"/>
          <w:szCs w:val="20"/>
          <w:color w:val="auto"/>
        </w:rPr>
      </w:pPr>
      <w:r>
        <w:rPr>
          <w:rFonts w:ascii="Times New Roman" w:cs="Times New Roman" w:eastAsia="Times New Roman" w:hAnsi="Times New Roman"/>
          <w:sz w:val="20"/>
          <w:szCs w:val="20"/>
          <w:color w:val="auto"/>
        </w:rPr>
        <w:t>grant loans (</w:t>
      </w:r>
      <w:r>
        <w:rPr>
          <w:rFonts w:ascii="Times New Roman" w:cs="Times New Roman" w:eastAsia="Times New Roman" w:hAnsi="Times New Roman"/>
          <w:sz w:val="20"/>
          <w:szCs w:val="20"/>
          <w:i w:val="1"/>
          <w:iCs w:val="1"/>
          <w:color w:val="auto"/>
        </w:rPr>
        <w:t>leningen verstrekken</w:t>
      </w:r>
      <w:r>
        <w:rPr>
          <w:rFonts w:ascii="Times New Roman" w:cs="Times New Roman" w:eastAsia="Times New Roman" w:hAnsi="Times New Roman"/>
          <w:sz w:val="20"/>
          <w:szCs w:val="20"/>
          <w:color w:val="auto"/>
        </w:rPr>
        <w:t>) only in accordance with the restrictions set out in Section 2:98c DCC, and may not provide security (</w:t>
      </w:r>
      <w:r>
        <w:rPr>
          <w:rFonts w:ascii="Times New Roman" w:cs="Times New Roman" w:eastAsia="Times New Roman" w:hAnsi="Times New Roman"/>
          <w:sz w:val="20"/>
          <w:szCs w:val="20"/>
          <w:i w:val="1"/>
          <w:iCs w:val="1"/>
          <w:color w:val="auto"/>
        </w:rPr>
        <w:t>zekerheid stellen</w:t>
      </w:r>
      <w:r>
        <w:rPr>
          <w:rFonts w:ascii="Times New Roman" w:cs="Times New Roman" w:eastAsia="Times New Roman" w:hAnsi="Times New Roman"/>
          <w:sz w:val="20"/>
          <w:szCs w:val="20"/>
          <w:color w:val="auto"/>
        </w:rPr>
        <w:t>), give a price guarantee (</w:t>
      </w:r>
      <w:r>
        <w:rPr>
          <w:rFonts w:ascii="Times New Roman" w:cs="Times New Roman" w:eastAsia="Times New Roman" w:hAnsi="Times New Roman"/>
          <w:sz w:val="20"/>
          <w:szCs w:val="20"/>
          <w:i w:val="1"/>
          <w:iCs w:val="1"/>
          <w:color w:val="auto"/>
        </w:rPr>
        <w:t>koersgarantie geven</w:t>
      </w:r>
      <w:r>
        <w:rPr>
          <w:rFonts w:ascii="Times New Roman" w:cs="Times New Roman" w:eastAsia="Times New Roman" w:hAnsi="Times New Roman"/>
          <w:sz w:val="20"/>
          <w:szCs w:val="20"/>
          <w:color w:val="auto"/>
        </w:rPr>
        <w:t>) or otherwise bind itself, whether jointly and severally or otherwise with or for third parties (</w:t>
      </w:r>
      <w:r>
        <w:rPr>
          <w:rFonts w:ascii="Times New Roman" w:cs="Times New Roman" w:eastAsia="Times New Roman" w:hAnsi="Times New Roman"/>
          <w:sz w:val="20"/>
          <w:szCs w:val="20"/>
          <w:i w:val="1"/>
          <w:iCs w:val="1"/>
          <w:color w:val="auto"/>
        </w:rPr>
        <w:t>zich op andere wijze sterk maken of zich hoofdelijk of anderszins naast of voor anderen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verbinden</w:t>
      </w:r>
      <w:r>
        <w:rPr>
          <w:rFonts w:ascii="Times New Roman" w:cs="Times New Roman" w:eastAsia="Times New Roman" w:hAnsi="Times New Roman"/>
          <w:sz w:val="20"/>
          <w:szCs w:val="20"/>
          <w:color w:val="auto"/>
        </w:rPr>
        <w:t>) with a view to (</w:t>
      </w:r>
      <w:r>
        <w:rPr>
          <w:rFonts w:ascii="Times New Roman" w:cs="Times New Roman" w:eastAsia="Times New Roman" w:hAnsi="Times New Roman"/>
          <w:sz w:val="20"/>
          <w:szCs w:val="20"/>
          <w:i w:val="1"/>
          <w:iCs w:val="1"/>
          <w:color w:val="auto"/>
        </w:rPr>
        <w:t>met het oog op</w:t>
      </w:r>
      <w:r>
        <w:rPr>
          <w:rFonts w:ascii="Times New Roman" w:cs="Times New Roman" w:eastAsia="Times New Roman" w:hAnsi="Times New Roman"/>
          <w:sz w:val="20"/>
          <w:szCs w:val="20"/>
          <w:color w:val="auto"/>
        </w:rPr>
        <w:t>) the subscription or acquisition by third parties of shares in its share capital or depository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receipts. This prohibition also applies to its subsidiaries (</w:t>
      </w:r>
      <w:r>
        <w:rPr>
          <w:rFonts w:ascii="Times New Roman" w:cs="Times New Roman" w:eastAsia="Times New Roman" w:hAnsi="Times New Roman"/>
          <w:sz w:val="20"/>
          <w:szCs w:val="20"/>
          <w:i w:val="1"/>
          <w:iCs w:val="1"/>
          <w:color w:val="auto"/>
        </w:rPr>
        <w:t>dochtervennootschappen</w:t>
      </w:r>
      <w:r>
        <w:rPr>
          <w:rFonts w:ascii="Times New Roman" w:cs="Times New Roman" w:eastAsia="Times New Roman" w:hAnsi="Times New Roman"/>
          <w:sz w:val="20"/>
          <w:szCs w:val="20"/>
          <w:color w:val="auto"/>
        </w:rPr>
        <w:t>). It is generally assumed that a transaction entered into in violation of Section 2:98c DCC is null and void (</w:t>
      </w:r>
      <w:r>
        <w:rPr>
          <w:rFonts w:ascii="Times New Roman" w:cs="Times New Roman" w:eastAsia="Times New Roman" w:hAnsi="Times New Roman"/>
          <w:sz w:val="20"/>
          <w:szCs w:val="20"/>
          <w:i w:val="1"/>
          <w:iCs w:val="1"/>
          <w:color w:val="auto"/>
        </w:rPr>
        <w:t>nietig</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732" w:hanging="732"/>
        <w:spacing w:after="0"/>
        <w:tabs>
          <w:tab w:leader="none" w:pos="73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opinions expressed in this opinion letter may be limited or affected by:</w:t>
      </w:r>
    </w:p>
    <w:p>
      <w:pPr>
        <w:spacing w:after="0" w:line="175" w:lineRule="exact"/>
        <w:rPr>
          <w:rFonts w:ascii="Times New Roman" w:cs="Times New Roman" w:eastAsia="Times New Roman" w:hAnsi="Times New Roman"/>
          <w:sz w:val="20"/>
          <w:szCs w:val="20"/>
          <w:color w:val="auto"/>
        </w:rPr>
      </w:pPr>
    </w:p>
    <w:p>
      <w:pPr>
        <w:ind w:left="1472" w:hanging="739"/>
        <w:spacing w:after="0" w:line="269" w:lineRule="auto"/>
        <w:tabs>
          <w:tab w:leader="none" w:pos="147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rules relating to Insolvency Proceedings or similar proceedings under a foreign law and other rules affecting creditors' rights generally;</w:t>
      </w:r>
    </w:p>
    <w:p>
      <w:pPr>
        <w:spacing w:after="0" w:line="128" w:lineRule="exact"/>
        <w:rPr>
          <w:rFonts w:ascii="Times New Roman" w:cs="Times New Roman" w:eastAsia="Times New Roman" w:hAnsi="Times New Roman"/>
          <w:sz w:val="20"/>
          <w:szCs w:val="20"/>
          <w:color w:val="auto"/>
        </w:rPr>
      </w:pPr>
    </w:p>
    <w:p>
      <w:pPr>
        <w:ind w:left="1472" w:hanging="739"/>
        <w:spacing w:after="0" w:line="273" w:lineRule="auto"/>
        <w:tabs>
          <w:tab w:leader="none" w:pos="147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fraudulent preference and fraudulent conveyance (</w:t>
      </w:r>
      <w:r>
        <w:rPr>
          <w:rFonts w:ascii="Times New Roman" w:cs="Times New Roman" w:eastAsia="Times New Roman" w:hAnsi="Times New Roman"/>
          <w:sz w:val="20"/>
          <w:szCs w:val="20"/>
          <w:i w:val="1"/>
          <w:iCs w:val="1"/>
          <w:color w:val="auto"/>
        </w:rPr>
        <w:t>Actio Pauliana</w:t>
      </w:r>
      <w:r>
        <w:rPr>
          <w:rFonts w:ascii="Times New Roman" w:cs="Times New Roman" w:eastAsia="Times New Roman" w:hAnsi="Times New Roman"/>
          <w:sz w:val="20"/>
          <w:szCs w:val="20"/>
          <w:color w:val="auto"/>
        </w:rPr>
        <w:t>) and similar rights available in other jurisdictions to insolvency practitioners and insolvency office holders in bankruptcy proceedings or creditors;</w:t>
      </w:r>
    </w:p>
    <w:p>
      <w:pPr>
        <w:spacing w:after="0" w:line="111" w:lineRule="exact"/>
        <w:rPr>
          <w:rFonts w:ascii="Times New Roman" w:cs="Times New Roman" w:eastAsia="Times New Roman" w:hAnsi="Times New Roman"/>
          <w:sz w:val="20"/>
          <w:szCs w:val="20"/>
          <w:color w:val="auto"/>
        </w:rPr>
      </w:pPr>
    </w:p>
    <w:p>
      <w:pPr>
        <w:ind w:left="1472" w:hanging="739"/>
        <w:spacing w:after="0"/>
        <w:tabs>
          <w:tab w:leader="none" w:pos="147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based on tort (</w:t>
      </w:r>
      <w:r>
        <w:rPr>
          <w:rFonts w:ascii="Times New Roman" w:cs="Times New Roman" w:eastAsia="Times New Roman" w:hAnsi="Times New Roman"/>
          <w:sz w:val="20"/>
          <w:szCs w:val="20"/>
          <w:i w:val="1"/>
          <w:iCs w:val="1"/>
          <w:color w:val="auto"/>
        </w:rPr>
        <w:t>onrechtmatige daad</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1472" w:hanging="739"/>
        <w:spacing w:after="0" w:line="269" w:lineRule="auto"/>
        <w:tabs>
          <w:tab w:leader="none" w:pos="147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sanctions and measures, including but not limited to those concerning export control, pursuant to European Union regulations, under the Dutch Sanctions Act 1977 (</w:t>
      </w:r>
      <w:r>
        <w:rPr>
          <w:rFonts w:ascii="Times New Roman" w:cs="Times New Roman" w:eastAsia="Times New Roman" w:hAnsi="Times New Roman"/>
          <w:sz w:val="20"/>
          <w:szCs w:val="20"/>
          <w:i w:val="1"/>
          <w:iCs w:val="1"/>
          <w:color w:val="auto"/>
        </w:rPr>
        <w:t>Sanctiewet 1977</w:t>
      </w:r>
      <w:r>
        <w:rPr>
          <w:rFonts w:ascii="Times New Roman" w:cs="Times New Roman" w:eastAsia="Times New Roman" w:hAnsi="Times New Roman"/>
          <w:sz w:val="20"/>
          <w:szCs w:val="20"/>
          <w:color w:val="auto"/>
        </w:rPr>
        <w:t>) or other legislation;</w:t>
      </w:r>
    </w:p>
    <w:p>
      <w:pPr>
        <w:spacing w:after="0" w:line="132" w:lineRule="exact"/>
        <w:rPr>
          <w:rFonts w:ascii="Times New Roman" w:cs="Times New Roman" w:eastAsia="Times New Roman" w:hAnsi="Times New Roman"/>
          <w:sz w:val="20"/>
          <w:szCs w:val="20"/>
          <w:color w:val="auto"/>
        </w:rPr>
      </w:pPr>
    </w:p>
    <w:p>
      <w:pPr>
        <w:ind w:left="1472" w:hanging="739"/>
        <w:spacing w:after="0"/>
        <w:tabs>
          <w:tab w:leader="none" w:pos="147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Anti-Boycott Regulation, Anti Money Laundering Laws and related legislation;</w:t>
      </w:r>
    </w:p>
    <w:p>
      <w:pPr>
        <w:spacing w:after="0" w:line="175" w:lineRule="exact"/>
        <w:rPr>
          <w:rFonts w:ascii="Times New Roman" w:cs="Times New Roman" w:eastAsia="Times New Roman" w:hAnsi="Times New Roman"/>
          <w:sz w:val="20"/>
          <w:szCs w:val="20"/>
          <w:color w:val="auto"/>
        </w:rPr>
      </w:pPr>
    </w:p>
    <w:p>
      <w:pPr>
        <w:ind w:left="1472" w:hanging="739"/>
        <w:spacing w:after="0" w:line="269" w:lineRule="auto"/>
        <w:tabs>
          <w:tab w:leader="none" w:pos="147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intervention, recovery or resolution measure by any regulatory or other authority or governmental body in relation to financial enterprises or their affiliated entities; and</w:t>
      </w:r>
    </w:p>
    <w:p>
      <w:pPr>
        <w:spacing w:after="0" w:line="114" w:lineRule="exact"/>
        <w:rPr>
          <w:rFonts w:ascii="Times New Roman" w:cs="Times New Roman" w:eastAsia="Times New Roman" w:hAnsi="Times New Roman"/>
          <w:sz w:val="20"/>
          <w:szCs w:val="20"/>
          <w:color w:val="auto"/>
        </w:rPr>
      </w:pPr>
    </w:p>
    <w:p>
      <w:pPr>
        <w:jc w:val="both"/>
        <w:ind w:left="1472" w:hanging="739"/>
        <w:spacing w:after="0" w:line="250" w:lineRule="auto"/>
        <w:tabs>
          <w:tab w:leader="none" w:pos="147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rules of force majeure (</w:t>
      </w:r>
      <w:r>
        <w:rPr>
          <w:rFonts w:ascii="Times New Roman" w:cs="Times New Roman" w:eastAsia="Times New Roman" w:hAnsi="Times New Roman"/>
          <w:sz w:val="20"/>
          <w:szCs w:val="20"/>
          <w:i w:val="1"/>
          <w:iCs w:val="1"/>
          <w:color w:val="auto"/>
        </w:rPr>
        <w:t>niet toerekenbare tekortkoming</w:t>
      </w:r>
      <w:r>
        <w:rPr>
          <w:rFonts w:ascii="Times New Roman" w:cs="Times New Roman" w:eastAsia="Times New Roman" w:hAnsi="Times New Roman"/>
          <w:sz w:val="20"/>
          <w:szCs w:val="20"/>
          <w:color w:val="auto"/>
        </w:rPr>
        <w:t>), reasonableness and fairness (</w:t>
      </w:r>
      <w:r>
        <w:rPr>
          <w:rFonts w:ascii="Times New Roman" w:cs="Times New Roman" w:eastAsia="Times New Roman" w:hAnsi="Times New Roman"/>
          <w:sz w:val="20"/>
          <w:szCs w:val="20"/>
          <w:i w:val="1"/>
          <w:iCs w:val="1"/>
          <w:color w:val="auto"/>
        </w:rPr>
        <w:t>redelijkheid en billijkheid</w:t>
      </w:r>
      <w:r>
        <w:rPr>
          <w:rFonts w:ascii="Times New Roman" w:cs="Times New Roman" w:eastAsia="Times New Roman" w:hAnsi="Times New Roman"/>
          <w:sz w:val="20"/>
          <w:szCs w:val="20"/>
          <w:color w:val="auto"/>
        </w:rPr>
        <w:t>), suspension (</w:t>
      </w:r>
      <w:r>
        <w:rPr>
          <w:rFonts w:ascii="Times New Roman" w:cs="Times New Roman" w:eastAsia="Times New Roman" w:hAnsi="Times New Roman"/>
          <w:sz w:val="20"/>
          <w:szCs w:val="20"/>
          <w:i w:val="1"/>
          <w:iCs w:val="1"/>
          <w:color w:val="auto"/>
        </w:rPr>
        <w:t>opschorting</w:t>
      </w:r>
      <w:r>
        <w:rPr>
          <w:rFonts w:ascii="Times New Roman" w:cs="Times New Roman" w:eastAsia="Times New Roman" w:hAnsi="Times New Roman"/>
          <w:sz w:val="20"/>
          <w:szCs w:val="20"/>
          <w:color w:val="auto"/>
        </w:rPr>
        <w:t>), dissolution (</w:t>
      </w:r>
      <w:r>
        <w:rPr>
          <w:rFonts w:ascii="Times New Roman" w:cs="Times New Roman" w:eastAsia="Times New Roman" w:hAnsi="Times New Roman"/>
          <w:sz w:val="20"/>
          <w:szCs w:val="20"/>
          <w:i w:val="1"/>
          <w:iCs w:val="1"/>
          <w:color w:val="auto"/>
        </w:rPr>
        <w:t>ontbinding</w:t>
      </w:r>
      <w:r>
        <w:rPr>
          <w:rFonts w:ascii="Times New Roman" w:cs="Times New Roman" w:eastAsia="Times New Roman" w:hAnsi="Times New Roman"/>
          <w:sz w:val="20"/>
          <w:szCs w:val="20"/>
          <w:color w:val="auto"/>
        </w:rPr>
        <w:t>), unforeseen circumstances (</w:t>
      </w:r>
      <w:r>
        <w:rPr>
          <w:rFonts w:ascii="Times New Roman" w:cs="Times New Roman" w:eastAsia="Times New Roman" w:hAnsi="Times New Roman"/>
          <w:sz w:val="20"/>
          <w:szCs w:val="20"/>
          <w:i w:val="1"/>
          <w:iCs w:val="1"/>
          <w:color w:val="auto"/>
        </w:rPr>
        <w:t>onvoorziene omstandigheden</w:t>
      </w:r>
      <w:r>
        <w:rPr>
          <w:rFonts w:ascii="Times New Roman" w:cs="Times New Roman" w:eastAsia="Times New Roman" w:hAnsi="Times New Roman"/>
          <w:sz w:val="20"/>
          <w:szCs w:val="20"/>
          <w:color w:val="auto"/>
        </w:rPr>
        <w:t>) and vitiated consent (i.e., duress (</w:t>
      </w:r>
      <w:r>
        <w:rPr>
          <w:rFonts w:ascii="Times New Roman" w:cs="Times New Roman" w:eastAsia="Times New Roman" w:hAnsi="Times New Roman"/>
          <w:sz w:val="20"/>
          <w:szCs w:val="20"/>
          <w:i w:val="1"/>
          <w:iCs w:val="1"/>
          <w:color w:val="auto"/>
        </w:rPr>
        <w:t>bedreiging</w:t>
      </w:r>
      <w:r>
        <w:rPr>
          <w:rFonts w:ascii="Times New Roman" w:cs="Times New Roman" w:eastAsia="Times New Roman" w:hAnsi="Times New Roman"/>
          <w:sz w:val="20"/>
          <w:szCs w:val="20"/>
          <w:color w:val="auto"/>
        </w:rPr>
        <w:t>), fraud (</w:t>
      </w:r>
      <w:r>
        <w:rPr>
          <w:rFonts w:ascii="Times New Roman" w:cs="Times New Roman" w:eastAsia="Times New Roman" w:hAnsi="Times New Roman"/>
          <w:sz w:val="20"/>
          <w:szCs w:val="20"/>
          <w:i w:val="1"/>
          <w:iCs w:val="1"/>
          <w:color w:val="auto"/>
        </w:rPr>
        <w:t>bedrog</w:t>
      </w:r>
      <w:r>
        <w:rPr>
          <w:rFonts w:ascii="Times New Roman" w:cs="Times New Roman" w:eastAsia="Times New Roman" w:hAnsi="Times New Roman"/>
          <w:sz w:val="20"/>
          <w:szCs w:val="20"/>
          <w:color w:val="auto"/>
        </w:rPr>
        <w:t>), abuse of circumstances (</w:t>
      </w:r>
      <w:r>
        <w:rPr>
          <w:rFonts w:ascii="Times New Roman" w:cs="Times New Roman" w:eastAsia="Times New Roman" w:hAnsi="Times New Roman"/>
          <w:sz w:val="20"/>
          <w:szCs w:val="20"/>
          <w:i w:val="1"/>
          <w:iCs w:val="1"/>
          <w:color w:val="auto"/>
        </w:rPr>
        <w:t>misbruik van omstandigheden</w:t>
      </w:r>
      <w:r>
        <w:rPr>
          <w:rFonts w:ascii="Times New Roman" w:cs="Times New Roman" w:eastAsia="Times New Roman" w:hAnsi="Times New Roman"/>
          <w:sz w:val="20"/>
          <w:szCs w:val="20"/>
          <w:color w:val="auto"/>
        </w:rPr>
        <w:t>) and error (</w:t>
      </w:r>
      <w:r>
        <w:rPr>
          <w:rFonts w:ascii="Times New Roman" w:cs="Times New Roman" w:eastAsia="Times New Roman" w:hAnsi="Times New Roman"/>
          <w:sz w:val="20"/>
          <w:szCs w:val="20"/>
          <w:i w:val="1"/>
          <w:iCs w:val="1"/>
          <w:color w:val="auto"/>
        </w:rPr>
        <w:t>dwaling</w:t>
      </w:r>
      <w:r>
        <w:rPr>
          <w:rFonts w:ascii="Times New Roman" w:cs="Times New Roman" w:eastAsia="Times New Roman" w:hAnsi="Times New Roman"/>
          <w:sz w:val="20"/>
          <w:szCs w:val="20"/>
          <w:color w:val="auto"/>
        </w:rPr>
        <w:t>)) or a difference of intention (</w:t>
      </w:r>
      <w:r>
        <w:rPr>
          <w:rFonts w:ascii="Times New Roman" w:cs="Times New Roman" w:eastAsia="Times New Roman" w:hAnsi="Times New Roman"/>
          <w:sz w:val="20"/>
          <w:szCs w:val="20"/>
          <w:i w:val="1"/>
          <w:iCs w:val="1"/>
          <w:color w:val="auto"/>
        </w:rPr>
        <w:t>wil</w:t>
      </w:r>
      <w:r>
        <w:rPr>
          <w:rFonts w:ascii="Times New Roman" w:cs="Times New Roman" w:eastAsia="Times New Roman" w:hAnsi="Times New Roman"/>
          <w:sz w:val="20"/>
          <w:szCs w:val="20"/>
          <w:color w:val="auto"/>
        </w:rPr>
        <w:t>) and declaration (</w:t>
      </w:r>
      <w:r>
        <w:rPr>
          <w:rFonts w:ascii="Times New Roman" w:cs="Times New Roman" w:eastAsia="Times New Roman" w:hAnsi="Times New Roman"/>
          <w:sz w:val="20"/>
          <w:szCs w:val="20"/>
          <w:i w:val="1"/>
          <w:iCs w:val="1"/>
          <w:color w:val="auto"/>
        </w:rPr>
        <w:t>verklaring</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853440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75" w:right="339" w:bottom="1440" w:gutter="0" w:footer="0" w:header="0"/>
        </w:sectPr>
      </w:pPr>
    </w:p>
    <w:bookmarkStart w:id="61" w:name="page62"/>
    <w:bookmarkEnd w:id="61"/>
    <w:p>
      <w:pPr>
        <w:ind w:left="38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423545</wp:posOffset>
            </wp:positionV>
            <wp:extent cx="113982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740" w:hanging="732"/>
        <w:spacing w:after="0" w:line="254" w:lineRule="auto"/>
        <w:tabs>
          <w:tab w:leader="none" w:pos="7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p>
      <w:pPr>
        <w:spacing w:after="0" w:line="133" w:lineRule="exact"/>
        <w:rPr>
          <w:rFonts w:ascii="Times New Roman" w:cs="Times New Roman" w:eastAsia="Times New Roman" w:hAnsi="Times New Roman"/>
          <w:sz w:val="20"/>
          <w:szCs w:val="20"/>
          <w:color w:val="auto"/>
        </w:rPr>
      </w:pPr>
    </w:p>
    <w:p>
      <w:pPr>
        <w:ind w:left="740" w:right="20" w:hanging="732"/>
        <w:spacing w:after="0" w:line="269" w:lineRule="auto"/>
        <w:tabs>
          <w:tab w:leader="none" w:pos="7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opinion letter does not purport to express any opinion or view on the operational rules and procedures of any clearing or settlement system or agency.</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 yours,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NautaDutilh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 OF DEFINITIONS</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Anti Money Laundering Laws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Anti-Boycott Regulation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Articles of Association</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 Register</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Corporate Documents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Current Articles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DCC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Deed of Conversion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Deed of Incorporation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-405130</wp:posOffset>
            </wp:positionV>
            <wp:extent cx="113982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720"/>
        <w:spacing w:after="0" w:line="249" w:lineRule="auto"/>
        <w:rPr>
          <w:sz w:val="20"/>
          <w:szCs w:val="20"/>
          <w:color w:val="auto"/>
        </w:rPr>
      </w:pPr>
      <w:r>
        <w:rPr>
          <w:rFonts w:ascii="Times New Roman" w:cs="Times New Roman" w:eastAsia="Times New Roman" w:hAnsi="Times New Roman"/>
          <w:sz w:val="20"/>
          <w:szCs w:val="20"/>
          <w:color w:val="auto"/>
        </w:rPr>
        <w:t>The European Anti-Money Laundering Directives, as implemented in the Netherlands in the Money Laundering and Terrorist Financing Prevention Act (</w:t>
      </w:r>
      <w:r>
        <w:rPr>
          <w:rFonts w:ascii="Times New Roman" w:cs="Times New Roman" w:eastAsia="Times New Roman" w:hAnsi="Times New Roman"/>
          <w:sz w:val="20"/>
          <w:szCs w:val="20"/>
          <w:i w:val="1"/>
          <w:iCs w:val="1"/>
          <w:color w:val="auto"/>
        </w:rPr>
        <w:t>Wet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ter voorkoming van witwassen en financieren van terrorisme</w:t>
      </w:r>
      <w:r>
        <w:rPr>
          <w:rFonts w:ascii="Times New Roman" w:cs="Times New Roman" w:eastAsia="Times New Roman" w:hAnsi="Times New Roman"/>
          <w:sz w:val="20"/>
          <w:szCs w:val="20"/>
          <w:color w:val="auto"/>
        </w:rPr>
        <w:t>) and the Dutch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Criminal Code (</w:t>
      </w:r>
      <w:r>
        <w:rPr>
          <w:rFonts w:ascii="Times New Roman" w:cs="Times New Roman" w:eastAsia="Times New Roman" w:hAnsi="Times New Roman"/>
          <w:sz w:val="20"/>
          <w:szCs w:val="20"/>
          <w:i w:val="1"/>
          <w:iCs w:val="1"/>
          <w:color w:val="auto"/>
        </w:rPr>
        <w:t>Wetboek van Strafrecht</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left="720"/>
        <w:spacing w:after="0" w:line="254" w:lineRule="auto"/>
        <w:rPr>
          <w:sz w:val="20"/>
          <w:szCs w:val="20"/>
          <w:color w:val="auto"/>
        </w:rPr>
      </w:pPr>
      <w:r>
        <w:rPr>
          <w:rFonts w:ascii="Times New Roman" w:cs="Times New Roman" w:eastAsia="Times New Roman" w:hAnsi="Times New Roman"/>
          <w:sz w:val="20"/>
          <w:szCs w:val="20"/>
          <w:color w:val="auto"/>
        </w:rPr>
        <w:t>The Council Regulation (EC) No 2271/96 of 22 November 1996 on protecting against the effects of the extra-territorial application of legislation adopted by a third country, and actions based thereon or resulting therefrom.</w:t>
      </w:r>
    </w:p>
    <w:p>
      <w:pPr>
        <w:spacing w:after="0" w:line="1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articles of association (</w:t>
      </w:r>
      <w:r>
        <w:rPr>
          <w:rFonts w:ascii="Times New Roman" w:cs="Times New Roman" w:eastAsia="Times New Roman" w:hAnsi="Times New Roman"/>
          <w:sz w:val="20"/>
          <w:szCs w:val="20"/>
          <w:i w:val="1"/>
          <w:iCs w:val="1"/>
          <w:color w:val="auto"/>
        </w:rPr>
        <w:t>statuten</w:t>
      </w:r>
      <w:r>
        <w:rPr>
          <w:rFonts w:ascii="Times New Roman" w:cs="Times New Roman" w:eastAsia="Times New Roman" w:hAnsi="Times New Roman"/>
          <w:sz w:val="20"/>
          <w:szCs w:val="20"/>
          <w:color w:val="auto"/>
        </w:rPr>
        <w:t>) as they read from time to time.</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Dutch Bankruptcy Code (</w:t>
      </w:r>
      <w:r>
        <w:rPr>
          <w:rFonts w:ascii="Times New Roman" w:cs="Times New Roman" w:eastAsia="Times New Roman" w:hAnsi="Times New Roman"/>
          <w:sz w:val="20"/>
          <w:szCs w:val="20"/>
          <w:i w:val="1"/>
          <w:iCs w:val="1"/>
          <w:color w:val="auto"/>
        </w:rPr>
        <w:t>Faillissementswet</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Dutch Commercial Register (</w:t>
      </w:r>
      <w:r>
        <w:rPr>
          <w:rFonts w:ascii="Times New Roman" w:cs="Times New Roman" w:eastAsia="Times New Roman" w:hAnsi="Times New Roman"/>
          <w:sz w:val="20"/>
          <w:szCs w:val="20"/>
          <w:i w:val="1"/>
          <w:iCs w:val="1"/>
          <w:color w:val="auto"/>
        </w:rPr>
        <w:t>handelsregister</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720"/>
        <w:spacing w:after="0" w:line="273" w:lineRule="auto"/>
        <w:rPr>
          <w:sz w:val="20"/>
          <w:szCs w:val="20"/>
          <w:color w:val="auto"/>
        </w:rPr>
      </w:pPr>
      <w:r>
        <w:rPr>
          <w:rFonts w:ascii="Times New Roman" w:cs="Times New Roman" w:eastAsia="Times New Roman" w:hAnsi="Times New Roman"/>
          <w:sz w:val="20"/>
          <w:szCs w:val="20"/>
          <w:color w:val="auto"/>
        </w:rPr>
        <w:t>Pharvaris N.V., a public company with limited liability (</w:t>
      </w:r>
      <w:r>
        <w:rPr>
          <w:rFonts w:ascii="Times New Roman" w:cs="Times New Roman" w:eastAsia="Times New Roman" w:hAnsi="Times New Roman"/>
          <w:sz w:val="20"/>
          <w:szCs w:val="20"/>
          <w:i w:val="1"/>
          <w:iCs w:val="1"/>
          <w:color w:val="auto"/>
        </w:rPr>
        <w:t>naamloze vennootschap</w:t>
      </w:r>
      <w:r>
        <w:rPr>
          <w:rFonts w:ascii="Times New Roman" w:cs="Times New Roman" w:eastAsia="Times New Roman" w:hAnsi="Times New Roman"/>
          <w:sz w:val="20"/>
          <w:szCs w:val="20"/>
          <w:color w:val="auto"/>
        </w:rPr>
        <w:t>), registered with the Commercial Register under number 64239411.</w:t>
      </w:r>
    </w:p>
    <w:p>
      <w:pPr>
        <w:spacing w:after="0" w:line="1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Deed of Incorporation, the Deed of Conversion and the Current Articles.</w:t>
      </w:r>
    </w:p>
    <w:p>
      <w:pPr>
        <w:spacing w:after="0" w:line="202" w:lineRule="exact"/>
        <w:rPr>
          <w:sz w:val="20"/>
          <w:szCs w:val="20"/>
          <w:color w:val="auto"/>
        </w:rPr>
      </w:pPr>
    </w:p>
    <w:p>
      <w:pPr>
        <w:jc w:val="both"/>
        <w:ind w:left="720"/>
        <w:spacing w:after="0" w:line="269" w:lineRule="auto"/>
        <w:rPr>
          <w:sz w:val="20"/>
          <w:szCs w:val="20"/>
          <w:color w:val="auto"/>
        </w:rPr>
      </w:pPr>
      <w:r>
        <w:rPr>
          <w:rFonts w:ascii="Times New Roman" w:cs="Times New Roman" w:eastAsia="Times New Roman" w:hAnsi="Times New Roman"/>
          <w:sz w:val="20"/>
          <w:szCs w:val="20"/>
          <w:color w:val="auto"/>
        </w:rPr>
        <w:t>The Articles of Association as contained in the deed of amendment dated 6 March 2024.</w:t>
      </w:r>
    </w:p>
    <w:p>
      <w:pPr>
        <w:spacing w:after="0" w:line="1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Dutch Civil Code (</w:t>
      </w:r>
      <w:r>
        <w:rPr>
          <w:rFonts w:ascii="Times New Roman" w:cs="Times New Roman" w:eastAsia="Times New Roman" w:hAnsi="Times New Roman"/>
          <w:sz w:val="20"/>
          <w:szCs w:val="20"/>
          <w:i w:val="1"/>
          <w:iCs w:val="1"/>
          <w:color w:val="auto"/>
        </w:rPr>
        <w:t>Burgerlijk Wetboek</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left="720" w:right="20"/>
        <w:spacing w:after="0" w:line="269" w:lineRule="auto"/>
        <w:rPr>
          <w:sz w:val="20"/>
          <w:szCs w:val="20"/>
          <w:color w:val="auto"/>
        </w:rPr>
      </w:pPr>
      <w:r>
        <w:rPr>
          <w:rFonts w:ascii="Times New Roman" w:cs="Times New Roman" w:eastAsia="Times New Roman" w:hAnsi="Times New Roman"/>
          <w:sz w:val="20"/>
          <w:szCs w:val="20"/>
          <w:color w:val="auto"/>
        </w:rPr>
        <w:t>The deed of conversion and amendment to the Articles of Association dated 5 February 2021.</w:t>
      </w:r>
    </w:p>
    <w:p>
      <w:pPr>
        <w:spacing w:after="0" w:line="1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deed of incorporation (</w:t>
      </w:r>
      <w:r>
        <w:rPr>
          <w:rFonts w:ascii="Times New Roman" w:cs="Times New Roman" w:eastAsia="Times New Roman" w:hAnsi="Times New Roman"/>
          <w:sz w:val="20"/>
          <w:szCs w:val="20"/>
          <w:i w:val="1"/>
          <w:iCs w:val="1"/>
          <w:color w:val="auto"/>
        </w:rPr>
        <w:t>akte 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887095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100" w:space="720"/>
            <w:col w:w="7320"/>
          </w:cols>
          <w:pgMar w:left="320" w:top="1075" w:right="439" w:bottom="1440" w:gutter="0" w:footer="0" w:header="0"/>
        </w:sectPr>
      </w:pPr>
    </w:p>
    <w:bookmarkStart w:id="63" w:name="page64"/>
    <w:bookmarkEnd w:id="63"/>
    <w:p>
      <w:pPr>
        <w:ind w:left="38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423545</wp:posOffset>
            </wp:positionV>
            <wp:extent cx="113982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00" w:type="dxa"/>
            <w:vAlign w:val="bottom"/>
          </w:tcPr>
          <w:p>
            <w:pPr>
              <w:spacing w:after="0"/>
              <w:rPr>
                <w:sz w:val="22"/>
                <w:szCs w:val="22"/>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i w:val="1"/>
                <w:iCs w:val="1"/>
                <w:color w:val="auto"/>
              </w:rPr>
              <w:t>oprichting</w:t>
            </w:r>
            <w:r>
              <w:rPr>
                <w:rFonts w:ascii="Times New Roman" w:cs="Times New Roman" w:eastAsia="Times New Roman" w:hAnsi="Times New Roman"/>
                <w:sz w:val="20"/>
                <w:szCs w:val="20"/>
                <w:color w:val="auto"/>
              </w:rPr>
              <w:t>) dated 30 September 2015.</w:t>
            </w:r>
          </w:p>
        </w:tc>
      </w:tr>
      <w:tr>
        <w:trPr>
          <w:trHeight w:val="403"/>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eIDAS Regulation</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Regulation (EU) No 910/2014 of the European Parliament and of the Council of</w:t>
            </w:r>
          </w:p>
        </w:tc>
      </w:tr>
      <w:tr>
        <w:trPr>
          <w:trHeight w:val="229"/>
        </w:trPr>
        <w:tc>
          <w:tcPr>
            <w:tcW w:w="3400" w:type="dxa"/>
            <w:vAlign w:val="bottom"/>
          </w:tcPr>
          <w:p>
            <w:pPr>
              <w:spacing w:after="0"/>
              <w:rPr>
                <w:sz w:val="19"/>
                <w:szCs w:val="19"/>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23  July  2014  on  electronic  identification  and  trust  services  for  electronic</w:t>
            </w:r>
          </w:p>
        </w:tc>
      </w:tr>
      <w:tr>
        <w:trPr>
          <w:trHeight w:val="258"/>
        </w:trPr>
        <w:tc>
          <w:tcPr>
            <w:tcW w:w="3400" w:type="dxa"/>
            <w:vAlign w:val="bottom"/>
          </w:tcPr>
          <w:p>
            <w:pPr>
              <w:spacing w:after="0"/>
              <w:rPr>
                <w:sz w:val="22"/>
                <w:szCs w:val="22"/>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transactions in the internal market and repealing Directive 1999/93/EC.</w:t>
            </w:r>
          </w:p>
        </w:tc>
      </w:tr>
      <w:tr>
        <w:trPr>
          <w:trHeight w:val="403"/>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Insolvency Proceedings</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Any insolvency proceedings within the meaning of Regulation (EU) 2015/848 of</w:t>
            </w:r>
          </w:p>
        </w:tc>
      </w:tr>
      <w:tr>
        <w:trPr>
          <w:trHeight w:val="229"/>
        </w:trPr>
        <w:tc>
          <w:tcPr>
            <w:tcW w:w="3400" w:type="dxa"/>
            <w:vAlign w:val="bottom"/>
          </w:tcPr>
          <w:p>
            <w:pPr>
              <w:spacing w:after="0"/>
              <w:rPr>
                <w:sz w:val="19"/>
                <w:szCs w:val="19"/>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the European Parliament and of the Council of 20 May 2015 on insolvency</w:t>
            </w:r>
          </w:p>
        </w:tc>
      </w:tr>
      <w:tr>
        <w:trPr>
          <w:trHeight w:val="230"/>
        </w:trPr>
        <w:tc>
          <w:tcPr>
            <w:tcW w:w="3400" w:type="dxa"/>
            <w:vAlign w:val="bottom"/>
          </w:tcPr>
          <w:p>
            <w:pPr>
              <w:spacing w:after="0"/>
              <w:rPr>
                <w:sz w:val="19"/>
                <w:szCs w:val="19"/>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proceedings (recast), as amended by Regulation (EU) 2021/2260 of the European</w:t>
            </w:r>
          </w:p>
        </w:tc>
      </w:tr>
      <w:tr>
        <w:trPr>
          <w:trHeight w:val="225"/>
        </w:trPr>
        <w:tc>
          <w:tcPr>
            <w:tcW w:w="3400" w:type="dxa"/>
            <w:vAlign w:val="bottom"/>
          </w:tcPr>
          <w:p>
            <w:pPr>
              <w:spacing w:after="0"/>
              <w:rPr>
                <w:sz w:val="19"/>
                <w:szCs w:val="19"/>
                <w:color w:val="auto"/>
              </w:rPr>
            </w:pPr>
          </w:p>
        </w:tc>
        <w:tc>
          <w:tcPr>
            <w:tcW w:w="7840" w:type="dxa"/>
            <w:vAlign w:val="bottom"/>
          </w:tcPr>
          <w:p>
            <w:pPr>
              <w:ind w:left="1140"/>
              <w:spacing w:after="0" w:line="226" w:lineRule="exact"/>
              <w:rPr>
                <w:sz w:val="20"/>
                <w:szCs w:val="20"/>
                <w:color w:val="auto"/>
              </w:rPr>
            </w:pPr>
            <w:r>
              <w:rPr>
                <w:rFonts w:ascii="Times New Roman" w:cs="Times New Roman" w:eastAsia="Times New Roman" w:hAnsi="Times New Roman"/>
                <w:sz w:val="20"/>
                <w:szCs w:val="20"/>
                <w:color w:val="auto"/>
              </w:rPr>
              <w:t>Parliament and of the Counsel of 15 December 2021, listed in Annex A thereto</w:t>
            </w:r>
          </w:p>
        </w:tc>
      </w:tr>
      <w:tr>
        <w:trPr>
          <w:trHeight w:val="233"/>
        </w:trPr>
        <w:tc>
          <w:tcPr>
            <w:tcW w:w="3400" w:type="dxa"/>
            <w:vAlign w:val="bottom"/>
          </w:tcPr>
          <w:p>
            <w:pPr>
              <w:spacing w:after="0"/>
              <w:rPr>
                <w:sz w:val="20"/>
                <w:szCs w:val="20"/>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and any statutory proceedings for the restructuring of debts (</w:t>
            </w:r>
            <w:r>
              <w:rPr>
                <w:rFonts w:ascii="Times New Roman" w:cs="Times New Roman" w:eastAsia="Times New Roman" w:hAnsi="Times New Roman"/>
                <w:sz w:val="20"/>
                <w:szCs w:val="20"/>
                <w:i w:val="1"/>
                <w:iCs w:val="1"/>
                <w:color w:val="auto"/>
              </w:rPr>
              <w:t>akkoordprocedure</w:t>
            </w:r>
            <w:r>
              <w:rPr>
                <w:rFonts w:ascii="Times New Roman" w:cs="Times New Roman" w:eastAsia="Times New Roman" w:hAnsi="Times New Roman"/>
                <w:sz w:val="20"/>
                <w:szCs w:val="20"/>
                <w:color w:val="auto"/>
              </w:rPr>
              <w:t>)</w:t>
            </w:r>
          </w:p>
        </w:tc>
      </w:tr>
      <w:tr>
        <w:trPr>
          <w:trHeight w:val="258"/>
        </w:trPr>
        <w:tc>
          <w:tcPr>
            <w:tcW w:w="3400" w:type="dxa"/>
            <w:vAlign w:val="bottom"/>
          </w:tcPr>
          <w:p>
            <w:pPr>
              <w:spacing w:after="0"/>
              <w:rPr>
                <w:sz w:val="22"/>
                <w:szCs w:val="22"/>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pursuant to the Bankruptcy Code.</w:t>
            </w:r>
          </w:p>
        </w:tc>
      </w:tr>
      <w:tr>
        <w:trPr>
          <w:trHeight w:val="432"/>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NautaDutilh</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NautaDutilh N.V.</w:t>
            </w:r>
          </w:p>
        </w:tc>
      </w:tr>
      <w:tr>
        <w:trPr>
          <w:trHeight w:val="403"/>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the Netherlands</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The European territory of the Kingdom of the Netherlands and "</w:t>
            </w:r>
            <w:r>
              <w:rPr>
                <w:rFonts w:ascii="Times New Roman" w:cs="Times New Roman" w:eastAsia="Times New Roman" w:hAnsi="Times New Roman"/>
                <w:sz w:val="20"/>
                <w:szCs w:val="20"/>
                <w:b w:val="1"/>
                <w:bCs w:val="1"/>
                <w:color w:val="auto"/>
              </w:rPr>
              <w:t>Dutch</w:t>
            </w:r>
            <w:r>
              <w:rPr>
                <w:rFonts w:ascii="Times New Roman" w:cs="Times New Roman" w:eastAsia="Times New Roman" w:hAnsi="Times New Roman"/>
                <w:sz w:val="20"/>
                <w:szCs w:val="20"/>
                <w:color w:val="auto"/>
              </w:rPr>
              <w:t>" is in or</w:t>
            </w:r>
          </w:p>
        </w:tc>
      </w:tr>
      <w:tr>
        <w:trPr>
          <w:trHeight w:val="258"/>
        </w:trPr>
        <w:tc>
          <w:tcPr>
            <w:tcW w:w="3400" w:type="dxa"/>
            <w:vAlign w:val="bottom"/>
          </w:tcPr>
          <w:p>
            <w:pPr>
              <w:spacing w:after="0"/>
              <w:rPr>
                <w:sz w:val="22"/>
                <w:szCs w:val="22"/>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from the Netherlands.</w:t>
            </w:r>
          </w:p>
        </w:tc>
      </w:tr>
      <w:tr>
        <w:trPr>
          <w:trHeight w:val="432"/>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Shares</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Ordinary shares in the Company's capital, with a nominal value of EUR 0.12 each.</w:t>
            </w:r>
          </w:p>
        </w:tc>
      </w:tr>
      <w:tr>
        <w:trPr>
          <w:trHeight w:val="403"/>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PRIIPs Regulation</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Regulation (EU) No 1286/2014 of the European Parliament and of the Council of</w:t>
            </w:r>
          </w:p>
        </w:tc>
      </w:tr>
      <w:tr>
        <w:trPr>
          <w:trHeight w:val="230"/>
        </w:trPr>
        <w:tc>
          <w:tcPr>
            <w:tcW w:w="3400" w:type="dxa"/>
            <w:vAlign w:val="bottom"/>
          </w:tcPr>
          <w:p>
            <w:pPr>
              <w:spacing w:after="0"/>
              <w:rPr>
                <w:sz w:val="19"/>
                <w:szCs w:val="19"/>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26 November 2014 on key information documents for packaged retail and</w:t>
            </w:r>
          </w:p>
        </w:tc>
      </w:tr>
      <w:tr>
        <w:trPr>
          <w:trHeight w:val="258"/>
        </w:trPr>
        <w:tc>
          <w:tcPr>
            <w:tcW w:w="3400" w:type="dxa"/>
            <w:vAlign w:val="bottom"/>
          </w:tcPr>
          <w:p>
            <w:pPr>
              <w:spacing w:after="0"/>
              <w:rPr>
                <w:sz w:val="22"/>
                <w:szCs w:val="22"/>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insurance-based investment products (PRIIPs).</w:t>
            </w:r>
          </w:p>
        </w:tc>
      </w:tr>
      <w:tr>
        <w:trPr>
          <w:trHeight w:val="403"/>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Prospectus Regulation</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Regulation (EU) 2017/1129 of the European Parliament and of the Council of 14</w:t>
            </w:r>
          </w:p>
        </w:tc>
      </w:tr>
      <w:tr>
        <w:trPr>
          <w:trHeight w:val="230"/>
        </w:trPr>
        <w:tc>
          <w:tcPr>
            <w:tcW w:w="3400" w:type="dxa"/>
            <w:vAlign w:val="bottom"/>
          </w:tcPr>
          <w:p>
            <w:pPr>
              <w:spacing w:after="0"/>
              <w:rPr>
                <w:sz w:val="19"/>
                <w:szCs w:val="19"/>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June 2017 on the prospectus to be published when securities are offered to the</w:t>
            </w:r>
          </w:p>
        </w:tc>
      </w:tr>
      <w:tr>
        <w:trPr>
          <w:trHeight w:val="230"/>
        </w:trPr>
        <w:tc>
          <w:tcPr>
            <w:tcW w:w="3400" w:type="dxa"/>
            <w:vAlign w:val="bottom"/>
          </w:tcPr>
          <w:p>
            <w:pPr>
              <w:spacing w:after="0"/>
              <w:rPr>
                <w:sz w:val="19"/>
                <w:szCs w:val="19"/>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public or admitted to trading on a regulated market, and repealing Directive</w:t>
            </w:r>
          </w:p>
        </w:tc>
      </w:tr>
      <w:tr>
        <w:trPr>
          <w:trHeight w:val="258"/>
        </w:trPr>
        <w:tc>
          <w:tcPr>
            <w:tcW w:w="3400" w:type="dxa"/>
            <w:vAlign w:val="bottom"/>
          </w:tcPr>
          <w:p>
            <w:pPr>
              <w:spacing w:after="0"/>
              <w:rPr>
                <w:sz w:val="22"/>
                <w:szCs w:val="22"/>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2003/71/EC.</w:t>
            </w:r>
          </w:p>
        </w:tc>
      </w:tr>
      <w:tr>
        <w:trPr>
          <w:trHeight w:val="403"/>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The Company's registration statement on Form F-3 filed or to be filed with the</w:t>
            </w:r>
          </w:p>
        </w:tc>
      </w:tr>
      <w:tr>
        <w:trPr>
          <w:trHeight w:val="258"/>
        </w:trPr>
        <w:tc>
          <w:tcPr>
            <w:tcW w:w="3400" w:type="dxa"/>
            <w:vAlign w:val="bottom"/>
          </w:tcPr>
          <w:p>
            <w:pPr>
              <w:spacing w:after="0"/>
              <w:rPr>
                <w:sz w:val="22"/>
                <w:szCs w:val="22"/>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SEC in the form</w:t>
            </w:r>
          </w:p>
        </w:tc>
      </w:tr>
      <w:tr>
        <w:trPr>
          <w:trHeight w:val="1203"/>
        </w:trPr>
        <w:tc>
          <w:tcPr>
            <w:tcW w:w="3400" w:type="dxa"/>
            <w:vAlign w:val="bottom"/>
            <w:tcBorders>
              <w:bottom w:val="single" w:sz="8" w:color="9A9A9A"/>
            </w:tcBorders>
          </w:tcPr>
          <w:p>
            <w:pPr>
              <w:spacing w:after="0"/>
              <w:rPr>
                <w:sz w:val="24"/>
                <w:szCs w:val="24"/>
                <w:color w:val="auto"/>
              </w:rPr>
            </w:pPr>
          </w:p>
        </w:tc>
        <w:tc>
          <w:tcPr>
            <w:tcW w:w="7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64" w:name="page65"/>
    <w:bookmarkEnd w:id="64"/>
    <w:p>
      <w:pPr>
        <w:ind w:left="38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423545</wp:posOffset>
            </wp:positionV>
            <wp:extent cx="113982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160" w:type="dxa"/>
            <w:vAlign w:val="bottom"/>
          </w:tcPr>
          <w:p>
            <w:pPr>
              <w:spacing w:after="0"/>
              <w:rPr>
                <w:sz w:val="22"/>
                <w:szCs w:val="22"/>
                <w:color w:val="auto"/>
              </w:rPr>
            </w:pPr>
          </w:p>
        </w:tc>
        <w:tc>
          <w:tcPr>
            <w:tcW w:w="808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reviewed by us.</w:t>
            </w:r>
          </w:p>
        </w:tc>
      </w:tr>
      <w:tr>
        <w:trPr>
          <w:trHeight w:val="403"/>
        </w:trPr>
        <w:tc>
          <w:tcPr>
            <w:tcW w:w="3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Moment</w:t>
            </w:r>
            <w:r>
              <w:rPr>
                <w:rFonts w:ascii="Times New Roman" w:cs="Times New Roman" w:eastAsia="Times New Roman" w:hAnsi="Times New Roman"/>
                <w:sz w:val="20"/>
                <w:szCs w:val="20"/>
                <w:color w:val="auto"/>
              </w:rPr>
              <w:t>"</w:t>
            </w:r>
          </w:p>
        </w:tc>
        <w:tc>
          <w:tcPr>
            <w:tcW w:w="808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The moment when the Warrant Shares were issued pursuant to the exercise of the</w:t>
            </w:r>
          </w:p>
        </w:tc>
      </w:tr>
      <w:tr>
        <w:trPr>
          <w:trHeight w:val="258"/>
        </w:trPr>
        <w:tc>
          <w:tcPr>
            <w:tcW w:w="3160" w:type="dxa"/>
            <w:vAlign w:val="bottom"/>
          </w:tcPr>
          <w:p>
            <w:pPr>
              <w:spacing w:after="0"/>
              <w:rPr>
                <w:sz w:val="22"/>
                <w:szCs w:val="22"/>
                <w:color w:val="auto"/>
              </w:rPr>
            </w:pPr>
          </w:p>
        </w:tc>
        <w:tc>
          <w:tcPr>
            <w:tcW w:w="808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Warrant.</w:t>
            </w:r>
          </w:p>
        </w:tc>
      </w:tr>
      <w:tr>
        <w:trPr>
          <w:trHeight w:val="432"/>
        </w:trPr>
        <w:tc>
          <w:tcPr>
            <w:tcW w:w="3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w:t>
            </w:r>
          </w:p>
        </w:tc>
        <w:tc>
          <w:tcPr>
            <w:tcW w:w="808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The United States Securities and Exchange Commission.</w:t>
            </w:r>
          </w:p>
        </w:tc>
      </w:tr>
      <w:tr>
        <w:trPr>
          <w:trHeight w:val="403"/>
        </w:trPr>
        <w:tc>
          <w:tcPr>
            <w:tcW w:w="3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w:t>
            </w:r>
          </w:p>
        </w:tc>
        <w:tc>
          <w:tcPr>
            <w:tcW w:w="808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The pre-funded warrant to purchase Ordinary Shares issued by the Company on 8</w:t>
            </w:r>
          </w:p>
        </w:tc>
      </w:tr>
      <w:tr>
        <w:trPr>
          <w:trHeight w:val="229"/>
        </w:trPr>
        <w:tc>
          <w:tcPr>
            <w:tcW w:w="3160" w:type="dxa"/>
            <w:vAlign w:val="bottom"/>
          </w:tcPr>
          <w:p>
            <w:pPr>
              <w:spacing w:after="0"/>
              <w:rPr>
                <w:sz w:val="19"/>
                <w:szCs w:val="19"/>
                <w:color w:val="auto"/>
              </w:rPr>
            </w:pPr>
          </w:p>
        </w:tc>
        <w:tc>
          <w:tcPr>
            <w:tcW w:w="808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December 2023, in the form attached as exhibit 4.1 to the Company's report on</w:t>
            </w:r>
          </w:p>
        </w:tc>
      </w:tr>
      <w:tr>
        <w:trPr>
          <w:trHeight w:val="258"/>
        </w:trPr>
        <w:tc>
          <w:tcPr>
            <w:tcW w:w="3160" w:type="dxa"/>
            <w:vAlign w:val="bottom"/>
          </w:tcPr>
          <w:p>
            <w:pPr>
              <w:spacing w:after="0"/>
              <w:rPr>
                <w:sz w:val="22"/>
                <w:szCs w:val="22"/>
                <w:color w:val="auto"/>
              </w:rPr>
            </w:pPr>
          </w:p>
        </w:tc>
        <w:tc>
          <w:tcPr>
            <w:tcW w:w="808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Form 6-K filed with the SEC on 8 December 2023.</w:t>
            </w:r>
          </w:p>
        </w:tc>
      </w:tr>
      <w:tr>
        <w:trPr>
          <w:trHeight w:val="403"/>
        </w:trPr>
        <w:tc>
          <w:tcPr>
            <w:tcW w:w="3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Warrant Shares</w:t>
            </w:r>
            <w:r>
              <w:rPr>
                <w:rFonts w:ascii="Times New Roman" w:cs="Times New Roman" w:eastAsia="Times New Roman" w:hAnsi="Times New Roman"/>
                <w:sz w:val="20"/>
                <w:szCs w:val="20"/>
                <w:color w:val="auto"/>
              </w:rPr>
              <w:t>"</w:t>
            </w:r>
          </w:p>
        </w:tc>
        <w:tc>
          <w:tcPr>
            <w:tcW w:w="808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1,375,000 Ordinary Shares issued pursuant to the exercise of the Warrant and</w:t>
            </w:r>
          </w:p>
        </w:tc>
      </w:tr>
      <w:tr>
        <w:trPr>
          <w:trHeight w:val="258"/>
        </w:trPr>
        <w:tc>
          <w:tcPr>
            <w:tcW w:w="3160" w:type="dxa"/>
            <w:vAlign w:val="bottom"/>
          </w:tcPr>
          <w:p>
            <w:pPr>
              <w:spacing w:after="0"/>
              <w:rPr>
                <w:sz w:val="22"/>
                <w:szCs w:val="22"/>
                <w:color w:val="auto"/>
              </w:rPr>
            </w:pPr>
          </w:p>
        </w:tc>
        <w:tc>
          <w:tcPr>
            <w:tcW w:w="808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registered pursuant to the Registration Statement.</w:t>
            </w:r>
          </w:p>
        </w:tc>
      </w:tr>
      <w:tr>
        <w:trPr>
          <w:trHeight w:val="1378"/>
        </w:trPr>
        <w:tc>
          <w:tcPr>
            <w:tcW w:w="3160" w:type="dxa"/>
            <w:vAlign w:val="bottom"/>
            <w:tcBorders>
              <w:bottom w:val="single" w:sz="8" w:color="9A9A9A"/>
            </w:tcBorders>
          </w:tcPr>
          <w:p>
            <w:pPr>
              <w:spacing w:after="0"/>
              <w:rPr>
                <w:sz w:val="24"/>
                <w:szCs w:val="24"/>
                <w:color w:val="auto"/>
              </w:rPr>
            </w:pPr>
          </w:p>
        </w:tc>
        <w:tc>
          <w:tcPr>
            <w:tcW w:w="8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F-3 of Pharvaris N.V. of our report dated April 5, 2023 relating to the financial statements, which appears in Pharvaris N.V.'s Annual Report on Form 20-F for the year ended December 31, 2022. We also consent to the reference to us under the heading “Experts” in such Registration Statement.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Accountants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Accountants N.V.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Amsterdam, The Netherlands, 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66" w:name="page67"/>
    <w:bookmarkEnd w:id="66"/>
    <w:p>
      <w:pPr>
        <w:ind w:left="10180"/>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1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CALCULATION OF FILING FEE TABLE</w:t>
      </w:r>
    </w:p>
    <w:p>
      <w:pPr>
        <w:spacing w:after="0" w:line="20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Form F-3</w:t>
      </w:r>
    </w:p>
    <w:p>
      <w:pPr>
        <w:spacing w:after="0" w:line="1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(Form Type)</w:t>
      </w:r>
    </w:p>
    <w:p>
      <w:pPr>
        <w:spacing w:after="0" w:line="17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Pharvaris N.V.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1: Newly Registered and Carry Forward Securities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47"/>
        </w:trPr>
        <w:tc>
          <w:tcPr>
            <w:tcW w:w="660" w:type="dxa"/>
            <w:vAlign w:val="bottom"/>
            <w:tcBorders>
              <w:top w:val="single" w:sz="8" w:color="auto"/>
              <w:left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w w:val="94"/>
              </w:rPr>
              <w:t>Filing Fee</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Unsold</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Carry Forward</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to be</w:t>
            </w: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 Class</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Price Per</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00" w:type="dxa"/>
            <w:vAlign w:val="bottom"/>
            <w:tcBorders>
              <w:right w:val="single" w:sz="8" w:color="auto"/>
            </w:tcBorders>
          </w:tcPr>
          <w:p>
            <w:pPr>
              <w:ind w:left="380"/>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90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82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r>
      <w:tr>
        <w:trPr>
          <w:trHeight w:val="183"/>
        </w:trPr>
        <w:tc>
          <w:tcPr>
            <w:tcW w:w="660" w:type="dxa"/>
            <w:vAlign w:val="bottom"/>
            <w:tcBorders>
              <w:left w:val="single" w:sz="8" w:color="auto"/>
              <w:bottom w:val="single" w:sz="8" w:color="auto"/>
              <w:right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rPr>
              <w:t>Rule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820" w:type="dxa"/>
            <w:vAlign w:val="bottom"/>
            <w:tcBorders>
              <w:bottom w:val="single" w:sz="8" w:color="auto"/>
              <w:right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rPr>
              <w:t>Unit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8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Type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Number</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Effective Date</w:t>
            </w:r>
          </w:p>
        </w:tc>
        <w:tc>
          <w:tcPr>
            <w:tcW w:w="116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rPr>
              <w:t>Forward</w:t>
            </w:r>
          </w:p>
        </w:tc>
      </w:tr>
      <w:tr>
        <w:trPr>
          <w:trHeight w:val="163"/>
        </w:trPr>
        <w:tc>
          <w:tcPr>
            <w:tcW w:w="660" w:type="dxa"/>
            <w:vAlign w:val="bottom"/>
            <w:tcBorders>
              <w:lef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Newly Registered Securities</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r>
      <w:tr>
        <w:trPr>
          <w:trHeight w:val="29"/>
        </w:trPr>
        <w:tc>
          <w:tcPr>
            <w:tcW w:w="66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124"/>
        </w:trPr>
        <w:tc>
          <w:tcPr>
            <w:tcW w:w="660" w:type="dxa"/>
            <w:vAlign w:val="bottom"/>
            <w:tcBorders>
              <w:left w:val="single" w:sz="8" w:color="auto"/>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color w:val="auto"/>
                <w:w w:val="97"/>
              </w:rPr>
              <w:t>Ordinary</w:t>
            </w:r>
          </w:p>
        </w:tc>
        <w:tc>
          <w:tcPr>
            <w:tcW w:w="9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shares,</w:t>
            </w:r>
          </w:p>
        </w:tc>
        <w:tc>
          <w:tcPr>
            <w:tcW w:w="9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par</w:t>
            </w:r>
          </w:p>
        </w:tc>
        <w:tc>
          <w:tcPr>
            <w:tcW w:w="9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€0.12 per</w:t>
            </w:r>
          </w:p>
        </w:tc>
        <w:tc>
          <w:tcPr>
            <w:tcW w:w="9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share</w:t>
            </w:r>
          </w:p>
        </w:tc>
        <w:tc>
          <w:tcPr>
            <w:tcW w:w="9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r>
      <w:tr>
        <w:trPr>
          <w:trHeight w:val="135"/>
        </w:trPr>
        <w:tc>
          <w:tcPr>
            <w:tcW w:w="660" w:type="dxa"/>
            <w:vAlign w:val="bottom"/>
            <w:tcBorders>
              <w:left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Fees to</w:t>
            </w:r>
          </w:p>
        </w:tc>
        <w:tc>
          <w:tcPr>
            <w:tcW w:w="5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(“Ordinary</w:t>
            </w:r>
          </w:p>
        </w:tc>
        <w:tc>
          <w:tcPr>
            <w:tcW w:w="9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r>
      <w:tr>
        <w:trPr>
          <w:trHeight w:val="165"/>
        </w:trPr>
        <w:tc>
          <w:tcPr>
            <w:tcW w:w="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Be Paid</w:t>
            </w:r>
          </w:p>
        </w:tc>
        <w:tc>
          <w:tcPr>
            <w:tcW w:w="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Equity</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Shares”)</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Other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5,545,155 (1)(2)</w:t>
            </w:r>
          </w:p>
        </w:tc>
        <w:tc>
          <w:tcPr>
            <w:tcW w:w="820" w:type="dxa"/>
            <w:vAlign w:val="bottom"/>
            <w:tcBorders>
              <w:bottom w:val="single" w:sz="8" w:color="auto"/>
              <w:right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5"/>
              </w:rPr>
              <w:t>$24.025 (3)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$133,222,349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0.00014760</w:t>
            </w:r>
          </w:p>
        </w:tc>
        <w:tc>
          <w:tcPr>
            <w:tcW w:w="90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color w:val="auto"/>
                <w:w w:val="89"/>
              </w:rPr>
              <w:t>$19,664</w:t>
            </w:r>
          </w:p>
        </w:tc>
        <w:tc>
          <w:tcPr>
            <w:tcW w:w="8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r>
      <w:tr>
        <w:trPr>
          <w:trHeight w:val="125"/>
        </w:trPr>
        <w:tc>
          <w:tcPr>
            <w:tcW w:w="660" w:type="dxa"/>
            <w:vAlign w:val="bottom"/>
            <w:tcBorders>
              <w:left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color w:val="auto"/>
                <w:w w:val="92"/>
              </w:rPr>
              <w:t>Fees</w:t>
            </w:r>
          </w:p>
        </w:tc>
        <w:tc>
          <w:tcPr>
            <w:tcW w:w="5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r>
      <w:tr>
        <w:trPr>
          <w:trHeight w:val="135"/>
        </w:trPr>
        <w:tc>
          <w:tcPr>
            <w:tcW w:w="660" w:type="dxa"/>
            <w:vAlign w:val="bottom"/>
            <w:tcBorders>
              <w:left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5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r>
      <w:tr>
        <w:trPr>
          <w:trHeight w:val="165"/>
        </w:trPr>
        <w:tc>
          <w:tcPr>
            <w:tcW w:w="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Paid</w:t>
            </w:r>
          </w:p>
        </w:tc>
        <w:tc>
          <w:tcPr>
            <w:tcW w:w="5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r>
      <w:tr>
        <w:trPr>
          <w:trHeight w:val="157"/>
        </w:trPr>
        <w:tc>
          <w:tcPr>
            <w:tcW w:w="660" w:type="dxa"/>
            <w:vAlign w:val="bottom"/>
            <w:tcBorders>
              <w:left w:val="single" w:sz="8" w:color="auto"/>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Carry Forward Securities</w:t>
            </w:r>
          </w:p>
        </w:tc>
        <w:tc>
          <w:tcPr>
            <w:tcW w:w="9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r>
      <w:tr>
        <w:trPr>
          <w:trHeight w:val="223"/>
        </w:trPr>
        <w:tc>
          <w:tcPr>
            <w:tcW w:w="660" w:type="dxa"/>
            <w:vAlign w:val="bottom"/>
            <w:tcBorders>
              <w:left w:val="single" w:sz="8" w:color="auto"/>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r>
      <w:tr>
        <w:trPr>
          <w:trHeight w:val="180"/>
        </w:trPr>
        <w:tc>
          <w:tcPr>
            <w:tcW w:w="660" w:type="dxa"/>
            <w:vAlign w:val="bottom"/>
            <w:tcBorders>
              <w:left w:val="single" w:sz="8" w:color="auto"/>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2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Total Offering Amounts</w:t>
            </w:r>
          </w:p>
        </w:tc>
        <w:tc>
          <w:tcPr>
            <w:tcW w:w="8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$133,222,349</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0.00014760</w:t>
            </w:r>
          </w:p>
        </w:tc>
        <w:tc>
          <w:tcPr>
            <w:tcW w:w="900" w:type="dxa"/>
            <w:vAlign w:val="bottom"/>
            <w:tcBorders>
              <w:right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color w:val="auto"/>
                <w:w w:val="89"/>
              </w:rPr>
              <w:t>$19,664</w:t>
            </w:r>
          </w:p>
        </w:tc>
        <w:tc>
          <w:tcPr>
            <w:tcW w:w="80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43"/>
        </w:trPr>
        <w:tc>
          <w:tcPr>
            <w:tcW w:w="66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20" w:type="dxa"/>
            <w:vAlign w:val="bottom"/>
            <w:tcBorders>
              <w:bottom w:val="single" w:sz="8" w:color="auto"/>
              <w:right w:val="single" w:sz="8" w:color="auto"/>
            </w:tcBorders>
            <w:gridSpan w:val="2"/>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r>
      <w:tr>
        <w:trPr>
          <w:trHeight w:val="180"/>
        </w:trPr>
        <w:tc>
          <w:tcPr>
            <w:tcW w:w="660" w:type="dxa"/>
            <w:vAlign w:val="bottom"/>
            <w:tcBorders>
              <w:left w:val="single" w:sz="8" w:color="auto"/>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2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Total Fees Previously Paid</w:t>
            </w:r>
          </w:p>
        </w:tc>
        <w:tc>
          <w:tcPr>
            <w:tcW w:w="8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30"/>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180"/>
        </w:trPr>
        <w:tc>
          <w:tcPr>
            <w:tcW w:w="660" w:type="dxa"/>
            <w:vAlign w:val="bottom"/>
            <w:tcBorders>
              <w:left w:val="single" w:sz="8" w:color="auto"/>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Total Fee Offsets</w:t>
            </w:r>
          </w:p>
        </w:tc>
        <w:tc>
          <w:tcPr>
            <w:tcW w:w="8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30"/>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180"/>
        </w:trPr>
        <w:tc>
          <w:tcPr>
            <w:tcW w:w="660" w:type="dxa"/>
            <w:vAlign w:val="bottom"/>
            <w:tcBorders>
              <w:left w:val="single" w:sz="8" w:color="auto"/>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Net Fee Due</w:t>
            </w:r>
          </w:p>
        </w:tc>
        <w:tc>
          <w:tcPr>
            <w:tcW w:w="8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color w:val="auto"/>
                <w:w w:val="89"/>
              </w:rPr>
              <w:t>$19,664</w:t>
            </w:r>
          </w:p>
        </w:tc>
        <w:tc>
          <w:tcPr>
            <w:tcW w:w="80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43"/>
        </w:trPr>
        <w:tc>
          <w:tcPr>
            <w:tcW w:w="66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41" w:lineRule="exact"/>
        <w:rPr>
          <w:sz w:val="20"/>
          <w:szCs w:val="20"/>
          <w:color w:val="auto"/>
        </w:rPr>
      </w:pPr>
    </w:p>
    <w:p>
      <w:pPr>
        <w:ind w:left="760" w:right="20" w:hanging="752"/>
        <w:spacing w:after="0" w:line="282" w:lineRule="auto"/>
        <w:tabs>
          <w:tab w:leader="none" w:pos="3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Ordinary Shares to be offered and sold by the selling securityholder or its permitted transferees (collectively, the “selling securityholders”) consisting of 5,545,155 Ordinary Shares of Pharvaris N.V. (the “Company”).</w:t>
      </w:r>
    </w:p>
    <w:p>
      <w:pPr>
        <w:spacing w:after="0" w:line="161" w:lineRule="exact"/>
        <w:rPr>
          <w:rFonts w:ascii="Times New Roman" w:cs="Times New Roman" w:eastAsia="Times New Roman" w:hAnsi="Times New Roman"/>
          <w:sz w:val="18"/>
          <w:szCs w:val="18"/>
          <w:color w:val="auto"/>
        </w:rPr>
      </w:pPr>
    </w:p>
    <w:p>
      <w:pPr>
        <w:ind w:left="760" w:right="20" w:hanging="752"/>
        <w:spacing w:after="0" w:line="282" w:lineRule="auto"/>
        <w:tabs>
          <w:tab w:leader="none" w:pos="3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or the Securities Act, this registration statement shall also cover any additional shares of the registrant’s securities that become issuable by reason of any stock splits, stock dividend or similar transaction.</w:t>
      </w:r>
    </w:p>
    <w:p>
      <w:pPr>
        <w:spacing w:after="0" w:line="161"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3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estimate is made pursuant to Rule 457(c) of the Securities Act solely for purposes of calculating the registration fee. The price per share and aggregate offering price are based upon the average of the high and low prices of the Registrant’s Ordinary Shares on February 29, 2024, as reported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212"/>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2"/>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lowerRoman"/>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1."/>
      <w:numFmt w:val="lowerRoman"/>
      <w:start w:val="1"/>
    </w:lvl>
  </w:abstractNum>
  <w:abstractNum w:abstractNumId="12">
    <w:nsid w:val="5072367"/>
    <w:multiLevelType w:val="hybridMultilevel"/>
    <w:lvl w:ilvl="0">
      <w:lvlJc w:val="left"/>
      <w:lvlText w:val="%1."/>
      <w:numFmt w:val="lowerRoman"/>
      <w:start w:val="5"/>
    </w:lvl>
  </w:abstractNum>
  <w:abstractNum w:abstractNumId="13">
    <w:nsid w:val="3804823E"/>
    <w:multiLevelType w:val="hybridMultilevel"/>
    <w:lvl w:ilvl="0">
      <w:lvlJc w:val="left"/>
      <w:lvlText w:val="%1."/>
      <w:numFmt w:val="lowerRoman"/>
      <w:start w:val="1"/>
    </w:lvl>
  </w:abstractNum>
  <w:abstractNum w:abstractNumId="14">
    <w:nsid w:val="77465F01"/>
    <w:multiLevelType w:val="hybridMultilevel"/>
    <w:lvl w:ilvl="0">
      <w:lvlJc w:val="left"/>
      <w:lvlText w:val="%1."/>
      <w:numFmt w:val="lowerRoman"/>
      <w:start w:val="1"/>
    </w:lvl>
  </w:abstractNum>
  <w:abstractNum w:abstractNumId="15">
    <w:nsid w:val="7724C67E"/>
    <w:multiLevelType w:val="hybridMultilevel"/>
    <w:lvl w:ilvl="0">
      <w:lvlJc w:val="left"/>
      <w:lvlText w:val="%1."/>
      <w:numFmt w:val="lowerRoman"/>
      <w:start w:val="1"/>
    </w:lvl>
  </w:abstractNum>
  <w:abstractNum w:abstractNumId="16">
    <w:nsid w:val="5C482A97"/>
    <w:multiLevelType w:val="hybridMultilevel"/>
    <w:lvl w:ilvl="0">
      <w:lvlJc w:val="left"/>
      <w:lvlText w:val="%1."/>
      <w:numFmt w:val="lowerRoman"/>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upperLetter"/>
      <w:start w:val="1"/>
    </w:lvl>
  </w:abstractNum>
  <w:abstractNum w:abstractNumId="20">
    <w:nsid w:val="2D517796"/>
    <w:multiLevelType w:val="hybridMultilevel"/>
    <w:lvl w:ilvl="0">
      <w:lvlJc w:val="left"/>
      <w:lvlText w:val="%1."/>
      <w:numFmt w:val="upperLetter"/>
      <w:start w:val="9"/>
    </w:lvl>
  </w:abstractNum>
  <w:abstractNum w:abstractNumId="21">
    <w:nsid w:val="580BD78F"/>
    <w:multiLevelType w:val="hybridMultilevel"/>
    <w:lvl w:ilvl="0">
      <w:lvlJc w:val="left"/>
      <w:lvlText w:val="%1."/>
      <w:numFmt w:val="upperLetter"/>
      <w:start w:val="35"/>
    </w:lvl>
  </w:abstractNum>
  <w:abstractNum w:abstractNumId="22">
    <w:nsid w:val="153EA438"/>
    <w:multiLevelType w:val="hybridMultilevel"/>
    <w:lvl w:ilvl="0">
      <w:lvlJc w:val="left"/>
      <w:lvlText w:val="%1."/>
      <w:numFmt w:val="upperLetter"/>
      <w:start w:val="61"/>
    </w:lvl>
  </w:abstractNum>
  <w:abstractNum w:abstractNumId="23">
    <w:nsid w:val="3855585C"/>
    <w:multiLevelType w:val="hybridMultilevel"/>
    <w:lvl w:ilvl="0">
      <w:lvlJc w:val="left"/>
      <w:lvlText w:val="%1"/>
      <w:numFmt w:val="upperLetter"/>
      <w:start w:val="1"/>
    </w:lvl>
    <w:lvl w:ilvl="1">
      <w:lvlJc w:val="left"/>
      <w:lvlText w:val="%2."/>
      <w:numFmt w:val="upperLetter"/>
      <w:start w:val="22"/>
    </w:lvl>
  </w:abstractNum>
  <w:abstractNum w:abstractNumId="24">
    <w:nsid w:val="70A64E2A"/>
    <w:multiLevelType w:val="hybridMultilevel"/>
    <w:lvl w:ilvl="0">
      <w:lvlJc w:val="left"/>
      <w:lvlText w:val="%1."/>
      <w:numFmt w:val="upperLetter"/>
      <w:start w:val="2"/>
    </w:lvl>
    <w:lvl w:ilvl="1">
      <w:lvlJc w:val="left"/>
      <w:lvlText w:val="%2"/>
      <w:numFmt w:val="upperLetter"/>
      <w:start w:val="1"/>
    </w:lvl>
  </w:abstractNum>
  <w:abstractNum w:abstractNumId="25">
    <w:nsid w:val="6A2342EC"/>
    <w:multiLevelType w:val="hybridMultilevel"/>
    <w:lvl w:ilvl="0">
      <w:lvlJc w:val="left"/>
      <w:lvlText w:val="%1."/>
      <w:numFmt w:val="upperLetter"/>
      <w:start w:val="3"/>
    </w:lvl>
  </w:abstractNum>
  <w:abstractNum w:abstractNumId="26">
    <w:nsid w:val="2A487CB0"/>
    <w:multiLevelType w:val="hybridMultilevel"/>
    <w:lvl w:ilvl="0">
      <w:lvlJc w:val="left"/>
      <w:lvlText w:val="%1."/>
      <w:numFmt w:val="upperLetter"/>
      <w:start w:val="4"/>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upperLetter"/>
      <w:start w:val="5"/>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1."/>
      <w:numFmt w:val="upperLetter"/>
      <w:start w:val="6"/>
    </w:lvl>
  </w:abstractNum>
  <w:abstractNum w:abstractNumId="32">
    <w:nsid w:val="4B588F54"/>
    <w:multiLevelType w:val="hybridMultilevel"/>
    <w:lvl w:ilvl="0">
      <w:lvlJc w:val="left"/>
      <w:lvlText w:val="%1."/>
      <w:numFmt w:val="upperLetter"/>
      <w:start w:val="9"/>
    </w:lvl>
  </w:abstractNum>
  <w:abstractNum w:abstractNumId="33">
    <w:nsid w:val="542289EC"/>
    <w:multiLevelType w:val="hybridMultilevel"/>
    <w:lvl w:ilvl="0">
      <w:lvlJc w:val="left"/>
      <w:lvlText w:val="%1."/>
      <w:numFmt w:val="upperLetter"/>
      <w:start w:val="10"/>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lowerRoman"/>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6">
    <w:nsid w:val="70C6A529"/>
    <w:multiLevelType w:val="hybridMultilevel"/>
    <w:lvl w:ilvl="0">
      <w:lvlJc w:val="left"/>
      <w:lvlText w:val="%1"/>
      <w:numFmt w:val="decimal"/>
      <w:start w:val="1"/>
    </w:lvl>
    <w:lvl w:ilvl="1">
      <w:lvlJc w:val="left"/>
      <w:lvlText w:val="(%2)"/>
      <w:numFmt w:val="upperLetter"/>
      <w:start w:val="1"/>
    </w:lvl>
  </w:abstractNum>
  <w:abstractNum w:abstractNumId="47">
    <w:nsid w:val="520EEDD1"/>
    <w:multiLevelType w:val="hybridMultilevel"/>
    <w:lvl w:ilvl="0">
      <w:lvlJc w:val="left"/>
      <w:lvlText w:val="(%1)"/>
      <w:numFmt w:val="decimal"/>
      <w:start w:val="2"/>
    </w:lvl>
    <w:lvl w:ilvl="1">
      <w:lvlJc w:val="left"/>
      <w:lvlText w:val="(%2)"/>
      <w:numFmt w:val="upperLetter"/>
      <w:start w:val="1"/>
    </w:lvl>
  </w:abstractNum>
  <w:abstractNum w:abstractNumId="48">
    <w:nsid w:val="374A3FE6"/>
    <w:multiLevelType w:val="hybridMultilevel"/>
    <w:lvl w:ilvl="0">
      <w:lvlJc w:val="left"/>
      <w:lvlText w:val="%1"/>
      <w:numFmt w:val="decimal"/>
      <w:start w:val="1"/>
    </w:lvl>
    <w:lvl w:ilvl="1">
      <w:lvlJc w:val="left"/>
      <w:lvlText w:val="(%2)"/>
      <w:numFmt w:val="upperLetter"/>
      <w:start w:val="2"/>
    </w:lvl>
  </w:abstractNum>
  <w:abstractNum w:abstractNumId="49">
    <w:nsid w:val="4F4EF005"/>
    <w:multiLevelType w:val="hybridMultilevel"/>
    <w:lvl w:ilvl="0">
      <w:lvlJc w:val="left"/>
      <w:lvlText w:val="(%1)"/>
      <w:numFmt w:val="decimal"/>
      <w:start w:val="6"/>
    </w:lvl>
    <w:lvl w:ilvl="1">
      <w:lvlJc w:val="left"/>
      <w:lvlText w:val="%2"/>
      <w:numFmt w:val="upperLetter"/>
      <w:start w:val="1"/>
    </w:lvl>
  </w:abstractNum>
  <w:abstractNum w:abstractNumId="50">
    <w:nsid w:val="23F9C13C"/>
    <w:multiLevelType w:val="hybridMultilevel"/>
    <w:lvl w:ilvl="0">
      <w:lvlJc w:val="left"/>
      <w:lvlText w:val="(%1)"/>
      <w:numFmt w:val="lowerRoman"/>
      <w:start w:val="1"/>
    </w:lvl>
  </w:abstractNum>
  <w:abstractNum w:abstractNumId="51">
    <w:nsid w:val="649BB77C"/>
    <w:multiLevelType w:val="hybridMultilevel"/>
    <w:lvl w:ilvl="0">
      <w:lvlJc w:val="left"/>
      <w:lvlText w:val="(%1)"/>
      <w:numFmt w:val="lowerRoman"/>
      <w:start w:val="2"/>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lowerLetter"/>
      <w:start w:val="6"/>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upperLetter"/>
      <w:start w:val="1"/>
    </w:lvl>
  </w:abstractNum>
  <w:abstractNum w:abstractNumId="56">
    <w:nsid w:val="235BA861"/>
    <w:multiLevelType w:val="hybridMultilevel"/>
    <w:lvl w:ilvl="0">
      <w:lvlJc w:val="left"/>
      <w:lvlText w:val="%1."/>
      <w:numFmt w:val="upperLetter"/>
      <w:start w:val="4"/>
    </w:lvl>
    <w:lvl w:ilvl="1">
      <w:lvlJc w:val="left"/>
      <w:lvlText w:val="%2."/>
      <w:numFmt w:val="lowerLetter"/>
      <w:start w:val="1"/>
    </w:lvl>
  </w:abstractNum>
  <w:abstractNum w:abstractNumId="57">
    <w:nsid w:val="47398C89"/>
    <w:multiLevelType w:val="hybridMultilevel"/>
    <w:lvl w:ilvl="0">
      <w:lvlJc w:val="left"/>
      <w:lvlText w:val="%1."/>
      <w:numFmt w:val="upperLetter"/>
      <w:start w:val="5"/>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jpeg"/><Relationship Id="rId90" Type="http://schemas.openxmlformats.org/officeDocument/2006/relationships/image" Target="media/image65.png"/><Relationship Id="rId91" Type="http://schemas.openxmlformats.org/officeDocument/2006/relationships/image" Target="media/image66.jpeg"/><Relationship Id="rId92" Type="http://schemas.openxmlformats.org/officeDocument/2006/relationships/image" Target="media/image67.png"/><Relationship Id="rId93" Type="http://schemas.openxmlformats.org/officeDocument/2006/relationships/image" Target="media/image68.jpeg"/><Relationship Id="rId94" Type="http://schemas.openxmlformats.org/officeDocument/2006/relationships/image" Target="media/image69.png"/><Relationship Id="rId95" Type="http://schemas.openxmlformats.org/officeDocument/2006/relationships/image" Target="media/image70.jpeg"/><Relationship Id="rId96" Type="http://schemas.openxmlformats.org/officeDocument/2006/relationships/image" Target="media/image71.png"/><Relationship Id="rId97" Type="http://schemas.openxmlformats.org/officeDocument/2006/relationships/image" Target="media/image72.jpeg"/><Relationship Id="rId98" Type="http://schemas.openxmlformats.org/officeDocument/2006/relationships/image" Target="media/image73.png"/><Relationship Id="rId99" Type="http://schemas.openxmlformats.org/officeDocument/2006/relationships/image" Target="media/image74.jpeg"/><Relationship Id="rId100" Type="http://schemas.openxmlformats.org/officeDocument/2006/relationships/image" Target="media/image75.png"/><Relationship Id="rId101" Type="http://schemas.openxmlformats.org/officeDocument/2006/relationships/image" Target="media/image76.jpeg"/><Relationship Id="rId102" Type="http://schemas.openxmlformats.org/officeDocument/2006/relationships/image" Target="media/image77.png"/><Relationship Id="rId103" Type="http://schemas.openxmlformats.org/officeDocument/2006/relationships/image" Target="media/image78.jpe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jpe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62" Type="http://schemas.openxmlformats.org/officeDocument/2006/relationships/hyperlink" Target="https://www.sec.gov/ix?doc=/Archives/edgar/data/0001830487/000095017023011842/phvs-20221231.htm" TargetMode="External"/><Relationship Id="rId63" Type="http://schemas.openxmlformats.org/officeDocument/2006/relationships/hyperlink" Target="https://www.sec.gov/Archives/edgar/data/1830487/000156459023000268/phvs-6k_20230109.htm" TargetMode="External"/><Relationship Id="rId64" Type="http://schemas.openxmlformats.org/officeDocument/2006/relationships/hyperlink" Target="https://www.sec.gov/Archives/edgar/data/1830487/000095017023002697/26-week_rodent_toxicolog.htm" TargetMode="External"/><Relationship Id="rId65" Type="http://schemas.openxmlformats.org/officeDocument/2006/relationships/hyperlink" Target="https://www.sec.gov/Archives/edgar/data/1830487/000095017023006722/slide_update_-_toxicolog.htm" TargetMode="External"/><Relationship Id="rId66" Type="http://schemas.openxmlformats.org/officeDocument/2006/relationships/hyperlink" Target="https://www.sec.gov/Archives/edgar/data/1830487/000095017023018464/6-k_q1_23.htm" TargetMode="External"/><Relationship Id="rId67" Type="http://schemas.openxmlformats.org/officeDocument/2006/relationships/hyperlink" Target="https://www.sec.gov/Archives/edgar/data/1830487/000095017023028765/pipe.htm" TargetMode="External"/><Relationship Id="rId68" Type="http://schemas.openxmlformats.org/officeDocument/2006/relationships/hyperlink" Target="https://www.sec.gov/Archives/edgar/data/1830487/000095017023029721/fda_hold_lift_on-demand.htm" TargetMode="External"/><Relationship Id="rId69" Type="http://schemas.openxmlformats.org/officeDocument/2006/relationships/hyperlink" Target="https://www.sec.gov/Archives/edgar/data/1830487/000095017023029954/material_us_and_dutch_ta.htm" TargetMode="External"/><Relationship Id="rId70" Type="http://schemas.openxmlformats.org/officeDocument/2006/relationships/hyperlink" Target="https://www.sec.gov/Archives/edgar/data/1830487/000095017023031254/departure_of_certain_off.htm" TargetMode="External"/><Relationship Id="rId71" Type="http://schemas.openxmlformats.org/officeDocument/2006/relationships/hyperlink" Target="https://www.sec.gov/ix?doc=/Archives/edgar/data/0001830487/000095017023038727/phvs-20230630.htm" TargetMode="External"/><Relationship Id="rId72" Type="http://schemas.openxmlformats.org/officeDocument/2006/relationships/hyperlink" Target="https://www.sec.gov/Archives/edgar/data/1830487/000095017023057733/6-k_q3_23.htm" TargetMode="External"/><Relationship Id="rId73" Type="http://schemas.openxmlformats.org/officeDocument/2006/relationships/hyperlink" Target="https://www.sec.gov/Archives/edgar/data/1830487/000095017023068432/pr_data_and_corp_present.htm" TargetMode="External"/><Relationship Id="rId74" Type="http://schemas.openxmlformats.org/officeDocument/2006/relationships/hyperlink" Target="https://www.sec.gov/Archives/edgar/data/1830487/000095017024016144/6-k_egm_pr_announcement.htm" TargetMode="External"/><Relationship Id="rId75" Type="http://schemas.openxmlformats.org/officeDocument/2006/relationships/hyperlink" Target="https://www.sec.gov/Archives/edgar/data/1830487/000095017024027155/egm_2024.htm" TargetMode="External"/><Relationship Id="rId76" Type="http://schemas.openxmlformats.org/officeDocument/2006/relationships/hyperlink" Target="https://www.sec.gov/Archives/edgar/data/1830487/000119312521028346/d91705d8a12b.htm" TargetMode="External"/><Relationship Id="rId77" Type="http://schemas.openxmlformats.org/officeDocument/2006/relationships/hyperlink" Target="https://www.sec.gov/Archives/edgar/data/1830487/000119312521140476/d51199dex21.htm" TargetMode="External"/><Relationship Id="rId81" Type="http://schemas.openxmlformats.org/officeDocument/2006/relationships/hyperlink" Target="https://www.sec.gov/Archives/edgar/data/1830487/000095017024027155/phvs-ex3_1.htm" TargetMode="External"/><Relationship Id="rId82" Type="http://schemas.openxmlformats.org/officeDocument/2006/relationships/hyperlink" Target="https://www.sec.gov/Archives/edgar/data/1830487/000095017024012166/phvs-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2024-03-06T15:50:20Z</dcterms:created>
  <dcterms:modified xsi:type="dcterms:W3CDTF">2024-03-06T15:50:20Z</dcterms:modified>
</cp:coreProperties>
</file>