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Ordinary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360" w:firstLine="5"/>
        <w:spacing w:after="0" w:line="226" w:lineRule="exact"/>
        <w:tabs>
          <w:tab w:leader="none" w:pos="79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71"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Page 2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Page 3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PH B.V.</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Page 4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Coöperatief U.A.</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Page 5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Partners (Bermuda) IV,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Page 6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Partners (Bermuda) EU,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Page 7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Partners (Lux) SCSp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Page 8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Coöperatief,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Page 9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GAP Coinvestments III,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10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GAP Coinvestments IV,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11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GAP Coinvestments V,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12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GAP Coinvestments CDA,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13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GenPar, (Lux) SCSp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14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(Lux) S.à r.l.</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15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General Atlantic GenPar (Bermuda),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16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GAP (Bermuda)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40" w:type="dxa"/>
            <w:vAlign w:val="bottom"/>
            <w:tcBorders>
              <w:bottom w:val="single" w:sz="8" w:color="auto"/>
            </w:tcBorders>
            <w:gridSpan w:val="2"/>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7,531,252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17 of 26</w:t>
            </w:r>
          </w:p>
        </w:tc>
      </w:tr>
      <w:tr>
        <w:trPr>
          <w:trHeight w:val="64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(a)    NAME OF ISSUER</w:t>
            </w:r>
          </w:p>
        </w:tc>
        <w:tc>
          <w:tcPr>
            <w:tcW w:w="4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2"/>
        </w:trPr>
        <w:tc>
          <w:tcPr>
            <w:tcW w:w="840" w:type="dxa"/>
            <w:vAlign w:val="bottom"/>
          </w:tcPr>
          <w:p>
            <w:pPr>
              <w:spacing w:after="0"/>
              <w:rPr>
                <w:sz w:val="24"/>
                <w:szCs w:val="24"/>
                <w:color w:val="auto"/>
              </w:rPr>
            </w:pPr>
          </w:p>
        </w:tc>
        <w:tc>
          <w:tcPr>
            <w:tcW w:w="368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Pharvaris N.V. (the “Company”).</w:t>
            </w:r>
          </w:p>
        </w:tc>
        <w:tc>
          <w:tcPr>
            <w:tcW w:w="4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21" w:lineRule="exact"/>
        <w:rPr>
          <w:sz w:val="20"/>
          <w:szCs w:val="20"/>
          <w:color w:val="auto"/>
        </w:rPr>
      </w:pPr>
    </w:p>
    <w:p>
      <w:pPr>
        <w:ind w:left="1700" w:right="4580" w:hanging="558"/>
        <w:spacing w:after="0" w:line="500" w:lineRule="auto"/>
        <w:tabs>
          <w:tab w:leader="none" w:pos="1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Emmy Noetherweg 2, 2333 BK Leiden, The Netherlands</w:t>
      </w:r>
    </w:p>
    <w:p>
      <w:pPr>
        <w:spacing w:after="0" w:line="2" w:lineRule="exact"/>
        <w:rPr>
          <w:sz w:val="20"/>
          <w:szCs w:val="20"/>
          <w:color w:val="auto"/>
        </w:rPr>
      </w:pPr>
    </w:p>
    <w:p>
      <w:pPr>
        <w:spacing w:after="0"/>
        <w:tabs>
          <w:tab w:leader="none" w:pos="1120" w:val="left"/>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NAMES OF PERSONS FILING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Statement is being filed on behalf of each of the following persons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L.P. (“</w:t>
      </w:r>
      <w:r>
        <w:rPr>
          <w:rFonts w:ascii="Times New Roman" w:cs="Times New Roman" w:eastAsia="Times New Roman" w:hAnsi="Times New Roman"/>
          <w:sz w:val="18"/>
          <w:szCs w:val="18"/>
          <w:u w:val="single" w:color="auto"/>
          <w:color w:val="auto"/>
        </w:rPr>
        <w:t>GA LP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PH B.V. (“</w:t>
      </w:r>
      <w:r>
        <w:rPr>
          <w:rFonts w:ascii="Times New Roman" w:cs="Times New Roman" w:eastAsia="Times New Roman" w:hAnsi="Times New Roman"/>
          <w:sz w:val="18"/>
          <w:szCs w:val="18"/>
          <w:u w:val="single" w:color="auto"/>
          <w:color w:val="auto"/>
        </w:rPr>
        <w:t>GA PH</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Coöperatief U.A. (“</w:t>
      </w:r>
      <w:r>
        <w:rPr>
          <w:rFonts w:ascii="Times New Roman" w:cs="Times New Roman" w:eastAsia="Times New Roman" w:hAnsi="Times New Roman"/>
          <w:sz w:val="18"/>
          <w:szCs w:val="18"/>
          <w:u w:val="single" w:color="auto"/>
          <w:color w:val="auto"/>
        </w:rPr>
        <w:t>GA Coop UA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Partners (Bermuda) IV, L.P. (“</w:t>
      </w:r>
      <w:r>
        <w:rPr>
          <w:rFonts w:ascii="Times New Roman" w:cs="Times New Roman" w:eastAsia="Times New Roman" w:hAnsi="Times New Roman"/>
          <w:sz w:val="18"/>
          <w:szCs w:val="18"/>
          <w:u w:val="single" w:color="auto"/>
          <w:color w:val="auto"/>
        </w:rPr>
        <w:t>GAP Bermuda IV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Partners (Bermuda) EU, L.P. (“</w:t>
      </w:r>
      <w:r>
        <w:rPr>
          <w:rFonts w:ascii="Times New Roman" w:cs="Times New Roman" w:eastAsia="Times New Roman" w:hAnsi="Times New Roman"/>
          <w:sz w:val="18"/>
          <w:szCs w:val="18"/>
          <w:u w:val="single" w:color="auto"/>
          <w:color w:val="auto"/>
        </w:rPr>
        <w:t>GAP Bermuda EU</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Partners (Lux) SCSp (“</w:t>
      </w:r>
      <w:r>
        <w:rPr>
          <w:rFonts w:ascii="Times New Roman" w:cs="Times New Roman" w:eastAsia="Times New Roman" w:hAnsi="Times New Roman"/>
          <w:sz w:val="18"/>
          <w:szCs w:val="18"/>
          <w:u w:val="single" w:color="auto"/>
          <w:color w:val="auto"/>
        </w:rPr>
        <w:t>GAP Lux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Coöperatief, L.P. (“</w:t>
      </w:r>
      <w:r>
        <w:rPr>
          <w:rFonts w:ascii="Times New Roman" w:cs="Times New Roman" w:eastAsia="Times New Roman" w:hAnsi="Times New Roman"/>
          <w:sz w:val="18"/>
          <w:szCs w:val="18"/>
          <w:u w:val="single" w:color="auto"/>
          <w:color w:val="auto"/>
        </w:rPr>
        <w:t>GA Coop LP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III, LLC (“</w:t>
      </w:r>
      <w:r>
        <w:rPr>
          <w:rFonts w:ascii="Times New Roman" w:cs="Times New Roman" w:eastAsia="Times New Roman" w:hAnsi="Times New Roman"/>
          <w:sz w:val="18"/>
          <w:szCs w:val="18"/>
          <w:u w:val="single" w:color="auto"/>
          <w:color w:val="auto"/>
        </w:rPr>
        <w:t>GAPCO 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IV, LLC (“</w:t>
      </w:r>
      <w:r>
        <w:rPr>
          <w:rFonts w:ascii="Times New Roman" w:cs="Times New Roman" w:eastAsia="Times New Roman" w:hAnsi="Times New Roman"/>
          <w:sz w:val="18"/>
          <w:szCs w:val="18"/>
          <w:u w:val="single" w:color="auto"/>
          <w:color w:val="auto"/>
        </w:rPr>
        <w:t>GAPCO IV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V, LLC (“</w:t>
      </w:r>
      <w:r>
        <w:rPr>
          <w:rFonts w:ascii="Times New Roman" w:cs="Times New Roman" w:eastAsia="Times New Roman" w:hAnsi="Times New Roman"/>
          <w:sz w:val="18"/>
          <w:szCs w:val="18"/>
          <w:u w:val="single" w:color="auto"/>
          <w:color w:val="auto"/>
        </w:rPr>
        <w:t>GAPCO 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CDA, L.P. (“</w:t>
      </w:r>
      <w:r>
        <w:rPr>
          <w:rFonts w:ascii="Times New Roman" w:cs="Times New Roman" w:eastAsia="Times New Roman" w:hAnsi="Times New Roman"/>
          <w:sz w:val="18"/>
          <w:szCs w:val="18"/>
          <w:u w:val="single" w:color="auto"/>
          <w:color w:val="auto"/>
        </w:rPr>
        <w:t>GAPCO CDA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GenPar, (Lux) SCSp (“</w:t>
      </w:r>
      <w:r>
        <w:rPr>
          <w:rFonts w:ascii="Times New Roman" w:cs="Times New Roman" w:eastAsia="Times New Roman" w:hAnsi="Times New Roman"/>
          <w:sz w:val="18"/>
          <w:szCs w:val="18"/>
          <w:u w:val="single" w:color="auto"/>
          <w:color w:val="auto"/>
        </w:rPr>
        <w:t>GA GenPar Lux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(Lux) S.à r.l. (“</w:t>
      </w:r>
      <w:r>
        <w:rPr>
          <w:rFonts w:ascii="Times New Roman" w:cs="Times New Roman" w:eastAsia="Times New Roman" w:hAnsi="Times New Roman"/>
          <w:sz w:val="18"/>
          <w:szCs w:val="18"/>
          <w:u w:val="single" w:color="auto"/>
          <w:color w:val="auto"/>
        </w:rPr>
        <w:t>GA Lux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GenPar (Bermuda), L.P. (“</w:t>
      </w:r>
      <w:r>
        <w:rPr>
          <w:rFonts w:ascii="Times New Roman" w:cs="Times New Roman" w:eastAsia="Times New Roman" w:hAnsi="Times New Roman"/>
          <w:sz w:val="18"/>
          <w:szCs w:val="18"/>
          <w:u w:val="single" w:color="auto"/>
          <w:color w:val="auto"/>
        </w:rPr>
        <w:t>GenPar Bermuda</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L.P. (“</w:t>
      </w:r>
      <w:r>
        <w:rPr>
          <w:rFonts w:ascii="Times New Roman" w:cs="Times New Roman" w:eastAsia="Times New Roman" w:hAnsi="Times New Roman"/>
          <w:sz w:val="18"/>
          <w:szCs w:val="18"/>
          <w:u w:val="single" w:color="auto"/>
          <w:color w:val="auto"/>
        </w:rPr>
        <w:t>GAP (Bermuda) LP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GAP (Bermuda) IV, GAP (Bermuda) EU, GAP Lux and GA Coop LP are collectively referred to as the “</w:t>
      </w:r>
      <w:r>
        <w:rPr>
          <w:rFonts w:ascii="Times New Roman" w:cs="Times New Roman" w:eastAsia="Times New Roman" w:hAnsi="Times New Roman"/>
          <w:sz w:val="18"/>
          <w:szCs w:val="18"/>
          <w:u w:val="single" w:color="auto"/>
          <w:color w:val="auto"/>
        </w:rPr>
        <w:t>GA Funds</w:t>
      </w:r>
      <w:r>
        <w:rPr>
          <w:rFonts w:ascii="Times New Roman" w:cs="Times New Roman" w:eastAsia="Times New Roman" w:hAnsi="Times New Roman"/>
          <w:sz w:val="18"/>
          <w:szCs w:val="18"/>
          <w:color w:val="auto"/>
        </w:rPr>
        <w:t>.” GAPCO III, GAPCO IV, GAPCO V and GAPCO CDA are collectively referred to as the “</w:t>
      </w:r>
      <w:r>
        <w:rPr>
          <w:rFonts w:ascii="Times New Roman" w:cs="Times New Roman" w:eastAsia="Times New Roman" w:hAnsi="Times New Roman"/>
          <w:sz w:val="18"/>
          <w:szCs w:val="18"/>
          <w:u w:val="single" w:color="auto"/>
          <w:color w:val="auto"/>
        </w:rPr>
        <w:t>Sponsor Coinvestment Funds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7" w:name="page18"/>
    <w:bookmarkEnd w:id="17"/>
    <w:p>
      <w:pPr>
        <w:ind w:left="40"/>
        <w:spacing w:after="0"/>
        <w:tabs>
          <w:tab w:leader="none" w:pos="492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18 of 26</w:t>
      </w: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700" w:hanging="558"/>
        <w:spacing w:after="0"/>
        <w:tabs>
          <w:tab w:leader="none" w:pos="1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address of GA Coop LP, GAP Bermuda IV, GAP Bermuda EU, GenPar Bermuda, and GAP (Bermuda) LP is c/o Conyers Client Services (Bermuda) Limited, Clarendon House, 2 Church Street, Hamilton HM 11, Bermuda. The address of GA PH and GA Coop UA is c/o General Atlantic, Prinsengracht 769, Amsterdam, 1017 JZ The Netherlands. The address of GAP Lux, GA GenPar Lux and GA Lux is 412F Route d’Esch, L-1471 Luxembourg. The address of GA LP and each of the Sponsor Coinvestment Funds is c/o General Atlantic Service Company, L.P., 55 East 52nd Street, 33rd Floor, New York, NY 10055.</w:t>
      </w:r>
    </w:p>
    <w:p>
      <w:pPr>
        <w:spacing w:after="0" w:line="179" w:lineRule="exact"/>
        <w:rPr>
          <w:sz w:val="20"/>
          <w:szCs w:val="20"/>
          <w:color w:val="auto"/>
        </w:rPr>
      </w:pPr>
    </w:p>
    <w:p>
      <w:pPr>
        <w:ind w:left="1700" w:hanging="558"/>
        <w:spacing w:after="0"/>
        <w:tabs>
          <w:tab w:leader="none" w:pos="1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LP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PH – The Netherlands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Coop UA - The Netherlands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IV - Bermuda</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EU – Bermuda</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Lux - Luxembourg</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Coop LP - Bermuda</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III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IV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V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CDA - Delaware</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GenPar Lux - Luxembourg</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Lux - Luxembourg</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GenPar Bermuda - Bermuda</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LP – Bermuda</w:t>
      </w:r>
    </w:p>
    <w:p>
      <w:pPr>
        <w:spacing w:after="0" w:line="248" w:lineRule="exact"/>
        <w:rPr>
          <w:sz w:val="20"/>
          <w:szCs w:val="20"/>
          <w:color w:val="auto"/>
        </w:rPr>
      </w:pPr>
    </w:p>
    <w:p>
      <w:pPr>
        <w:ind w:left="1700" w:hanging="558"/>
        <w:spacing w:after="0"/>
        <w:tabs>
          <w:tab w:leader="none" w:pos="1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Ordinary shares, par value €0.12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700" w:hanging="558"/>
        <w:spacing w:after="0"/>
        <w:tabs>
          <w:tab w:leader="none" w:pos="1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N69605108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18" w:name="page19"/>
    <w:bookmarkEnd w:id="18"/>
    <w:p>
      <w:pPr>
        <w:ind w:left="40"/>
        <w:spacing w:after="0"/>
        <w:tabs>
          <w:tab w:leader="none" w:pos="492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19 of 26</w:t>
      </w: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140" w:right="28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January 25, 2024, the Reporting Persons owned the following number of the Company’s common stock:</w:t>
      </w:r>
    </w:p>
    <w:p>
      <w:pPr>
        <w:spacing w:after="0" w:line="225" w:lineRule="exact"/>
        <w:rPr>
          <w:sz w:val="20"/>
          <w:szCs w:val="20"/>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LP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PH owned of record 7,531,252 ordinary shares or 14.1%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Coop UA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IV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EU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Lux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Coop LP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III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IV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V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CDA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GenPar Lux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Lux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GenPar Bermuda owned of record no ordinary shares or 0.0% of the issued and outstanding ordinary shares</w:t>
      </w:r>
    </w:p>
    <w:p>
      <w:pPr>
        <w:spacing w:after="0" w:line="22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(Bermuda) LP owned of record no ordinary shares or 0.0% of the issued and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19" w:name="page20"/>
    <w:bookmarkEnd w:id="19"/>
    <w:p>
      <w:pPr>
        <w:ind w:left="40"/>
        <w:spacing w:after="0"/>
        <w:tabs>
          <w:tab w:leader="none" w:pos="492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20 of 26</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GA PH is a wholly owned subsidiary of GA Coop UA. The GA Funds and the Sponsor Coinvestment Funds share beneficial ownership of the shares of common stock held of record by GA PH. The general partner of GAP Lux is GA GenPar Lux and the general partner of GA GenPar Lux is GA Lux. The general partner of GAP Bermuda IV and GAP Bermuda EU and the sole shareholder of GA Lux is GenPar Bermuda. GAP (Bermuda) LP, which is controlled by the management committee of GASC MGP, LLC (the “</w:t>
      </w:r>
      <w:r>
        <w:rPr>
          <w:rFonts w:ascii="Times New Roman" w:cs="Times New Roman" w:eastAsia="Times New Roman" w:hAnsi="Times New Roman"/>
          <w:sz w:val="18"/>
          <w:szCs w:val="18"/>
          <w:u w:val="single" w:color="auto"/>
          <w:color w:val="auto"/>
        </w:rPr>
        <w:t>GA Management Committee</w:t>
      </w:r>
      <w:r>
        <w:rPr>
          <w:rFonts w:ascii="Times New Roman" w:cs="Times New Roman" w:eastAsia="Times New Roman" w:hAnsi="Times New Roman"/>
          <w:sz w:val="18"/>
          <w:szCs w:val="18"/>
          <w:color w:val="auto"/>
        </w:rPr>
        <w:t>”), is the general partner of GenPar Bermuda and GA Coop LP. GA LP, which is also controlled by the GA Management Committee, is the managing member of GAPCO III, GAPCO IV and GAPCO V and the general partner of GAPCO CDA. As of the date hereof, there are eleven members of the GA Management Committee. By virtue of the foregoing, the Reporting Persons may be deemed to share voting power and the power to direct the disposition of the shares that each owns of record. Each of the members of the GA Management Committee disclaims ownership of the ordinary shares reported herein except to the extent that he has a pecuniary interest therein. The name, the address and the citizenship of each of the members of the GA Management Committee as of the date hereof is attached hereto as Schedule A and is hereby incorporated by reference.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virtue of the relationship described above, each of the Reporting Persons may be deemed to beneficially own 7,531,252 ordinary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Percentage Owned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All calculation of percentage ownership herein are based on an aggregate of 53,483,675 ordinary shares, consisting of 52,108,675 ordinary shares represented by the Company to be outstanding as of December 8, 2023 at the closing of the offering contemplated in the Prospectus Supplement filed with the Securities and Exchange Commission on December 7, 2023, pursuant to Rule 424(b)(5), and 1,375,000 ordinary shares that would result from the exercise of pre-funded warrants issued to GA PH in the same offering. In connection with such offering, GAP Bermuda IV filed a notification and report form under the Hart-Scott-Rodino Antitrust Improvements Act of 1976, as amended (the “HSR Act”) with the U.S. Federal Trade Commission and the U.S. Department of Justice. On January 23, 2024, the applicable waiting period pursuant to the HSR Act expired. GA PH exercised the pre-funded warrants on January 25, 2024.</w:t>
      </w:r>
    </w:p>
    <w:p>
      <w:pPr>
        <w:spacing w:after="0" w:line="189"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Number of Shares as to Which Such Person Has Sole/Shared Power to Vote or to Direct the Vote and Sole/Shared Power to Dispose or to Direct the Disposition of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right="48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may be deemed to have the sole power to direct the voting and dispositions of the ordinary shares as indicated on such Reporting Person’s cover page included herein.</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may be deemed to share the power to direct the voting and dispositions of the ordinary shares that may be deemed to be owned beneficially by each of them as indicated on such Reporting Person’s cover page included herein.</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0" w:name="page21"/>
    <w:bookmarkEnd w:id="20"/>
    <w:p>
      <w:pPr>
        <w:ind w:left="40"/>
        <w:spacing w:after="0"/>
        <w:tabs>
          <w:tab w:leader="none" w:pos="492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21 of 26</w:t>
      </w: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140" w:right="9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2, which states the identity of the members of the group filing this Schedule 13G.</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21" w:name="page22"/>
    <w:bookmarkEnd w:id="21"/>
    <w:p>
      <w:pPr>
        <w:ind w:left="40"/>
        <w:spacing w:after="0"/>
        <w:tabs>
          <w:tab w:leader="none" w:pos="492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22 of 26</w:t>
      </w: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1.</w:t>
      </w:r>
      <w:r>
        <w:rPr>
          <w:sz w:val="20"/>
          <w:szCs w:val="20"/>
          <w:color w:val="auto"/>
        </w:rPr>
        <w:tab/>
      </w:r>
      <w:hyperlink r:id="rId32">
        <w:r>
          <w:rPr>
            <w:rFonts w:ascii="Times New Roman" w:cs="Times New Roman" w:eastAsia="Times New Roman" w:hAnsi="Times New Roman"/>
            <w:sz w:val="18"/>
            <w:szCs w:val="18"/>
            <w:u w:val="single" w:color="auto"/>
            <w:color w:val="0000EE"/>
          </w:rPr>
          <w:t>Joint Filing Agreement as required by Rule 13d-1(k)(1) under the Securities Exchange Act of 1934, as amended (previously filed).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22" w:name="page23"/>
    <w:bookmarkEnd w:id="22"/>
    <w:p>
      <w:pPr>
        <w:ind w:left="40"/>
        <w:spacing w:after="0"/>
        <w:tabs>
          <w:tab w:leader="none" w:pos="492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23 of 26</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February 13,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PH B.V.</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I.M. van der Hoorn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I.M. van der Hoorn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J.V. Lepeltak</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J.V. Lepeltak</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B</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COÖPERATIEF U.A.</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I.M. van der Hoorn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I.M. van der Hoorn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J.V. Lepeltak</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J.V. Lepeltak</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B</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PARTNERS (BERMUDA) IV,</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GENPAR (BERMUDA),</w:t>
            </w:r>
          </w:p>
        </w:tc>
        <w:tc>
          <w:tcPr>
            <w:tcW w:w="112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L.P., its 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L.P.,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GP LIMITED,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120" w:type="dxa"/>
            <w:vAlign w:val="bottom"/>
          </w:tcPr>
          <w:p>
            <w:pPr>
              <w:spacing w:after="0"/>
              <w:rPr>
                <w:sz w:val="20"/>
                <w:szCs w:val="20"/>
                <w:color w:val="auto"/>
              </w:rPr>
            </w:pPr>
          </w:p>
        </w:tc>
      </w:tr>
      <w:tr>
        <w:trPr>
          <w:trHeight w:val="547"/>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23" w:name="page24"/>
    <w:bookmarkEnd w:id="23"/>
    <w:p>
      <w:pPr>
        <w:ind w:left="40"/>
        <w:spacing w:after="0"/>
        <w:tabs>
          <w:tab w:leader="none" w:pos="4920" w:val="left"/>
          <w:tab w:leader="none" w:pos="10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24 of 26</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PARTNERS (BERMUDA) EU,</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GENPAR (BERMUDA),</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GP LIMITED,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PARTNERS (LUX) SCSP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GENPAR (LUX) SCSP, its</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ATLANTIC (LUX) S.À R.L.</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Ingrid van der Hoorn</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 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Blackwell</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 B</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ATLANTIC COÖPERATIEF,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L.P., its 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GP LIMITED,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c>
          <w:tcPr>
            <w:tcW w:w="1120" w:type="dxa"/>
            <w:vAlign w:val="bottom"/>
          </w:tcPr>
          <w:p>
            <w:pPr>
              <w:spacing w:after="0"/>
              <w:rPr>
                <w:sz w:val="24"/>
                <w:szCs w:val="24"/>
                <w:color w:val="auto"/>
              </w:rPr>
            </w:pPr>
          </w:p>
        </w:tc>
      </w:tr>
      <w:tr>
        <w:trPr>
          <w:trHeight w:val="191"/>
        </w:trPr>
        <w:tc>
          <w:tcPr>
            <w:tcW w:w="62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120" w:type="dxa"/>
            <w:vAlign w:val="bottom"/>
          </w:tcPr>
          <w:p>
            <w:pPr>
              <w:spacing w:after="0"/>
              <w:rPr>
                <w:sz w:val="20"/>
                <w:szCs w:val="20"/>
                <w:color w:val="auto"/>
              </w:rPr>
            </w:pPr>
          </w:p>
        </w:tc>
      </w:tr>
      <w:tr>
        <w:trPr>
          <w:trHeight w:val="547"/>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24" w:name="page25"/>
    <w:bookmarkEnd w:id="24"/>
    <w:p>
      <w:pPr>
        <w:spacing w:after="0"/>
        <w:tabs>
          <w:tab w:leader="none" w:pos="4880" w:val="left"/>
          <w:tab w:leader="none" w:pos="10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25 of 26</w:t>
      </w:r>
    </w:p>
    <w:p>
      <w:pPr>
        <w:sectPr>
          <w:pgSz w:w="11900" w:h="16838" w:orient="portrait"/>
          <w:cols w:equalWidth="0" w:num="1">
            <w:col w:w="11180"/>
          </w:cols>
          <w:pgMar w:left="360" w:top="819"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GENERAL ATLANTIC, L.P., its managing member</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GENERAL ATLANTIC, L.P., its managing member</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COINVESTMENTS V,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GENERAL ATLANTIC, L.P., its managing member</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ATLANTIC, L.P., its general partner</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348615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19" w:right="359" w:bottom="1440" w:gutter="0" w:footer="0" w:header="0"/>
          <w:type w:val="continuous"/>
        </w:sectPr>
      </w:pPr>
    </w:p>
    <w:bookmarkStart w:id="25" w:name="page26"/>
    <w:bookmarkEnd w:id="25"/>
    <w:p>
      <w:pPr>
        <w:spacing w:after="0"/>
        <w:tabs>
          <w:tab w:leader="none" w:pos="4880" w:val="left"/>
          <w:tab w:leader="none" w:pos="10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26 of 26</w:t>
      </w:r>
    </w:p>
    <w:p>
      <w:pPr>
        <w:sectPr>
          <w:pgSz w:w="11900" w:h="16838" w:orient="portrait"/>
          <w:cols w:equalWidth="0" w:num="1">
            <w:col w:w="11180"/>
          </w:cols>
          <w:pgMar w:left="360" w:top="819"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GENERAL ATLANTIC GENPAR, (LUX) SCSP</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ATLANTIC (LUX)</w:t>
            </w:r>
          </w:p>
        </w:tc>
      </w:tr>
      <w:tr>
        <w:trPr>
          <w:trHeight w:val="234"/>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S.À R.L.</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Ingrid van der Hoorn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Blackwell</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1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GENERAL ATLANTIC (LUX) S.À R.L.</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Ingrid van der Hoorn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Ingrid van der Hoorn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Blackwell</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William Blackwell</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1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GENERAL ATLANTIC GENPAR (BERMUDA), L.P.</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GAP (BERMUDA) GP LIMITED,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Gosk</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Gosk</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1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GAP (BERMUDA) L.P.</w:t>
      </w:r>
    </w:p>
    <w:p>
      <w:pPr>
        <w:spacing w:after="0" w:line="125"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29"/>
          <w:szCs w:val="29"/>
          <w:color w:val="auto"/>
          <w:vertAlign w:val="superscript"/>
        </w:rPr>
        <w:t>By:</w:t>
      </w:r>
      <w:r>
        <w:rPr>
          <w:sz w:val="20"/>
          <w:szCs w:val="20"/>
          <w:color w:val="auto"/>
        </w:rPr>
        <w:tab/>
      </w:r>
      <w:r>
        <w:rPr>
          <w:rFonts w:ascii="Times New Roman" w:cs="Times New Roman" w:eastAsia="Times New Roman" w:hAnsi="Times New Roman"/>
          <w:sz w:val="18"/>
          <w:szCs w:val="18"/>
          <w:color w:val="auto"/>
        </w:rPr>
        <w:t>GAP (BERMUDA) GP LIMITED, its general partner</w:t>
      </w:r>
    </w:p>
    <w:p>
      <w:pPr>
        <w:spacing w:after="0" w:line="202"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4860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348615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19" w:right="35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Members of the GA Management Committee (as of the date hereof)</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William E. Ford</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Gabriel Caillaux</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23 Savile Row</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Andrew Crawford</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Martin Escobari</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Bolivia and Brazil</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Anton J. Levy</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Sandeep Naik</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Marina Bay Financial Centre Tower 1</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 Marina Boulevard, #17-02</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018981, Singapore</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J. Albert Smith</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535 Madison Ave,</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31st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Graves Tompkins</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Lance D. G. Uggla</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23 Savile Row</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Kingdom and Canada</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8"/>
        </w:trPr>
        <w:tc>
          <w:tcPr>
            <w:tcW w:w="374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N. Robbert Vorhoff</w:t>
            </w:r>
          </w:p>
        </w:tc>
        <w:tc>
          <w:tcPr>
            <w:tcW w:w="38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198"/>
        </w:trPr>
        <w:tc>
          <w:tcPr>
            <w:tcW w:w="3740" w:type="dxa"/>
            <w:vAlign w:val="bottom"/>
            <w:tcBorders>
              <w:left w:val="single" w:sz="8" w:color="auto"/>
              <w:right w:val="single" w:sz="8" w:color="auto"/>
            </w:tcBorders>
            <w:shd w:val="clear" w:color="auto" w:fill="C6F4F9"/>
          </w:tcPr>
          <w:p>
            <w:pPr>
              <w:ind w:left="40"/>
              <w:spacing w:after="0" w:line="198" w:lineRule="exact"/>
              <w:rPr>
                <w:sz w:val="20"/>
                <w:szCs w:val="20"/>
                <w:color w:val="auto"/>
              </w:rPr>
            </w:pPr>
            <w:r>
              <w:rPr>
                <w:rFonts w:ascii="Times New Roman" w:cs="Times New Roman" w:eastAsia="Times New Roman" w:hAnsi="Times New Roman"/>
                <w:sz w:val="18"/>
                <w:szCs w:val="18"/>
                <w:color w:val="auto"/>
              </w:rPr>
              <w:t>Eric Zhang</w:t>
            </w:r>
          </w:p>
        </w:tc>
        <w:tc>
          <w:tcPr>
            <w:tcW w:w="382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Suite 5704-5706, 57F</w:t>
            </w:r>
          </w:p>
        </w:tc>
        <w:tc>
          <w:tcPr>
            <w:tcW w:w="36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Hong Kong SAR</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Two IFC, 8 Finance Street</w:t>
            </w:r>
          </w:p>
        </w:tc>
        <w:tc>
          <w:tcPr>
            <w:tcW w:w="3680" w:type="dxa"/>
            <w:vAlign w:val="bottom"/>
            <w:tcBorders>
              <w:right w:val="single" w:sz="8" w:color="auto"/>
            </w:tcBorders>
            <w:shd w:val="clear" w:color="auto" w:fill="C6F4F9"/>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Central, Hong Kong, China</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817"/>
        </w:trPr>
        <w:tc>
          <w:tcPr>
            <w:tcW w:w="37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Roman"/>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32" Type="http://schemas.openxmlformats.org/officeDocument/2006/relationships/hyperlink" Target="https://www.sec.gov/Archives/edgar/data/1017645/000095014223001792/eh230372672_13ga1-pharvaris.htm#exhibi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2024-02-13T09:42:50Z</dcterms:created>
  <dcterms:modified xsi:type="dcterms:W3CDTF">2024-02-13T09:42:50Z</dcterms:modified>
</cp:coreProperties>
</file>