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w w:val="99"/>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7"/>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05"/>
              <w:spacing w:after="0" w:line="152" w:lineRule="exact"/>
              <w:rPr>
                <w:sz w:val="20"/>
                <w:szCs w:val="20"/>
                <w:color w:val="auto"/>
              </w:rPr>
            </w:pPr>
            <w:r>
              <w:rPr>
                <w:rFonts w:ascii="Arial" w:cs="Arial" w:eastAsia="Arial" w:hAnsi="Arial"/>
                <w:sz w:val="16"/>
                <w:szCs w:val="16"/>
                <w:b w:val="1"/>
                <w:bCs w:val="1"/>
                <w:color w:val="auto"/>
                <w:w w:val="97"/>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December 2023</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7"/>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33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In connection with an investor event on December 6, 2023, Pharvaris N.V. (the “Company”) provided a corporate update included in a corporate presentation on its website, provided a presentation to be used in their Key Opinion Leader call and issued a press release, which, among other things, provide an update with respect to the Company’s clinical programs, including top-line Phase 2 data from the CHAPTER-1 study of deucrictibant for the prophylactic treatment of HAE attacks and that it has completed the 26-week rodent toxicology study requested by the FDA. A copy of the corporate presentation is attached hereto as Exhibit 99.1. A copy of the presentation from the Key Opinion leader call is attached hereto as Exhibit 99.2. A copy of the press release is attached hereto as Exhibit 99.3.</w:t>
      </w:r>
    </w:p>
    <w:p>
      <w:pPr>
        <w:spacing w:after="0" w:line="162"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6"/>
          <w:szCs w:val="16"/>
          <w:color w:val="auto"/>
        </w:rPr>
        <w:t>In addition, the Company is filing this Report on Form 6-K for the purpose of updating and supplementing its disclosure regarding the enforceability of judgments against the Company and/or its directors and officers. The updated disclosure, which is attached hereto as Exhibit 99.4 and incorporated herein by reference, updates and supplements the Company’s prior disclosures, including those discussed under the headings “Item 3. Key Information—D. Risk factors.” and “Enforceability of Judgments” in the Company’s Annual Report on Form 20-F for the year ended December 31, 2022 filed with the Securities and Exchange Commission on April 5, 2023.</w:t>
      </w:r>
    </w:p>
    <w:p>
      <w:pPr>
        <w:spacing w:after="0" w:line="16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6"/>
          <w:szCs w:val="16"/>
          <w:color w:val="auto"/>
        </w:rPr>
        <w:t>This Report on Form 6-K (excluding Exhibit 99.1, including Exhibit 99.2, Exhibit 99.3 and Exhibit 99.4) shall be deemed to be incorporated by reference into the Company’s Registration Statement on Form F-3 (File No. 333-263198), the Company’s Registration Statement on Form F-3 (File No. 333-273757) and the Company’s Registration Statement on Form S-8 (File No. 333-252897).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gridSpan w:val="2"/>
          </w:tcPr>
          <w:p>
            <w:pPr>
              <w:ind w:left="42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5040" w:type="dxa"/>
            <w:vAlign w:val="bottom"/>
            <w:gridSpan w:val="8"/>
          </w:tcPr>
          <w:p>
            <w:pPr>
              <w:spacing w:after="0"/>
              <w:rPr>
                <w:sz w:val="20"/>
                <w:szCs w:val="20"/>
                <w:color w:val="auto"/>
              </w:rPr>
            </w:pPr>
            <w:r>
              <w:rPr>
                <w:rFonts w:ascii="Arial" w:cs="Arial" w:eastAsia="Arial" w:hAnsi="Arial"/>
                <w:sz w:val="16"/>
                <w:szCs w:val="16"/>
                <w:color w:val="auto"/>
              </w:rPr>
              <w:t>Date: December 6, 2023</w:t>
            </w:r>
          </w:p>
        </w:tc>
        <w:tc>
          <w:tcPr>
            <w:tcW w:w="180" w:type="dxa"/>
            <w:vAlign w:val="bottom"/>
          </w:tcPr>
          <w:p>
            <w:pPr>
              <w:spacing w:after="0"/>
              <w:rPr>
                <w:sz w:val="24"/>
                <w:szCs w:val="24"/>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42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388"/>
        </w:trPr>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EXHIB INDEX</w:t>
            </w:r>
          </w:p>
        </w:tc>
        <w:tc>
          <w:tcPr>
            <w:tcW w:w="4700" w:type="dxa"/>
            <w:vAlign w:val="bottom"/>
          </w:tcPr>
          <w:p>
            <w:pPr>
              <w:spacing w:after="0"/>
              <w:rPr>
                <w:sz w:val="24"/>
                <w:szCs w:val="24"/>
                <w:color w:val="auto"/>
              </w:rPr>
            </w:pPr>
          </w:p>
        </w:tc>
      </w:tr>
      <w:tr>
        <w:trPr>
          <w:trHeight w:val="361"/>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1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r>
      <w:tr>
        <w:trPr>
          <w:trHeight w:val="154"/>
        </w:trPr>
        <w:tc>
          <w:tcPr>
            <w:tcW w:w="280" w:type="dxa"/>
            <w:vAlign w:val="bottom"/>
          </w:tcPr>
          <w:p>
            <w:pPr>
              <w:spacing w:after="0" w:line="134" w:lineRule="exact"/>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4"/>
          </w:tcPr>
          <w:p>
            <w:pPr>
              <w:spacing w:after="0" w:line="134" w:lineRule="exact"/>
              <w:rPr>
                <w:sz w:val="20"/>
                <w:szCs w:val="20"/>
                <w:color w:val="auto"/>
              </w:rPr>
            </w:pPr>
            <w:r>
              <w:rPr>
                <w:rFonts w:ascii="Times New Roman" w:cs="Times New Roman" w:eastAsia="Times New Roman" w:hAnsi="Times New Roman"/>
                <w:sz w:val="15"/>
                <w:szCs w:val="15"/>
                <w:color w:val="0000FF"/>
              </w:rPr>
              <w:t>Corporate Presentation, dated December 6, 2023.</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700" w:type="dxa"/>
            <w:vAlign w:val="bottom"/>
          </w:tcPr>
          <w:p>
            <w:pPr>
              <w:spacing w:after="0"/>
              <w:rPr>
                <w:sz w:val="13"/>
                <w:szCs w:val="13"/>
                <w:color w:val="auto"/>
              </w:rPr>
            </w:pPr>
          </w:p>
        </w:tc>
      </w:tr>
      <w:tr>
        <w:trPr>
          <w:trHeight w:val="24"/>
        </w:trPr>
        <w:tc>
          <w:tcPr>
            <w:tcW w:w="2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Key Opinion Leader Call Presentation, dated December 6, 2023.</w:t>
            </w:r>
          </w:p>
        </w:tc>
        <w:tc>
          <w:tcPr>
            <w:tcW w:w="4700" w:type="dxa"/>
            <w:vAlign w:val="bottom"/>
          </w:tcPr>
          <w:p>
            <w:pPr>
              <w:spacing w:after="0"/>
              <w:rPr>
                <w:sz w:val="16"/>
                <w:szCs w:val="16"/>
                <w:color w:val="auto"/>
              </w:rPr>
            </w:pPr>
          </w:p>
        </w:tc>
      </w:tr>
      <w:tr>
        <w:trPr>
          <w:trHeight w:val="189"/>
        </w:trPr>
        <w:tc>
          <w:tcPr>
            <w:tcW w:w="280" w:type="dxa"/>
            <w:vAlign w:val="bottom"/>
            <w:tcBorders>
              <w:top w:val="single" w:sz="8" w:color="0000FF"/>
            </w:tcBorders>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3</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December 6, 2023.</w:t>
            </w:r>
          </w:p>
        </w:tc>
        <w:tc>
          <w:tcPr>
            <w:tcW w:w="180" w:type="dxa"/>
            <w:vAlign w:val="bottom"/>
            <w:tcBorders>
              <w:top w:val="single" w:sz="8" w:color="0000FF"/>
            </w:tcBorders>
          </w:tcPr>
          <w:p>
            <w:pPr>
              <w:spacing w:after="0"/>
              <w:rPr>
                <w:sz w:val="16"/>
                <w:szCs w:val="16"/>
                <w:color w:val="auto"/>
              </w:rPr>
            </w:pPr>
          </w:p>
        </w:tc>
        <w:tc>
          <w:tcPr>
            <w:tcW w:w="1340" w:type="dxa"/>
            <w:vAlign w:val="bottom"/>
          </w:tcPr>
          <w:p>
            <w:pPr>
              <w:spacing w:after="0"/>
              <w:rPr>
                <w:sz w:val="16"/>
                <w:szCs w:val="16"/>
                <w:color w:val="auto"/>
              </w:rPr>
            </w:pPr>
          </w:p>
        </w:tc>
        <w:tc>
          <w:tcPr>
            <w:tcW w:w="4700" w:type="dxa"/>
            <w:vAlign w:val="bottom"/>
          </w:tcPr>
          <w:p>
            <w:pPr>
              <w:spacing w:after="0"/>
              <w:rPr>
                <w:sz w:val="16"/>
                <w:szCs w:val="16"/>
                <w:color w:val="auto"/>
              </w:rPr>
            </w:pPr>
          </w:p>
        </w:tc>
      </w:tr>
      <w:tr>
        <w:trPr>
          <w:trHeight w:val="24"/>
        </w:trPr>
        <w:tc>
          <w:tcPr>
            <w:tcW w:w="2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shd w:val="clear" w:color="auto" w:fill="0000FF"/>
          </w:tcPr>
          <w:p>
            <w:pPr>
              <w:spacing w:after="0"/>
              <w:rPr>
                <w:sz w:val="2"/>
                <w:szCs w:val="2"/>
                <w:color w:val="auto"/>
              </w:rPr>
            </w:pPr>
          </w:p>
        </w:tc>
        <w:tc>
          <w:tcPr>
            <w:tcW w:w="13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4</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w w:val="98"/>
              </w:rPr>
              <w:t>Enforceability of Judgments and Select Updated Risk Factor.</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700" w:type="dxa"/>
            <w:vAlign w:val="bottom"/>
          </w:tcPr>
          <w:p>
            <w:pPr>
              <w:spacing w:after="0"/>
              <w:rPr>
                <w:sz w:val="16"/>
                <w:szCs w:val="16"/>
                <w:color w:val="auto"/>
              </w:rPr>
            </w:pPr>
          </w:p>
        </w:tc>
      </w:tr>
      <w:tr>
        <w:trPr>
          <w:trHeight w:val="323"/>
        </w:trPr>
        <w:tc>
          <w:tcPr>
            <w:tcW w:w="28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7"/>
          <w:szCs w:val="17"/>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144145</wp:posOffset>
            </wp:positionV>
            <wp:extent cx="1666875" cy="2476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66875"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22"/>
          <w:szCs w:val="22"/>
          <w:b w:val="1"/>
          <w:bCs w:val="1"/>
          <w:color w:val="auto"/>
        </w:rPr>
        <w:t>Pharvaris Announces Positive Top-line Phase 2 Data from the CHAPTER-1 Study of Deucrictibant for the Prophylactic Treatment of HAE Attacks</w:t>
      </w:r>
    </w:p>
    <w:p>
      <w:pPr>
        <w:spacing w:after="0" w:line="128" w:lineRule="exact"/>
        <w:rPr>
          <w:sz w:val="20"/>
          <w:szCs w:val="20"/>
          <w:color w:val="auto"/>
        </w:rPr>
      </w:pPr>
    </w:p>
    <w:p>
      <w:pPr>
        <w:ind w:left="740" w:right="360" w:hanging="370"/>
        <w:spacing w:after="0" w:line="260" w:lineRule="auto"/>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Primary endpoint met; 40 mg/day orally administered deucrictibant significantly reduced mean monthly attack rate by 84.5% (p=0.0008) compared to placebo</w:t>
      </w: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92.3% reduction in occurrence of moderate and severe attacks</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92.6% fewer attacks treated with on-demand medication by participants</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Deucrictibant well-tolerated</w:t>
      </w:r>
    </w:p>
    <w:p>
      <w:pPr>
        <w:spacing w:after="0" w:line="5"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Pharvaris to host a conference call today at 8:00 a.m. EST</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Zug, Switzerland, December 6, 2023 </w:t>
      </w:r>
      <w:r>
        <w:rPr>
          <w:rFonts w:ascii="Times New Roman" w:cs="Times New Roman" w:eastAsia="Times New Roman" w:hAnsi="Times New Roman"/>
          <w:sz w:val="17"/>
          <w:szCs w:val="17"/>
          <w:color w:val="auto"/>
        </w:rPr>
        <w:t>– Pharvaris (Nasdaq: PHVS), a clinical-stage company developing novel, oral bradykinin B2 receptor antagonists to treat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prevent hereditary angioedema (HAE) attacks, today announced positive top-line data from the CHAPTER-1 Phase 2 clinical study meeting its primary endpoint, with deucrictibant demonstrating statistically significant and clinically meaningful results of deucrictibant as an oral preventative treatment for people living with HAE. Pharvaris plans to present data from the study at future medical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CHAPTER-1 Clinical Study Design and Results</w:t>
      </w:r>
    </w:p>
    <w:p>
      <w:pPr>
        <w:spacing w:after="0" w:line="2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CHAPTER-1 (NCT05047185)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(PHVS416) was dosed twice-a-day as a proof-of-concept for the once-daily deucrictibant extended-release tablet (PHVS719), which is the intended formulation for the prophylactic treatment of HAE. The open-label portion of the CHAPTER-1 study is ongoing at the 40 mg/day dose.</w:t>
      </w:r>
    </w:p>
    <w:p>
      <w:pPr>
        <w:spacing w:after="0" w:line="168"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The study’s primary endpoint measured the time-normalized number of investigator-confirmed HAE attacks during the treatment period. The monthly attack rate was reduced by 84.5% (p=0.0008) compared to placebo in participants who received 40 mg/day of deucrictibant.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149860</wp:posOffset>
            </wp:positionV>
            <wp:extent cx="717486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2257425</wp:posOffset>
            </wp:positionH>
            <wp:positionV relativeFrom="page">
              <wp:posOffset>216535</wp:posOffset>
            </wp:positionV>
            <wp:extent cx="3004185" cy="3124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3004185" cy="312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Marc A. Riedl, M.D., M.S., Professor of Medicine, Clinical Director of the US Hereditary Angioedema Association (HAEA) Angioedema Center at the University of California San Diego (UCSD), Clinical Service Chief for Allergy/Immunology at UCSD, and principal investigator in the CHAPTER-1 study, commented, “The HAE community is seeking highly effective, well-tolerated, and less burdensome therapies. The CHAPTER-1 data represent an important step forward in the evolution of HAE treatment. Given these encouraging results, deucrictibant has the potential to significantly improve clinical outcomes for people living with HAE.”</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Peng Lu, M.D., Ph.D., Chief Medical Officer of Pharvaris, stated, “Deucrictibant is the first HAE treatment with the potential to combine injectable-like efficacy and a favorable safety profile with the convenience of an oral therapy. The study demonstrates, for the first time ever, that antagonism of the bradykinin B2 receptor can provide early and sustained protection from HAE attacks, including substantial reduction of moderate and severe attacks, with clinically meaningful improvement in health-related quality of life. We look forward to advancing the development of deucrictibant for the prevention of HAE attacks.”</w:t>
      </w:r>
    </w:p>
    <w:p>
      <w:pPr>
        <w:spacing w:after="0" w:line="16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Berndt Modig, Chief Executive Office of Pharvaris, added, “We sincerely thank the clinical trial participants and their caregivers, the site investigators and staff, the HAE community, and the Pharvaris team for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149860</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9" w:name="page70"/>
    <w:bookmarkEnd w:id="69"/>
    <w:p>
      <w:pPr>
        <w:ind w:right="20"/>
        <w:spacing w:after="0" w:line="284" w:lineRule="auto"/>
        <w:rPr>
          <w:sz w:val="20"/>
          <w:szCs w:val="20"/>
          <w:color w:val="auto"/>
        </w:rPr>
      </w:pPr>
      <w:r>
        <w:rPr>
          <w:rFonts w:ascii="Times New Roman" w:cs="Times New Roman" w:eastAsia="Times New Roman" w:hAnsi="Times New Roman"/>
          <w:sz w:val="17"/>
          <w:szCs w:val="17"/>
          <w:color w:val="auto"/>
        </w:rPr>
        <w:t>contributions to the CHAPTER-1 study. These study results, together with the compelling data from our on-demand program, further strengthens our confidence that deucrictibant can become the preferred option to treat as well as prevent HAE attacks.”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the analysis of the secondary endpoints, deucrictibant demonstrated clinically meaningful improvement in the severity of attacks and a decrease in the number of attacks treated with on-demand medication. Participants on deucrictibant treatment experienced a meaningful improvement in their quality of life. The table below lists additional study findings:</w:t>
      </w:r>
    </w:p>
    <w:tbl>
      <w:tblPr>
        <w:tblLayout w:type="fixed"/>
        <w:tblInd w:w="0" w:type="dxa"/>
        <w:tblCellMar>
          <w:top w:w="0" w:type="dxa"/>
          <w:left w:w="0" w:type="dxa"/>
          <w:bottom w:w="0" w:type="dxa"/>
          <w:right w:w="0" w:type="dxa"/>
        </w:tblCellMar>
      </w:tblPr>
      <w:tr>
        <w:trPr>
          <w:trHeight w:val="141"/>
        </w:trPr>
        <w:tc>
          <w:tcPr>
            <w:tcW w:w="426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tcPr>
          <w:p>
            <w:pPr>
              <w:ind w:left="940"/>
              <w:spacing w:after="0" w:line="141" w:lineRule="exact"/>
              <w:rPr>
                <w:sz w:val="20"/>
                <w:szCs w:val="20"/>
                <w:color w:val="auto"/>
              </w:rPr>
            </w:pPr>
            <w:r>
              <w:rPr>
                <w:rFonts w:ascii="Times New Roman" w:cs="Times New Roman" w:eastAsia="Times New Roman" w:hAnsi="Times New Roman"/>
                <w:sz w:val="14"/>
                <w:szCs w:val="14"/>
                <w:color w:val="auto"/>
              </w:rPr>
              <w:t>Placebo</w:t>
            </w:r>
          </w:p>
        </w:tc>
        <w:tc>
          <w:tcPr>
            <w:tcW w:w="2040" w:type="dxa"/>
            <w:vAlign w:val="bottom"/>
            <w:tcBorders>
              <w:top w:val="single" w:sz="8" w:color="auto"/>
            </w:tcBorders>
          </w:tcPr>
          <w:p>
            <w:pPr>
              <w:ind w:left="700"/>
              <w:spacing w:after="0" w:line="141" w:lineRule="exact"/>
              <w:rPr>
                <w:sz w:val="20"/>
                <w:szCs w:val="20"/>
                <w:color w:val="auto"/>
              </w:rPr>
            </w:pPr>
            <w:r>
              <w:rPr>
                <w:rFonts w:ascii="Times New Roman" w:cs="Times New Roman" w:eastAsia="Times New Roman" w:hAnsi="Times New Roman"/>
                <w:sz w:val="14"/>
                <w:szCs w:val="14"/>
                <w:color w:val="auto"/>
              </w:rPr>
              <w:t>20 mg/day</w:t>
            </w:r>
          </w:p>
        </w:tc>
        <w:tc>
          <w:tcPr>
            <w:tcW w:w="2100" w:type="dxa"/>
            <w:vAlign w:val="bottom"/>
            <w:tcBorders>
              <w:top w:val="single" w:sz="8" w:color="auto"/>
            </w:tcBorders>
          </w:tcPr>
          <w:p>
            <w:pPr>
              <w:ind w:left="740"/>
              <w:spacing w:after="0" w:line="141" w:lineRule="exact"/>
              <w:rPr>
                <w:sz w:val="20"/>
                <w:szCs w:val="20"/>
                <w:color w:val="auto"/>
              </w:rPr>
            </w:pPr>
            <w:r>
              <w:rPr>
                <w:rFonts w:ascii="Times New Roman" w:cs="Times New Roman" w:eastAsia="Times New Roman" w:hAnsi="Times New Roman"/>
                <w:sz w:val="14"/>
                <w:szCs w:val="14"/>
                <w:color w:val="auto"/>
              </w:rPr>
              <w:t>40 mg/day</w:t>
            </w:r>
          </w:p>
        </w:tc>
      </w:tr>
      <w:tr>
        <w:trPr>
          <w:trHeight w:val="187"/>
        </w:trPr>
        <w:tc>
          <w:tcPr>
            <w:tcW w:w="4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w w:val="99"/>
              </w:rPr>
              <w:t>N=11</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N=11</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N=12</w:t>
            </w:r>
          </w:p>
        </w:tc>
      </w:tr>
      <w:tr>
        <w:trPr>
          <w:trHeight w:val="160"/>
        </w:trPr>
        <w:tc>
          <w:tcPr>
            <w:tcW w:w="426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color w:val="auto"/>
              </w:rPr>
              <w:t>Monthly attack rate – LS Mean (95% CI)*</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84"/>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Moderate or severe attacks</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1.50 (0.91, 2.50)</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0.26 (0.08, 0.81)</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0.12 (0.02, 0.67)</w:t>
            </w:r>
          </w:p>
        </w:tc>
      </w:tr>
      <w:tr>
        <w:trPr>
          <w:trHeight w:val="367"/>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Attacks treated with on-demand medication</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1.41 (0.88, 2.24)</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0.35 (0.14, 0.85)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0.10 (0.02, 0.57)</w:t>
            </w:r>
          </w:p>
        </w:tc>
      </w:tr>
      <w:tr>
        <w:trPr>
          <w:trHeight w:val="195"/>
        </w:trPr>
        <w:tc>
          <w:tcPr>
            <w:tcW w:w="4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r>
      <w:tr>
        <w:trPr>
          <w:trHeight w:val="157"/>
        </w:trPr>
        <w:tc>
          <w:tcPr>
            <w:tcW w:w="426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color w:val="auto"/>
              </w:rPr>
              <w:t>Achieving threshold reduction of attack rate from baseline**</w:t>
            </w:r>
          </w:p>
        </w:tc>
        <w:tc>
          <w:tcPr>
            <w:tcW w:w="2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77"/>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&gt;=50% reduction</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2/11 (18%)</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9/11 (82%)</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9/10 (90%)</w:t>
            </w:r>
          </w:p>
        </w:tc>
      </w:tr>
      <w:tr>
        <w:trPr>
          <w:trHeight w:val="177"/>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&gt;=70% reduction</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2/11 (18%)</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8/11 (73%)</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8/10 (80%)</w:t>
            </w:r>
          </w:p>
        </w:tc>
      </w:tr>
      <w:tr>
        <w:trPr>
          <w:trHeight w:val="177"/>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&gt;=90% reduction</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0</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6/11 (55%)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6/10 (60%)</w:t>
            </w:r>
          </w:p>
        </w:tc>
      </w:tr>
      <w:tr>
        <w:trPr>
          <w:trHeight w:val="184"/>
        </w:trPr>
        <w:tc>
          <w:tcPr>
            <w:tcW w:w="4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Attack free during treatment period</w:t>
            </w:r>
          </w:p>
        </w:tc>
        <w:tc>
          <w:tcPr>
            <w:tcW w:w="216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rPr>
              <w:t>0</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 /11(55%)</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 (40%)</w:t>
            </w:r>
          </w:p>
        </w:tc>
      </w:tr>
    </w:tbl>
    <w:p>
      <w:pPr>
        <w:spacing w:after="0" w:line="1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9"/>
          <w:szCs w:val="9"/>
          <w:color w:val="auto"/>
        </w:rPr>
        <w:t>LS = least squares; CI = confidence interval.</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9"/>
          <w:szCs w:val="9"/>
          <w:color w:val="auto"/>
        </w:rPr>
        <w:t>*Results of monthly attack rates are based on Poisson regression models adjusted for baseline attack rate and time on treatment. Nominal p-value &lt; 0.01 for all endpoints included in this section comparing deucrictibant with placebo.</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9"/>
          <w:szCs w:val="9"/>
          <w:color w:val="auto"/>
        </w:rPr>
        <w:t>**Participants with &lt;4 weeks of treatment (two participants on 40 mg/day) were not included in the summaries of proportions achieving threshold reduction of attack rate from baseline.</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9"/>
          <w:szCs w:val="9"/>
          <w:color w:val="auto"/>
        </w:rPr>
        <w:t>Nominal p-value &lt; 0.05 for all endpoints included in this section comparing deucrictibant with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67138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13855" cy="7620"/>
                    </a:xfrm>
                    <a:prstGeom prst="rect">
                      <a:avLst/>
                    </a:prstGeom>
                    <a:noFill/>
                  </pic:spPr>
                </pic:pic>
              </a:graphicData>
            </a:graphic>
          </wp:anchor>
        </w:drawing>
      </w:r>
    </w:p>
    <w:p>
      <w:pPr>
        <w:spacing w:after="0" w:line="17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7"/>
          <w:szCs w:val="17"/>
          <w:color w:val="auto"/>
        </w:rPr>
        <w:t>Throughout 12 weeks of treatment in CHAPTER-1, both doses of deucrictibant were well-tolerated. There were no serious adverse events, no severe treatment-emergent adverse events, and no adverse events leading to treatment discontinuation.</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In August 2022, the U.S. Food &amp; Drug Administration (FDA) placed clinical studies of deucrictibant, including CHAPTER-1, on hold. Pharvaris notified country-specific regulatory authorities in Canada, Europe, Israel, and the UK regarding the clinical holds in the U.S., and the regulatory status of deucrictibant outside the U.S. has not been affected. In June 2023, Pharvaris announced the removal of the clinical hold of deucrictibant for the on-demand treatment of HAE in the U.S. Pharvaris has completed the 26-week rodent toxicology study requested by the FDA, which we believe met its objective. Pharvaris is preparing to submit the study results to the FDA by the end of the year. However, neither the nature nor timing of the response from FDA is 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Conference Call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Pharvaris will host a live conference call and webcast to discuss the CHAPTER-1 study topline data in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179070</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70" w:name="page71"/>
    <w:bookmarkEnd w:id="70"/>
    <w:p>
      <w:pPr>
        <w:spacing w:after="0" w:line="265" w:lineRule="auto"/>
        <w:rPr>
          <w:sz w:val="20"/>
          <w:szCs w:val="20"/>
          <w:color w:val="auto"/>
        </w:rPr>
      </w:pPr>
      <w:r>
        <w:rPr>
          <w:rFonts w:ascii="Times New Roman" w:cs="Times New Roman" w:eastAsia="Times New Roman" w:hAnsi="Times New Roman"/>
          <w:sz w:val="17"/>
          <w:szCs w:val="17"/>
          <w:color w:val="auto"/>
        </w:rPr>
        <w:t>detail at 8:00 a.m. EST today via a live webcast; presentation slides may be accessed on the “Events and Presentations” page of the Pharvaris investor relations website. Participants interested in asking a verbal question during the Q&amp;A may do so in the live conference call. An archived replay will also be available on the website for 90 days following the event.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Deucrictibant is a potent, selective, and orally available antagonist of the bradykinin B2 receptor. By inhibiting bradykinin signaling through the bradykinin B2 receptor, deucrictibant has the potential to treat the clinical signs of an HAE attack and to prevent the occurrence of attacks. Based on its chemical properties, Pharvaris is developing two formulations of deucrictibant for oral administration; a capsule to enable rapid onset of activity for acute treatment, and an extended-release tablet to enable sustained absorption and efficacy in prophylactic treatment.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Building on its deep-seated roots in HAE, Pharvaris is a clinical-stage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with respect to the clinical hold on prophylactic deucrictibant in the U.S.; the expected timing, progress, or success of our clinical development programs, especially for PHVS416 (immediate-release deucrictibant capsules) and PHVS719 (extended-release deucrictibant tablets), which are in mid-stage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170180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71" w:name="page72"/>
    <w:bookmarkEnd w:id="71"/>
    <w:p>
      <w:pPr>
        <w:spacing w:after="0" w:line="248" w:lineRule="auto"/>
        <w:rPr>
          <w:sz w:val="20"/>
          <w:szCs w:val="20"/>
          <w:color w:val="auto"/>
        </w:rPr>
      </w:pPr>
      <w:r>
        <w:rPr>
          <w:rFonts w:ascii="Times New Roman" w:cs="Times New Roman" w:eastAsia="Times New Roman" w:hAnsi="Times New Roman"/>
          <w:sz w:val="17"/>
          <w:szCs w:val="17"/>
          <w:color w:val="auto"/>
        </w:rPr>
        <w:t>global clinical trials; risks arising from epidemic diseases, such as the COVID-19 pandemic, which may adversely impact our business, nonclinical studies, and clinical trials; the expected timing and results of the rodent toxicology study and our ability to resolve any issues to the satisfaction of the FDA or any regulatory agency in a timely manner;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External and Internal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179070</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ENFORCEABILITY OF JUDGMENTS</w:t>
      </w:r>
    </w:p>
    <w:p>
      <w:pPr>
        <w:spacing w:after="0" w:line="366" w:lineRule="exact"/>
        <w:rPr>
          <w:sz w:val="20"/>
          <w:szCs w:val="20"/>
          <w:color w:val="auto"/>
        </w:rPr>
      </w:pPr>
    </w:p>
    <w:p>
      <w:pPr>
        <w:ind w:right="100" w:firstLine="751"/>
        <w:spacing w:after="0" w:line="261" w:lineRule="auto"/>
        <w:rPr>
          <w:sz w:val="20"/>
          <w:szCs w:val="20"/>
          <w:color w:val="auto"/>
        </w:rPr>
      </w:pPr>
      <w:r>
        <w:rPr>
          <w:rFonts w:ascii="Times New Roman" w:cs="Times New Roman" w:eastAsia="Times New Roman" w:hAnsi="Times New Roman"/>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6"/>
          <w:szCs w:val="16"/>
          <w:i w:val="1"/>
          <w:iCs w:val="1"/>
          <w:color w:val="auto"/>
        </w:rPr>
        <w:t>functionarissen</w:t>
      </w:r>
      <w:r>
        <w:rPr>
          <w:rFonts w:ascii="Times New Roman" w:cs="Times New Roman" w:eastAsia="Times New Roman" w:hAnsi="Times New Roman"/>
          <w:sz w:val="16"/>
          <w:szCs w:val="16"/>
          <w:color w:val="auto"/>
        </w:rPr>
        <w:t>) (including our directors and executive officers) are governed in certain respects by the laws of the Netherlands.</w:t>
      </w:r>
    </w:p>
    <w:p>
      <w:pPr>
        <w:spacing w:after="0" w:line="157" w:lineRule="exact"/>
        <w:rPr>
          <w:sz w:val="20"/>
          <w:szCs w:val="20"/>
          <w:color w:val="auto"/>
        </w:rPr>
      </w:pPr>
    </w:p>
    <w:p>
      <w:pPr>
        <w:ind w:right="40" w:firstLine="751"/>
        <w:spacing w:after="0" w:line="256" w:lineRule="auto"/>
        <w:rPr>
          <w:sz w:val="20"/>
          <w:szCs w:val="20"/>
          <w:color w:val="auto"/>
        </w:rPr>
      </w:pPr>
      <w:r>
        <w:rPr>
          <w:rFonts w:ascii="Times New Roman" w:cs="Times New Roman" w:eastAsia="Times New Roman" w:hAnsi="Times New Roman"/>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Also, service of process against non-residents of the United States can in principle (absent, for example, a valid choice of domicile) not be effected in the United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States.</w:t>
      </w:r>
    </w:p>
    <w:p>
      <w:pPr>
        <w:spacing w:after="0" w:line="177" w:lineRule="exact"/>
        <w:rPr>
          <w:sz w:val="20"/>
          <w:szCs w:val="20"/>
          <w:color w:val="auto"/>
        </w:rPr>
      </w:pPr>
    </w:p>
    <w:p>
      <w:pPr>
        <w:ind w:firstLine="751"/>
        <w:spacing w:after="0" w:line="249" w:lineRule="auto"/>
        <w:rPr>
          <w:sz w:val="20"/>
          <w:szCs w:val="20"/>
          <w:color w:val="auto"/>
        </w:rPr>
      </w:pPr>
      <w:r>
        <w:rPr>
          <w:rFonts w:ascii="Times New Roman" w:cs="Times New Roman" w:eastAsia="Times New Roman" w:hAnsi="Times New Roman"/>
          <w:sz w:val="16"/>
          <w:szCs w:val="16"/>
          <w:color w:val="auto"/>
        </w:rPr>
        <w:t>Furthermore, substantially all of our assets are located outside the United States. As of the date of this filing,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6"/>
          <w:szCs w:val="16"/>
          <w:i w:val="1"/>
          <w:iCs w:val="1"/>
          <w:color w:val="auto"/>
        </w:rPr>
        <w:t>behoorlijke rechtspleging</w:t>
      </w:r>
      <w:r>
        <w:rPr>
          <w:rFonts w:ascii="Times New Roman" w:cs="Times New Roman" w:eastAsia="Times New Roman" w:hAnsi="Times New Roman"/>
          <w:sz w:val="16"/>
          <w:szCs w:val="16"/>
          <w:color w:val="auto"/>
        </w:rPr>
        <w:t>), (iii) binding effect of such United States judgment is not contrary to Dutch public order (</w:t>
      </w:r>
      <w:r>
        <w:rPr>
          <w:rFonts w:ascii="Times New Roman" w:cs="Times New Roman" w:eastAsia="Times New Roman" w:hAnsi="Times New Roman"/>
          <w:sz w:val="16"/>
          <w:szCs w:val="16"/>
          <w:i w:val="1"/>
          <w:iCs w:val="1"/>
          <w:color w:val="auto"/>
        </w:rPr>
        <w:t>openbare orde</w:t>
      </w:r>
      <w:r>
        <w:rPr>
          <w:rFonts w:ascii="Times New Roman" w:cs="Times New Roman" w:eastAsia="Times New Roman" w:hAnsi="Times New Roman"/>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66" w:lineRule="exact"/>
        <w:rPr>
          <w:sz w:val="20"/>
          <w:szCs w:val="20"/>
          <w:color w:val="auto"/>
        </w:rPr>
      </w:pPr>
    </w:p>
    <w:p>
      <w:pPr>
        <w:ind w:right="400" w:firstLine="751"/>
        <w:spacing w:after="0" w:line="261" w:lineRule="auto"/>
        <w:rPr>
          <w:sz w:val="20"/>
          <w:szCs w:val="20"/>
          <w:color w:val="auto"/>
        </w:rPr>
      </w:pPr>
      <w:r>
        <w:rPr>
          <w:rFonts w:ascii="Times New Roman" w:cs="Times New Roman" w:eastAsia="Times New Roman" w:hAnsi="Times New Roman"/>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 States investors may not be able, or experience difficulty, to enforce a judgment obtained in a United States court against us or our officers.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i w:val="1"/>
          <w:iCs w:val="1"/>
          <w:color w:val="auto"/>
        </w:rPr>
        <w:t>The following risk factors should be read in conjunction with, and amend and supplement, those included in the Annual Report on Form 20-F filed by Pharvaris N.V. (“we”, “our”, “us” or the “Company”) on April 5, 2023 (the “Form 20-F or the “Annual Report”). Investing in the Company’s ordinary shares involves a high degree of risk. You should carefully consider the risks described below, and all other information contained in or incorporated by reference in the Form 20-F, before making an investment decision regarding the Company’s securities. Defined terms used, but not defined, in these “Risk Factors” have the meaning ascribed to them in the Form 20-F.</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Ordinary Shares and Our Status as a Public Company</w:t>
      </w:r>
    </w:p>
    <w:p>
      <w:pPr>
        <w:spacing w:after="0" w:line="3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Investors may have difficulty enforcing civil liabilities against us or our directors and/or other officers.</w:t>
      </w:r>
    </w:p>
    <w:p>
      <w:pPr>
        <w:spacing w:after="0" w:line="198" w:lineRule="exact"/>
        <w:rPr>
          <w:sz w:val="20"/>
          <w:szCs w:val="20"/>
          <w:color w:val="auto"/>
        </w:rPr>
      </w:pPr>
    </w:p>
    <w:p>
      <w:pPr>
        <w:ind w:right="60" w:firstLine="751"/>
        <w:spacing w:after="0" w:line="261" w:lineRule="auto"/>
        <w:rPr>
          <w:sz w:val="20"/>
          <w:szCs w:val="20"/>
          <w:color w:val="auto"/>
        </w:rPr>
      </w:pPr>
      <w:r>
        <w:rPr>
          <w:rFonts w:ascii="Times New Roman" w:cs="Times New Roman" w:eastAsia="Times New Roman" w:hAnsi="Times New Roman"/>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Times New Roman" w:cs="Times New Roman" w:eastAsia="Times New Roman" w:hAnsi="Times New Roman"/>
          <w:sz w:val="16"/>
          <w:szCs w:val="16"/>
          <w:i w:val="1"/>
          <w:iCs w:val="1"/>
          <w:color w:val="auto"/>
        </w:rPr>
        <w:t>functionarissen</w:t>
      </w:r>
      <w:r>
        <w:rPr>
          <w:rFonts w:ascii="Times New Roman" w:cs="Times New Roman" w:eastAsia="Times New Roman" w:hAnsi="Times New Roman"/>
          <w:sz w:val="16"/>
          <w:szCs w:val="16"/>
          <w:color w:val="auto"/>
        </w:rPr>
        <w:t>) (including our directors and executive officers) are governed in certain respects by the laws of the Netherlands.</w:t>
      </w:r>
    </w:p>
    <w:p>
      <w:pPr>
        <w:spacing w:after="0" w:line="157" w:lineRule="exact"/>
        <w:rPr>
          <w:sz w:val="20"/>
          <w:szCs w:val="20"/>
          <w:color w:val="auto"/>
        </w:rPr>
      </w:pPr>
    </w:p>
    <w:p>
      <w:pPr>
        <w:ind w:firstLine="751"/>
        <w:spacing w:after="0" w:line="256" w:lineRule="auto"/>
        <w:rPr>
          <w:sz w:val="20"/>
          <w:szCs w:val="20"/>
          <w:color w:val="auto"/>
        </w:rPr>
      </w:pPr>
      <w:r>
        <w:rPr>
          <w:rFonts w:ascii="Times New Roman" w:cs="Times New Roman" w:eastAsia="Times New Roman" w:hAnsi="Times New Roman"/>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Also, service of process against non-residents of the United States can in principle (absent, for example, a valid choice of domicile) not be effected in the United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States.</w:t>
      </w:r>
    </w:p>
    <w:p>
      <w:pPr>
        <w:spacing w:after="0" w:line="177" w:lineRule="exact"/>
        <w:rPr>
          <w:sz w:val="20"/>
          <w:szCs w:val="20"/>
          <w:color w:val="auto"/>
        </w:rPr>
      </w:pPr>
    </w:p>
    <w:p>
      <w:pPr>
        <w:ind w:firstLine="751"/>
        <w:spacing w:after="0" w:line="266" w:lineRule="auto"/>
        <w:rPr>
          <w:sz w:val="20"/>
          <w:szCs w:val="20"/>
          <w:color w:val="auto"/>
        </w:rPr>
      </w:pPr>
      <w:r>
        <w:rPr>
          <w:rFonts w:ascii="Times New Roman" w:cs="Times New Roman" w:eastAsia="Times New Roman" w:hAnsi="Times New Roman"/>
          <w:sz w:val="15"/>
          <w:szCs w:val="15"/>
          <w:color w:val="auto"/>
        </w:rPr>
        <w:t>Furthermore, substantially all of our assets are located outside the United States. On the date of this filing,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Times New Roman" w:cs="Times New Roman" w:eastAsia="Times New Roman" w:hAnsi="Times New Roman"/>
          <w:sz w:val="15"/>
          <w:szCs w:val="15"/>
          <w:i w:val="1"/>
          <w:iCs w:val="1"/>
          <w:color w:val="auto"/>
        </w:rPr>
        <w:t>behoorlijke rechtspleging</w:t>
      </w:r>
      <w:r>
        <w:rPr>
          <w:rFonts w:ascii="Times New Roman" w:cs="Times New Roman" w:eastAsia="Times New Roman" w:hAnsi="Times New Roman"/>
          <w:sz w:val="15"/>
          <w:szCs w:val="15"/>
          <w:color w:val="auto"/>
        </w:rPr>
        <w:t>), (iii) binding effect of such United States judgment is not contrary to Dutch public order (</w:t>
      </w:r>
      <w:r>
        <w:rPr>
          <w:rFonts w:ascii="Times New Roman" w:cs="Times New Roman" w:eastAsia="Times New Roman" w:hAnsi="Times New Roman"/>
          <w:sz w:val="15"/>
          <w:szCs w:val="15"/>
          <w:i w:val="1"/>
          <w:iCs w:val="1"/>
          <w:color w:val="auto"/>
        </w:rPr>
        <w:t>openbare orde</w:t>
      </w:r>
      <w:r>
        <w:rPr>
          <w:rFonts w:ascii="Times New Roman" w:cs="Times New Roman" w:eastAsia="Times New Roman" w:hAnsi="Times New Roman"/>
          <w:sz w:val="15"/>
          <w:szCs w:val="15"/>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62" w:lineRule="exact"/>
        <w:rPr>
          <w:sz w:val="20"/>
          <w:szCs w:val="20"/>
          <w:color w:val="auto"/>
        </w:rPr>
      </w:pPr>
    </w:p>
    <w:p>
      <w:pPr>
        <w:ind w:right="360" w:firstLine="751"/>
        <w:spacing w:after="0" w:line="310" w:lineRule="auto"/>
        <w:rPr>
          <w:sz w:val="20"/>
          <w:szCs w:val="20"/>
          <w:color w:val="auto"/>
        </w:rPr>
      </w:pPr>
      <w:r>
        <w:rPr>
          <w:rFonts w:ascii="Times New Roman" w:cs="Times New Roman" w:eastAsia="Times New Roman" w:hAnsi="Times New Roman"/>
          <w:sz w:val="15"/>
          <w:szCs w:val="15"/>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Thus, United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color w:val="auto"/>
        </w:rPr>
        <w:t>States investors may not be able, or experience difficulty, to enforce a judgment obtained in a United States court against us or our officers.</w:t>
      </w:r>
    </w:p>
    <w:p>
      <w:pPr>
        <w:sectPr>
          <w:pgSz w:w="11900" w:h="16838" w:orient="portrait"/>
          <w:cols w:equalWidth="0" w:num="1">
            <w:col w:w="10139"/>
          </w:cols>
          <w:pgMar w:left="320" w:top="312"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60960</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312" w:right="1440" w:bottom="1440" w:gutter="0" w:footer="0" w:header="0"/>
          <w:type w:val="continuous"/>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2023-12-06T05:56:54Z</dcterms:created>
  <dcterms:modified xsi:type="dcterms:W3CDTF">2023-12-06T05:56:54Z</dcterms:modified>
</cp:coreProperties>
</file>