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TO BE INCLUDED IN STATEMENTS PURSUANT TO RULES 13d-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1(b),(c) AND (d) AND AMENDMENTS THERETO FILED PURSUANT TO 13d-2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3)</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u w:val="single" w:color="auto"/>
          <w:color w:val="auto"/>
        </w:rPr>
        <w:t>Pharvaris N.V.</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Ordinary shares, par value €0.12 par value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N69605108</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December 31, 2023</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5220" w:hanging="207"/>
        <w:spacing w:after="0"/>
        <w:tabs>
          <w:tab w:leader="none" w:pos="52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9" w:lineRule="exact"/>
        <w:rPr>
          <w:rFonts w:ascii="MS PGothic" w:cs="MS PGothic" w:eastAsia="MS PGothic" w:hAnsi="MS PGothic"/>
          <w:sz w:val="18"/>
          <w:szCs w:val="18"/>
          <w:color w:val="auto"/>
        </w:rPr>
      </w:pPr>
    </w:p>
    <w:p>
      <w:pPr>
        <w:ind w:left="5220" w:hanging="202"/>
        <w:spacing w:after="0"/>
        <w:tabs>
          <w:tab w:leader="none" w:pos="5220" w:val="left"/>
        </w:tabs>
        <w:numPr>
          <w:ilvl w:val="2"/>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9" w:lineRule="exact"/>
        <w:rPr>
          <w:rFonts w:ascii="MS PGothic" w:cs="MS PGothic" w:eastAsia="MS PGothic" w:hAnsi="MS PGothic"/>
          <w:sz w:val="18"/>
          <w:szCs w:val="18"/>
          <w:color w:val="auto"/>
        </w:rPr>
      </w:pPr>
    </w:p>
    <w:p>
      <w:pPr>
        <w:ind w:left="5220" w:hanging="207"/>
        <w:spacing w:after="0"/>
        <w:tabs>
          <w:tab w:leader="none" w:pos="522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05" w:lineRule="exact"/>
        <w:rPr>
          <w:rFonts w:ascii="MS PGothic" w:cs="MS PGothic" w:eastAsia="MS PGothic" w:hAnsi="MS PGothic"/>
          <w:sz w:val="18"/>
          <w:szCs w:val="18"/>
          <w:color w:val="auto"/>
        </w:rPr>
      </w:pPr>
    </w:p>
    <w:p>
      <w:pPr>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3"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45"/>
        </w:trPr>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460" w:type="dxa"/>
            <w:vAlign w:val="bottom"/>
            <w:tcBorders>
              <w:bottom w:val="single" w:sz="8" w:color="auto"/>
            </w:tcBorders>
          </w:tcPr>
          <w:p>
            <w:pPr>
              <w:spacing w:after="0"/>
              <w:rPr>
                <w:sz w:val="21"/>
                <w:szCs w:val="21"/>
                <w:color w:val="auto"/>
              </w:rPr>
            </w:pPr>
          </w:p>
        </w:tc>
        <w:tc>
          <w:tcPr>
            <w:tcW w:w="66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9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95"/>
              </w:rPr>
              <w:t>Page 2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940" w:type="dxa"/>
            <w:vAlign w:val="bottom"/>
            <w:tcBorders>
              <w:bottom w:val="single" w:sz="8" w:color="auto"/>
            </w:tcBorders>
            <w:gridSpan w:val="4"/>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Viking Global Investors LP</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940" w:type="dxa"/>
            <w:vAlign w:val="bottom"/>
            <w:tcBorders>
              <w:bottom w:val="single" w:sz="8" w:color="auto"/>
            </w:tcBorders>
            <w:gridSpan w:val="4"/>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620" w:type="dxa"/>
            <w:vAlign w:val="bottom"/>
            <w:shd w:val="clear" w:color="auto" w:fill="BFBFBF"/>
          </w:tcPr>
          <w:p>
            <w:pPr>
              <w:spacing w:after="0"/>
              <w:rPr>
                <w:sz w:val="20"/>
                <w:szCs w:val="20"/>
                <w:color w:val="auto"/>
              </w:rPr>
            </w:pPr>
          </w:p>
        </w:tc>
        <w:tc>
          <w:tcPr>
            <w:tcW w:w="19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6620" w:type="dxa"/>
            <w:vAlign w:val="bottom"/>
            <w:shd w:val="clear" w:color="auto" w:fill="BFBFBF"/>
          </w:tcPr>
          <w:p>
            <w:pPr>
              <w:spacing w:after="0"/>
              <w:rPr>
                <w:sz w:val="24"/>
                <w:szCs w:val="24"/>
                <w:color w:val="auto"/>
              </w:rPr>
            </w:pPr>
          </w:p>
        </w:tc>
        <w:tc>
          <w:tcPr>
            <w:tcW w:w="19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20" w:type="dxa"/>
            <w:vAlign w:val="bottom"/>
            <w:tcBorders>
              <w:bottom w:val="single" w:sz="8" w:color="auto"/>
            </w:tcBorders>
            <w:shd w:val="clear" w:color="auto" w:fill="BFBFBF"/>
          </w:tcPr>
          <w:p>
            <w:pPr>
              <w:spacing w:after="0"/>
              <w:rPr>
                <w:sz w:val="23"/>
                <w:szCs w:val="23"/>
                <w:color w:val="auto"/>
              </w:rPr>
            </w:pPr>
          </w:p>
        </w:tc>
        <w:tc>
          <w:tcPr>
            <w:tcW w:w="19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3,656,923*</w:t>
            </w:r>
          </w:p>
        </w:tc>
        <w:tc>
          <w:tcPr>
            <w:tcW w:w="1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6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662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3,656,923*</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3,656,923*</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6620" w:type="dxa"/>
            <w:vAlign w:val="bottom"/>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45"/>
        </w:trPr>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460" w:type="dxa"/>
            <w:vAlign w:val="bottom"/>
            <w:tcBorders>
              <w:bottom w:val="single" w:sz="8" w:color="auto"/>
            </w:tcBorders>
          </w:tcPr>
          <w:p>
            <w:pPr>
              <w:spacing w:after="0"/>
              <w:rPr>
                <w:sz w:val="21"/>
                <w:szCs w:val="21"/>
                <w:color w:val="auto"/>
              </w:rPr>
            </w:pPr>
          </w:p>
        </w:tc>
        <w:tc>
          <w:tcPr>
            <w:tcW w:w="66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9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95"/>
              </w:rPr>
              <w:t>Page 3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940" w:type="dxa"/>
            <w:vAlign w:val="bottom"/>
            <w:tcBorders>
              <w:bottom w:val="single" w:sz="8" w:color="auto"/>
            </w:tcBorders>
            <w:gridSpan w:val="4"/>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Viking Global Opportunities Parent GP LLC</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940" w:type="dxa"/>
            <w:vAlign w:val="bottom"/>
            <w:tcBorders>
              <w:bottom w:val="single" w:sz="8" w:color="auto"/>
            </w:tcBorders>
            <w:gridSpan w:val="4"/>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620" w:type="dxa"/>
            <w:vAlign w:val="bottom"/>
            <w:shd w:val="clear" w:color="auto" w:fill="BFBFBF"/>
          </w:tcPr>
          <w:p>
            <w:pPr>
              <w:spacing w:after="0"/>
              <w:rPr>
                <w:sz w:val="20"/>
                <w:szCs w:val="20"/>
                <w:color w:val="auto"/>
              </w:rPr>
            </w:pPr>
          </w:p>
        </w:tc>
        <w:tc>
          <w:tcPr>
            <w:tcW w:w="19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6620" w:type="dxa"/>
            <w:vAlign w:val="bottom"/>
            <w:shd w:val="clear" w:color="auto" w:fill="BFBFBF"/>
          </w:tcPr>
          <w:p>
            <w:pPr>
              <w:spacing w:after="0"/>
              <w:rPr>
                <w:sz w:val="24"/>
                <w:szCs w:val="24"/>
                <w:color w:val="auto"/>
              </w:rPr>
            </w:pPr>
          </w:p>
        </w:tc>
        <w:tc>
          <w:tcPr>
            <w:tcW w:w="19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20" w:type="dxa"/>
            <w:vAlign w:val="bottom"/>
            <w:tcBorders>
              <w:bottom w:val="single" w:sz="8" w:color="auto"/>
            </w:tcBorders>
            <w:shd w:val="clear" w:color="auto" w:fill="BFBFBF"/>
          </w:tcPr>
          <w:p>
            <w:pPr>
              <w:spacing w:after="0"/>
              <w:rPr>
                <w:sz w:val="23"/>
                <w:szCs w:val="23"/>
                <w:color w:val="auto"/>
              </w:rPr>
            </w:pPr>
          </w:p>
        </w:tc>
        <w:tc>
          <w:tcPr>
            <w:tcW w:w="19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3,656,923*</w:t>
            </w:r>
          </w:p>
        </w:tc>
        <w:tc>
          <w:tcPr>
            <w:tcW w:w="1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6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662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3,656,923*</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3,656,923*</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6620" w:type="dxa"/>
            <w:vAlign w:val="bottom"/>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45"/>
        </w:trPr>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460" w:type="dxa"/>
            <w:vAlign w:val="bottom"/>
            <w:tcBorders>
              <w:bottom w:val="single" w:sz="8" w:color="auto"/>
            </w:tcBorders>
          </w:tcPr>
          <w:p>
            <w:pPr>
              <w:spacing w:after="0"/>
              <w:rPr>
                <w:sz w:val="21"/>
                <w:szCs w:val="21"/>
                <w:color w:val="auto"/>
              </w:rPr>
            </w:pPr>
          </w:p>
        </w:tc>
        <w:tc>
          <w:tcPr>
            <w:tcW w:w="66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9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95"/>
              </w:rPr>
              <w:t>Page 4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940" w:type="dxa"/>
            <w:vAlign w:val="bottom"/>
            <w:tcBorders>
              <w:bottom w:val="single" w:sz="8" w:color="auto"/>
            </w:tcBorders>
            <w:gridSpan w:val="4"/>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Viking Global Opportunities GP LLC</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940" w:type="dxa"/>
            <w:vAlign w:val="bottom"/>
            <w:tcBorders>
              <w:bottom w:val="single" w:sz="8" w:color="auto"/>
            </w:tcBorders>
            <w:gridSpan w:val="4"/>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620" w:type="dxa"/>
            <w:vAlign w:val="bottom"/>
            <w:shd w:val="clear" w:color="auto" w:fill="BFBFBF"/>
          </w:tcPr>
          <w:p>
            <w:pPr>
              <w:spacing w:after="0"/>
              <w:rPr>
                <w:sz w:val="20"/>
                <w:szCs w:val="20"/>
                <w:color w:val="auto"/>
              </w:rPr>
            </w:pPr>
          </w:p>
        </w:tc>
        <w:tc>
          <w:tcPr>
            <w:tcW w:w="19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6620" w:type="dxa"/>
            <w:vAlign w:val="bottom"/>
            <w:shd w:val="clear" w:color="auto" w:fill="BFBFBF"/>
          </w:tcPr>
          <w:p>
            <w:pPr>
              <w:spacing w:after="0"/>
              <w:rPr>
                <w:sz w:val="24"/>
                <w:szCs w:val="24"/>
                <w:color w:val="auto"/>
              </w:rPr>
            </w:pPr>
          </w:p>
        </w:tc>
        <w:tc>
          <w:tcPr>
            <w:tcW w:w="19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20" w:type="dxa"/>
            <w:vAlign w:val="bottom"/>
            <w:tcBorders>
              <w:bottom w:val="single" w:sz="8" w:color="auto"/>
            </w:tcBorders>
            <w:shd w:val="clear" w:color="auto" w:fill="BFBFBF"/>
          </w:tcPr>
          <w:p>
            <w:pPr>
              <w:spacing w:after="0"/>
              <w:rPr>
                <w:sz w:val="23"/>
                <w:szCs w:val="23"/>
                <w:color w:val="auto"/>
              </w:rPr>
            </w:pPr>
          </w:p>
        </w:tc>
        <w:tc>
          <w:tcPr>
            <w:tcW w:w="19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3,656,923*</w:t>
            </w:r>
          </w:p>
        </w:tc>
        <w:tc>
          <w:tcPr>
            <w:tcW w:w="1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6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662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3,656,923*</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3,656,923*</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6620" w:type="dxa"/>
            <w:vAlign w:val="bottom"/>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45"/>
        </w:trPr>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460" w:type="dxa"/>
            <w:vAlign w:val="bottom"/>
            <w:tcBorders>
              <w:bottom w:val="single" w:sz="8" w:color="auto"/>
            </w:tcBorders>
          </w:tcPr>
          <w:p>
            <w:pPr>
              <w:spacing w:after="0"/>
              <w:rPr>
                <w:sz w:val="21"/>
                <w:szCs w:val="21"/>
                <w:color w:val="auto"/>
              </w:rPr>
            </w:pPr>
          </w:p>
        </w:tc>
        <w:tc>
          <w:tcPr>
            <w:tcW w:w="66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9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95"/>
              </w:rPr>
              <w:t>Page 5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940" w:type="dxa"/>
            <w:vAlign w:val="bottom"/>
            <w:tcBorders>
              <w:bottom w:val="single" w:sz="8" w:color="auto"/>
            </w:tcBorders>
            <w:gridSpan w:val="4"/>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Viking Global Opportunities Portfolio GP LLC</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940" w:type="dxa"/>
            <w:vAlign w:val="bottom"/>
            <w:tcBorders>
              <w:bottom w:val="single" w:sz="8" w:color="auto"/>
            </w:tcBorders>
            <w:gridSpan w:val="4"/>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620" w:type="dxa"/>
            <w:vAlign w:val="bottom"/>
            <w:shd w:val="clear" w:color="auto" w:fill="BFBFBF"/>
          </w:tcPr>
          <w:p>
            <w:pPr>
              <w:spacing w:after="0"/>
              <w:rPr>
                <w:sz w:val="20"/>
                <w:szCs w:val="20"/>
                <w:color w:val="auto"/>
              </w:rPr>
            </w:pPr>
          </w:p>
        </w:tc>
        <w:tc>
          <w:tcPr>
            <w:tcW w:w="19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6620" w:type="dxa"/>
            <w:vAlign w:val="bottom"/>
            <w:shd w:val="clear" w:color="auto" w:fill="BFBFBF"/>
          </w:tcPr>
          <w:p>
            <w:pPr>
              <w:spacing w:after="0"/>
              <w:rPr>
                <w:sz w:val="24"/>
                <w:szCs w:val="24"/>
                <w:color w:val="auto"/>
              </w:rPr>
            </w:pPr>
          </w:p>
        </w:tc>
        <w:tc>
          <w:tcPr>
            <w:tcW w:w="19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20" w:type="dxa"/>
            <w:vAlign w:val="bottom"/>
            <w:tcBorders>
              <w:bottom w:val="single" w:sz="8" w:color="auto"/>
            </w:tcBorders>
            <w:shd w:val="clear" w:color="auto" w:fill="BFBFBF"/>
          </w:tcPr>
          <w:p>
            <w:pPr>
              <w:spacing w:after="0"/>
              <w:rPr>
                <w:sz w:val="23"/>
                <w:szCs w:val="23"/>
                <w:color w:val="auto"/>
              </w:rPr>
            </w:pPr>
          </w:p>
        </w:tc>
        <w:tc>
          <w:tcPr>
            <w:tcW w:w="19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Delaware</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3,656,923*</w:t>
            </w:r>
          </w:p>
        </w:tc>
        <w:tc>
          <w:tcPr>
            <w:tcW w:w="1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6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662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3,656,923*</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3,656,923*</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6620" w:type="dxa"/>
            <w:vAlign w:val="bottom"/>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45"/>
        </w:trPr>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460" w:type="dxa"/>
            <w:vAlign w:val="bottom"/>
            <w:tcBorders>
              <w:bottom w:val="single" w:sz="8" w:color="auto"/>
            </w:tcBorders>
          </w:tcPr>
          <w:p>
            <w:pPr>
              <w:spacing w:after="0"/>
              <w:rPr>
                <w:sz w:val="21"/>
                <w:szCs w:val="21"/>
                <w:color w:val="auto"/>
              </w:rPr>
            </w:pPr>
          </w:p>
        </w:tc>
        <w:tc>
          <w:tcPr>
            <w:tcW w:w="66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9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95"/>
              </w:rPr>
              <w:t>Page 6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940" w:type="dxa"/>
            <w:vAlign w:val="bottom"/>
            <w:tcBorders>
              <w:bottom w:val="single" w:sz="8" w:color="auto"/>
            </w:tcBorders>
            <w:gridSpan w:val="4"/>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Viking Global Opportunities Illiquid Investments Sub-Master LP</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940" w:type="dxa"/>
            <w:vAlign w:val="bottom"/>
            <w:tcBorders>
              <w:bottom w:val="single" w:sz="8" w:color="auto"/>
            </w:tcBorders>
            <w:gridSpan w:val="4"/>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620" w:type="dxa"/>
            <w:vAlign w:val="bottom"/>
            <w:shd w:val="clear" w:color="auto" w:fill="BFBFBF"/>
          </w:tcPr>
          <w:p>
            <w:pPr>
              <w:spacing w:after="0"/>
              <w:rPr>
                <w:sz w:val="20"/>
                <w:szCs w:val="20"/>
                <w:color w:val="auto"/>
              </w:rPr>
            </w:pPr>
          </w:p>
        </w:tc>
        <w:tc>
          <w:tcPr>
            <w:tcW w:w="19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6620" w:type="dxa"/>
            <w:vAlign w:val="bottom"/>
            <w:shd w:val="clear" w:color="auto" w:fill="BFBFBF"/>
          </w:tcPr>
          <w:p>
            <w:pPr>
              <w:spacing w:after="0"/>
              <w:rPr>
                <w:sz w:val="24"/>
                <w:szCs w:val="24"/>
                <w:color w:val="auto"/>
              </w:rPr>
            </w:pPr>
          </w:p>
        </w:tc>
        <w:tc>
          <w:tcPr>
            <w:tcW w:w="19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20" w:type="dxa"/>
            <w:vAlign w:val="bottom"/>
            <w:tcBorders>
              <w:bottom w:val="single" w:sz="8" w:color="auto"/>
            </w:tcBorders>
            <w:shd w:val="clear" w:color="auto" w:fill="BFBFBF"/>
          </w:tcPr>
          <w:p>
            <w:pPr>
              <w:spacing w:after="0"/>
              <w:rPr>
                <w:sz w:val="23"/>
                <w:szCs w:val="23"/>
                <w:color w:val="auto"/>
              </w:rPr>
            </w:pPr>
          </w:p>
        </w:tc>
        <w:tc>
          <w:tcPr>
            <w:tcW w:w="19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Cayman Islands</w:t>
            </w: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3,656,923*</w:t>
            </w:r>
          </w:p>
        </w:tc>
        <w:tc>
          <w:tcPr>
            <w:tcW w:w="1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6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662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3,656,923*</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3,656,923*</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6620" w:type="dxa"/>
            <w:vAlign w:val="bottom"/>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45"/>
        </w:trPr>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460" w:type="dxa"/>
            <w:vAlign w:val="bottom"/>
            <w:tcBorders>
              <w:bottom w:val="single" w:sz="8" w:color="auto"/>
            </w:tcBorders>
          </w:tcPr>
          <w:p>
            <w:pPr>
              <w:spacing w:after="0"/>
              <w:rPr>
                <w:sz w:val="21"/>
                <w:szCs w:val="21"/>
                <w:color w:val="auto"/>
              </w:rPr>
            </w:pPr>
          </w:p>
        </w:tc>
        <w:tc>
          <w:tcPr>
            <w:tcW w:w="66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9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95"/>
              </w:rPr>
              <w:t>Page 7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940" w:type="dxa"/>
            <w:vAlign w:val="bottom"/>
            <w:tcBorders>
              <w:bottom w:val="single" w:sz="8" w:color="auto"/>
            </w:tcBorders>
            <w:gridSpan w:val="4"/>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79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O. Andreas Halvorsen</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940" w:type="dxa"/>
            <w:vAlign w:val="bottom"/>
            <w:tcBorders>
              <w:bottom w:val="single" w:sz="8" w:color="auto"/>
            </w:tcBorders>
            <w:gridSpan w:val="4"/>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620" w:type="dxa"/>
            <w:vAlign w:val="bottom"/>
            <w:shd w:val="clear" w:color="auto" w:fill="BFBFBF"/>
          </w:tcPr>
          <w:p>
            <w:pPr>
              <w:spacing w:after="0"/>
              <w:rPr>
                <w:sz w:val="20"/>
                <w:szCs w:val="20"/>
                <w:color w:val="auto"/>
              </w:rPr>
            </w:pPr>
          </w:p>
        </w:tc>
        <w:tc>
          <w:tcPr>
            <w:tcW w:w="19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6620" w:type="dxa"/>
            <w:vAlign w:val="bottom"/>
            <w:shd w:val="clear" w:color="auto" w:fill="BFBFBF"/>
          </w:tcPr>
          <w:p>
            <w:pPr>
              <w:spacing w:after="0"/>
              <w:rPr>
                <w:sz w:val="24"/>
                <w:szCs w:val="24"/>
                <w:color w:val="auto"/>
              </w:rPr>
            </w:pPr>
          </w:p>
        </w:tc>
        <w:tc>
          <w:tcPr>
            <w:tcW w:w="19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20" w:type="dxa"/>
            <w:vAlign w:val="bottom"/>
            <w:tcBorders>
              <w:bottom w:val="single" w:sz="8" w:color="auto"/>
            </w:tcBorders>
            <w:shd w:val="clear" w:color="auto" w:fill="BFBFBF"/>
          </w:tcPr>
          <w:p>
            <w:pPr>
              <w:spacing w:after="0"/>
              <w:rPr>
                <w:sz w:val="23"/>
                <w:szCs w:val="23"/>
                <w:color w:val="auto"/>
              </w:rPr>
            </w:pPr>
          </w:p>
        </w:tc>
        <w:tc>
          <w:tcPr>
            <w:tcW w:w="19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Norway</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3,656,923*</w:t>
            </w:r>
          </w:p>
        </w:tc>
        <w:tc>
          <w:tcPr>
            <w:tcW w:w="1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6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662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3,656,923*</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3,656,923*</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6620" w:type="dxa"/>
            <w:vAlign w:val="bottom"/>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tbl>
      <w:tblPr>
        <w:tblLayout w:type="fixed"/>
        <w:tblInd w:w="10" w:type="dxa"/>
        <w:tblCellMar>
          <w:top w:w="0" w:type="dxa"/>
          <w:left w:w="0" w:type="dxa"/>
          <w:bottom w:w="0" w:type="dxa"/>
          <w:right w:w="0" w:type="dxa"/>
        </w:tblCellMar>
      </w:tblPr>
      <w:tr>
        <w:trPr>
          <w:trHeight w:val="245"/>
        </w:trPr>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460" w:type="dxa"/>
            <w:vAlign w:val="bottom"/>
            <w:tcBorders>
              <w:bottom w:val="single" w:sz="8" w:color="auto"/>
            </w:tcBorders>
          </w:tcPr>
          <w:p>
            <w:pPr>
              <w:spacing w:after="0"/>
              <w:rPr>
                <w:sz w:val="21"/>
                <w:szCs w:val="21"/>
                <w:color w:val="auto"/>
              </w:rPr>
            </w:pPr>
          </w:p>
        </w:tc>
        <w:tc>
          <w:tcPr>
            <w:tcW w:w="66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9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95"/>
              </w:rPr>
              <w:t>Page 8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940" w:type="dxa"/>
            <w:vAlign w:val="bottom"/>
            <w:tcBorders>
              <w:bottom w:val="single" w:sz="8" w:color="auto"/>
            </w:tcBorders>
            <w:gridSpan w:val="4"/>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David C. Ott</w:t>
            </w: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940" w:type="dxa"/>
            <w:vAlign w:val="bottom"/>
            <w:tcBorders>
              <w:bottom w:val="single" w:sz="8" w:color="auto"/>
            </w:tcBorders>
            <w:gridSpan w:val="4"/>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620" w:type="dxa"/>
            <w:vAlign w:val="bottom"/>
            <w:shd w:val="clear" w:color="auto" w:fill="BFBFBF"/>
          </w:tcPr>
          <w:p>
            <w:pPr>
              <w:spacing w:after="0"/>
              <w:rPr>
                <w:sz w:val="20"/>
                <w:szCs w:val="20"/>
                <w:color w:val="auto"/>
              </w:rPr>
            </w:pPr>
          </w:p>
        </w:tc>
        <w:tc>
          <w:tcPr>
            <w:tcW w:w="19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6620" w:type="dxa"/>
            <w:vAlign w:val="bottom"/>
            <w:shd w:val="clear" w:color="auto" w:fill="BFBFBF"/>
          </w:tcPr>
          <w:p>
            <w:pPr>
              <w:spacing w:after="0"/>
              <w:rPr>
                <w:sz w:val="24"/>
                <w:szCs w:val="24"/>
                <w:color w:val="auto"/>
              </w:rPr>
            </w:pPr>
          </w:p>
        </w:tc>
        <w:tc>
          <w:tcPr>
            <w:tcW w:w="19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20" w:type="dxa"/>
            <w:vAlign w:val="bottom"/>
            <w:tcBorders>
              <w:bottom w:val="single" w:sz="8" w:color="auto"/>
            </w:tcBorders>
            <w:shd w:val="clear" w:color="auto" w:fill="BFBFBF"/>
          </w:tcPr>
          <w:p>
            <w:pPr>
              <w:spacing w:after="0"/>
              <w:rPr>
                <w:sz w:val="23"/>
                <w:szCs w:val="23"/>
                <w:color w:val="auto"/>
              </w:rPr>
            </w:pPr>
          </w:p>
        </w:tc>
        <w:tc>
          <w:tcPr>
            <w:tcW w:w="19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3,656,923*</w:t>
            </w:r>
          </w:p>
        </w:tc>
        <w:tc>
          <w:tcPr>
            <w:tcW w:w="1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6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662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3,656,923*</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3,656,923*</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6620" w:type="dxa"/>
            <w:vAlign w:val="bottom"/>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tbl>
      <w:tblPr>
        <w:tblLayout w:type="fixed"/>
        <w:tblInd w:w="10" w:type="dxa"/>
        <w:tblCellMar>
          <w:top w:w="0" w:type="dxa"/>
          <w:left w:w="0" w:type="dxa"/>
          <w:bottom w:w="0" w:type="dxa"/>
          <w:right w:w="0" w:type="dxa"/>
        </w:tblCellMar>
      </w:tblPr>
      <w:tr>
        <w:trPr>
          <w:trHeight w:val="245"/>
        </w:trPr>
        <w:tc>
          <w:tcPr>
            <w:tcW w:w="22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460" w:type="dxa"/>
            <w:vAlign w:val="bottom"/>
            <w:tcBorders>
              <w:bottom w:val="single" w:sz="8" w:color="auto"/>
            </w:tcBorders>
          </w:tcPr>
          <w:p>
            <w:pPr>
              <w:spacing w:after="0"/>
              <w:rPr>
                <w:sz w:val="21"/>
                <w:szCs w:val="21"/>
                <w:color w:val="auto"/>
              </w:rPr>
            </w:pPr>
          </w:p>
        </w:tc>
        <w:tc>
          <w:tcPr>
            <w:tcW w:w="662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8"/>
                <w:szCs w:val="18"/>
                <w:b w:val="1"/>
                <w:bCs w:val="1"/>
                <w:color w:val="auto"/>
              </w:rPr>
              <w:t>13G</w:t>
            </w:r>
          </w:p>
        </w:tc>
        <w:tc>
          <w:tcPr>
            <w:tcW w:w="19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w w:val="95"/>
              </w:rPr>
              <w:t>Page 9 of 16</w:t>
            </w:r>
          </w:p>
        </w:tc>
        <w:tc>
          <w:tcPr>
            <w:tcW w:w="0" w:type="dxa"/>
            <w:vAlign w:val="bottom"/>
          </w:tcPr>
          <w:p>
            <w:pPr>
              <w:spacing w:after="0"/>
              <w:rPr>
                <w:sz w:val="1"/>
                <w:szCs w:val="1"/>
                <w:color w:val="auto"/>
              </w:rPr>
            </w:pPr>
          </w:p>
        </w:tc>
      </w:tr>
      <w:tr>
        <w:trPr>
          <w:trHeight w:val="176"/>
        </w:trPr>
        <w:tc>
          <w:tcPr>
            <w:tcW w:w="1400" w:type="dxa"/>
            <w:vAlign w:val="bottom"/>
            <w:tcBorders>
              <w:bottom w:val="single" w:sz="8" w:color="auto"/>
            </w:tcBorders>
          </w:tcPr>
          <w:p>
            <w:pPr>
              <w:spacing w:after="0"/>
              <w:rPr>
                <w:sz w:val="15"/>
                <w:szCs w:val="15"/>
                <w:color w:val="auto"/>
              </w:rPr>
            </w:pPr>
          </w:p>
        </w:tc>
        <w:tc>
          <w:tcPr>
            <w:tcW w:w="7940" w:type="dxa"/>
            <w:vAlign w:val="bottom"/>
            <w:tcBorders>
              <w:bottom w:val="single" w:sz="8" w:color="auto"/>
            </w:tcBorders>
            <w:gridSpan w:val="4"/>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Rose S. Shabet</w:t>
            </w: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7940" w:type="dxa"/>
            <w:vAlign w:val="bottom"/>
            <w:tcBorders>
              <w:bottom w:val="single" w:sz="8" w:color="auto"/>
            </w:tcBorders>
            <w:gridSpan w:val="4"/>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right w:val="single" w:sz="8" w:color="auto"/>
            </w:tcBorders>
            <w:vMerge w:val="continue"/>
          </w:tcPr>
          <w:p>
            <w:pPr>
              <w:spacing w:after="0"/>
              <w:rPr>
                <w:sz w:val="23"/>
                <w:szCs w:val="23"/>
                <w:color w:val="auto"/>
              </w:rPr>
            </w:pPr>
          </w:p>
        </w:tc>
        <w:tc>
          <w:tcPr>
            <w:tcW w:w="860" w:type="dxa"/>
            <w:vAlign w:val="bottom"/>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190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02"/>
        </w:trPr>
        <w:tc>
          <w:tcPr>
            <w:tcW w:w="1400" w:type="dxa"/>
            <w:vAlign w:val="bottom"/>
            <w:tcBorders>
              <w:left w:val="single" w:sz="8" w:color="auto"/>
              <w:bottom w:val="single" w:sz="8" w:color="auto"/>
              <w:right w:val="single" w:sz="8" w:color="auto"/>
            </w:tcBorders>
          </w:tcPr>
          <w:p>
            <w:pPr>
              <w:spacing w:after="0"/>
              <w:rPr>
                <w:sz w:val="24"/>
                <w:szCs w:val="24"/>
                <w:color w:val="auto"/>
              </w:rPr>
            </w:pPr>
          </w:p>
        </w:tc>
        <w:tc>
          <w:tcPr>
            <w:tcW w:w="860" w:type="dxa"/>
            <w:vAlign w:val="bottom"/>
            <w:tcBorders>
              <w:bottom w:val="single" w:sz="8" w:color="auto"/>
            </w:tcBorders>
            <w:gridSpan w:val="2"/>
          </w:tcPr>
          <w:p>
            <w:pPr>
              <w:ind w:left="20"/>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320" w:type="dxa"/>
            <w:vAlign w:val="bottom"/>
            <w:tcBorders>
              <w:right w:val="single" w:sz="8" w:color="BFBFBF"/>
            </w:tcBorders>
            <w:gridSpan w:val="3"/>
            <w:shd w:val="clear" w:color="auto" w:fill="BFBFBF"/>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SEC USE ONLY</w:t>
            </w:r>
          </w:p>
        </w:tc>
        <w:tc>
          <w:tcPr>
            <w:tcW w:w="6620" w:type="dxa"/>
            <w:vAlign w:val="bottom"/>
            <w:shd w:val="clear" w:color="auto" w:fill="BFBFBF"/>
          </w:tcPr>
          <w:p>
            <w:pPr>
              <w:spacing w:after="0"/>
              <w:rPr>
                <w:sz w:val="20"/>
                <w:szCs w:val="20"/>
                <w:color w:val="auto"/>
              </w:rPr>
            </w:pPr>
          </w:p>
        </w:tc>
        <w:tc>
          <w:tcPr>
            <w:tcW w:w="190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6620" w:type="dxa"/>
            <w:vAlign w:val="bottom"/>
            <w:shd w:val="clear" w:color="auto" w:fill="BFBFBF"/>
          </w:tcPr>
          <w:p>
            <w:pPr>
              <w:spacing w:after="0"/>
              <w:rPr>
                <w:sz w:val="24"/>
                <w:szCs w:val="24"/>
                <w:color w:val="auto"/>
              </w:rPr>
            </w:pPr>
          </w:p>
        </w:tc>
        <w:tc>
          <w:tcPr>
            <w:tcW w:w="190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400" w:type="dxa"/>
            <w:vAlign w:val="bottom"/>
            <w:tcBorders>
              <w:left w:val="single" w:sz="8" w:color="auto"/>
              <w:bottom w:val="single" w:sz="8" w:color="auto"/>
              <w:right w:val="single" w:sz="8" w:color="auto"/>
            </w:tcBorders>
          </w:tcPr>
          <w:p>
            <w:pPr>
              <w:spacing w:after="0"/>
              <w:rPr>
                <w:sz w:val="23"/>
                <w:szCs w:val="23"/>
                <w:color w:val="auto"/>
              </w:rPr>
            </w:pPr>
          </w:p>
        </w:tc>
        <w:tc>
          <w:tcPr>
            <w:tcW w:w="660" w:type="dxa"/>
            <w:vAlign w:val="bottom"/>
            <w:tcBorders>
              <w:bottom w:val="single" w:sz="8" w:color="auto"/>
              <w:right w:val="single" w:sz="8" w:color="BFBFBF"/>
            </w:tcBorders>
            <w:shd w:val="clear" w:color="auto" w:fill="BFBFBF"/>
          </w:tcPr>
          <w:p>
            <w:pPr>
              <w:spacing w:after="0"/>
              <w:rPr>
                <w:sz w:val="23"/>
                <w:szCs w:val="23"/>
                <w:color w:val="auto"/>
              </w:rPr>
            </w:pPr>
          </w:p>
        </w:tc>
        <w:tc>
          <w:tcPr>
            <w:tcW w:w="660" w:type="dxa"/>
            <w:vAlign w:val="bottom"/>
            <w:tcBorders>
              <w:bottom w:val="single" w:sz="8" w:color="auto"/>
              <w:right w:val="single" w:sz="8" w:color="BFBFBF"/>
            </w:tcBorders>
            <w:gridSpan w:val="2"/>
            <w:shd w:val="clear" w:color="auto" w:fill="BFBFBF"/>
          </w:tcPr>
          <w:p>
            <w:pPr>
              <w:spacing w:after="0"/>
              <w:rPr>
                <w:sz w:val="23"/>
                <w:szCs w:val="23"/>
                <w:color w:val="auto"/>
              </w:rPr>
            </w:pPr>
          </w:p>
        </w:tc>
        <w:tc>
          <w:tcPr>
            <w:tcW w:w="6620" w:type="dxa"/>
            <w:vAlign w:val="bottom"/>
            <w:tcBorders>
              <w:bottom w:val="single" w:sz="8" w:color="auto"/>
            </w:tcBorders>
            <w:shd w:val="clear" w:color="auto" w:fill="BFBFBF"/>
          </w:tcPr>
          <w:p>
            <w:pPr>
              <w:spacing w:after="0"/>
              <w:rPr>
                <w:sz w:val="23"/>
                <w:szCs w:val="23"/>
                <w:color w:val="auto"/>
              </w:rPr>
            </w:pPr>
          </w:p>
        </w:tc>
        <w:tc>
          <w:tcPr>
            <w:tcW w:w="190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tcBorders>
          </w:tcPr>
          <w:p>
            <w:pPr>
              <w:spacing w:after="0"/>
              <w:rPr>
                <w:sz w:val="14"/>
                <w:szCs w:val="14"/>
                <w:color w:val="auto"/>
              </w:rPr>
            </w:pPr>
          </w:p>
        </w:tc>
        <w:tc>
          <w:tcPr>
            <w:tcW w:w="66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3,656,923*</w:t>
            </w:r>
          </w:p>
        </w:tc>
        <w:tc>
          <w:tcPr>
            <w:tcW w:w="19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60" w:type="dxa"/>
            <w:vAlign w:val="bottom"/>
            <w:tcBorders>
              <w:left w:val="single" w:sz="8" w:color="auto"/>
              <w:right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60" w:type="dxa"/>
            <w:vAlign w:val="bottom"/>
            <w:tcBorders>
              <w:left w:val="single" w:sz="8" w:color="auto"/>
              <w:right w:val="single" w:sz="8" w:color="auto"/>
            </w:tcBorders>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9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60" w:type="dxa"/>
            <w:vAlign w:val="bottom"/>
            <w:tcBorders>
              <w:left w:val="single" w:sz="8" w:color="auto"/>
              <w:right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6620" w:type="dxa"/>
            <w:vAlign w:val="bottom"/>
            <w:vMerge w:val="continue"/>
          </w:tcPr>
          <w:p>
            <w:pPr>
              <w:spacing w:after="0"/>
              <w:rPr>
                <w:sz w:val="18"/>
                <w:szCs w:val="18"/>
                <w:color w:val="auto"/>
              </w:rPr>
            </w:pPr>
          </w:p>
        </w:tc>
        <w:tc>
          <w:tcPr>
            <w:tcW w:w="1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400" w:type="dxa"/>
            <w:vAlign w:val="bottom"/>
            <w:tcBorders>
              <w:left w:val="single" w:sz="8" w:color="auto"/>
            </w:tcBorders>
            <w:vMerge w:val="restart"/>
          </w:tcPr>
          <w:p>
            <w:pPr>
              <w:jc w:val="center"/>
              <w:ind w:left="529"/>
              <w:spacing w:after="0"/>
              <w:rPr>
                <w:sz w:val="20"/>
                <w:szCs w:val="20"/>
                <w:color w:val="auto"/>
              </w:rPr>
            </w:pPr>
            <w:r>
              <w:rPr>
                <w:rFonts w:ascii="Times New Roman" w:cs="Times New Roman" w:eastAsia="Times New Roman" w:hAnsi="Times New Roman"/>
                <w:sz w:val="18"/>
                <w:szCs w:val="18"/>
                <w:b w:val="1"/>
                <w:bCs w:val="1"/>
                <w:color w:val="auto"/>
                <w:w w:val="97"/>
              </w:rPr>
              <w:t>WITH</w:t>
            </w:r>
          </w:p>
        </w:tc>
        <w:tc>
          <w:tcPr>
            <w:tcW w:w="66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662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1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400" w:type="dxa"/>
            <w:vAlign w:val="bottom"/>
            <w:tcBorders>
              <w:left w:val="single" w:sz="8" w:color="auto"/>
            </w:tcBorders>
            <w:vMerge w:val="continue"/>
          </w:tcPr>
          <w:p>
            <w:pPr>
              <w:spacing w:after="0"/>
              <w:rPr>
                <w:sz w:val="4"/>
                <w:szCs w:val="4"/>
                <w:color w:val="auto"/>
              </w:rPr>
            </w:pPr>
          </w:p>
        </w:tc>
        <w:tc>
          <w:tcPr>
            <w:tcW w:w="66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6620" w:type="dxa"/>
            <w:vAlign w:val="bottom"/>
          </w:tcPr>
          <w:p>
            <w:pPr>
              <w:spacing w:after="0"/>
              <w:rPr>
                <w:sz w:val="4"/>
                <w:szCs w:val="4"/>
                <w:color w:val="auto"/>
              </w:rPr>
            </w:pPr>
          </w:p>
        </w:tc>
        <w:tc>
          <w:tcPr>
            <w:tcW w:w="19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9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3,656,923*</w:t>
            </w: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tcBorders>
          </w:tcPr>
          <w:p>
            <w:pPr>
              <w:spacing w:after="0"/>
              <w:rPr>
                <w:sz w:val="14"/>
                <w:szCs w:val="14"/>
                <w:color w:val="auto"/>
              </w:rPr>
            </w:pPr>
          </w:p>
        </w:tc>
        <w:tc>
          <w:tcPr>
            <w:tcW w:w="66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8"/>
              </w:rPr>
              <w:t>3,656,923*</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852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9840" w:type="dxa"/>
            <w:vAlign w:val="bottom"/>
            <w:tcBorders>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351"/>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2"/>
        </w:trPr>
        <w:tc>
          <w:tcPr>
            <w:tcW w:w="1400" w:type="dxa"/>
            <w:vAlign w:val="bottom"/>
            <w:tcBorders>
              <w:left w:val="single" w:sz="8" w:color="auto"/>
              <w:right w:val="single" w:sz="8" w:color="auto"/>
            </w:tcBorders>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460" w:type="dxa"/>
            <w:vAlign w:val="bottom"/>
          </w:tcPr>
          <w:p>
            <w:pPr>
              <w:spacing w:after="0"/>
              <w:rPr>
                <w:sz w:val="7"/>
                <w:szCs w:val="7"/>
                <w:color w:val="auto"/>
              </w:rPr>
            </w:pPr>
          </w:p>
        </w:tc>
        <w:tc>
          <w:tcPr>
            <w:tcW w:w="6620" w:type="dxa"/>
            <w:vAlign w:val="bottom"/>
          </w:tcPr>
          <w:p>
            <w:pPr>
              <w:spacing w:after="0"/>
              <w:rPr>
                <w:sz w:val="7"/>
                <w:szCs w:val="7"/>
                <w:color w:val="auto"/>
              </w:rPr>
            </w:pPr>
          </w:p>
        </w:tc>
        <w:tc>
          <w:tcPr>
            <w:tcW w:w="19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400" w:type="dxa"/>
            <w:vAlign w:val="bottom"/>
            <w:tcBorders>
              <w:left w:val="single" w:sz="8" w:color="auto"/>
              <w:bottom w:val="single" w:sz="8" w:color="auto"/>
              <w:right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gridSpan w:val="2"/>
          </w:tcPr>
          <w:p>
            <w:pPr>
              <w:spacing w:after="0"/>
              <w:rPr>
                <w:sz w:val="11"/>
                <w:szCs w:val="11"/>
                <w:color w:val="auto"/>
              </w:rPr>
            </w:pPr>
          </w:p>
        </w:tc>
        <w:tc>
          <w:tcPr>
            <w:tcW w:w="6620" w:type="dxa"/>
            <w:vAlign w:val="bottom"/>
            <w:tcBorders>
              <w:bottom w:val="single" w:sz="8" w:color="auto"/>
            </w:tcBorders>
          </w:tcPr>
          <w:p>
            <w:pPr>
              <w:spacing w:after="0"/>
              <w:rPr>
                <w:sz w:val="11"/>
                <w:szCs w:val="11"/>
                <w:color w:val="auto"/>
              </w:rPr>
            </w:pPr>
          </w:p>
        </w:tc>
        <w:tc>
          <w:tcPr>
            <w:tcW w:w="19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40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79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400" w:type="dxa"/>
            <w:vAlign w:val="bottom"/>
            <w:tcBorders>
              <w:left w:val="single" w:sz="8" w:color="auto"/>
              <w:right w:val="single" w:sz="8" w:color="auto"/>
            </w:tcBorders>
            <w:vMerge w:val="continue"/>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4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9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00" w:type="dxa"/>
            <w:vAlign w:val="bottom"/>
            <w:tcBorders>
              <w:left w:val="single" w:sz="8" w:color="auto"/>
              <w:bottom w:val="single" w:sz="8" w:color="auto"/>
              <w:right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620" w:type="dxa"/>
            <w:vAlign w:val="bottom"/>
            <w:tcBorders>
              <w:bottom w:val="single" w:sz="8" w:color="auto"/>
            </w:tcBorders>
          </w:tcPr>
          <w:p>
            <w:pPr>
              <w:spacing w:after="0"/>
              <w:rPr>
                <w:sz w:val="14"/>
                <w:szCs w:val="14"/>
                <w:color w:val="auto"/>
              </w:rPr>
            </w:pPr>
          </w:p>
        </w:tc>
        <w:tc>
          <w:tcPr>
            <w:tcW w:w="1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See Item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5"/>
        </w:trPr>
        <w:tc>
          <w:tcPr>
            <w:tcW w:w="512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CUSIP No. N69605108</w:t>
            </w:r>
          </w:p>
        </w:tc>
        <w:tc>
          <w:tcPr>
            <w:tcW w:w="28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13G</w:t>
            </w:r>
          </w:p>
        </w:tc>
        <w:tc>
          <w:tcPr>
            <w:tcW w:w="324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w w:val="98"/>
              </w:rPr>
              <w:t>Page 10 of 16</w:t>
            </w:r>
          </w:p>
        </w:tc>
      </w:tr>
      <w:tr>
        <w:trPr>
          <w:trHeight w:val="351"/>
        </w:trPr>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Item 1(a).</w:t>
            </w:r>
          </w:p>
        </w:tc>
        <w:tc>
          <w:tcPr>
            <w:tcW w:w="580" w:type="dxa"/>
            <w:vAlign w:val="bottom"/>
          </w:tcPr>
          <w:p>
            <w:pPr>
              <w:spacing w:after="0"/>
              <w:rPr>
                <w:sz w:val="24"/>
                <w:szCs w:val="24"/>
                <w:color w:val="auto"/>
              </w:rPr>
            </w:pPr>
          </w:p>
        </w:tc>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Issuer:</w:t>
            </w:r>
          </w:p>
        </w:tc>
        <w:tc>
          <w:tcPr>
            <w:tcW w:w="28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453"/>
        </w:trPr>
        <w:tc>
          <w:tcPr>
            <w:tcW w:w="6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Pharvaris N.V.</w:t>
            </w:r>
          </w:p>
        </w:tc>
        <w:tc>
          <w:tcPr>
            <w:tcW w:w="2720" w:type="dxa"/>
            <w:vAlign w:val="bottom"/>
            <w:gridSpan w:val="3"/>
          </w:tcPr>
          <w:p>
            <w:pPr>
              <w:spacing w:after="0"/>
              <w:rPr>
                <w:sz w:val="24"/>
                <w:szCs w:val="24"/>
                <w:color w:val="auto"/>
              </w:rPr>
            </w:pPr>
          </w:p>
        </w:tc>
        <w:tc>
          <w:tcPr>
            <w:tcW w:w="28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391"/>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1(b).</w:t>
            </w:r>
          </w:p>
        </w:tc>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Address of Issuer’s Principal Executive Offices:</w:t>
            </w:r>
          </w:p>
        </w:tc>
        <w:tc>
          <w:tcPr>
            <w:tcW w:w="28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434"/>
        </w:trPr>
        <w:tc>
          <w:tcPr>
            <w:tcW w:w="6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Emmy Noetherweg 2, 2333 BK Leiden,</w:t>
            </w:r>
          </w:p>
        </w:tc>
        <w:tc>
          <w:tcPr>
            <w:tcW w:w="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34"/>
        </w:trPr>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Netherlands</w:t>
            </w:r>
          </w:p>
        </w:tc>
        <w:tc>
          <w:tcPr>
            <w:tcW w:w="2880" w:type="dxa"/>
            <w:vAlign w:val="bottom"/>
          </w:tcPr>
          <w:p>
            <w:pPr>
              <w:spacing w:after="0"/>
              <w:rPr>
                <w:sz w:val="20"/>
                <w:szCs w:val="20"/>
                <w:color w:val="auto"/>
              </w:rPr>
            </w:pPr>
          </w:p>
        </w:tc>
        <w:tc>
          <w:tcPr>
            <w:tcW w:w="3240" w:type="dxa"/>
            <w:vAlign w:val="bottom"/>
          </w:tcPr>
          <w:p>
            <w:pPr>
              <w:spacing w:after="0"/>
              <w:rPr>
                <w:sz w:val="20"/>
                <w:szCs w:val="20"/>
                <w:color w:val="auto"/>
              </w:rPr>
            </w:pPr>
          </w:p>
        </w:tc>
      </w:tr>
      <w:tr>
        <w:trPr>
          <w:trHeight w:val="392"/>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2(a).</w:t>
            </w:r>
          </w:p>
        </w:tc>
        <w:tc>
          <w:tcPr>
            <w:tcW w:w="3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Name of Person Filing:</w:t>
            </w:r>
          </w:p>
        </w:tc>
        <w:tc>
          <w:tcPr>
            <w:tcW w:w="28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0"/>
        </w:trPr>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bl>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Viking Global Investors LP (“VGI”),</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Viking Global Opportunities Parent GP LLC (“Opportunities Parent”),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Viking Global Opportunities GP LLC (“Opportunities GP”),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Viking Global Opportunities Portfolio GP LLC (“Opportunities Portfolio GP”),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Viking Global Opportunities Illiquid Investments Sub-Master LP (“VGOP”),</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Andreas Halvorsen, David C. Ott and Rose S. Shabet (collectively, the “Reporting Persons”)</w:t>
      </w:r>
    </w:p>
    <w:p>
      <w:pPr>
        <w:spacing w:after="0" w:line="20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2(b)</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Address of Principal Business Office or, if none, Residence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business address of each of the Reporting Persons is: 600 Washington Boulevard, Floor 11, Stamford, Connecticut 06901.</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2(c)</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1296"/>
        <w:spacing w:after="0" w:line="266" w:lineRule="auto"/>
        <w:rPr>
          <w:sz w:val="20"/>
          <w:szCs w:val="20"/>
          <w:color w:val="auto"/>
        </w:rPr>
      </w:pPr>
      <w:r>
        <w:rPr>
          <w:rFonts w:ascii="Times New Roman" w:cs="Times New Roman" w:eastAsia="Times New Roman" w:hAnsi="Times New Roman"/>
          <w:sz w:val="18"/>
          <w:szCs w:val="18"/>
          <w:color w:val="auto"/>
        </w:rPr>
        <w:t>VGI is a Delaware limited partnership; Opportunities Parent, Opportunities GP and Opportunities Portfolio GP are Delaware limited liability companies; VGOP is a Cayman Islands exempted limited partnership; O. Andreas Halvorsen is a citizen of Norway; and David C. Ott and Rose S. Shabet are citizens of the United States.</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2(d)</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Titles of Classes of Securities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Ordinary shares, par value €0.12 par value per share (“Common Stock”)</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2(e)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CUSIP NUMBER: N69605108</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3</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If This Statement is Filed Pursuant to Rule 13d-1(b), or 13d-2(b) or (c), Check Whether the Person Filing is a</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1800" w:hanging="496"/>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Exchange Act</w:t>
      </w:r>
    </w:p>
    <w:p>
      <w:pPr>
        <w:spacing w:after="0" w:line="225"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Exchange Act</w:t>
      </w:r>
    </w:p>
    <w:p>
      <w:pPr>
        <w:spacing w:after="0" w:line="225"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Exchange Act</w:t>
      </w:r>
    </w:p>
    <w:p>
      <w:pPr>
        <w:spacing w:after="0" w:line="225"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225"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Adviser registered under Section 203 of the Investment Advisers Act of 1940: see Rule 13d-1(b)(1)(ii)(E)</w:t>
      </w:r>
    </w:p>
    <w:p>
      <w:pPr>
        <w:spacing w:after="0" w:line="225" w:lineRule="exact"/>
        <w:rPr>
          <w:rFonts w:ascii="Times New Roman" w:cs="Times New Roman" w:eastAsia="Times New Roman" w:hAnsi="Times New Roman"/>
          <w:sz w:val="18"/>
          <w:szCs w:val="18"/>
          <w:color w:val="auto"/>
        </w:rPr>
      </w:pPr>
    </w:p>
    <w:p>
      <w:pPr>
        <w:ind w:left="1800" w:right="240" w:hanging="496"/>
        <w:spacing w:after="0" w:line="245" w:lineRule="exact"/>
        <w:tabs>
          <w:tab w:leader="none" w:pos="1800" w:val="left"/>
        </w:tabs>
        <w:numPr>
          <w:ilvl w:val="0"/>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Employee Benefit Plan, Pension Fund which is subject to the provisions of the Employee Retirement Income Security Act of 1974 or Endowment Fund; see Rule 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tabs>
          <w:tab w:leader="none" w:pos="5460" w:val="left"/>
          <w:tab w:leader="none" w:pos="1022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11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5" w:lineRule="exact"/>
        <w:rPr>
          <w:sz w:val="20"/>
          <w:szCs w:val="20"/>
          <w:color w:val="auto"/>
        </w:rPr>
      </w:pPr>
    </w:p>
    <w:p>
      <w:pPr>
        <w:ind w:left="1800" w:hanging="496"/>
        <w:spacing w:after="0" w:line="207" w:lineRule="exact"/>
        <w:tabs>
          <w:tab w:leader="none" w:pos="18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Parent holding company, in accordance with Rule 13d-1(b)(1)(ii)(G).</w:t>
      </w:r>
    </w:p>
    <w:p>
      <w:pPr>
        <w:spacing w:after="0" w:line="225"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Savings Association as defined in Section 3(b) of the Federal Deposit Insurance Act.</w:t>
      </w:r>
    </w:p>
    <w:p>
      <w:pPr>
        <w:spacing w:after="0" w:line="225" w:lineRule="exact"/>
        <w:rPr>
          <w:rFonts w:ascii="Times New Roman" w:cs="Times New Roman" w:eastAsia="Times New Roman" w:hAnsi="Times New Roman"/>
          <w:sz w:val="18"/>
          <w:szCs w:val="18"/>
          <w:color w:val="auto"/>
        </w:rPr>
      </w:pPr>
    </w:p>
    <w:p>
      <w:pPr>
        <w:ind w:left="1800" w:right="100" w:hanging="496"/>
        <w:spacing w:after="0" w:line="245" w:lineRule="exact"/>
        <w:tabs>
          <w:tab w:leader="none" w:pos="18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Church Plan that is excluded from the definition of an investment company under Section 3(c)(14) of the Investment Company Act of 1940.</w:t>
      </w:r>
    </w:p>
    <w:p>
      <w:pPr>
        <w:spacing w:after="0" w:line="158"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Non-U.S. institution in accordance with Rule 240.13d-1(b)(1)(ii)(J). If filing as a non-U.S. institution in accordance with Rule</w:t>
      </w:r>
    </w:p>
    <w:p>
      <w:pPr>
        <w:spacing w:after="0" w:line="69" w:lineRule="exact"/>
        <w:rPr>
          <w:rFonts w:ascii="Times New Roman" w:cs="Times New Roman" w:eastAsia="Times New Roman" w:hAnsi="Times New Roman"/>
          <w:sz w:val="18"/>
          <w:szCs w:val="18"/>
          <w:color w:val="auto"/>
        </w:rPr>
      </w:pPr>
    </w:p>
    <w:p>
      <w:pPr>
        <w:ind w:left="1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240.13d-1(b)(1)(ii)(J), please specify the type of institution:</w:t>
      </w:r>
    </w:p>
    <w:p>
      <w:pPr>
        <w:spacing w:after="0" w:line="164" w:lineRule="exact"/>
        <w:rPr>
          <w:rFonts w:ascii="Times New Roman" w:cs="Times New Roman" w:eastAsia="Times New Roman" w:hAnsi="Times New Roman"/>
          <w:sz w:val="18"/>
          <w:szCs w:val="18"/>
          <w:color w:val="auto"/>
        </w:rPr>
      </w:pPr>
    </w:p>
    <w:p>
      <w:pPr>
        <w:ind w:left="1800" w:hanging="496"/>
        <w:spacing w:after="0" w:line="207" w:lineRule="exact"/>
        <w:tabs>
          <w:tab w:leader="none" w:pos="1800" w:val="left"/>
        </w:tabs>
        <w:numPr>
          <w:ilvl w:val="0"/>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240.13d-1(b)(1)(ii)(K).</w:t>
      </w:r>
    </w:p>
    <w:p>
      <w:pPr>
        <w:spacing w:after="0" w:line="26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4</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Ownership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right="20"/>
        <w:spacing w:after="0" w:line="261" w:lineRule="auto"/>
        <w:rPr>
          <w:sz w:val="20"/>
          <w:szCs w:val="20"/>
          <w:color w:val="auto"/>
        </w:rPr>
      </w:pPr>
      <w:r>
        <w:rPr>
          <w:rFonts w:ascii="Times New Roman" w:cs="Times New Roman" w:eastAsia="Times New Roman" w:hAnsi="Times New Roman"/>
          <w:sz w:val="18"/>
          <w:szCs w:val="18"/>
          <w:color w:val="auto"/>
        </w:rPr>
        <w:t>The percentages set forth herein are based on 52,108,675 shares of Common Shares expected to be outstanding upon closing of the Issuer’s follow-on underwritten offering on December 8, 2023, as reported in the Issuer’s prospectus supplement on Form 424B5, filed with the U.S. Securities and Exchange Commission (the “Commission”) on December 7, 2023, and the Issuer’s current report on Form 6-K, filed with the Commission on December 8, 2023.</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VGI</w:t>
      </w:r>
    </w:p>
    <w:p>
      <w:pPr>
        <w:spacing w:after="0" w:line="225" w:lineRule="exact"/>
        <w:rPr>
          <w:sz w:val="20"/>
          <w:szCs w:val="20"/>
          <w:color w:val="auto"/>
        </w:rPr>
      </w:pPr>
    </w:p>
    <w:p>
      <w:pPr>
        <w:ind w:left="1800" w:hanging="496"/>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3,656,923</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7.0%</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3,656,923</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3,656,923</w:t>
      </w:r>
    </w:p>
    <w:p>
      <w:pPr>
        <w:spacing w:after="0" w:line="22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VGI provides managerial services to VGOP. VGI has the authority to dispose of and vote the shares of Common Stock.</w:t>
      </w:r>
    </w:p>
    <w:p>
      <w:pPr>
        <w:spacing w:after="0" w:line="225" w:lineRule="exact"/>
        <w:rPr>
          <w:sz w:val="20"/>
          <w:szCs w:val="20"/>
          <w:color w:val="auto"/>
        </w:rPr>
      </w:pPr>
    </w:p>
    <w:p>
      <w:pPr>
        <w:ind w:left="2120" w:right="540"/>
        <w:spacing w:after="0" w:line="282" w:lineRule="auto"/>
        <w:rPr>
          <w:sz w:val="20"/>
          <w:szCs w:val="20"/>
          <w:color w:val="auto"/>
        </w:rPr>
      </w:pPr>
      <w:r>
        <w:rPr>
          <w:rFonts w:ascii="Times New Roman" w:cs="Times New Roman" w:eastAsia="Times New Roman" w:hAnsi="Times New Roman"/>
          <w:sz w:val="18"/>
          <w:szCs w:val="18"/>
          <w:color w:val="auto"/>
        </w:rPr>
        <w:t>Based on Rule 13d-3 of the Act, VGI may be deemed to beneficially own the shares of Common Stock directly held by VGOP. VGI does not directly own any shares of Common Stock.</w:t>
      </w:r>
    </w:p>
    <w:p>
      <w:pPr>
        <w:spacing w:after="0" w:line="162" w:lineRule="exact"/>
        <w:rPr>
          <w:sz w:val="20"/>
          <w:szCs w:val="20"/>
          <w:color w:val="auto"/>
        </w:rPr>
      </w:pPr>
    </w:p>
    <w:p>
      <w:pPr>
        <w:ind w:left="2120" w:right="380"/>
        <w:spacing w:after="0" w:line="282" w:lineRule="auto"/>
        <w:rPr>
          <w:sz w:val="20"/>
          <w:szCs w:val="20"/>
          <w:color w:val="auto"/>
        </w:rPr>
      </w:pPr>
      <w:r>
        <w:rPr>
          <w:rFonts w:ascii="Times New Roman" w:cs="Times New Roman" w:eastAsia="Times New Roman" w:hAnsi="Times New Roman"/>
          <w:sz w:val="18"/>
          <w:szCs w:val="18"/>
          <w:color w:val="auto"/>
        </w:rPr>
        <w:t>VGI beneficially owns 3,656,923 shares of Common Stock consisting of 3,656,923 shares of Common Stock directly and beneficially owned by VGOP.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Opportunities Parent</w:t>
      </w:r>
    </w:p>
    <w:p>
      <w:pPr>
        <w:spacing w:after="0" w:line="225" w:lineRule="exact"/>
        <w:rPr>
          <w:sz w:val="20"/>
          <w:szCs w:val="20"/>
          <w:color w:val="auto"/>
        </w:rPr>
      </w:pPr>
    </w:p>
    <w:p>
      <w:pPr>
        <w:ind w:left="1800" w:hanging="496"/>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3,656,923</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tabs>
          <w:tab w:leader="none" w:pos="546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12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ind w:left="1800" w:hanging="496"/>
        <w:spacing w:after="0"/>
        <w:tabs>
          <w:tab w:leader="none" w:pos="18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3,656,923</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3,656,923</w:t>
      </w:r>
    </w:p>
    <w:p>
      <w:pPr>
        <w:spacing w:after="0" w:line="225" w:lineRule="exact"/>
        <w:rPr>
          <w:sz w:val="20"/>
          <w:szCs w:val="20"/>
          <w:color w:val="auto"/>
        </w:rPr>
      </w:pPr>
    </w:p>
    <w:p>
      <w:pPr>
        <w:jc w:val="both"/>
        <w:ind w:left="2120" w:right="400"/>
        <w:spacing w:after="0" w:line="266" w:lineRule="auto"/>
        <w:rPr>
          <w:sz w:val="20"/>
          <w:szCs w:val="20"/>
          <w:color w:val="auto"/>
        </w:rPr>
      </w:pPr>
      <w:r>
        <w:rPr>
          <w:rFonts w:ascii="Times New Roman" w:cs="Times New Roman" w:eastAsia="Times New Roman" w:hAnsi="Times New Roman"/>
          <w:sz w:val="18"/>
          <w:szCs w:val="18"/>
          <w:color w:val="auto"/>
        </w:rPr>
        <w:t>Opportunities Parent is the sole member of Opportunities GP, which has the authority to dispose of and vote the shares of Common Stock controlled by Opportunities Portfolio GP, which consists of the shares of Common Stock directly held by VGOP. Opportunities Parent does not directly own any shares of Common Stock.</w:t>
      </w:r>
    </w:p>
    <w:p>
      <w:pPr>
        <w:spacing w:after="0" w:line="176" w:lineRule="exact"/>
        <w:rPr>
          <w:sz w:val="20"/>
          <w:szCs w:val="20"/>
          <w:color w:val="auto"/>
        </w:rPr>
      </w:pPr>
    </w:p>
    <w:p>
      <w:pPr>
        <w:ind w:left="2120" w:right="540"/>
        <w:spacing w:after="0" w:line="282" w:lineRule="auto"/>
        <w:rPr>
          <w:sz w:val="20"/>
          <w:szCs w:val="20"/>
          <w:color w:val="auto"/>
        </w:rPr>
      </w:pPr>
      <w:r>
        <w:rPr>
          <w:rFonts w:ascii="Times New Roman" w:cs="Times New Roman" w:eastAsia="Times New Roman" w:hAnsi="Times New Roman"/>
          <w:sz w:val="18"/>
          <w:szCs w:val="18"/>
          <w:color w:val="auto"/>
        </w:rPr>
        <w:t>Based on Rule 13d-3 of the Act, Opportunities Parent may be deemed to beneficially own the shares of Common Stock directly held by VGOP.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 Opportunities GP</w:t>
      </w:r>
    </w:p>
    <w:p>
      <w:pPr>
        <w:spacing w:after="0" w:line="225" w:lineRule="exact"/>
        <w:rPr>
          <w:sz w:val="20"/>
          <w:szCs w:val="20"/>
          <w:color w:val="auto"/>
        </w:rPr>
      </w:pPr>
    </w:p>
    <w:p>
      <w:pPr>
        <w:ind w:left="1800" w:hanging="49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3,656,923</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7.0%</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3,656,923</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3,656,923</w:t>
      </w:r>
    </w:p>
    <w:p>
      <w:pPr>
        <w:spacing w:after="0" w:line="225" w:lineRule="exact"/>
        <w:rPr>
          <w:sz w:val="20"/>
          <w:szCs w:val="20"/>
          <w:color w:val="auto"/>
        </w:rPr>
      </w:pPr>
    </w:p>
    <w:p>
      <w:pPr>
        <w:jc w:val="both"/>
        <w:ind w:left="2120" w:right="280"/>
        <w:spacing w:after="0" w:line="266" w:lineRule="auto"/>
        <w:rPr>
          <w:sz w:val="20"/>
          <w:szCs w:val="20"/>
          <w:color w:val="auto"/>
        </w:rPr>
      </w:pPr>
      <w:r>
        <w:rPr>
          <w:rFonts w:ascii="Times New Roman" w:cs="Times New Roman" w:eastAsia="Times New Roman" w:hAnsi="Times New Roman"/>
          <w:sz w:val="18"/>
          <w:szCs w:val="18"/>
          <w:color w:val="auto"/>
        </w:rPr>
        <w:t>Opportunities GP serves as the sole member of Opportunities Portfolio GP and has the authority to dispose of and vote the shares of Common Stock controlled by Opportunities Portfolio GP, which consists of the shares of Common Stock directly held by VGOP. Opportunities GP does not directly own any shares of Common Stock.</w:t>
      </w:r>
    </w:p>
    <w:p>
      <w:pPr>
        <w:spacing w:after="0" w:line="176" w:lineRule="exact"/>
        <w:rPr>
          <w:sz w:val="20"/>
          <w:szCs w:val="20"/>
          <w:color w:val="auto"/>
        </w:rPr>
      </w:pPr>
    </w:p>
    <w:p>
      <w:pPr>
        <w:ind w:left="2120" w:right="160"/>
        <w:spacing w:after="0" w:line="282" w:lineRule="auto"/>
        <w:rPr>
          <w:sz w:val="20"/>
          <w:szCs w:val="20"/>
          <w:color w:val="auto"/>
        </w:rPr>
      </w:pPr>
      <w:r>
        <w:rPr>
          <w:rFonts w:ascii="Times New Roman" w:cs="Times New Roman" w:eastAsia="Times New Roman" w:hAnsi="Times New Roman"/>
          <w:sz w:val="18"/>
          <w:szCs w:val="18"/>
          <w:color w:val="auto"/>
        </w:rPr>
        <w:t>Based on Rule 13d-3 of the Act, Opportunities GP may be deemed to beneficially own the shares of Common Stock directly held by VGOP.</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Opportunities Portfolio GP</w:t>
      </w:r>
    </w:p>
    <w:p>
      <w:pPr>
        <w:spacing w:after="0" w:line="225" w:lineRule="exact"/>
        <w:rPr>
          <w:sz w:val="20"/>
          <w:szCs w:val="20"/>
          <w:color w:val="auto"/>
        </w:rPr>
      </w:pPr>
    </w:p>
    <w:p>
      <w:pPr>
        <w:ind w:left="1800" w:hanging="496"/>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3,656,923</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7.0%</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3,656,923</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3,656,923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tabs>
          <w:tab w:leader="none" w:pos="546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13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ind w:left="2120" w:right="240"/>
        <w:spacing w:after="0" w:line="312" w:lineRule="auto"/>
        <w:rPr>
          <w:sz w:val="20"/>
          <w:szCs w:val="20"/>
          <w:color w:val="auto"/>
        </w:rPr>
      </w:pPr>
      <w:r>
        <w:rPr>
          <w:rFonts w:ascii="Times New Roman" w:cs="Times New Roman" w:eastAsia="Times New Roman" w:hAnsi="Times New Roman"/>
          <w:sz w:val="17"/>
          <w:szCs w:val="17"/>
          <w:color w:val="auto"/>
        </w:rPr>
        <w:t>Opportunities Portfolio GP serves as the general partner of VGOP and has the authority to dispose of and vote the shares of Common Stock directly owned by VGOP. Opportunities Portfolio GP does not directly own any shares of Common Stock.</w:t>
      </w:r>
    </w:p>
    <w:p>
      <w:pPr>
        <w:spacing w:after="0" w:line="140" w:lineRule="exact"/>
        <w:rPr>
          <w:sz w:val="20"/>
          <w:szCs w:val="20"/>
          <w:color w:val="auto"/>
        </w:rPr>
      </w:pPr>
    </w:p>
    <w:p>
      <w:pPr>
        <w:ind w:left="2120" w:right="80"/>
        <w:spacing w:after="0" w:line="282" w:lineRule="auto"/>
        <w:rPr>
          <w:sz w:val="20"/>
          <w:szCs w:val="20"/>
          <w:color w:val="auto"/>
        </w:rPr>
      </w:pPr>
      <w:r>
        <w:rPr>
          <w:rFonts w:ascii="Times New Roman" w:cs="Times New Roman" w:eastAsia="Times New Roman" w:hAnsi="Times New Roman"/>
          <w:sz w:val="18"/>
          <w:szCs w:val="18"/>
          <w:color w:val="auto"/>
        </w:rPr>
        <w:t>Based on Rule 13d-3 of the Act, Opportunities Portfolio GP may be deemed to beneficially own the shares of Common Stock directly held by VGOP.</w:t>
      </w:r>
    </w:p>
    <w:p>
      <w:pPr>
        <w:spacing w:after="0" w:line="162" w:lineRule="exact"/>
        <w:rPr>
          <w:sz w:val="20"/>
          <w:szCs w:val="20"/>
          <w:color w:val="auto"/>
        </w:rPr>
      </w:pPr>
    </w:p>
    <w:p>
      <w:pPr>
        <w:ind w:left="860" w:hanging="204"/>
        <w:spacing w:after="0"/>
        <w:tabs>
          <w:tab w:leader="none" w:pos="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VGOP</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3,656,923</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7.0%</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3,656,923</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3,656,923</w:t>
      </w:r>
    </w:p>
    <w:p>
      <w:pPr>
        <w:spacing w:after="0" w:line="225" w:lineRule="exact"/>
        <w:rPr>
          <w:sz w:val="20"/>
          <w:szCs w:val="20"/>
          <w:color w:val="auto"/>
        </w:rPr>
      </w:pPr>
    </w:p>
    <w:p>
      <w:pPr>
        <w:ind w:left="2120" w:right="360"/>
        <w:spacing w:after="0" w:line="266" w:lineRule="auto"/>
        <w:rPr>
          <w:sz w:val="20"/>
          <w:szCs w:val="20"/>
          <w:color w:val="auto"/>
        </w:rPr>
      </w:pPr>
      <w:r>
        <w:rPr>
          <w:rFonts w:ascii="Times New Roman" w:cs="Times New Roman" w:eastAsia="Times New Roman" w:hAnsi="Times New Roman"/>
          <w:sz w:val="18"/>
          <w:szCs w:val="18"/>
          <w:color w:val="auto"/>
        </w:rPr>
        <w:t>VGOP has the authority to dispose of and vote the shares of Common Stock directly owned by it, which power may be exercised by its general partner, Opportunities Portfolio GP, and by VGI, an affiliate of Opportunities Portfolio GP, which provides managerial services to VGOP.</w:t>
      </w:r>
    </w:p>
    <w:p>
      <w:pPr>
        <w:spacing w:after="0" w:line="176" w:lineRule="exact"/>
        <w:rPr>
          <w:sz w:val="20"/>
          <w:szCs w:val="20"/>
          <w:color w:val="auto"/>
        </w:rPr>
      </w:pPr>
    </w:p>
    <w:p>
      <w:pPr>
        <w:ind w:left="2120" w:right="160"/>
        <w:spacing w:after="0" w:line="261" w:lineRule="auto"/>
        <w:rPr>
          <w:sz w:val="20"/>
          <w:szCs w:val="20"/>
          <w:color w:val="auto"/>
        </w:rPr>
      </w:pPr>
      <w:r>
        <w:rPr>
          <w:rFonts w:ascii="Times New Roman" w:cs="Times New Roman" w:eastAsia="Times New Roman" w:hAnsi="Times New Roman"/>
          <w:sz w:val="18"/>
          <w:szCs w:val="18"/>
          <w:color w:val="auto"/>
        </w:rPr>
        <w:t>Viking Global Opportunities LP (a Delaware limited partnership) and Viking Global Opportunities III LP (a Cayman Islands exempted limited partnership), through its investment in Viking Global Opportunities Intermediate LP (a Cayman Islands exempted limited partnership), invest substantially all of their assets in Viking Global Opportunities Master LP (a Cayman Islands exempted limited partnership), which in turn invests through VGOP.</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 O. Andreas Halvorsen, David C. Ott and Rose S. Shabet</w:t>
      </w:r>
    </w:p>
    <w:p>
      <w:pPr>
        <w:spacing w:after="0" w:line="225" w:lineRule="exact"/>
        <w:rPr>
          <w:sz w:val="20"/>
          <w:szCs w:val="20"/>
          <w:color w:val="auto"/>
        </w:rPr>
      </w:pPr>
    </w:p>
    <w:p>
      <w:pPr>
        <w:ind w:left="1800" w:hanging="496"/>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3,656,923</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7.0%</w:t>
      </w:r>
    </w:p>
    <w:p>
      <w:pPr>
        <w:spacing w:after="0" w:line="225" w:lineRule="exact"/>
        <w:rPr>
          <w:rFonts w:ascii="Times New Roman" w:cs="Times New Roman" w:eastAsia="Times New Roman" w:hAnsi="Times New Roman"/>
          <w:sz w:val="18"/>
          <w:szCs w:val="18"/>
          <w:color w:val="auto"/>
        </w:rPr>
      </w:pPr>
    </w:p>
    <w:p>
      <w:pPr>
        <w:ind w:left="1800" w:hanging="496"/>
        <w:spacing w:after="0"/>
        <w:tabs>
          <w:tab w:leader="none" w:pos="18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3,656,923</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225" w:lineRule="exact"/>
        <w:rPr>
          <w:rFonts w:ascii="Times New Roman" w:cs="Times New Roman" w:eastAsia="Times New Roman" w:hAnsi="Times New Roman"/>
          <w:sz w:val="18"/>
          <w:szCs w:val="18"/>
          <w:color w:val="auto"/>
        </w:rPr>
      </w:pPr>
    </w:p>
    <w:p>
      <w:pPr>
        <w:ind w:left="2280" w:hanging="490"/>
        <w:spacing w:after="0"/>
        <w:tabs>
          <w:tab w:leader="none" w:pos="22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3,656,923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tabs>
          <w:tab w:leader="none" w:pos="546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14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ind w:left="2120" w:right="60"/>
        <w:spacing w:after="0" w:line="261" w:lineRule="auto"/>
        <w:rPr>
          <w:sz w:val="20"/>
          <w:szCs w:val="20"/>
          <w:color w:val="auto"/>
        </w:rPr>
      </w:pPr>
      <w:r>
        <w:rPr>
          <w:rFonts w:ascii="Times New Roman" w:cs="Times New Roman" w:eastAsia="Times New Roman" w:hAnsi="Times New Roman"/>
          <w:sz w:val="18"/>
          <w:szCs w:val="18"/>
          <w:color w:val="auto"/>
        </w:rPr>
        <w:t>Mr. Halvorsen, Mr. Ott and Ms. Shabet, as Executive Committee Members of Viking Global Partners LLC (general partner of VGI) and Opportunities Parent, have shared authority to dispose of and vote the shares of Common Stock beneficially owned by VGI and Opportunities Parent. None of Mr. Halvorsen, Mr. Ott and Ms. Shabet directly owns any shares of Common Stock.</w:t>
      </w:r>
    </w:p>
    <w:p>
      <w:pPr>
        <w:spacing w:after="0" w:line="180" w:lineRule="exact"/>
        <w:rPr>
          <w:sz w:val="20"/>
          <w:szCs w:val="20"/>
          <w:color w:val="auto"/>
        </w:rPr>
      </w:pPr>
    </w:p>
    <w:p>
      <w:pPr>
        <w:ind w:left="2120" w:right="520"/>
        <w:spacing w:after="0" w:line="282" w:lineRule="auto"/>
        <w:rPr>
          <w:sz w:val="20"/>
          <w:szCs w:val="20"/>
          <w:color w:val="auto"/>
        </w:rPr>
      </w:pPr>
      <w:r>
        <w:rPr>
          <w:rFonts w:ascii="Times New Roman" w:cs="Times New Roman" w:eastAsia="Times New Roman" w:hAnsi="Times New Roman"/>
          <w:sz w:val="18"/>
          <w:szCs w:val="18"/>
          <w:color w:val="auto"/>
        </w:rPr>
        <w:t>Based on Rule 13d-3 of the Act, each may be deemed to beneficially own the shares of Common Stock directly held by VGOP.</w:t>
      </w:r>
    </w:p>
    <w:p>
      <w:pPr>
        <w:spacing w:after="0" w:line="162" w:lineRule="exact"/>
        <w:rPr>
          <w:sz w:val="20"/>
          <w:szCs w:val="20"/>
          <w:color w:val="auto"/>
        </w:rPr>
      </w:pPr>
    </w:p>
    <w:p>
      <w:pPr>
        <w:ind w:left="2120" w:right="320"/>
        <w:spacing w:after="0" w:line="282" w:lineRule="auto"/>
        <w:rPr>
          <w:sz w:val="20"/>
          <w:szCs w:val="20"/>
          <w:color w:val="auto"/>
        </w:rPr>
      </w:pPr>
      <w:r>
        <w:rPr>
          <w:rFonts w:ascii="Times New Roman" w:cs="Times New Roman" w:eastAsia="Times New Roman" w:hAnsi="Times New Roman"/>
          <w:sz w:val="18"/>
          <w:szCs w:val="18"/>
          <w:color w:val="auto"/>
        </w:rPr>
        <w:t>Mr. Halvorsen, Mr. Ott and Ms. Shabet each beneficially own 3,656,923 shares of Common Stock consisting of 3,656,923 shares of Common Stock directly and beneficially owned by VGOP.</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5.</w:t>
      </w:r>
      <w:r>
        <w:rPr>
          <w:sz w:val="20"/>
          <w:szCs w:val="20"/>
          <w:color w:val="auto"/>
        </w:rPr>
        <w:tab/>
      </w:r>
      <w:r>
        <w:rPr>
          <w:rFonts w:ascii="Times New Roman" w:cs="Times New Roman" w:eastAsia="Times New Roman" w:hAnsi="Times New Roman"/>
          <w:sz w:val="17"/>
          <w:szCs w:val="17"/>
          <w:u w:val="single" w:color="auto"/>
          <w:color w:val="auto"/>
        </w:rPr>
        <w:t>Ownership of Five Percent or Less of a Class.</w:t>
      </w:r>
    </w:p>
    <w:p>
      <w:pPr>
        <w:spacing w:after="0" w:line="225" w:lineRule="exact"/>
        <w:rPr>
          <w:sz w:val="20"/>
          <w:szCs w:val="20"/>
          <w:color w:val="auto"/>
        </w:rPr>
      </w:pPr>
    </w:p>
    <w:p>
      <w:pPr>
        <w:ind w:right="80" w:firstLine="1296"/>
        <w:spacing w:after="0" w:line="239" w:lineRule="exact"/>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6</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Ownership of More than Five Percent on Behalf of Another Person.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response to Item 4 is incorporated by reference herein.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7.</w:t>
      </w:r>
      <w:r>
        <w:rPr>
          <w:sz w:val="20"/>
          <w:szCs w:val="20"/>
          <w:color w:val="auto"/>
        </w:rPr>
        <w:tab/>
      </w:r>
      <w:r>
        <w:rPr>
          <w:rFonts w:ascii="Times New Roman" w:cs="Times New Roman" w:eastAsia="Times New Roman" w:hAnsi="Times New Roman"/>
          <w:sz w:val="17"/>
          <w:szCs w:val="17"/>
          <w:u w:val="single" w:color="auto"/>
          <w:color w:val="auto"/>
        </w:rPr>
        <w:t>Identification and Classification of the Subsidiary Which Acquired the Security Being Reported on by the Parent Holding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8</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Identification and Classification of Members of the Group.</w:t>
      </w:r>
    </w:p>
    <w:p>
      <w:pPr>
        <w:spacing w:after="0" w:line="225" w:lineRule="exact"/>
        <w:rPr>
          <w:sz w:val="20"/>
          <w:szCs w:val="20"/>
          <w:color w:val="auto"/>
        </w:rPr>
      </w:pPr>
    </w:p>
    <w:p>
      <w:pPr>
        <w:jc w:val="center"/>
        <w:ind w:right="7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9</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u w:val="single" w:color="auto"/>
          <w:color w:val="auto"/>
        </w:rPr>
        <w:t>Notice of Dissolution of Group.</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u w:val="single" w:color="auto"/>
          <w:color w:val="auto"/>
        </w:rPr>
        <w:t>Item 10</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u w:val="single" w:color="auto"/>
          <w:color w:val="auto"/>
        </w:rPr>
        <w:t xml:space="preserve">Certification. </w:t>
      </w:r>
      <w:r>
        <w:rPr>
          <w:rFonts w:ascii="Times New Roman" w:cs="Times New Roman" w:eastAsia="Times New Roman" w:hAnsi="Times New Roman"/>
          <w:sz w:val="17"/>
          <w:szCs w:val="17"/>
          <w:color w:val="auto"/>
        </w:rPr>
        <w:t>(if filing pursuant to Rule 13d-1(c))</w:t>
      </w:r>
    </w:p>
    <w:p>
      <w:pPr>
        <w:spacing w:after="0" w:line="225" w:lineRule="exact"/>
        <w:rPr>
          <w:sz w:val="20"/>
          <w:szCs w:val="20"/>
          <w:color w:val="auto"/>
        </w:rPr>
      </w:pPr>
    </w:p>
    <w:p>
      <w:pPr>
        <w:jc w:val="both"/>
        <w:ind w:right="240" w:firstLine="1296"/>
        <w:spacing w:after="0" w:line="266" w:lineRule="auto"/>
        <w:rPr>
          <w:sz w:val="20"/>
          <w:szCs w:val="20"/>
          <w:color w:val="auto"/>
        </w:rPr>
      </w:pPr>
      <w:r>
        <w:rPr>
          <w:rFonts w:ascii="Times New Roman" w:cs="Times New Roman" w:eastAsia="Times New Roman" w:hAnsi="Times New Roman"/>
          <w:sz w:val="18"/>
          <w:szCs w:val="18"/>
          <w:color w:val="auto"/>
        </w:rPr>
        <w:t>By signing below each Reporting Person certifies that, to the best of its knowledge and belief, the securities referred to above were not acquired and are not held for the purpose of or with the effect of changing or influencing the control of the issuer of the securities and were not acquired and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spacing w:after="0"/>
        <w:tabs>
          <w:tab w:leader="none" w:pos="546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15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SIGNATURES</w:t>
      </w:r>
    </w:p>
    <w:p>
      <w:pPr>
        <w:spacing w:after="0" w:line="229" w:lineRule="exact"/>
        <w:rPr>
          <w:sz w:val="20"/>
          <w:szCs w:val="20"/>
          <w:color w:val="auto"/>
        </w:rPr>
      </w:pPr>
    </w:p>
    <w:p>
      <w:pPr>
        <w:ind w:left="820" w:right="2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our knowledge and belief, the undersigned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12" w:lineRule="exact"/>
        <w:rPr>
          <w:sz w:val="20"/>
          <w:szCs w:val="20"/>
          <w:color w:val="auto"/>
        </w:rPr>
      </w:pPr>
    </w:p>
    <w:tbl>
      <w:tblPr>
        <w:tblLayout w:type="fixed"/>
        <w:tblInd w:w="324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4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9"/>
              </w:rPr>
              <w:t>/s/ Scott M. Hendler</w:t>
            </w:r>
          </w:p>
        </w:tc>
        <w:tc>
          <w:tcPr>
            <w:tcW w:w="2600" w:type="dxa"/>
            <w:vAlign w:val="bottom"/>
          </w:tcPr>
          <w:p>
            <w:pPr>
              <w:spacing w:after="0"/>
              <w:rPr>
                <w:sz w:val="17"/>
                <w:szCs w:val="17"/>
                <w:color w:val="auto"/>
              </w:rPr>
            </w:pPr>
          </w:p>
        </w:tc>
      </w:t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Scott M. Hendler on behalf of O. Andreas Halvorsen (1)</w:t>
            </w:r>
          </w:p>
        </w:tc>
      </w:tr>
      <w:tr>
        <w:trPr>
          <w:trHeight w:val="194"/>
        </w:trPr>
        <w:tc>
          <w:tcPr>
            <w:tcW w:w="6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40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/s/ Scott M. Hendler</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218"/>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Scott M. Hendler on behalf of David C. Ott (2)</w:t>
            </w:r>
          </w:p>
        </w:tc>
      </w:tr>
      <w:tr>
        <w:trPr>
          <w:trHeight w:val="194"/>
        </w:trPr>
        <w:tc>
          <w:tcPr>
            <w:tcW w:w="6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By:</w:t>
            </w:r>
          </w:p>
        </w:tc>
        <w:tc>
          <w:tcPr>
            <w:tcW w:w="4080" w:type="dxa"/>
            <w:vAlign w:val="bottom"/>
            <w:gridSpan w:val="4"/>
          </w:tcPr>
          <w:p>
            <w:pPr>
              <w:spacing w:after="0" w:line="194" w:lineRule="exact"/>
              <w:rPr>
                <w:sz w:val="20"/>
                <w:szCs w:val="20"/>
                <w:color w:val="auto"/>
              </w:rPr>
            </w:pPr>
            <w:r>
              <w:rPr>
                <w:rFonts w:ascii="Times New Roman" w:cs="Times New Roman" w:eastAsia="Times New Roman" w:hAnsi="Times New Roman"/>
                <w:sz w:val="18"/>
                <w:szCs w:val="18"/>
                <w:color w:val="auto"/>
              </w:rPr>
              <w:t>/s/ Scott M. Hendler</w:t>
            </w:r>
          </w:p>
        </w:tc>
      </w:tr>
      <w:tr>
        <w:trPr>
          <w:trHeight w:val="20"/>
        </w:trPr>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r>
      <w:tr>
        <w:trPr>
          <w:trHeight w:val="237"/>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Scott M. Hendler on behalf of Rose S. Shabet (3)</w:t>
            </w:r>
          </w:p>
        </w:tc>
      </w:tr>
    </w:tbl>
    <w:p>
      <w:pPr>
        <w:spacing w:after="0" w:line="198" w:lineRule="exact"/>
        <w:rPr>
          <w:sz w:val="20"/>
          <w:szCs w:val="20"/>
          <w:color w:val="auto"/>
        </w:rPr>
      </w:pPr>
    </w:p>
    <w:p>
      <w:pPr>
        <w:ind w:right="20" w:firstLine="8"/>
        <w:spacing w:after="0" w:line="256"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187" w:lineRule="exact"/>
        <w:rPr>
          <w:rFonts w:ascii="Times New Roman" w:cs="Times New Roman" w:eastAsia="Times New Roman" w:hAnsi="Times New Roman"/>
          <w:sz w:val="18"/>
          <w:szCs w:val="18"/>
          <w:color w:val="auto"/>
        </w:rPr>
      </w:pPr>
    </w:p>
    <w:p>
      <w:pPr>
        <w:ind w:right="80" w:firstLine="8"/>
        <w:spacing w:after="0" w:line="277" w:lineRule="auto"/>
        <w:tabs>
          <w:tab w:leader="none" w:pos="2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Scott M. Hendler is signing on behalf of David C. Ott,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167" w:lineRule="exact"/>
        <w:rPr>
          <w:rFonts w:ascii="Times New Roman" w:cs="Times New Roman" w:eastAsia="Times New Roman" w:hAnsi="Times New Roman"/>
          <w:sz w:val="17"/>
          <w:szCs w:val="17"/>
          <w:color w:val="auto"/>
        </w:rPr>
      </w:pPr>
    </w:p>
    <w:p>
      <w:pPr>
        <w:ind w:right="40" w:firstLine="8"/>
        <w:spacing w:after="0" w:line="277" w:lineRule="auto"/>
        <w:tabs>
          <w:tab w:leader="none" w:pos="2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tabs>
          <w:tab w:leader="none" w:pos="5460" w:val="left"/>
          <w:tab w:leader="none" w:pos="10200" w:val="left"/>
        </w:tabs>
        <w:rPr>
          <w:sz w:val="20"/>
          <w:szCs w:val="20"/>
          <w:color w:val="auto"/>
        </w:rPr>
      </w:pPr>
      <w:r>
        <w:rPr>
          <w:rFonts w:ascii="Times New Roman" w:cs="Times New Roman" w:eastAsia="Times New Roman" w:hAnsi="Times New Roman"/>
          <w:sz w:val="18"/>
          <w:szCs w:val="18"/>
          <w:b w:val="1"/>
          <w:bCs w:val="1"/>
          <w:color w:val="auto"/>
        </w:rPr>
        <w:t>CUSIP No. N69605108</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16 of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 - JOINT FILING AGREEMENT</w:t>
      </w:r>
    </w:p>
    <w:p>
      <w:pPr>
        <w:spacing w:after="0" w:line="229" w:lineRule="exact"/>
        <w:rPr>
          <w:sz w:val="20"/>
          <w:szCs w:val="20"/>
          <w:color w:val="auto"/>
        </w:rPr>
      </w:pPr>
    </w:p>
    <w:p>
      <w:pPr>
        <w:ind w:right="100" w:firstLine="824"/>
        <w:spacing w:after="0" w:line="266" w:lineRule="auto"/>
        <w:rPr>
          <w:sz w:val="20"/>
          <w:szCs w:val="20"/>
          <w:color w:val="auto"/>
        </w:rPr>
      </w:pPr>
      <w:r>
        <w:rPr>
          <w:rFonts w:ascii="Times New Roman" w:cs="Times New Roman" w:eastAsia="Times New Roman" w:hAnsi="Times New Roman"/>
          <w:sz w:val="18"/>
          <w:szCs w:val="18"/>
          <w:color w:val="auto"/>
        </w:rPr>
        <w:t>This joint filing agreement is made and entered into as of this 14th day of February, 2024, by and among Viking Global Investors LP, Viking Global Opportunities Parent GP LLC, Viking Global Opportunities GP LLC, Viking Global Opportunities Portfolio GP LLC, Viking Global Opportunities Illiquid Investments Sub-Master LP, O. Andreas Halvorsen, David C. Ott and Rose S. Shabet.</w:t>
      </w:r>
    </w:p>
    <w:p>
      <w:pPr>
        <w:spacing w:after="0" w:line="176" w:lineRule="exact"/>
        <w:rPr>
          <w:sz w:val="20"/>
          <w:szCs w:val="20"/>
          <w:color w:val="auto"/>
        </w:rPr>
      </w:pPr>
    </w:p>
    <w:p>
      <w:pPr>
        <w:ind w:right="20" w:firstLine="824"/>
        <w:spacing w:after="0" w:line="261" w:lineRule="auto"/>
        <w:rPr>
          <w:sz w:val="20"/>
          <w:szCs w:val="20"/>
          <w:color w:val="auto"/>
        </w:rPr>
      </w:pPr>
      <w:r>
        <w:rPr>
          <w:rFonts w:ascii="Times New Roman" w:cs="Times New Roman" w:eastAsia="Times New Roman" w:hAnsi="Times New Roman"/>
          <w:sz w:val="18"/>
          <w:szCs w:val="18"/>
          <w:color w:val="auto"/>
        </w:rPr>
        <w:t>The parties to this Agreement hereby agree to prepare jointly and file timely (and otherwise to deliver as appropriate) all filings on any Forms 3, 4, or 5 or Schedules 13D or 13G, and any and all amendments thereto and any other documents relating thereto (collectively, the “Filings”) as required to be filed pursuant to the Securities Exchange Act of 1934, as amended. The parties to this Agreement further agree and covenant that each will fully cooperate with such other parties in the preparation, timely filing, and delivery of all such Filings.</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set forth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14, 2024</w:t>
      </w:r>
    </w:p>
    <w:p>
      <w:pPr>
        <w:spacing w:after="0" w:line="21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9"/>
              </w:rPr>
              <w:t>Scott M. Hendler on behalf of O. Andreas Halvorsen (1)</w:t>
            </w:r>
          </w:p>
        </w:tc>
      </w:tr>
      <w:tr>
        <w:trPr>
          <w:trHeight w:val="39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3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Scott M. Hendler on behalf of David C. Ott (2)</w:t>
            </w:r>
          </w:p>
        </w:tc>
      </w:tr>
      <w:tr>
        <w:trPr>
          <w:trHeight w:val="39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 Scott M. Hendler</w:t>
            </w:r>
          </w:p>
        </w:tc>
      </w:tr>
      <w:tr>
        <w:trPr>
          <w:trHeight w:val="20"/>
        </w:trPr>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1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Scott M. Hendler on behalf of Rose S. Shabet (3)</w:t>
            </w:r>
          </w:p>
        </w:tc>
      </w:tr>
    </w:tbl>
    <w:p>
      <w:pPr>
        <w:spacing w:after="0" w:line="198" w:lineRule="exact"/>
        <w:rPr>
          <w:sz w:val="20"/>
          <w:szCs w:val="20"/>
          <w:color w:val="auto"/>
        </w:rPr>
      </w:pPr>
    </w:p>
    <w:p>
      <w:pPr>
        <w:ind w:right="20" w:firstLine="8"/>
        <w:spacing w:after="0" w:line="256"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 Hendler is signing on behalf of O. Andreas Halvorsen,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Halvorsen on February 12, 2021 (SEC File No. 005-49737).</w:t>
      </w:r>
    </w:p>
    <w:p>
      <w:pPr>
        <w:spacing w:after="0" w:line="187" w:lineRule="exact"/>
        <w:rPr>
          <w:rFonts w:ascii="Times New Roman" w:cs="Times New Roman" w:eastAsia="Times New Roman" w:hAnsi="Times New Roman"/>
          <w:sz w:val="18"/>
          <w:szCs w:val="18"/>
          <w:color w:val="auto"/>
        </w:rPr>
      </w:pPr>
    </w:p>
    <w:p>
      <w:pPr>
        <w:ind w:right="80" w:firstLine="8"/>
        <w:spacing w:after="0" w:line="277" w:lineRule="auto"/>
        <w:tabs>
          <w:tab w:leader="none" w:pos="2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Scott M. Hendler is signing on behalf of David C. Ott,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Mr. Ott on February 12, 2021 (SEC File No. 005-49737).</w:t>
      </w:r>
    </w:p>
    <w:p>
      <w:pPr>
        <w:spacing w:after="0" w:line="167" w:lineRule="exact"/>
        <w:rPr>
          <w:rFonts w:ascii="Times New Roman" w:cs="Times New Roman" w:eastAsia="Times New Roman" w:hAnsi="Times New Roman"/>
          <w:sz w:val="17"/>
          <w:szCs w:val="17"/>
          <w:color w:val="auto"/>
        </w:rPr>
      </w:pPr>
    </w:p>
    <w:p>
      <w:pPr>
        <w:ind w:right="40" w:firstLine="8"/>
        <w:spacing w:after="0" w:line="277" w:lineRule="auto"/>
        <w:tabs>
          <w:tab w:leader="none" w:pos="2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Scott M. Hendler is signing on behalf of Rose S. Shabet, individually and as an Executive Committee Member of VIKING GLOBAL PARTNERS LLC, on behalf of VIKING GLOBAL INVESTORS LP, and as an Executive Committee Member of VIKING GLOBAL OPPORTUNITIES PARENT GP LLC, on behalf of itself and VIKING GLOBAL OPPORTUNITIES GP LLC, VIKING GLOBAL OPPORTUNITIES PORTFOLIO GP LLC, and VIKING GLOBAL OPPORTUNITIES ILLIQUID INVESTMENTS SUB-MASTER LP, pursuant to an authorization and designation letter dated February 9, 2021, which was previously filed with the Commission as an exhibit to a Form 13G filed by Ms. Shabet on February 12, 2021 (SEC File No. 005-49737).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Letter"/>
      <w:start w:val="7"/>
    </w:lvl>
  </w:abstractNum>
  <w:abstractNum w:abstractNumId="3">
    <w:nsid w:val="7545E146"/>
    <w:multiLevelType w:val="hybridMultilevel"/>
    <w:lvl w:ilvl="0">
      <w:lvlJc w:val="left"/>
      <w:lvlText w:val="(%1)"/>
      <w:numFmt w:val="lowerLetter"/>
      <w:start w:val="1"/>
    </w:lvl>
    <w:lvl w:ilvl="1">
      <w:lvlJc w:val="left"/>
      <w:lvlText w:val="(%2)"/>
      <w:numFmt w:val="lowerRoman"/>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3"/>
    </w:lvl>
    <w:lvl w:ilvl="1">
      <w:lvlJc w:val="left"/>
      <w:lvlText w:val="(%2)"/>
      <w:numFmt w:val="lowerRoman"/>
      <w:start w:val="1"/>
    </w:lvl>
  </w:abstractNum>
  <w:abstractNum w:abstractNumId="6">
    <w:nsid w:val="12200854"/>
    <w:multiLevelType w:val="hybridMultilevel"/>
    <w:lvl w:ilvl="0">
      <w:lvlJc w:val="left"/>
      <w:lvlText w:val="(%1)"/>
      <w:numFmt w:val="lowerLetter"/>
      <w:start w:val="1"/>
    </w:lvl>
    <w:lvl w:ilvl="1">
      <w:lvlJc w:val="left"/>
      <w:lvlText w:val="(%2)"/>
      <w:numFmt w:val="lowerRoman"/>
      <w:start w:val="1"/>
    </w:lvl>
  </w:abstractNum>
  <w:abstractNum w:abstractNumId="7">
    <w:nsid w:val="4DB127F8"/>
    <w:multiLevelType w:val="hybridMultilevel"/>
    <w:lvl w:ilvl="0">
      <w:lvlJc w:val="left"/>
      <w:lvlText w:val="(%1)"/>
      <w:numFmt w:val="lowerLetter"/>
      <w:start w:val="1"/>
    </w:lvl>
    <w:lvl w:ilvl="1">
      <w:lvlJc w:val="left"/>
      <w:lvlText w:val="(%2)"/>
      <w:numFmt w:val="lowerRoman"/>
      <w:start w:val="1"/>
    </w:lvl>
  </w:abstractNum>
  <w:abstractNum w:abstractNumId="8">
    <w:nsid w:val="216231B"/>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9">
    <w:nsid w:val="1F16E9E8"/>
    <w:multiLevelType w:val="hybridMultilevel"/>
    <w:lvl w:ilvl="0">
      <w:lvlJc w:val="left"/>
      <w:lvlText w:val="(%1)"/>
      <w:numFmt w:val="lowerLetter"/>
      <w:start w:val="1"/>
    </w:lvl>
    <w:lvl w:ilvl="1">
      <w:lvlJc w:val="left"/>
      <w:lvlText w:val="(%2)"/>
      <w:numFmt w:val="lowerRoman"/>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2024-02-14T09:30:49Z</dcterms:created>
  <dcterms:modified xsi:type="dcterms:W3CDTF">2024-02-14T09:30:49Z</dcterms:modified>
</cp:coreProperties>
</file>