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486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486525"/>
                    </a:xfrm>
                    <a:prstGeom prst="rect">
                      <a:avLst/>
                    </a:prstGeom>
                    <a:noFill/>
                  </pic:spPr>
                </pic:pic>
              </a:graphicData>
            </a:graphic>
          </wp:anchor>
        </w:drawing>
      </w:r>
    </w:p>
    <w:p>
      <w:pPr>
        <w:sectPr>
          <w:pgSz w:w="11900" w:h="16850"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Lesage Anne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260" w:type="dxa"/>
            <w:vAlign w:val="bottom"/>
            <w:tcBorders>
              <w:top w:val="single" w:sz="8" w:color="0000EE"/>
              <w:bottom w:val="single" w:sz="8" w:color="9A9A9A"/>
            </w:tcBorders>
          </w:tcPr>
          <w:p>
            <w:pPr>
              <w:spacing w:after="0"/>
              <w:rPr>
                <w:sz w:val="16"/>
                <w:szCs w:val="16"/>
                <w:color w:val="auto"/>
              </w:rPr>
            </w:pPr>
          </w:p>
        </w:tc>
        <w:tc>
          <w:tcPr>
            <w:tcW w:w="180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Pharvaris N.V.</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PHVS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50" w:orient="portrait"/>
          <w:cols w:equalWidth="0" w:num="2">
            <w:col w:w="4720" w:space="280"/>
            <w:col w:w="5940"/>
          </w:cols>
          <w:pgMar w:left="480" w:top="230" w:right="479" w:bottom="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 CRANBERRY HILL SUITE 400</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LEXINGTON</w:t>
            </w:r>
          </w:p>
        </w:tc>
        <w:tc>
          <w:tcPr>
            <w:tcW w:w="1300" w:type="dxa"/>
            <w:vAlign w:val="bottom"/>
          </w:tcPr>
          <w:p>
            <w:pPr>
              <w:jc w:val="right"/>
              <w:ind w:right="397"/>
              <w:spacing w:after="0"/>
              <w:rPr>
                <w:sz w:val="20"/>
                <w:szCs w:val="20"/>
                <w:color w:val="auto"/>
              </w:rPr>
            </w:pPr>
            <w:r>
              <w:rPr>
                <w:rFonts w:ascii="Times New Roman" w:cs="Times New Roman" w:eastAsia="Times New Roman" w:hAnsi="Times New Roman"/>
                <w:sz w:val="20"/>
                <w:szCs w:val="20"/>
                <w:color w:val="0000FF"/>
              </w:rPr>
              <w:t>02421</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63"/>
        <w:spacing w:after="0"/>
        <w:rPr>
          <w:sz w:val="20"/>
          <w:szCs w:val="20"/>
          <w:color w:val="auto"/>
        </w:rPr>
      </w:pPr>
      <w:r>
        <w:rPr>
          <w:rFonts w:ascii="Times New Roman" w:cs="Times New Roman" w:eastAsia="Times New Roman" w:hAnsi="Times New Roman"/>
          <w:sz w:val="20"/>
          <w:szCs w:val="20"/>
          <w:color w:val="0000FF"/>
        </w:rPr>
        <w:t>Chief Early Development</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50" w:orient="portrait"/>
          <w:cols w:equalWidth="0" w:num="3">
            <w:col w:w="4277" w:space="720"/>
            <w:col w:w="3003" w:space="269"/>
            <w:col w:w="2671"/>
          </w:cols>
          <w:pgMar w:left="480" w:top="230"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2060" w:type="dxa"/>
            <w:vAlign w:val="bottom"/>
          </w:tcPr>
          <w:p>
            <w:pPr>
              <w:spacing w:after="0"/>
              <w:rPr>
                <w:sz w:val="14"/>
                <w:szCs w:val="14"/>
                <w:color w:val="auto"/>
              </w:rPr>
            </w:pPr>
          </w:p>
        </w:tc>
        <w:tc>
          <w:tcPr>
            <w:tcW w:w="2000" w:type="dxa"/>
            <w:vAlign w:val="bottom"/>
          </w:tcPr>
          <w:p>
            <w:pPr>
              <w:ind w:left="60"/>
              <w:spacing w:after="0"/>
              <w:rPr>
                <w:sz w:val="20"/>
                <w:szCs w:val="20"/>
                <w:color w:val="auto"/>
              </w:rPr>
            </w:pPr>
            <w:r>
              <w:rPr>
                <w:rFonts w:ascii="Arial" w:cs="Arial" w:eastAsia="Arial" w:hAnsi="Arial"/>
                <w:sz w:val="15"/>
                <w:szCs w:val="15"/>
                <w:b w:val="1"/>
                <w:bCs w:val="1"/>
                <w:color w:val="auto"/>
              </w:rPr>
              <w:t>2. Amount of Securities</w:t>
            </w:r>
          </w:p>
        </w:tc>
        <w:tc>
          <w:tcPr>
            <w:tcW w:w="1320" w:type="dxa"/>
            <w:vAlign w:val="bottom"/>
            <w:gridSpan w:val="2"/>
          </w:tcPr>
          <w:p>
            <w:pPr>
              <w:ind w:left="14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4)</w:t>
            </w:r>
          </w:p>
        </w:tc>
        <w:tc>
          <w:tcPr>
            <w:tcW w:w="13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320" w:type="dxa"/>
            <w:vAlign w:val="bottom"/>
            <w:gridSpan w:val="2"/>
          </w:tcPr>
          <w:p>
            <w:pPr>
              <w:ind w:left="140"/>
              <w:spacing w:after="0"/>
              <w:rPr>
                <w:sz w:val="20"/>
                <w:szCs w:val="20"/>
                <w:color w:val="auto"/>
              </w:rPr>
            </w:pPr>
            <w:r>
              <w:rPr>
                <w:rFonts w:ascii="Arial" w:cs="Arial" w:eastAsia="Arial" w:hAnsi="Arial"/>
                <w:sz w:val="15"/>
                <w:szCs w:val="15"/>
                <w:b w:val="1"/>
                <w:bCs w:val="1"/>
                <w:color w:val="auto"/>
              </w:rPr>
              <w:t>(I) (Instr. 5)</w:t>
            </w: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060" w:type="dxa"/>
            <w:vAlign w:val="bottom"/>
            <w:tcBorders>
              <w:bottom w:val="single" w:sz="8" w:color="2C2C2C"/>
            </w:tcBorders>
          </w:tcPr>
          <w:p>
            <w:pPr>
              <w:spacing w:after="0"/>
              <w:rPr>
                <w:sz w:val="24"/>
                <w:szCs w:val="24"/>
                <w:color w:val="auto"/>
              </w:rPr>
            </w:pPr>
          </w:p>
        </w:tc>
        <w:tc>
          <w:tcPr>
            <w:tcW w:w="2000" w:type="dxa"/>
            <w:vAlign w:val="bottom"/>
            <w:tcBorders>
              <w:bottom w:val="single" w:sz="8" w:color="2C2C2C"/>
            </w:tcBorders>
          </w:tcPr>
          <w:p>
            <w:pPr>
              <w:jc w:val="center"/>
              <w:ind w:right="539"/>
              <w:spacing w:after="0"/>
              <w:rPr>
                <w:sz w:val="20"/>
                <w:szCs w:val="20"/>
                <w:color w:val="auto"/>
              </w:rPr>
            </w:pPr>
            <w:r>
              <w:rPr>
                <w:rFonts w:ascii="Times New Roman" w:cs="Times New Roman" w:eastAsia="Times New Roman" w:hAnsi="Times New Roman"/>
                <w:sz w:val="20"/>
                <w:szCs w:val="20"/>
                <w:color w:val="0000FF"/>
              </w:rPr>
              <w:t>56,450</w:t>
            </w:r>
            <w:r>
              <w:rPr>
                <w:rFonts w:ascii="Times New Roman" w:cs="Times New Roman" w:eastAsia="Times New Roman" w:hAnsi="Times New Roman"/>
                <w:sz w:val="25"/>
                <w:szCs w:val="25"/>
                <w:color w:val="008000"/>
                <w:vertAlign w:val="superscript"/>
              </w:rPr>
              <w:t>(1)</w:t>
            </w: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76"/>
              <w:spacing w:after="0"/>
              <w:rPr>
                <w:sz w:val="20"/>
                <w:szCs w:val="20"/>
                <w:color w:val="auto"/>
              </w:rPr>
            </w:pPr>
            <w:r>
              <w:rPr>
                <w:rFonts w:ascii="Times New Roman" w:cs="Times New Roman" w:eastAsia="Times New Roman" w:hAnsi="Times New Roman"/>
                <w:sz w:val="20"/>
                <w:szCs w:val="20"/>
                <w:color w:val="0000FF"/>
                <w:w w:val="96"/>
              </w:rPr>
              <w:t>D</w:t>
            </w:r>
          </w:p>
        </w:tc>
        <w:tc>
          <w:tcPr>
            <w:tcW w:w="3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060" w:type="dxa"/>
            <w:vAlign w:val="bottom"/>
          </w:tcPr>
          <w:p>
            <w:pPr>
              <w:spacing w:after="0"/>
              <w:rPr>
                <w:sz w:val="24"/>
                <w:szCs w:val="24"/>
                <w:color w:val="auto"/>
              </w:rPr>
            </w:pPr>
          </w:p>
        </w:tc>
        <w:tc>
          <w:tcPr>
            <w:tcW w:w="2000" w:type="dxa"/>
            <w:vAlign w:val="bottom"/>
            <w:vMerge w:val="restart"/>
          </w:tcPr>
          <w:p>
            <w:pPr>
              <w:jc w:val="right"/>
              <w:ind w:right="579"/>
              <w:spacing w:after="0"/>
              <w:rPr>
                <w:sz w:val="20"/>
                <w:szCs w:val="20"/>
                <w:color w:val="auto"/>
              </w:rPr>
            </w:pPr>
            <w:r>
              <w:rPr>
                <w:rFonts w:ascii="Times New Roman" w:cs="Times New Roman" w:eastAsia="Times New Roman" w:hAnsi="Times New Roman"/>
                <w:sz w:val="20"/>
                <w:szCs w:val="20"/>
                <w:color w:val="0000FF"/>
              </w:rPr>
              <w:t>163,969</w:t>
            </w:r>
          </w:p>
        </w:tc>
        <w:tc>
          <w:tcPr>
            <w:tcW w:w="540" w:type="dxa"/>
            <w:vAlign w:val="bottom"/>
          </w:tcPr>
          <w:p>
            <w:pPr>
              <w:spacing w:after="0"/>
              <w:rPr>
                <w:sz w:val="24"/>
                <w:szCs w:val="24"/>
                <w:color w:val="auto"/>
              </w:rPr>
            </w:pPr>
          </w:p>
        </w:tc>
        <w:tc>
          <w:tcPr>
            <w:tcW w:w="780" w:type="dxa"/>
            <w:vAlign w:val="bottom"/>
            <w:vMerge w:val="restart"/>
          </w:tcPr>
          <w:p>
            <w:pPr>
              <w:jc w:val="center"/>
              <w:ind w:right="476"/>
              <w:spacing w:after="0"/>
              <w:rPr>
                <w:sz w:val="20"/>
                <w:szCs w:val="20"/>
                <w:color w:val="auto"/>
              </w:rPr>
            </w:pPr>
            <w:r>
              <w:rPr>
                <w:rFonts w:ascii="Times New Roman" w:cs="Times New Roman" w:eastAsia="Times New Roman" w:hAnsi="Times New Roman"/>
                <w:sz w:val="20"/>
                <w:szCs w:val="20"/>
                <w:color w:val="0000FF"/>
                <w:w w:val="89"/>
              </w:rPr>
              <w:t>I</w:t>
            </w: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GRAYMATTERS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2060" w:type="dxa"/>
            <w:vAlign w:val="bottom"/>
          </w:tcPr>
          <w:p>
            <w:pPr>
              <w:spacing w:after="0"/>
              <w:rPr>
                <w:sz w:val="11"/>
                <w:szCs w:val="11"/>
                <w:color w:val="auto"/>
              </w:rPr>
            </w:pPr>
          </w:p>
        </w:tc>
        <w:tc>
          <w:tcPr>
            <w:tcW w:w="200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278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color w:val="0000FF"/>
              </w:rPr>
              <w:t>CONSULTING BVBA</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232"/>
        </w:trPr>
        <w:tc>
          <w:tcPr>
            <w:tcW w:w="20" w:type="dxa"/>
            <w:vAlign w:val="bottom"/>
            <w:tcBorders>
              <w:bottom w:val="single" w:sz="8" w:color="2C2C2C"/>
            </w:tcBorders>
          </w:tcPr>
          <w:p>
            <w:pPr>
              <w:spacing w:after="0"/>
              <w:rPr>
                <w:sz w:val="20"/>
                <w:szCs w:val="20"/>
                <w:color w:val="auto"/>
              </w:rPr>
            </w:pPr>
          </w:p>
        </w:tc>
        <w:tc>
          <w:tcPr>
            <w:tcW w:w="2760" w:type="dxa"/>
            <w:vAlign w:val="bottom"/>
            <w:tcBorders>
              <w:bottom w:val="single" w:sz="8" w:color="2C2C2C"/>
            </w:tcBorders>
          </w:tcPr>
          <w:p>
            <w:pPr>
              <w:spacing w:after="0"/>
              <w:rPr>
                <w:sz w:val="20"/>
                <w:szCs w:val="20"/>
                <w:color w:val="auto"/>
              </w:rPr>
            </w:pPr>
          </w:p>
        </w:tc>
        <w:tc>
          <w:tcPr>
            <w:tcW w:w="2060" w:type="dxa"/>
            <w:vAlign w:val="bottom"/>
            <w:tcBorders>
              <w:bottom w:val="single" w:sz="8" w:color="2C2C2C"/>
            </w:tcBorders>
          </w:tcPr>
          <w:p>
            <w:pPr>
              <w:spacing w:after="0"/>
              <w:rPr>
                <w:sz w:val="20"/>
                <w:szCs w:val="20"/>
                <w:color w:val="auto"/>
              </w:rPr>
            </w:pPr>
          </w:p>
        </w:tc>
        <w:tc>
          <w:tcPr>
            <w:tcW w:w="200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2780" w:type="dxa"/>
            <w:vAlign w:val="bottom"/>
            <w:tcBorders>
              <w:bottom w:val="single" w:sz="8" w:color="2C2C2C"/>
            </w:tcBorders>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5380" w:type="dxa"/>
            <w:vAlign w:val="bottom"/>
            <w:tcBorders>
              <w:top w:val="single" w:sz="8" w:color="2C2C2C"/>
            </w:tcBorders>
            <w:gridSpan w:val="4"/>
          </w:tcPr>
          <w:p>
            <w:pPr>
              <w:jc w:val="center"/>
              <w:spacing w:after="0"/>
              <w:rPr>
                <w:sz w:val="20"/>
                <w:szCs w:val="20"/>
                <w:color w:val="auto"/>
              </w:rPr>
            </w:pPr>
            <w:r>
              <w:rPr>
                <w:rFonts w:ascii="Arial" w:cs="Arial" w:eastAsia="Arial" w:hAnsi="Arial"/>
                <w:sz w:val="20"/>
                <w:szCs w:val="20"/>
                <w:b w:val="1"/>
                <w:bCs w:val="1"/>
                <w:color w:val="auto"/>
                <w:w w:val="96"/>
              </w:rPr>
              <w:t>Table II - Derivative Securities Beneficially Owned</w:t>
            </w:r>
          </w:p>
        </w:tc>
        <w:tc>
          <w:tcPr>
            <w:tcW w:w="38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4"/>
          </w:tcPr>
          <w:p>
            <w:pPr>
              <w:jc w:val="cente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tcPr>
          <w:p>
            <w:pPr>
              <w:spacing w:after="0"/>
              <w:rPr>
                <w:sz w:val="3"/>
                <w:szCs w:val="3"/>
                <w:color w:val="auto"/>
              </w:rPr>
            </w:pPr>
          </w:p>
        </w:tc>
        <w:tc>
          <w:tcPr>
            <w:tcW w:w="25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060" w:type="dxa"/>
            <w:vAlign w:val="bottom"/>
          </w:tcPr>
          <w:p>
            <w:pPr>
              <w:ind w:left="320"/>
              <w:spacing w:after="0"/>
              <w:rPr>
                <w:sz w:val="20"/>
                <w:szCs w:val="20"/>
                <w:color w:val="auto"/>
              </w:rPr>
            </w:pPr>
            <w:r>
              <w:rPr>
                <w:rFonts w:ascii="Arial" w:cs="Arial" w:eastAsia="Arial" w:hAnsi="Arial"/>
                <w:sz w:val="15"/>
                <w:szCs w:val="15"/>
                <w:b w:val="1"/>
                <w:bCs w:val="1"/>
                <w:color w:val="auto"/>
              </w:rPr>
              <w:t>2. Date Exercisable and</w:t>
            </w:r>
          </w:p>
        </w:tc>
        <w:tc>
          <w:tcPr>
            <w:tcW w:w="2540" w:type="dxa"/>
            <w:vAlign w:val="bottom"/>
            <w:gridSpan w:val="2"/>
          </w:tcPr>
          <w:p>
            <w:pPr>
              <w:ind w:left="140"/>
              <w:spacing w:after="0"/>
              <w:rPr>
                <w:sz w:val="20"/>
                <w:szCs w:val="20"/>
                <w:color w:val="auto"/>
              </w:rPr>
            </w:pPr>
            <w:r>
              <w:rPr>
                <w:rFonts w:ascii="Arial" w:cs="Arial" w:eastAsia="Arial" w:hAnsi="Arial"/>
                <w:sz w:val="15"/>
                <w:szCs w:val="15"/>
                <w:b w:val="1"/>
                <w:bCs w:val="1"/>
                <w:color w:val="auto"/>
              </w:rPr>
              <w:t>3. Title and Amount of Securities</w:t>
            </w:r>
          </w:p>
        </w:tc>
        <w:tc>
          <w:tcPr>
            <w:tcW w:w="780" w:type="dxa"/>
            <w:vAlign w:val="bottom"/>
          </w:tcPr>
          <w:p>
            <w:pPr>
              <w:ind w:left="24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6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Expiration Date</w:t>
            </w:r>
          </w:p>
        </w:tc>
        <w:tc>
          <w:tcPr>
            <w:tcW w:w="254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160" w:type="dxa"/>
            <w:vAlign w:val="bottom"/>
            <w:gridSpan w:val="2"/>
          </w:tcPr>
          <w:p>
            <w:pPr>
              <w:ind w:left="24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060" w:type="dxa"/>
            <w:vAlign w:val="bottom"/>
          </w:tcPr>
          <w:p>
            <w:pPr>
              <w:ind w:left="320"/>
              <w:spacing w:after="0"/>
              <w:rPr>
                <w:sz w:val="20"/>
                <w:szCs w:val="20"/>
                <w:color w:val="auto"/>
              </w:rPr>
            </w:pPr>
            <w:r>
              <w:rPr>
                <w:rFonts w:ascii="Arial" w:cs="Arial" w:eastAsia="Arial" w:hAnsi="Arial"/>
                <w:sz w:val="15"/>
                <w:szCs w:val="15"/>
                <w:b w:val="1"/>
                <w:bCs w:val="1"/>
                <w:color w:val="auto"/>
              </w:rPr>
              <w:t>(Month/Day/Year)</w:t>
            </w:r>
          </w:p>
        </w:tc>
        <w:tc>
          <w:tcPr>
            <w:tcW w:w="2000" w:type="dxa"/>
            <w:vAlign w:val="bottom"/>
          </w:tcPr>
          <w:p>
            <w:pPr>
              <w:ind w:left="140"/>
              <w:spacing w:after="0"/>
              <w:rPr>
                <w:sz w:val="20"/>
                <w:szCs w:val="20"/>
                <w:color w:val="auto"/>
              </w:rPr>
            </w:pPr>
            <w:r>
              <w:rPr>
                <w:rFonts w:ascii="Arial" w:cs="Arial" w:eastAsia="Arial" w:hAnsi="Arial"/>
                <w:sz w:val="15"/>
                <w:szCs w:val="15"/>
                <w:b w:val="1"/>
                <w:bCs w:val="1"/>
                <w:color w:val="auto"/>
              </w:rPr>
              <w:t>(Instr. 4)</w:t>
            </w:r>
          </w:p>
        </w:tc>
        <w:tc>
          <w:tcPr>
            <w:tcW w:w="540" w:type="dxa"/>
            <w:vAlign w:val="bottom"/>
          </w:tcPr>
          <w:p>
            <w:pPr>
              <w:spacing w:after="0"/>
              <w:rPr>
                <w:sz w:val="15"/>
                <w:szCs w:val="15"/>
                <w:color w:val="auto"/>
              </w:rPr>
            </w:pPr>
          </w:p>
        </w:tc>
        <w:tc>
          <w:tcPr>
            <w:tcW w:w="1160" w:type="dxa"/>
            <w:vAlign w:val="bottom"/>
            <w:gridSpan w:val="2"/>
          </w:tcPr>
          <w:p>
            <w:pPr>
              <w:ind w:left="240"/>
              <w:spacing w:after="0"/>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bl>
    <w:p>
      <w:pPr>
        <w:spacing w:after="0" w:line="1" w:lineRule="exact"/>
        <w:rPr>
          <w:sz w:val="24"/>
          <w:szCs w:val="24"/>
          <w:color w:val="auto"/>
        </w:rPr>
      </w:pPr>
    </w:p>
    <w:p>
      <w:pPr>
        <w:sectPr>
          <w:pgSz w:w="11900" w:h="16850" w:orient="portrait"/>
          <w:cols w:equalWidth="0" w:num="1">
            <w:col w:w="10940"/>
          </w:cols>
          <w:pgMar w:left="480" w:top="230" w:right="479" w:bottom="0" w:gutter="0" w:footer="0" w:header="0"/>
          <w:type w:val="continuous"/>
        </w:sectPr>
      </w:pPr>
    </w:p>
    <w:p>
      <w:pPr>
        <w:spacing w:after="0" w:line="135" w:lineRule="exact"/>
        <w:rPr>
          <w:sz w:val="24"/>
          <w:szCs w:val="24"/>
          <w:color w:val="auto"/>
        </w:rPr>
      </w:pPr>
    </w:p>
    <w:p>
      <w:pPr>
        <w:ind w:left="6820"/>
        <w:spacing w:after="0"/>
        <w:rPr>
          <w:sz w:val="20"/>
          <w:szCs w:val="20"/>
          <w:color w:val="auto"/>
        </w:rPr>
      </w:pPr>
      <w:r>
        <w:rPr>
          <w:rFonts w:ascii="Arial" w:cs="Arial" w:eastAsia="Arial" w:hAnsi="Arial"/>
          <w:sz w:val="15"/>
          <w:szCs w:val="15"/>
          <w:b w:val="1"/>
          <w:bCs w:val="1"/>
          <w:color w:val="auto"/>
        </w:rPr>
        <w:t>Amount</w:t>
      </w:r>
    </w:p>
    <w:p>
      <w:pPr>
        <w:ind w:left="6820"/>
        <w:spacing w:after="0"/>
        <w:rPr>
          <w:sz w:val="20"/>
          <w:szCs w:val="20"/>
          <w:color w:val="auto"/>
        </w:rPr>
      </w:pPr>
      <w:r>
        <w:rPr>
          <w:rFonts w:ascii="Arial" w:cs="Arial" w:eastAsia="Arial" w:hAnsi="Arial"/>
          <w:sz w:val="15"/>
          <w:szCs w:val="15"/>
          <w:b w:val="1"/>
          <w:bCs w:val="1"/>
          <w:color w:val="auto"/>
        </w:rPr>
        <w:t>or</w:t>
      </w:r>
    </w:p>
    <w:p>
      <w:pPr>
        <w:ind w:left="6820"/>
        <w:spacing w:after="0" w:line="229" w:lineRule="auto"/>
        <w:rPr>
          <w:sz w:val="20"/>
          <w:szCs w:val="20"/>
          <w:color w:val="auto"/>
        </w:rPr>
      </w:pPr>
      <w:r>
        <w:rPr>
          <w:rFonts w:ascii="Arial" w:cs="Arial" w:eastAsia="Arial" w:hAnsi="Arial"/>
          <w:sz w:val="15"/>
          <w:szCs w:val="15"/>
          <w:b w:val="1"/>
          <w:bCs w:val="1"/>
          <w:color w:val="auto"/>
        </w:rPr>
        <w:t>Number</w:t>
      </w:r>
    </w:p>
    <w:p>
      <w:pPr>
        <w:ind w:left="3100"/>
        <w:spacing w:after="0"/>
        <w:tabs>
          <w:tab w:leader="none" w:pos="4080" w:val="left"/>
          <w:tab w:leader="none" w:pos="6800" w:val="left"/>
        </w:tabs>
        <w:rPr>
          <w:sz w:val="20"/>
          <w:szCs w:val="20"/>
          <w:color w:val="auto"/>
        </w:rPr>
      </w:pPr>
      <w:r>
        <w:rPr>
          <w:rFonts w:ascii="Arial" w:cs="Arial" w:eastAsia="Arial" w:hAnsi="Arial"/>
          <w:sz w:val="15"/>
          <w:szCs w:val="15"/>
          <w:b w:val="1"/>
          <w:bCs w:val="1"/>
          <w:color w:val="auto"/>
        </w:rPr>
        <w:t>Date</w:t>
      </w:r>
      <w:r>
        <w:rPr>
          <w:sz w:val="20"/>
          <w:szCs w:val="20"/>
          <w:color w:val="auto"/>
        </w:rPr>
        <w:tab/>
      </w:r>
      <w:r>
        <w:rPr>
          <w:rFonts w:ascii="Arial" w:cs="Arial" w:eastAsia="Arial" w:hAnsi="Arial"/>
          <w:sz w:val="15"/>
          <w:szCs w:val="15"/>
          <w:b w:val="1"/>
          <w:bCs w:val="1"/>
          <w:color w:val="auto"/>
        </w:rPr>
        <w:t>Expiration</w:t>
      </w:r>
      <w:r>
        <w:rPr>
          <w:sz w:val="20"/>
          <w:szCs w:val="20"/>
          <w:color w:val="auto"/>
        </w:rPr>
        <w:tab/>
      </w:r>
      <w:r>
        <w:rPr>
          <w:rFonts w:ascii="Arial" w:cs="Arial" w:eastAsia="Arial" w:hAnsi="Arial"/>
          <w:sz w:val="14"/>
          <w:szCs w:val="14"/>
          <w:b w:val="1"/>
          <w:bCs w:val="1"/>
          <w:color w:val="auto"/>
        </w:rPr>
        <w:t>of</w:t>
      </w:r>
    </w:p>
    <w:p>
      <w:pPr>
        <w:ind w:left="3100"/>
        <w:spacing w:after="0"/>
        <w:tabs>
          <w:tab w:leader="none" w:pos="4080" w:val="left"/>
          <w:tab w:leader="none" w:pos="4960" w:val="left"/>
          <w:tab w:leader="none" w:pos="6800" w:val="left"/>
        </w:tabs>
        <w:rPr>
          <w:sz w:val="20"/>
          <w:szCs w:val="20"/>
          <w:color w:val="auto"/>
        </w:rPr>
      </w:pPr>
      <w:r>
        <w:rPr>
          <w:rFonts w:ascii="Arial" w:cs="Arial" w:eastAsia="Arial" w:hAnsi="Arial"/>
          <w:sz w:val="15"/>
          <w:szCs w:val="15"/>
          <w:b w:val="1"/>
          <w:bCs w:val="1"/>
          <w:color w:val="auto"/>
        </w:rPr>
        <w:t>Exercisable</w:t>
        <w:tab/>
        <w:t>Date</w:t>
      </w:r>
      <w:r>
        <w:rPr>
          <w:sz w:val="20"/>
          <w:szCs w:val="20"/>
          <w:color w:val="auto"/>
        </w:rPr>
        <w:tab/>
      </w:r>
      <w:r>
        <w:rPr>
          <w:rFonts w:ascii="Arial" w:cs="Arial" w:eastAsia="Arial" w:hAnsi="Arial"/>
          <w:sz w:val="15"/>
          <w:szCs w:val="15"/>
          <w:b w:val="1"/>
          <w:bCs w:val="1"/>
          <w:color w:val="auto"/>
        </w:rPr>
        <w:t>Title</w:t>
      </w:r>
      <w:r>
        <w:rPr>
          <w:sz w:val="20"/>
          <w:szCs w:val="20"/>
          <w:color w:val="auto"/>
        </w:rPr>
        <w:tab/>
      </w:r>
      <w:r>
        <w:rPr>
          <w:rFonts w:ascii="Arial" w:cs="Arial" w:eastAsia="Arial" w:hAnsi="Arial"/>
          <w:sz w:val="14"/>
          <w:szCs w:val="14"/>
          <w:b w:val="1"/>
          <w:bCs w:val="1"/>
          <w:color w:val="auto"/>
        </w:rPr>
        <w:t>Shares</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1"/>
        </w:trPr>
        <w:tc>
          <w:tcPr>
            <w:tcW w:w="860" w:type="dxa"/>
            <w:vAlign w:val="bottom"/>
          </w:tcPr>
          <w:p>
            <w:pPr>
              <w:spacing w:after="0" w:line="151" w:lineRule="exact"/>
              <w:rPr>
                <w:sz w:val="20"/>
                <w:szCs w:val="20"/>
                <w:color w:val="auto"/>
              </w:rPr>
            </w:pPr>
            <w:r>
              <w:rPr>
                <w:rFonts w:ascii="Arial" w:cs="Arial" w:eastAsia="Arial" w:hAnsi="Arial"/>
                <w:sz w:val="15"/>
                <w:szCs w:val="15"/>
                <w:b w:val="1"/>
                <w:bCs w:val="1"/>
                <w:color w:val="auto"/>
              </w:rPr>
              <w:t>Price of</w:t>
            </w:r>
          </w:p>
        </w:tc>
        <w:tc>
          <w:tcPr>
            <w:tcW w:w="980" w:type="dxa"/>
            <w:vAlign w:val="bottom"/>
          </w:tcPr>
          <w:p>
            <w:pPr>
              <w:ind w:left="140"/>
              <w:spacing w:after="0" w:line="151" w:lineRule="exact"/>
              <w:rPr>
                <w:sz w:val="20"/>
                <w:szCs w:val="20"/>
                <w:color w:val="auto"/>
              </w:rPr>
            </w:pPr>
            <w:r>
              <w:rPr>
                <w:rFonts w:ascii="Arial" w:cs="Arial" w:eastAsia="Arial" w:hAnsi="Arial"/>
                <w:sz w:val="15"/>
                <w:szCs w:val="15"/>
                <w:b w:val="1"/>
                <w:bCs w:val="1"/>
                <w:color w:val="auto"/>
              </w:rPr>
              <w:t>Direct (D)</w:t>
            </w:r>
          </w:p>
        </w:tc>
        <w:tc>
          <w:tcPr>
            <w:tcW w:w="220" w:type="dxa"/>
            <w:vAlign w:val="bottom"/>
          </w:tcPr>
          <w:p>
            <w:pPr>
              <w:jc w:val="right"/>
              <w:spacing w:after="0" w:line="151" w:lineRule="exact"/>
              <w:rPr>
                <w:sz w:val="20"/>
                <w:szCs w:val="20"/>
                <w:color w:val="auto"/>
              </w:rPr>
            </w:pPr>
            <w:r>
              <w:rPr>
                <w:rFonts w:ascii="Arial" w:cs="Arial" w:eastAsia="Arial" w:hAnsi="Arial"/>
                <w:sz w:val="15"/>
                <w:szCs w:val="15"/>
                <w:b w:val="1"/>
                <w:bCs w:val="1"/>
                <w:color w:val="auto"/>
              </w:rPr>
              <w:t>5)</w:t>
            </w:r>
          </w:p>
        </w:tc>
      </w:tr>
      <w:tr>
        <w:trPr>
          <w:trHeight w:val="165"/>
        </w:trPr>
        <w:tc>
          <w:tcPr>
            <w:tcW w:w="860" w:type="dxa"/>
            <w:vAlign w:val="bottom"/>
          </w:tcPr>
          <w:p>
            <w:pPr>
              <w:spacing w:after="0" w:line="165" w:lineRule="exact"/>
              <w:rPr>
                <w:sz w:val="20"/>
                <w:szCs w:val="20"/>
                <w:color w:val="auto"/>
              </w:rPr>
            </w:pPr>
            <w:r>
              <w:rPr>
                <w:rFonts w:ascii="Arial" w:cs="Arial" w:eastAsia="Arial" w:hAnsi="Arial"/>
                <w:sz w:val="15"/>
                <w:szCs w:val="15"/>
                <w:b w:val="1"/>
                <w:bCs w:val="1"/>
                <w:color w:val="auto"/>
              </w:rPr>
              <w:t>Derivative</w:t>
            </w:r>
          </w:p>
        </w:tc>
        <w:tc>
          <w:tcPr>
            <w:tcW w:w="98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4"/>
                <w:szCs w:val="14"/>
                <w:color w:val="auto"/>
              </w:rPr>
            </w:pPr>
          </w:p>
        </w:tc>
      </w:tr>
      <w:tr>
        <w:trPr>
          <w:trHeight w:val="206"/>
        </w:trPr>
        <w:tc>
          <w:tcPr>
            <w:tcW w:w="860" w:type="dxa"/>
            <w:vAlign w:val="bottom"/>
          </w:tcPr>
          <w:p>
            <w:pPr>
              <w:spacing w:after="0"/>
              <w:rPr>
                <w:sz w:val="20"/>
                <w:szCs w:val="20"/>
                <w:color w:val="auto"/>
              </w:rPr>
            </w:pPr>
            <w:r>
              <w:rPr>
                <w:rFonts w:ascii="Arial" w:cs="Arial" w:eastAsia="Arial" w:hAnsi="Arial"/>
                <w:sz w:val="15"/>
                <w:szCs w:val="15"/>
                <w:b w:val="1"/>
                <w:bCs w:val="1"/>
                <w:color w:val="auto"/>
              </w:rPr>
              <w:t>Security</w:t>
            </w:r>
          </w:p>
        </w:tc>
        <w:tc>
          <w:tcPr>
            <w:tcW w:w="98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7"/>
                <w:szCs w:val="17"/>
                <w:color w:val="auto"/>
              </w:rPr>
            </w:pPr>
          </w:p>
        </w:tc>
      </w:tr>
    </w:tbl>
    <w:p>
      <w:pPr>
        <w:spacing w:after="0" w:line="588" w:lineRule="exact"/>
        <w:rPr>
          <w:sz w:val="24"/>
          <w:szCs w:val="24"/>
          <w:color w:val="auto"/>
        </w:rPr>
      </w:pPr>
    </w:p>
    <w:p>
      <w:pPr>
        <w:sectPr>
          <w:pgSz w:w="11900" w:h="16850" w:orient="portrait"/>
          <w:cols w:equalWidth="0" w:num="2">
            <w:col w:w="7400" w:space="220"/>
            <w:col w:w="3320"/>
          </w:cols>
          <w:pgMar w:left="480" w:top="230" w:right="479" w:bottom="0" w:gutter="0" w:footer="0" w:header="0"/>
          <w:type w:val="continuous"/>
        </w:sect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8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008000"/>
              </w:rPr>
              <w:t>(3)</w:t>
            </w:r>
          </w:p>
        </w:tc>
        <w:tc>
          <w:tcPr>
            <w:tcW w:w="1160" w:type="dxa"/>
            <w:vAlign w:val="bottom"/>
          </w:tcPr>
          <w:p>
            <w:pPr>
              <w:jc w:val="right"/>
              <w:ind w:right="145"/>
              <w:spacing w:after="0"/>
              <w:rPr>
                <w:sz w:val="20"/>
                <w:szCs w:val="20"/>
                <w:color w:val="auto"/>
              </w:rPr>
            </w:pPr>
            <w:r>
              <w:rPr>
                <w:rFonts w:ascii="Times New Roman" w:cs="Times New Roman" w:eastAsia="Times New Roman" w:hAnsi="Times New Roman"/>
                <w:sz w:val="15"/>
                <w:szCs w:val="15"/>
                <w:color w:val="0000FF"/>
              </w:rPr>
              <w:t>03/03/2036</w:t>
            </w:r>
          </w:p>
        </w:tc>
        <w:tc>
          <w:tcPr>
            <w:tcW w:w="16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Common Stock</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60,000</w:t>
            </w:r>
          </w:p>
        </w:tc>
        <w:tc>
          <w:tcPr>
            <w:tcW w:w="960" w:type="dxa"/>
            <w:vAlign w:val="bottom"/>
          </w:tcPr>
          <w:p>
            <w:pPr>
              <w:jc w:val="center"/>
              <w:ind w:right="62"/>
              <w:spacing w:after="0"/>
              <w:rPr>
                <w:sz w:val="20"/>
                <w:szCs w:val="20"/>
                <w:color w:val="auto"/>
              </w:rPr>
            </w:pPr>
            <w:r>
              <w:rPr>
                <w:rFonts w:ascii="Times New Roman" w:cs="Times New Roman" w:eastAsia="Times New Roman" w:hAnsi="Times New Roman"/>
                <w:sz w:val="20"/>
                <w:szCs w:val="20"/>
                <w:color w:val="0000FF"/>
                <w:w w:val="99"/>
              </w:rPr>
              <w:t>28</w:t>
            </w:r>
          </w:p>
        </w:tc>
        <w:tc>
          <w:tcPr>
            <w:tcW w:w="234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0000FF"/>
              </w:rPr>
              <w:t>D</w:t>
            </w:r>
          </w:p>
        </w:tc>
      </w:tr>
      <w:tr>
        <w:trPr>
          <w:trHeight w:val="72"/>
        </w:trPr>
        <w:tc>
          <w:tcPr>
            <w:tcW w:w="20" w:type="dxa"/>
            <w:vAlign w:val="bottom"/>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23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298"/>
        </w:trPr>
        <w:tc>
          <w:tcPr>
            <w:tcW w:w="20" w:type="dxa"/>
            <w:vAlign w:val="bottom"/>
          </w:tcPr>
          <w:p>
            <w:pPr>
              <w:spacing w:after="0"/>
              <w:rPr>
                <w:sz w:val="24"/>
                <w:szCs w:val="24"/>
                <w:color w:val="auto"/>
              </w:rPr>
            </w:pPr>
          </w:p>
        </w:tc>
        <w:tc>
          <w:tcPr>
            <w:tcW w:w="28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008000"/>
              </w:rPr>
              <w:t>(4)</w:t>
            </w:r>
          </w:p>
        </w:tc>
        <w:tc>
          <w:tcPr>
            <w:tcW w:w="1160" w:type="dxa"/>
            <w:vAlign w:val="bottom"/>
          </w:tcPr>
          <w:p>
            <w:pPr>
              <w:jc w:val="right"/>
              <w:ind w:right="145"/>
              <w:spacing w:after="0"/>
              <w:rPr>
                <w:sz w:val="20"/>
                <w:szCs w:val="20"/>
                <w:color w:val="auto"/>
              </w:rPr>
            </w:pPr>
            <w:r>
              <w:rPr>
                <w:rFonts w:ascii="Times New Roman" w:cs="Times New Roman" w:eastAsia="Times New Roman" w:hAnsi="Times New Roman"/>
                <w:sz w:val="15"/>
                <w:szCs w:val="15"/>
                <w:color w:val="0000FF"/>
              </w:rPr>
              <w:t>04/12/2035</w:t>
            </w:r>
          </w:p>
        </w:tc>
        <w:tc>
          <w:tcPr>
            <w:tcW w:w="16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Common Stock</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60,000</w:t>
            </w:r>
          </w:p>
        </w:tc>
        <w:tc>
          <w:tcPr>
            <w:tcW w:w="960" w:type="dxa"/>
            <w:vAlign w:val="bottom"/>
          </w:tcPr>
          <w:p>
            <w:pPr>
              <w:jc w:val="center"/>
              <w:ind w:right="62"/>
              <w:spacing w:after="0"/>
              <w:rPr>
                <w:sz w:val="20"/>
                <w:szCs w:val="20"/>
                <w:color w:val="auto"/>
              </w:rPr>
            </w:pPr>
            <w:r>
              <w:rPr>
                <w:rFonts w:ascii="Times New Roman" w:cs="Times New Roman" w:eastAsia="Times New Roman" w:hAnsi="Times New Roman"/>
                <w:sz w:val="20"/>
                <w:szCs w:val="20"/>
                <w:color w:val="0000FF"/>
                <w:w w:val="97"/>
              </w:rPr>
              <w:t>16.05</w:t>
            </w:r>
          </w:p>
        </w:tc>
        <w:tc>
          <w:tcPr>
            <w:tcW w:w="234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0000FF"/>
              </w:rPr>
              <w:t>D</w:t>
            </w:r>
          </w:p>
        </w:tc>
      </w:tr>
      <w:tr>
        <w:trPr>
          <w:trHeight w:val="72"/>
        </w:trPr>
        <w:tc>
          <w:tcPr>
            <w:tcW w:w="20" w:type="dxa"/>
            <w:vAlign w:val="bottom"/>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23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298"/>
        </w:trPr>
        <w:tc>
          <w:tcPr>
            <w:tcW w:w="20" w:type="dxa"/>
            <w:vAlign w:val="bottom"/>
          </w:tcPr>
          <w:p>
            <w:pPr>
              <w:spacing w:after="0"/>
              <w:rPr>
                <w:sz w:val="24"/>
                <w:szCs w:val="24"/>
                <w:color w:val="auto"/>
              </w:rPr>
            </w:pPr>
          </w:p>
        </w:tc>
        <w:tc>
          <w:tcPr>
            <w:tcW w:w="28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008000"/>
              </w:rPr>
              <w:t>(5)</w:t>
            </w:r>
          </w:p>
        </w:tc>
        <w:tc>
          <w:tcPr>
            <w:tcW w:w="1160" w:type="dxa"/>
            <w:vAlign w:val="bottom"/>
          </w:tcPr>
          <w:p>
            <w:pPr>
              <w:jc w:val="right"/>
              <w:ind w:right="145"/>
              <w:spacing w:after="0"/>
              <w:rPr>
                <w:sz w:val="20"/>
                <w:szCs w:val="20"/>
                <w:color w:val="auto"/>
              </w:rPr>
            </w:pPr>
            <w:r>
              <w:rPr>
                <w:rFonts w:ascii="Times New Roman" w:cs="Times New Roman" w:eastAsia="Times New Roman" w:hAnsi="Times New Roman"/>
                <w:sz w:val="15"/>
                <w:szCs w:val="15"/>
                <w:color w:val="0000FF"/>
              </w:rPr>
              <w:t>04/11/2034</w:t>
            </w:r>
          </w:p>
        </w:tc>
        <w:tc>
          <w:tcPr>
            <w:tcW w:w="16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Common Stock</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50,000</w:t>
            </w:r>
          </w:p>
        </w:tc>
        <w:tc>
          <w:tcPr>
            <w:tcW w:w="960" w:type="dxa"/>
            <w:vAlign w:val="bottom"/>
          </w:tcPr>
          <w:p>
            <w:pPr>
              <w:jc w:val="center"/>
              <w:ind w:right="62"/>
              <w:spacing w:after="0"/>
              <w:rPr>
                <w:sz w:val="20"/>
                <w:szCs w:val="20"/>
                <w:color w:val="auto"/>
              </w:rPr>
            </w:pPr>
            <w:r>
              <w:rPr>
                <w:rFonts w:ascii="Times New Roman" w:cs="Times New Roman" w:eastAsia="Times New Roman" w:hAnsi="Times New Roman"/>
                <w:sz w:val="20"/>
                <w:szCs w:val="20"/>
                <w:color w:val="0000FF"/>
                <w:w w:val="97"/>
              </w:rPr>
              <w:t>22.31</w:t>
            </w:r>
          </w:p>
        </w:tc>
        <w:tc>
          <w:tcPr>
            <w:tcW w:w="234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0000FF"/>
              </w:rPr>
              <w:t>D</w:t>
            </w:r>
          </w:p>
        </w:tc>
      </w:tr>
      <w:tr>
        <w:trPr>
          <w:trHeight w:val="72"/>
        </w:trPr>
        <w:tc>
          <w:tcPr>
            <w:tcW w:w="20" w:type="dxa"/>
            <w:vAlign w:val="bottom"/>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23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298"/>
        </w:trPr>
        <w:tc>
          <w:tcPr>
            <w:tcW w:w="20" w:type="dxa"/>
            <w:vAlign w:val="bottom"/>
          </w:tcPr>
          <w:p>
            <w:pPr>
              <w:spacing w:after="0"/>
              <w:rPr>
                <w:sz w:val="24"/>
                <w:szCs w:val="24"/>
                <w:color w:val="auto"/>
              </w:rPr>
            </w:pPr>
          </w:p>
        </w:tc>
        <w:tc>
          <w:tcPr>
            <w:tcW w:w="28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008000"/>
              </w:rPr>
              <w:t>(6)</w:t>
            </w:r>
          </w:p>
        </w:tc>
        <w:tc>
          <w:tcPr>
            <w:tcW w:w="1160" w:type="dxa"/>
            <w:vAlign w:val="bottom"/>
          </w:tcPr>
          <w:p>
            <w:pPr>
              <w:jc w:val="right"/>
              <w:ind w:right="145"/>
              <w:spacing w:after="0"/>
              <w:rPr>
                <w:sz w:val="20"/>
                <w:szCs w:val="20"/>
                <w:color w:val="auto"/>
              </w:rPr>
            </w:pPr>
            <w:r>
              <w:rPr>
                <w:rFonts w:ascii="Times New Roman" w:cs="Times New Roman" w:eastAsia="Times New Roman" w:hAnsi="Times New Roman"/>
                <w:sz w:val="15"/>
                <w:szCs w:val="15"/>
                <w:color w:val="0000FF"/>
              </w:rPr>
              <w:t>04/06/2033</w:t>
            </w:r>
          </w:p>
        </w:tc>
        <w:tc>
          <w:tcPr>
            <w:tcW w:w="16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Common Stock</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100,000</w:t>
            </w:r>
          </w:p>
        </w:tc>
        <w:tc>
          <w:tcPr>
            <w:tcW w:w="960" w:type="dxa"/>
            <w:vAlign w:val="bottom"/>
          </w:tcPr>
          <w:p>
            <w:pPr>
              <w:jc w:val="center"/>
              <w:ind w:right="42"/>
              <w:spacing w:after="0"/>
              <w:rPr>
                <w:sz w:val="20"/>
                <w:szCs w:val="20"/>
                <w:color w:val="auto"/>
              </w:rPr>
            </w:pPr>
            <w:r>
              <w:rPr>
                <w:rFonts w:ascii="Times New Roman" w:cs="Times New Roman" w:eastAsia="Times New Roman" w:hAnsi="Times New Roman"/>
                <w:sz w:val="20"/>
                <w:szCs w:val="20"/>
                <w:color w:val="0000FF"/>
                <w:w w:val="97"/>
              </w:rPr>
              <w:t>8.05</w:t>
            </w:r>
          </w:p>
        </w:tc>
        <w:tc>
          <w:tcPr>
            <w:tcW w:w="234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0000FF"/>
              </w:rPr>
              <w:t>D</w:t>
            </w:r>
          </w:p>
        </w:tc>
      </w:tr>
      <w:tr>
        <w:trPr>
          <w:trHeight w:val="72"/>
        </w:trPr>
        <w:tc>
          <w:tcPr>
            <w:tcW w:w="20" w:type="dxa"/>
            <w:vAlign w:val="bottom"/>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23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298"/>
        </w:trPr>
        <w:tc>
          <w:tcPr>
            <w:tcW w:w="20" w:type="dxa"/>
            <w:vAlign w:val="bottom"/>
          </w:tcPr>
          <w:p>
            <w:pPr>
              <w:spacing w:after="0"/>
              <w:rPr>
                <w:sz w:val="24"/>
                <w:szCs w:val="24"/>
                <w:color w:val="auto"/>
              </w:rPr>
            </w:pPr>
          </w:p>
        </w:tc>
        <w:tc>
          <w:tcPr>
            <w:tcW w:w="28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008000"/>
              </w:rPr>
              <w:t>(7)</w:t>
            </w:r>
          </w:p>
        </w:tc>
        <w:tc>
          <w:tcPr>
            <w:tcW w:w="1160" w:type="dxa"/>
            <w:vAlign w:val="bottom"/>
          </w:tcPr>
          <w:p>
            <w:pPr>
              <w:jc w:val="right"/>
              <w:ind w:right="145"/>
              <w:spacing w:after="0"/>
              <w:rPr>
                <w:sz w:val="20"/>
                <w:szCs w:val="20"/>
                <w:color w:val="auto"/>
              </w:rPr>
            </w:pPr>
            <w:r>
              <w:rPr>
                <w:rFonts w:ascii="Times New Roman" w:cs="Times New Roman" w:eastAsia="Times New Roman" w:hAnsi="Times New Roman"/>
                <w:sz w:val="15"/>
                <w:szCs w:val="15"/>
                <w:color w:val="0000FF"/>
              </w:rPr>
              <w:t>04/01/2032</w:t>
            </w:r>
          </w:p>
        </w:tc>
        <w:tc>
          <w:tcPr>
            <w:tcW w:w="16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Common Stock</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65,000</w:t>
            </w:r>
          </w:p>
        </w:tc>
        <w:tc>
          <w:tcPr>
            <w:tcW w:w="960" w:type="dxa"/>
            <w:vAlign w:val="bottom"/>
          </w:tcPr>
          <w:p>
            <w:pPr>
              <w:jc w:val="center"/>
              <w:ind w:right="62"/>
              <w:spacing w:after="0"/>
              <w:rPr>
                <w:sz w:val="20"/>
                <w:szCs w:val="20"/>
                <w:color w:val="auto"/>
              </w:rPr>
            </w:pPr>
            <w:r>
              <w:rPr>
                <w:rFonts w:ascii="Times New Roman" w:cs="Times New Roman" w:eastAsia="Times New Roman" w:hAnsi="Times New Roman"/>
                <w:sz w:val="20"/>
                <w:szCs w:val="20"/>
                <w:color w:val="0000FF"/>
                <w:w w:val="97"/>
              </w:rPr>
              <w:t>18.14</w:t>
            </w:r>
          </w:p>
        </w:tc>
        <w:tc>
          <w:tcPr>
            <w:tcW w:w="234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0000FF"/>
              </w:rPr>
              <w:t>D</w:t>
            </w:r>
          </w:p>
        </w:tc>
      </w:tr>
      <w:tr>
        <w:trPr>
          <w:trHeight w:val="72"/>
        </w:trPr>
        <w:tc>
          <w:tcPr>
            <w:tcW w:w="20" w:type="dxa"/>
            <w:vAlign w:val="bottom"/>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23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298"/>
        </w:trPr>
        <w:tc>
          <w:tcPr>
            <w:tcW w:w="20" w:type="dxa"/>
            <w:vAlign w:val="bottom"/>
          </w:tcPr>
          <w:p>
            <w:pPr>
              <w:spacing w:after="0"/>
              <w:rPr>
                <w:sz w:val="24"/>
                <w:szCs w:val="24"/>
                <w:color w:val="auto"/>
              </w:rPr>
            </w:pPr>
          </w:p>
        </w:tc>
        <w:tc>
          <w:tcPr>
            <w:tcW w:w="28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008000"/>
              </w:rPr>
              <w:t>(8)</w:t>
            </w:r>
          </w:p>
        </w:tc>
        <w:tc>
          <w:tcPr>
            <w:tcW w:w="1160" w:type="dxa"/>
            <w:vAlign w:val="bottom"/>
          </w:tcPr>
          <w:p>
            <w:pPr>
              <w:jc w:val="right"/>
              <w:ind w:right="145"/>
              <w:spacing w:after="0"/>
              <w:rPr>
                <w:sz w:val="20"/>
                <w:szCs w:val="20"/>
                <w:color w:val="auto"/>
              </w:rPr>
            </w:pPr>
            <w:r>
              <w:rPr>
                <w:rFonts w:ascii="Times New Roman" w:cs="Times New Roman" w:eastAsia="Times New Roman" w:hAnsi="Times New Roman"/>
                <w:sz w:val="15"/>
                <w:szCs w:val="15"/>
                <w:color w:val="0000FF"/>
              </w:rPr>
              <w:t>02/05/2031</w:t>
            </w:r>
          </w:p>
        </w:tc>
        <w:tc>
          <w:tcPr>
            <w:tcW w:w="16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Common Stock</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120,000</w:t>
            </w:r>
          </w:p>
        </w:tc>
        <w:tc>
          <w:tcPr>
            <w:tcW w:w="960" w:type="dxa"/>
            <w:vAlign w:val="bottom"/>
          </w:tcPr>
          <w:p>
            <w:pPr>
              <w:jc w:val="center"/>
              <w:ind w:right="62"/>
              <w:spacing w:after="0"/>
              <w:rPr>
                <w:sz w:val="20"/>
                <w:szCs w:val="20"/>
                <w:color w:val="auto"/>
              </w:rPr>
            </w:pPr>
            <w:r>
              <w:rPr>
                <w:rFonts w:ascii="Times New Roman" w:cs="Times New Roman" w:eastAsia="Times New Roman" w:hAnsi="Times New Roman"/>
                <w:sz w:val="20"/>
                <w:szCs w:val="20"/>
                <w:color w:val="0000FF"/>
                <w:w w:val="99"/>
              </w:rPr>
              <w:t>20</w:t>
            </w:r>
          </w:p>
        </w:tc>
        <w:tc>
          <w:tcPr>
            <w:tcW w:w="234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0000FF"/>
              </w:rPr>
              <w:t>D</w:t>
            </w:r>
          </w:p>
        </w:tc>
      </w:tr>
      <w:tr>
        <w:trPr>
          <w:trHeight w:val="72"/>
        </w:trPr>
        <w:tc>
          <w:tcPr>
            <w:tcW w:w="20" w:type="dxa"/>
            <w:vAlign w:val="bottom"/>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23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298"/>
        </w:trPr>
        <w:tc>
          <w:tcPr>
            <w:tcW w:w="20" w:type="dxa"/>
            <w:vAlign w:val="bottom"/>
          </w:tcPr>
          <w:p>
            <w:pPr>
              <w:spacing w:after="0"/>
              <w:rPr>
                <w:sz w:val="24"/>
                <w:szCs w:val="24"/>
                <w:color w:val="auto"/>
              </w:rPr>
            </w:pPr>
          </w:p>
        </w:tc>
        <w:tc>
          <w:tcPr>
            <w:tcW w:w="28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008000"/>
              </w:rPr>
              <w:t>(9)</w:t>
            </w:r>
          </w:p>
        </w:tc>
        <w:tc>
          <w:tcPr>
            <w:tcW w:w="1160" w:type="dxa"/>
            <w:vAlign w:val="bottom"/>
          </w:tcPr>
          <w:p>
            <w:pPr>
              <w:jc w:val="right"/>
              <w:ind w:right="145"/>
              <w:spacing w:after="0"/>
              <w:rPr>
                <w:sz w:val="20"/>
                <w:szCs w:val="20"/>
                <w:color w:val="auto"/>
              </w:rPr>
            </w:pPr>
            <w:r>
              <w:rPr>
                <w:rFonts w:ascii="Times New Roman" w:cs="Times New Roman" w:eastAsia="Times New Roman" w:hAnsi="Times New Roman"/>
                <w:sz w:val="15"/>
                <w:szCs w:val="15"/>
                <w:color w:val="0000FF"/>
              </w:rPr>
              <w:t>01/01/2030</w:t>
            </w:r>
          </w:p>
        </w:tc>
        <w:tc>
          <w:tcPr>
            <w:tcW w:w="16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Common Stock</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16,472</w:t>
            </w:r>
          </w:p>
        </w:tc>
        <w:tc>
          <w:tcPr>
            <w:tcW w:w="960" w:type="dxa"/>
            <w:vAlign w:val="bottom"/>
          </w:tcPr>
          <w:p>
            <w:pPr>
              <w:jc w:val="center"/>
              <w:ind w:right="42"/>
              <w:spacing w:after="0"/>
              <w:rPr>
                <w:sz w:val="20"/>
                <w:szCs w:val="20"/>
                <w:color w:val="auto"/>
              </w:rPr>
            </w:pPr>
            <w:r>
              <w:rPr>
                <w:rFonts w:ascii="Times New Roman" w:cs="Times New Roman" w:eastAsia="Times New Roman" w:hAnsi="Times New Roman"/>
                <w:sz w:val="20"/>
                <w:szCs w:val="20"/>
                <w:color w:val="0000FF"/>
                <w:w w:val="97"/>
              </w:rPr>
              <w:t>2.59</w:t>
            </w:r>
          </w:p>
        </w:tc>
        <w:tc>
          <w:tcPr>
            <w:tcW w:w="234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0000FF"/>
              </w:rPr>
              <w:t>D</w:t>
            </w:r>
          </w:p>
        </w:tc>
      </w:tr>
      <w:tr>
        <w:trPr>
          <w:trHeight w:val="72"/>
        </w:trPr>
        <w:tc>
          <w:tcPr>
            <w:tcW w:w="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23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36"/>
        </w:trPr>
        <w:tc>
          <w:tcPr>
            <w:tcW w:w="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19" w:lineRule="exact"/>
        <w:rPr>
          <w:sz w:val="24"/>
          <w:szCs w:val="24"/>
          <w:color w:val="auto"/>
        </w:rPr>
      </w:pPr>
    </w:p>
    <w:p>
      <w:pPr>
        <w:ind w:left="40" w:right="12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restricted stock units previously granted under the Company's equity plan that remain outstanding as of March 18, 2026. The awards settle in shares of common stock and are reported in Table I as non-derivative securities. Vesting occurs as follows: -20,000 RSUs from an award granted March 3, 2026 of which 25% will vest March 3, 2027 with the remainder vesting monthly thereafter; -15,000 RSUs from an award granted March 12, 2025 of which 25% vested March 12, 2026 with the remainder vesting monthly thereafter; -8,568 RSUs from an award granted April 11, 2024 of which 25% vested April 11, 2025 with the remainder vesting monthly thereafter.</w:t>
      </w:r>
    </w:p>
    <w:p>
      <w:pPr>
        <w:spacing w:after="0" w:line="33"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GrayMatters Consulting B.V., an entity controlled by Dr. Lesage.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will vest on March 3, 2027 with the remaining shares vesting in 1/48 monthly installments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March 12, 2026 with the remaining shares vesting in 1/48 monthly installments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April 11, 2025 with the remaining shares vesting in 1/48 monthly installments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April 6, 2024 with the remaining shares vesting in 1/48 monthly installments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April 1, 2023 with the remaining shares vesting in 1/48 monthly installments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February 5, 2022 with the remaining shares vesting in 1/48 monthly installments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January 1, 2021 with the remaining shares vesting in 1/48 monthly installments thereafter.</w:t>
      </w:r>
    </w:p>
    <w:p>
      <w:pPr>
        <w:spacing w:after="0" w:line="42" w:lineRule="exact"/>
        <w:rPr>
          <w:sz w:val="24"/>
          <w:szCs w:val="24"/>
          <w:color w:val="auto"/>
        </w:rPr>
      </w:pPr>
    </w:p>
    <w:tbl>
      <w:tblPr>
        <w:tblLayout w:type="fixed"/>
        <w:tblInd w:w="6580" w:type="dxa"/>
        <w:tblCellMar>
          <w:top w:w="0" w:type="dxa"/>
          <w:left w:w="0" w:type="dxa"/>
          <w:bottom w:w="0" w:type="dxa"/>
          <w:right w:w="0" w:type="dxa"/>
        </w:tblCellMar>
      </w:tblPr>
      <w:tr>
        <w:trPr>
          <w:trHeight w:val="250"/>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Marnus Nel, Attorney-</w:t>
            </w:r>
          </w:p>
        </w:tc>
        <w:tc>
          <w:tcPr>
            <w:tcW w:w="180" w:type="dxa"/>
            <w:vAlign w:val="bottom"/>
          </w:tcPr>
          <w:p>
            <w:pPr>
              <w:spacing w:after="0"/>
              <w:rPr>
                <w:sz w:val="21"/>
                <w:szCs w:val="2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190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in-Fact for Anne Lesage</w:t>
            </w:r>
          </w:p>
        </w:tc>
        <w:tc>
          <w:tcPr>
            <w:tcW w:w="28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1900" w:type="dxa"/>
            <w:vAlign w:val="bottom"/>
            <w:tcBorders>
              <w:bottom w:val="single" w:sz="8" w:color="auto"/>
            </w:tcBorders>
            <w:vMerge w:val="continue"/>
          </w:tcPr>
          <w:p>
            <w:pPr>
              <w:spacing w:after="0"/>
              <w:rPr>
                <w:sz w:val="8"/>
                <w:szCs w:val="8"/>
                <w:color w:val="auto"/>
              </w:rPr>
            </w:pPr>
          </w:p>
        </w:tc>
        <w:tc>
          <w:tcPr>
            <w:tcW w:w="28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p>
      <w:pPr>
        <w:sectPr>
          <w:pgSz w:w="11900" w:h="16850" w:orient="portrait"/>
          <w:cols w:equalWidth="0" w:num="1">
            <w:col w:w="10940"/>
          </w:cols>
          <w:pgMar w:left="480" w:top="230" w:right="479" w:bottom="0" w:gutter="0" w:footer="0" w:header="0"/>
          <w:type w:val="continuous"/>
        </w:sectPr>
      </w:pPr>
    </w:p>
    <w:tbl>
      <w:tblPr>
        <w:tblLayout w:type="fixed"/>
        <w:tblInd w:w="6580" w:type="dxa"/>
        <w:tblCellMar>
          <w:top w:w="0" w:type="dxa"/>
          <w:left w:w="0" w:type="dxa"/>
          <w:bottom w:w="0" w:type="dxa"/>
          <w:right w:w="0" w:type="dxa"/>
        </w:tblCellMar>
      </w:tblPr>
      <w:tr>
        <w:trPr>
          <w:trHeight w:val="172"/>
        </w:trPr>
        <w:tc>
          <w:tcPr>
            <w:tcW w:w="1920" w:type="dxa"/>
            <w:vAlign w:val="bottom"/>
          </w:tcPr>
          <w:p>
            <w:pPr>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1920" w:type="dxa"/>
            <w:vAlign w:val="bottom"/>
            <w:vMerge w:val="restart"/>
          </w:tcPr>
          <w:p>
            <w:pPr>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9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50" w:orient="portrait"/>
          <w:cols w:equalWidth="0" w:num="1">
            <w:col w:w="10940"/>
          </w:cols>
          <w:pgMar w:left="480" w:top="230"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53"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5" w:right="559" w:bottom="1440" w:gutter="0" w:footer="0" w:header="0"/>
        </w:sectPr>
      </w:pPr>
    </w:p>
    <w:bookmarkStart w:id="2" w:name="page3"/>
    <w:bookmarkEnd w:id="2"/>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March 2, 2026</w:t>
      </w:r>
    </w:p>
    <w:p>
      <w:pPr>
        <w:spacing w:after="0" w:line="234" w:lineRule="exact"/>
        <w:rPr>
          <w:sz w:val="20"/>
          <w:szCs w:val="20"/>
          <w:color w:val="auto"/>
        </w:rPr>
      </w:pPr>
    </w:p>
    <w:p>
      <w:pPr>
        <w:jc w:val="both"/>
        <w:ind w:firstLine="929"/>
        <w:spacing w:after="0" w:line="245" w:lineRule="auto"/>
        <w:rPr>
          <w:sz w:val="20"/>
          <w:szCs w:val="20"/>
          <w:color w:val="auto"/>
        </w:rPr>
      </w:pPr>
      <w:r>
        <w:rPr>
          <w:rFonts w:ascii="Times New Roman" w:cs="Times New Roman" w:eastAsia="Times New Roman" w:hAnsi="Times New Roman"/>
          <w:sz w:val="24"/>
          <w:szCs w:val="24"/>
          <w:color w:val="auto"/>
        </w:rPr>
        <w:t>KNOW ALL BY THESE PRESENTS, that the undersigned hereby makes, constitutes and appoints each of David Nassif, Marnus Nel, and Skyler Wallace, acting individually, as the undersigned’s true and lawful attorney-in-fact and agent, with full power and authority, including substitution and revocation, as hereinafter described on behalf of and in the name, place and stead of the undersigned to:</w:t>
      </w:r>
    </w:p>
    <w:p>
      <w:pPr>
        <w:spacing w:after="0" w:line="179" w:lineRule="exact"/>
        <w:rPr>
          <w:sz w:val="20"/>
          <w:szCs w:val="20"/>
          <w:color w:val="auto"/>
        </w:rPr>
      </w:pPr>
    </w:p>
    <w:p>
      <w:pPr>
        <w:jc w:val="both"/>
        <w:ind w:left="660" w:right="740" w:hanging="528"/>
        <w:spacing w:after="0" w:line="238"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 director, officer or beneficial owner of shares of stock of Pharvaris N.V., a Dutch public limited liability company (naamloze vennootschap) (the “</w:t>
      </w:r>
      <w:r>
        <w:rPr>
          <w:rFonts w:ascii="Times New Roman" w:cs="Times New Roman" w:eastAsia="Times New Roman" w:hAnsi="Times New Roman"/>
          <w:sz w:val="24"/>
          <w:szCs w:val="24"/>
          <w:u w:val="single" w:color="auto"/>
          <w:color w:val="auto"/>
        </w:rPr>
        <w:t>Company</w:t>
      </w:r>
      <w:r>
        <w:rPr>
          <w:rFonts w:ascii="Times New Roman" w:cs="Times New Roman" w:eastAsia="Times New Roman" w:hAnsi="Times New Roman"/>
          <w:sz w:val="24"/>
          <w:szCs w:val="24"/>
          <w:color w:val="auto"/>
        </w:rPr>
        <w:t>”), any Schedule 13D or Schedule 13G, and any amendments, supplements or exhibits thereto (including any joint filing agreements) required to be filed by the undersigned under Section 13 of the Securities Exchange Act of 1934, as amended, and the rules and regulations promulgated thereunder (the “</w:t>
      </w:r>
      <w:r>
        <w:rPr>
          <w:rFonts w:ascii="Times New Roman" w:cs="Times New Roman" w:eastAsia="Times New Roman" w:hAnsi="Times New Roman"/>
          <w:sz w:val="24"/>
          <w:szCs w:val="24"/>
          <w:u w:val="single" w:color="auto"/>
          <w:color w:val="auto"/>
        </w:rPr>
        <w:t>Exchange Act</w:t>
      </w:r>
      <w:r>
        <w:rPr>
          <w:rFonts w:ascii="Times New Roman" w:cs="Times New Roman" w:eastAsia="Times New Roman" w:hAnsi="Times New Roman"/>
          <w:sz w:val="24"/>
          <w:szCs w:val="24"/>
          <w:color w:val="auto"/>
        </w:rPr>
        <w:t>”), any Form 3, 4 and 5 and any amendments, supplements or exhibits thereto required to be filed by the undersigned under Section 16(a) of the Exchange Act, as well as notices on Form 144 and amendments thereto, filed pursuant to Rule 144 promulgated under the Securities Act of 1933, as amended (the “</w:t>
      </w:r>
      <w:r>
        <w:rPr>
          <w:rFonts w:ascii="Times New Roman" w:cs="Times New Roman" w:eastAsia="Times New Roman" w:hAnsi="Times New Roman"/>
          <w:sz w:val="24"/>
          <w:szCs w:val="24"/>
          <w:u w:val="single" w:color="auto"/>
          <w:color w:val="auto"/>
        </w:rPr>
        <w:t>Securities Act</w:t>
      </w:r>
      <w:r>
        <w:rPr>
          <w:rFonts w:ascii="Times New Roman" w:cs="Times New Roman" w:eastAsia="Times New Roman" w:hAnsi="Times New Roman"/>
          <w:sz w:val="24"/>
          <w:szCs w:val="24"/>
          <w:color w:val="auto"/>
        </w:rPr>
        <w:t>”);</w:t>
      </w:r>
    </w:p>
    <w:p>
      <w:pPr>
        <w:spacing w:after="0" w:line="219" w:lineRule="exact"/>
        <w:rPr>
          <w:rFonts w:ascii="Times New Roman" w:cs="Times New Roman" w:eastAsia="Times New Roman" w:hAnsi="Times New Roman"/>
          <w:sz w:val="24"/>
          <w:szCs w:val="24"/>
          <w:color w:val="auto"/>
        </w:rPr>
      </w:pPr>
    </w:p>
    <w:p>
      <w:pPr>
        <w:jc w:val="both"/>
        <w:ind w:left="660" w:right="720" w:hanging="587"/>
        <w:spacing w:after="0" w:line="242"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any attorney-in-fact and further approves and ratifies any such release of information;</w:t>
      </w:r>
    </w:p>
    <w:p>
      <w:pPr>
        <w:spacing w:after="0" w:line="169" w:lineRule="exact"/>
        <w:rPr>
          <w:rFonts w:ascii="Times New Roman" w:cs="Times New Roman" w:eastAsia="Times New Roman" w:hAnsi="Times New Roman"/>
          <w:sz w:val="24"/>
          <w:szCs w:val="24"/>
          <w:color w:val="auto"/>
        </w:rPr>
      </w:pPr>
    </w:p>
    <w:p>
      <w:pPr>
        <w:jc w:val="both"/>
        <w:ind w:left="660" w:right="720" w:hanging="660"/>
        <w:spacing w:after="0" w:line="241"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complete and execute any such Schedule 13D, Schedule 13G, and any amendments thereto, Form 3, 4 or 5, and any amendments thereto, notices on Form 144 and amendments thereto, or any other required report relating to any of the foregoing and timely file such notices, forms or reports with the U.S. Securities and Exchange Commission and any stock exchange on which the stock of the Company is then listed; and</w:t>
      </w:r>
    </w:p>
    <w:p>
      <w:pPr>
        <w:spacing w:after="0" w:line="93" w:lineRule="exact"/>
        <w:rPr>
          <w:rFonts w:ascii="Times New Roman" w:cs="Times New Roman" w:eastAsia="Times New Roman" w:hAnsi="Times New Roman"/>
          <w:sz w:val="24"/>
          <w:szCs w:val="24"/>
          <w:color w:val="auto"/>
        </w:rPr>
      </w:pPr>
    </w:p>
    <w:p>
      <w:pPr>
        <w:jc w:val="both"/>
        <w:ind w:left="660" w:right="720" w:hanging="646"/>
        <w:spacing w:after="0" w:line="241"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each such attorney-in-fact’s discretion.</w:t>
      </w:r>
    </w:p>
    <w:p>
      <w:pPr>
        <w:spacing w:after="0" w:line="198" w:lineRule="exact"/>
        <w:rPr>
          <w:sz w:val="20"/>
          <w:szCs w:val="20"/>
          <w:color w:val="auto"/>
        </w:rPr>
      </w:pPr>
    </w:p>
    <w:p>
      <w:pPr>
        <w:ind w:firstLine="929"/>
        <w:spacing w:after="0" w:line="266" w:lineRule="auto"/>
        <w:rPr>
          <w:sz w:val="20"/>
          <w:szCs w:val="20"/>
          <w:color w:val="auto"/>
        </w:rPr>
      </w:pPr>
      <w:r>
        <w:rPr>
          <w:rFonts w:ascii="Times New Roman" w:cs="Times New Roman" w:eastAsia="Times New Roman" w:hAnsi="Times New Roman"/>
          <w:sz w:val="24"/>
          <w:szCs w:val="24"/>
          <w:color w:val="auto"/>
        </w:rPr>
        <w:t>The undersigned hereby acknowledges that (a) the foregoing attorneys-in-fact are serving in such capacity at the request of the undersigned; (b) this Power of Attorney authorizes,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208915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580"/>
          </w:cols>
          <w:pgMar w:left="480" w:top="1440" w:right="839" w:bottom="1440" w:gutter="0" w:footer="0" w:header="0"/>
        </w:sectPr>
      </w:pPr>
    </w:p>
    <w:bookmarkStart w:id="3" w:name="page4"/>
    <w:bookmarkEnd w:id="3"/>
    <w:p>
      <w:pPr>
        <w:spacing w:after="0" w:line="9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4"/>
          <w:szCs w:val="24"/>
          <w:color w:val="auto"/>
        </w:rPr>
        <w:t>but does not require, each such attorney-in-fact to act in his or her discretion on information provided to such attorney-in-fact without independent verification of such information; (c) any documents prepared and/or executed by any attorney-in-fact on behalf of the undersigned pursuant to this Power of Attorney shall be in such form and shall contain such information and disclosure as such attorney-in-fact, in his or her sole discretion, deems necessary or advisable;</w:t>
      </w:r>
    </w:p>
    <w:p>
      <w:pPr>
        <w:spacing w:after="0" w:line="2" w:lineRule="exact"/>
        <w:rPr>
          <w:sz w:val="20"/>
          <w:szCs w:val="20"/>
          <w:color w:val="auto"/>
        </w:rPr>
      </w:pPr>
    </w:p>
    <w:p>
      <w:pPr>
        <w:jc w:val="both"/>
        <w:spacing w:after="0" w:line="234" w:lineRule="auto"/>
        <w:tabs>
          <w:tab w:leader="none" w:pos="346"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neither the Company nor any attorney-in-fact assumes (i) any liability for the undersigned's responsibility to comply with the requirements of the Exchange Act or Securities Act, as applicable, (ii) any liability of the undersigned for any failure to comply with such requirements,</w:t>
      </w:r>
    </w:p>
    <w:p>
      <w:pPr>
        <w:spacing w:after="0" w:line="3" w:lineRule="exact"/>
        <w:rPr>
          <w:rFonts w:ascii="Times New Roman" w:cs="Times New Roman" w:eastAsia="Times New Roman" w:hAnsi="Times New Roman"/>
          <w:sz w:val="24"/>
          <w:szCs w:val="24"/>
          <w:color w:val="auto"/>
        </w:rPr>
      </w:pPr>
    </w:p>
    <w:p>
      <w:pPr>
        <w:jc w:val="both"/>
        <w:spacing w:after="0" w:line="237" w:lineRule="auto"/>
        <w:tabs>
          <w:tab w:leader="none" w:pos="485" w:val="left"/>
        </w:tabs>
        <w:numPr>
          <w:ilvl w:val="0"/>
          <w:numId w:val="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any obligation or liability of the undersigned for profit disgorgement under Section 16(b) of the Exchange Act, if applicable, or (iv) any liability resulting from a failure to qualify for the safe harbor under Rule 144; and (e) this Power of Attorney does not relieve the undersigned from responsibility for compliance with the undersigned’s obligations under the Exchange Act or Securities Act, including, without limitation, the reporting requirements under Section 13 and Section 16 of the Exchange Act or Rule 144 promulgated under the Securities Act, as applicable.</w:t>
      </w:r>
    </w:p>
    <w:p>
      <w:pPr>
        <w:spacing w:after="0" w:line="200" w:lineRule="exact"/>
        <w:rPr>
          <w:sz w:val="20"/>
          <w:szCs w:val="20"/>
          <w:color w:val="auto"/>
        </w:rPr>
      </w:pPr>
    </w:p>
    <w:p>
      <w:pPr>
        <w:jc w:val="both"/>
        <w:ind w:firstLine="929"/>
        <w:spacing w:after="0" w:line="241"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(and shall survive, if necessary, by incapacity and/or death) until the undersigned is no longer required to file Schedule 13D or Schedule 13G, Forms 3, 4 or 5, notices on Form 144, or any amendments, supplements or exhibits to any of the foregoing with respect to the undersigned’s holdings of, and transactions in, securities issued by the Company, unless earlier revoked as to any attorney-in-fact by the undersigned in a signed writing delivered to such attorney-in-fact.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[Signature Page to Follow]</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250190</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580"/>
          </w:cols>
          <w:pgMar w:left="480" w:top="1440" w:right="839" w:bottom="1440" w:gutter="0" w:footer="0" w:header="0"/>
        </w:sectPr>
      </w:pPr>
    </w:p>
    <w:bookmarkStart w:id="4" w:name="page5"/>
    <w:bookmarkEnd w:id="4"/>
    <w:p>
      <w:pPr>
        <w:spacing w:after="0" w:line="96" w:lineRule="exact"/>
        <w:rPr>
          <w:sz w:val="20"/>
          <w:szCs w:val="20"/>
          <w:color w:val="auto"/>
        </w:rPr>
      </w:pPr>
    </w:p>
    <w:p>
      <w:pPr>
        <w:ind w:firstLine="729"/>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1418590</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drawing>
          <wp:anchor simplePos="0" relativeHeight="251657728" behindDoc="1" locked="0" layoutInCell="0" allowOverlap="1">
            <wp:simplePos x="0" y="0"/>
            <wp:positionH relativeFrom="column">
              <wp:posOffset>3707130</wp:posOffset>
            </wp:positionH>
            <wp:positionV relativeFrom="paragraph">
              <wp:posOffset>364490</wp:posOffset>
            </wp:positionV>
            <wp:extent cx="1505585" cy="666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505585" cy="666750"/>
                    </a:xfrm>
                    <a:prstGeom prst="rect">
                      <a:avLst/>
                    </a:prstGeom>
                    <a:noFill/>
                  </pic:spPr>
                </pic:pic>
              </a:graphicData>
            </a:graphic>
          </wp:anchor>
        </w:drawing>
      </w:r>
    </w:p>
    <w:p>
      <w:pPr>
        <w:sectPr>
          <w:pgSz w:w="11900" w:h="16838" w:orient="portrait"/>
          <w:cols w:equalWidth="0" w:num="1">
            <w:col w:w="10620"/>
          </w:cols>
          <w:pgMar w:left="480" w:top="1440" w:right="79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1)"/>
      <w:numFmt w:val="lowerLetter"/>
      <w:start w:val="4"/>
    </w:lvl>
  </w:abstractNum>
  <w:abstractNum w:abstractNumId="6">
    <w:nsid w:val="41B71EFB"/>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jpeg"/><Relationship Id="rId10" Type="http://schemas.openxmlformats.org/officeDocument/2006/relationships/hyperlink" Target="http://www.sec.gov/cgi-bin/browse-edgar?action=getcompany&amp;CIK=0001973705" TargetMode="External"/><Relationship Id="rId11" Type="http://schemas.openxmlformats.org/officeDocument/2006/relationships/hyperlink" Target="http://www.sec.gov/cgi-bin/browse-edgar?action=getcompany&amp;CIK=00018304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2026-03-18T13:25:11Z</dcterms:created>
  <dcterms:modified xsi:type="dcterms:W3CDTF">2026-03-18T13:25:11Z</dcterms:modified>
</cp:coreProperties>
</file>