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0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Modig Berndt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CRANBERRY HILL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Pharvaris N.V.</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PHVS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04/09/2026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3560" w:type="dxa"/>
            <w:vAlign w:val="bottom"/>
            <w:gridSpan w:val="8"/>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1"/>
            <w:vMerge w:val="restart"/>
          </w:tcPr>
          <w:p>
            <w:pPr>
              <w:ind w:left="4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560" w:type="dxa"/>
            <w:vAlign w:val="bottom"/>
            <w:gridSpan w:val="8"/>
            <w:vMerge w:val="continue"/>
          </w:tcPr>
          <w:p>
            <w:pPr>
              <w:spacing w:after="0"/>
              <w:rPr>
                <w:sz w:val="10"/>
                <w:szCs w:val="10"/>
                <w:color w:val="auto"/>
              </w:rPr>
            </w:pPr>
          </w:p>
        </w:tc>
        <w:tc>
          <w:tcPr>
            <w:tcW w:w="374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gridSpan w:val="4"/>
          </w:tcPr>
          <w:p>
            <w:pPr>
              <w:ind w:left="4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LEXINGTON   MA</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02421</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vMerge w:val="restart"/>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900" w:type="dxa"/>
            <w:vAlign w:val="bottom"/>
            <w:tcBorders>
              <w:bottom w:val="single" w:sz="8" w:color="2C2C2C"/>
            </w:tcBorders>
            <w:gridSpan w:val="7"/>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36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21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6"/>
          </w:tcPr>
          <w:p>
            <w:pPr>
              <w:jc w:val="center"/>
              <w:ind w:right="18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44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40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4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440" w:type="dxa"/>
            <w:vAlign w:val="bottom"/>
          </w:tcPr>
          <w:p>
            <w:pPr>
              <w:spacing w:after="0"/>
              <w:rPr>
                <w:sz w:val="13"/>
                <w:szCs w:val="13"/>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400" w:type="dxa"/>
            <w:vAlign w:val="bottom"/>
          </w:tcPr>
          <w:p>
            <w:pPr>
              <w:spacing w:after="0"/>
              <w:rPr>
                <w:sz w:val="13"/>
                <w:szCs w:val="13"/>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42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380" w:type="dxa"/>
            <w:vAlign w:val="bottom"/>
            <w:vMerge w:val="continue"/>
          </w:tcPr>
          <w:p>
            <w:pPr>
              <w:spacing w:after="0"/>
              <w:rPr>
                <w:sz w:val="13"/>
                <w:szCs w:val="13"/>
                <w:color w:val="auto"/>
              </w:rPr>
            </w:pP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w w:val="95"/>
              </w:rPr>
              <w:t>Price</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(Instr. 3 and 4)</w:t>
            </w:r>
          </w:p>
        </w:tc>
        <w:tc>
          <w:tcPr>
            <w:tcW w:w="50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04/09/2026</w:t>
            </w:r>
          </w:p>
        </w:tc>
        <w:tc>
          <w:tcPr>
            <w:tcW w:w="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right"/>
              <w:ind w:right="78"/>
              <w:spacing w:after="0"/>
              <w:rPr>
                <w:sz w:val="20"/>
                <w:szCs w:val="20"/>
                <w:color w:val="auto"/>
              </w:rPr>
            </w:pPr>
            <w:r>
              <w:rPr>
                <w:rFonts w:ascii="Times New Roman" w:cs="Times New Roman" w:eastAsia="Times New Roman" w:hAnsi="Times New Roman"/>
                <w:sz w:val="13"/>
                <w:szCs w:val="13"/>
                <w:color w:val="0000FF"/>
              </w:rPr>
              <w:t>S</w:t>
            </w:r>
          </w:p>
        </w:tc>
        <w:tc>
          <w:tcPr>
            <w:tcW w:w="4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right"/>
              <w:ind w:right="91"/>
              <w:spacing w:after="0"/>
              <w:rPr>
                <w:sz w:val="20"/>
                <w:szCs w:val="20"/>
                <w:color w:val="auto"/>
              </w:rPr>
            </w:pPr>
            <w:r>
              <w:rPr>
                <w:rFonts w:ascii="Times New Roman" w:cs="Times New Roman" w:eastAsia="Times New Roman" w:hAnsi="Times New Roman"/>
                <w:sz w:val="17"/>
                <w:szCs w:val="17"/>
                <w:color w:val="0000FF"/>
              </w:rPr>
              <w:t>23,133</w:t>
            </w:r>
          </w:p>
        </w:tc>
        <w:tc>
          <w:tcPr>
            <w:tcW w:w="3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27.7352</w:t>
            </w:r>
            <w:r>
              <w:rPr>
                <w:rFonts w:ascii="Times New Roman" w:cs="Times New Roman" w:eastAsia="Times New Roman" w:hAnsi="Times New Roman"/>
                <w:sz w:val="22"/>
                <w:szCs w:val="22"/>
                <w:color w:val="008000"/>
                <w:vertAlign w:val="superscript"/>
              </w:rPr>
              <w:t>(1)</w:t>
            </w: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142,284</w:t>
            </w:r>
          </w:p>
        </w:tc>
        <w:tc>
          <w:tcPr>
            <w:tcW w:w="500" w:type="dxa"/>
            <w:vAlign w:val="bottom"/>
            <w:tcBorders>
              <w:bottom w:val="single" w:sz="8" w:color="2C2C2C"/>
            </w:tcBorders>
          </w:tcPr>
          <w:p>
            <w:pPr>
              <w:jc w:val="center"/>
              <w:ind w:left="230"/>
              <w:spacing w:after="0"/>
              <w:rPr>
                <w:sz w:val="20"/>
                <w:szCs w:val="20"/>
                <w:color w:val="auto"/>
              </w:rPr>
            </w:pPr>
            <w:r>
              <w:rPr>
                <w:rFonts w:ascii="Times New Roman" w:cs="Times New Roman" w:eastAsia="Times New Roman" w:hAnsi="Times New Roman"/>
                <w:sz w:val="17"/>
                <w:szCs w:val="17"/>
                <w:color w:val="0000FF"/>
                <w:w w:val="97"/>
              </w:rPr>
              <w:t>D</w:t>
            </w:r>
          </w:p>
        </w:tc>
        <w:tc>
          <w:tcPr>
            <w:tcW w:w="4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04/09/2026</w:t>
            </w:r>
          </w:p>
        </w:tc>
        <w:tc>
          <w:tcPr>
            <w:tcW w:w="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right"/>
              <w:ind w:right="78"/>
              <w:spacing w:after="0"/>
              <w:rPr>
                <w:sz w:val="20"/>
                <w:szCs w:val="20"/>
                <w:color w:val="auto"/>
              </w:rPr>
            </w:pPr>
            <w:r>
              <w:rPr>
                <w:rFonts w:ascii="Times New Roman" w:cs="Times New Roman" w:eastAsia="Times New Roman" w:hAnsi="Times New Roman"/>
                <w:sz w:val="13"/>
                <w:szCs w:val="13"/>
                <w:color w:val="0000FF"/>
              </w:rPr>
              <w:t>S</w:t>
            </w:r>
          </w:p>
        </w:tc>
        <w:tc>
          <w:tcPr>
            <w:tcW w:w="4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right"/>
              <w:ind w:right="211"/>
              <w:spacing w:after="0"/>
              <w:rPr>
                <w:sz w:val="20"/>
                <w:szCs w:val="20"/>
                <w:color w:val="auto"/>
              </w:rPr>
            </w:pPr>
            <w:r>
              <w:rPr>
                <w:rFonts w:ascii="Times New Roman" w:cs="Times New Roman" w:eastAsia="Times New Roman" w:hAnsi="Times New Roman"/>
                <w:sz w:val="17"/>
                <w:szCs w:val="17"/>
                <w:color w:val="0000FF"/>
              </w:rPr>
              <w:t>200</w:t>
            </w:r>
          </w:p>
        </w:tc>
        <w:tc>
          <w:tcPr>
            <w:tcW w:w="3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28.415</w:t>
            </w:r>
            <w:r>
              <w:rPr>
                <w:rFonts w:ascii="Times New Roman" w:cs="Times New Roman" w:eastAsia="Times New Roman" w:hAnsi="Times New Roman"/>
                <w:sz w:val="22"/>
                <w:szCs w:val="22"/>
                <w:color w:val="008000"/>
                <w:vertAlign w:val="superscript"/>
              </w:rPr>
              <w:t>(2)</w:t>
            </w: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142,084</w:t>
            </w:r>
          </w:p>
        </w:tc>
        <w:tc>
          <w:tcPr>
            <w:tcW w:w="500" w:type="dxa"/>
            <w:vAlign w:val="bottom"/>
            <w:tcBorders>
              <w:bottom w:val="single" w:sz="8" w:color="2C2C2C"/>
            </w:tcBorders>
          </w:tcPr>
          <w:p>
            <w:pPr>
              <w:jc w:val="center"/>
              <w:ind w:left="230"/>
              <w:spacing w:after="0"/>
              <w:rPr>
                <w:sz w:val="20"/>
                <w:szCs w:val="20"/>
                <w:color w:val="auto"/>
              </w:rPr>
            </w:pPr>
            <w:r>
              <w:rPr>
                <w:rFonts w:ascii="Times New Roman" w:cs="Times New Roman" w:eastAsia="Times New Roman" w:hAnsi="Times New Roman"/>
                <w:sz w:val="17"/>
                <w:szCs w:val="17"/>
                <w:color w:val="0000FF"/>
                <w:w w:val="97"/>
              </w:rPr>
              <w:t>D</w:t>
            </w:r>
          </w:p>
        </w:tc>
        <w:tc>
          <w:tcPr>
            <w:tcW w:w="4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Schoodif</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950,000</w:t>
            </w:r>
          </w:p>
        </w:tc>
        <w:tc>
          <w:tcPr>
            <w:tcW w:w="500" w:type="dxa"/>
            <w:vAlign w:val="bottom"/>
          </w:tcPr>
          <w:p>
            <w:pPr>
              <w:jc w:val="center"/>
              <w:ind w:left="21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Management</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line="281" w:lineRule="exact"/>
              <w:rPr>
                <w:sz w:val="20"/>
                <w:szCs w:val="20"/>
                <w:color w:val="auto"/>
              </w:rPr>
            </w:pPr>
            <w:r>
              <w:rPr>
                <w:rFonts w:ascii="Times New Roman" w:cs="Times New Roman" w:eastAsia="Times New Roman" w:hAnsi="Times New Roman"/>
                <w:sz w:val="32"/>
                <w:szCs w:val="32"/>
                <w:color w:val="0000FF"/>
                <w:w w:val="84"/>
                <w:vertAlign w:val="subscript"/>
              </w:rPr>
              <w:t>BV</w:t>
            </w:r>
            <w:r>
              <w:rPr>
                <w:rFonts w:ascii="Times New Roman" w:cs="Times New Roman" w:eastAsia="Times New Roman" w:hAnsi="Times New Roman"/>
                <w:sz w:val="11"/>
                <w:szCs w:val="11"/>
                <w:color w:val="008000"/>
                <w:w w:val="84"/>
              </w:rPr>
              <w:t>(3)</w:t>
            </w: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66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38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Form:</w:t>
            </w:r>
          </w:p>
        </w:tc>
        <w:tc>
          <w:tcPr>
            <w:tcW w:w="38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Owned</w:t>
            </w:r>
          </w:p>
        </w:tc>
        <w:tc>
          <w:tcPr>
            <w:tcW w:w="50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jc w:val="right"/>
              <w:ind w:right="78"/>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80" w:type="dxa"/>
            <w:vAlign w:val="bottom"/>
          </w:tcPr>
          <w:p>
            <w:pPr>
              <w:spacing w:after="0"/>
              <w:rPr>
                <w:sz w:val="14"/>
                <w:szCs w:val="14"/>
                <w:color w:val="auto"/>
              </w:rPr>
            </w:pP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represents a weighted average sale price for shares sold in multiple transactions on the reported date pursuant to a Rule 10b5-1 trading plan. The shares reported herein include shares of common stock acquired upon vesting of restricted stock units on various dates. The sales prices for the transactions ranged from $27.31 to $28.30. The reporting person undertakes to provide to the issuer, any security holder of the issuer, or the staff of the Securities and Exchange Commission, upon request,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represents a weighted average sale price for shares sold in multiple transactions on the reported date pursuant to a Rule 10b5-1 trading plan. The shares reported herein include shares of common stock acquired upon vesting of restricted stock units on various dates. The sales prices for the transactions ranged from $28.32 to $28.51. The reporting person undertakes to provide to the issuer, any security holder of the issuer, or the staff of the Securities and Exchange Commission, upon request,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Schoodif Management BV, an entity controlled by Mr. Modig.</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Marnus Nel, Attorney-in-</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04/10/2026</w:t>
            </w:r>
          </w:p>
        </w:tc>
        <w:tc>
          <w:tcPr>
            <w:tcW w:w="0" w:type="dxa"/>
            <w:vAlign w:val="bottom"/>
          </w:tcPr>
          <w:p>
            <w:pPr>
              <w:spacing w:after="0"/>
              <w:rPr>
                <w:sz w:val="1"/>
                <w:szCs w:val="1"/>
                <w:color w:val="auto"/>
              </w:rPr>
            </w:pPr>
          </w:p>
        </w:tc>
      </w:tr>
      <w:tr>
        <w:trPr>
          <w:trHeight w:val="87"/>
        </w:trPr>
        <w:tc>
          <w:tcPr>
            <w:tcW w:w="15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Berndt Modig</w:t>
            </w:r>
          </w:p>
        </w:tc>
        <w:tc>
          <w:tcPr>
            <w:tcW w:w="5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80" w:type="dxa"/>
            <w:vAlign w:val="bottom"/>
            <w:tcBorders>
              <w:bottom w:val="single" w:sz="8" w:color="auto"/>
            </w:tcBorders>
            <w:vMerge w:val="continue"/>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3072" TargetMode="External"/><Relationship Id="rId14" Type="http://schemas.openxmlformats.org/officeDocument/2006/relationships/hyperlink" Target="http://www.sec.gov/cgi-bin/browse-edgar?action=getcompany&amp;CIK=00018304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2026-04-10T12:44:53Z</dcterms:created>
  <dcterms:modified xsi:type="dcterms:W3CDTF">2026-04-10T12:44:53Z</dcterms:modified>
</cp:coreProperties>
</file>