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126365</wp:posOffset>
            </wp:positionV>
            <wp:extent cx="33261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7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171450</wp:posOffset>
            </wp:positionV>
            <wp:extent cx="332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REPORT OF FOREIGN PRIVATE ISSUER</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PURSUANT TO RULE 13A-16 OR 15D-16 UNDER</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month of May 2026</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140970</wp:posOffset>
            </wp:positionV>
            <wp:extent cx="33261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8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Pharvaris N.V.</w:t>
      </w:r>
    </w:p>
    <w:p>
      <w:pPr>
        <w:spacing w:after="0" w:line="23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158115</wp:posOffset>
            </wp:positionV>
            <wp:extent cx="33261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Emmy Noetherweg 2</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2333 BK Leiden</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The Netherlands</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(Address of principal executive office)</w:t>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1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30" w:lineRule="exact"/>
        <w:rPr>
          <w:sz w:val="24"/>
          <w:szCs w:val="24"/>
          <w:color w:val="auto"/>
        </w:rPr>
      </w:pPr>
    </w:p>
    <w:p>
      <w:pPr>
        <w:ind w:right="100"/>
        <w:spacing w:after="0" w:line="286" w:lineRule="auto"/>
        <w:rPr>
          <w:sz w:val="20"/>
          <w:szCs w:val="20"/>
          <w:color w:val="auto"/>
        </w:rPr>
      </w:pPr>
      <w:r>
        <w:rPr>
          <w:rFonts w:ascii="Arial" w:cs="Arial" w:eastAsia="Arial" w:hAnsi="Arial"/>
          <w:sz w:val="16"/>
          <w:szCs w:val="16"/>
          <w:color w:val="auto"/>
        </w:rPr>
        <w:t>Note: Regulation S-T Rule 101(b)(1) only permits the submission in paper of a Form 6-K if submitted solely to provide an attached annual report to security holders</w:t>
      </w:r>
    </w:p>
    <w:p>
      <w:pPr>
        <w:spacing w:after="0" w:line="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line="256" w:lineRule="auto"/>
        <w:rPr>
          <w:sz w:val="20"/>
          <w:szCs w:val="20"/>
          <w:color w:val="auto"/>
        </w:rPr>
      </w:pPr>
      <w:r>
        <w:rPr>
          <w:rFonts w:ascii="Arial" w:cs="Arial" w:eastAsia="Arial" w:hAnsi="Arial"/>
          <w:sz w:val="16"/>
          <w:szCs w:val="16"/>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PHARVARIS N.V.</w:t>
      </w:r>
    </w:p>
    <w:p>
      <w:pPr>
        <w:spacing w:after="0" w:line="200" w:lineRule="exact"/>
        <w:rPr>
          <w:sz w:val="20"/>
          <w:szCs w:val="20"/>
          <w:color w:val="auto"/>
        </w:rPr>
      </w:pP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 May 12, 2026, Pharvaris N.V. issued a press release reporting financial results and other business updates for the three months ended March 31, 2026. A copy of the press release is attached hereto as Exhibit 99.1 and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Exhibits 99.2 and 99.3 to this Report on Form 6-K shall be deemed to be incorporated by reference into the registration statements on Form F-3 (Registration Number 333-273757, 333-277705 and 333-278650) and Form S-8 (Registration Number 333-252897) of Pharvaris N.V.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1654175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40" w:type="dxa"/>
            <w:vAlign w:val="bottom"/>
            <w:gridSpan w:val="3"/>
          </w:tcPr>
          <w:p>
            <w:pPr>
              <w:ind w:left="23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8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1"/>
                <w:szCs w:val="21"/>
                <w:color w:val="auto"/>
              </w:rPr>
            </w:pPr>
          </w:p>
        </w:tc>
        <w:tc>
          <w:tcPr>
            <w:tcW w:w="101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2"/>
        </w:trPr>
        <w:tc>
          <w:tcPr>
            <w:tcW w:w="320" w:type="dxa"/>
            <w:vAlign w:val="bottom"/>
            <w:tcBorders>
              <w:bottom w:val="single" w:sz="8" w:color="0000FF"/>
            </w:tcBorders>
          </w:tcPr>
          <w:p>
            <w:pPr>
              <w:spacing w:after="0" w:line="142" w:lineRule="exact"/>
              <w:rPr>
                <w:sz w:val="20"/>
                <w:szCs w:val="20"/>
                <w:color w:val="auto"/>
              </w:rPr>
            </w:pPr>
            <w:r>
              <w:rPr>
                <w:rFonts w:ascii="Arial" w:cs="Arial" w:eastAsia="Arial" w:hAnsi="Arial"/>
                <w:sz w:val="16"/>
                <w:szCs w:val="16"/>
                <w:color w:val="0000FF"/>
                <w:w w:val="96"/>
              </w:rPr>
              <w:t>99.</w:t>
            </w:r>
            <w:r>
              <w:rPr>
                <w:rFonts w:ascii="Arial" w:cs="Arial" w:eastAsia="Arial" w:hAnsi="Arial"/>
                <w:sz w:val="16"/>
                <w:szCs w:val="16"/>
                <w:u w:val="single" w:color="auto"/>
                <w:color w:val="0000FF"/>
                <w:w w:val="96"/>
              </w:rPr>
              <w:t>1</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0" w:type="dxa"/>
            <w:vAlign w:val="bottom"/>
            <w:tcBorders>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Press Release, dated May 12, 2026, (Financial results).</w:t>
            </w:r>
          </w:p>
        </w:tc>
        <w:tc>
          <w:tcPr>
            <w:tcW w:w="6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20" w:type="dxa"/>
            <w:vAlign w:val="bottom"/>
          </w:tcPr>
          <w:p>
            <w:pPr>
              <w:spacing w:after="0" w:line="162" w:lineRule="exact"/>
              <w:rPr>
                <w:sz w:val="20"/>
                <w:szCs w:val="20"/>
                <w:color w:val="auto"/>
              </w:rPr>
            </w:pPr>
            <w:r>
              <w:rPr>
                <w:rFonts w:ascii="Arial" w:cs="Arial" w:eastAsia="Arial" w:hAnsi="Arial"/>
                <w:sz w:val="16"/>
                <w:szCs w:val="16"/>
                <w:color w:val="0000FF"/>
                <w:w w:val="96"/>
              </w:rPr>
              <w:t>99.</w:t>
            </w:r>
            <w:r>
              <w:rPr>
                <w:rFonts w:ascii="Arial" w:cs="Arial" w:eastAsia="Arial" w:hAnsi="Arial"/>
                <w:sz w:val="16"/>
                <w:szCs w:val="16"/>
                <w:u w:val="single" w:color="auto"/>
                <w:color w:val="0000FF"/>
                <w:w w:val="96"/>
              </w:rPr>
              <w:t>2</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100" w:type="dxa"/>
            <w:vAlign w:val="bottom"/>
            <w:gridSpan w:val="5"/>
          </w:tcPr>
          <w:p>
            <w:pPr>
              <w:spacing w:after="0" w:line="162" w:lineRule="exact"/>
              <w:rPr>
                <w:sz w:val="20"/>
                <w:szCs w:val="20"/>
                <w:color w:val="auto"/>
              </w:rPr>
            </w:pPr>
            <w:r>
              <w:rPr>
                <w:rFonts w:ascii="Arial" w:cs="Arial" w:eastAsia="Arial" w:hAnsi="Arial"/>
                <w:sz w:val="16"/>
                <w:szCs w:val="16"/>
                <w:color w:val="0000FF"/>
              </w:rPr>
              <w:t>Management’s Discussion and Analysis of Financial Condition and Results of Operations as of and for the Three Months Ended March 31,</w:t>
            </w:r>
          </w:p>
        </w:tc>
        <w:tc>
          <w:tcPr>
            <w:tcW w:w="0" w:type="dxa"/>
            <w:vAlign w:val="bottom"/>
          </w:tcPr>
          <w:p>
            <w:pPr>
              <w:spacing w:after="0"/>
              <w:rPr>
                <w:sz w:val="1"/>
                <w:szCs w:val="1"/>
                <w:color w:val="auto"/>
              </w:rPr>
            </w:pPr>
          </w:p>
        </w:tc>
      </w:tr>
      <w:tr>
        <w:trPr>
          <w:trHeight w:val="169"/>
        </w:trPr>
        <w:tc>
          <w:tcPr>
            <w:tcW w:w="320" w:type="dxa"/>
            <w:vAlign w:val="bottom"/>
            <w:tcBorders>
              <w:top w:val="single" w:sz="8" w:color="0000FF"/>
            </w:tcBorders>
            <w:vMerge w:val="restart"/>
          </w:tcPr>
          <w:p>
            <w:pPr>
              <w:spacing w:after="0"/>
              <w:rPr>
                <w:sz w:val="20"/>
                <w:szCs w:val="20"/>
                <w:color w:val="auto"/>
              </w:rPr>
            </w:pPr>
            <w:r>
              <w:rPr>
                <w:rFonts w:ascii="Arial" w:cs="Arial" w:eastAsia="Arial" w:hAnsi="Arial"/>
                <w:sz w:val="16"/>
                <w:szCs w:val="16"/>
                <w:color w:val="0000FF"/>
                <w:w w:val="96"/>
              </w:rPr>
              <w:t>99.</w:t>
            </w:r>
            <w:r>
              <w:rPr>
                <w:rFonts w:ascii="Arial" w:cs="Arial" w:eastAsia="Arial" w:hAnsi="Arial"/>
                <w:sz w:val="16"/>
                <w:szCs w:val="16"/>
                <w:u w:val="single" w:color="auto"/>
                <w:color w:val="0000FF"/>
                <w:w w:val="96"/>
              </w:rPr>
              <w:t>3</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6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2026 and 2025.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Borders>
              <w:bottom w:val="single" w:sz="8" w:color="0000FF"/>
            </w:tcBorders>
            <w:vMerge w:val="continue"/>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100" w:type="dxa"/>
            <w:vAlign w:val="bottom"/>
            <w:tcBorders>
              <w:bottom w:val="single" w:sz="8" w:color="0000FF"/>
            </w:tcBorders>
            <w:gridSpan w:val="5"/>
          </w:tcPr>
          <w:p>
            <w:pPr>
              <w:spacing w:after="0" w:line="169" w:lineRule="exact"/>
              <w:rPr>
                <w:sz w:val="20"/>
                <w:szCs w:val="20"/>
                <w:color w:val="auto"/>
              </w:rPr>
            </w:pPr>
            <w:r>
              <w:rPr>
                <w:rFonts w:ascii="Arial" w:cs="Arial" w:eastAsia="Arial" w:hAnsi="Arial"/>
                <w:sz w:val="16"/>
                <w:szCs w:val="16"/>
                <w:color w:val="0000FF"/>
              </w:rPr>
              <w:t>Unaudited Condensed Consolidated Interim Financial Statements as of and for the Three Months Ended March 31, 2026 and 2025 and as of</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100" w:type="dxa"/>
            <w:vAlign w:val="bottom"/>
            <w:gridSpan w:val="5"/>
          </w:tcPr>
          <w:p>
            <w:pPr>
              <w:spacing w:after="0" w:line="169" w:lineRule="exact"/>
              <w:rPr>
                <w:sz w:val="20"/>
                <w:szCs w:val="20"/>
                <w:color w:val="auto"/>
              </w:rPr>
            </w:pPr>
            <w:r>
              <w:rPr>
                <w:rFonts w:ascii="Arial" w:cs="Arial" w:eastAsia="Arial" w:hAnsi="Arial"/>
                <w:sz w:val="16"/>
                <w:szCs w:val="16"/>
                <w:color w:val="0000FF"/>
              </w:rPr>
              <w:t>December 31, 2025.</w:t>
            </w:r>
          </w:p>
        </w:tc>
        <w:tc>
          <w:tcPr>
            <w:tcW w:w="0" w:type="dxa"/>
            <w:vAlign w:val="bottom"/>
          </w:tcPr>
          <w:p>
            <w:pPr>
              <w:spacing w:after="0"/>
              <w:rPr>
                <w:sz w:val="1"/>
                <w:szCs w:val="1"/>
                <w:color w:val="auto"/>
              </w:rPr>
            </w:pPr>
          </w:p>
        </w:tc>
      </w:tr>
      <w:tr>
        <w:trPr>
          <w:trHeight w:val="1634"/>
        </w:trPr>
        <w:tc>
          <w:tcPr>
            <w:tcW w:w="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520" w:type="dxa"/>
            <w:vAlign w:val="bottom"/>
          </w:tcPr>
          <w:p>
            <w:pPr>
              <w:spacing w:after="0"/>
              <w:rPr>
                <w:sz w:val="21"/>
                <w:szCs w:val="21"/>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b w:val="1"/>
                <w:bCs w:val="1"/>
                <w:color w:val="auto"/>
              </w:rPr>
              <w:t>PHARVARIS N.V.</w:t>
            </w:r>
          </w:p>
        </w:tc>
      </w:tr>
      <w:tr>
        <w:trPr>
          <w:trHeight w:val="360"/>
        </w:trPr>
        <w:tc>
          <w:tcPr>
            <w:tcW w:w="3520" w:type="dxa"/>
            <w:vAlign w:val="bottom"/>
          </w:tcPr>
          <w:p>
            <w:pPr>
              <w:spacing w:after="0"/>
              <w:rPr>
                <w:sz w:val="20"/>
                <w:szCs w:val="20"/>
                <w:color w:val="auto"/>
              </w:rPr>
            </w:pPr>
            <w:r>
              <w:rPr>
                <w:rFonts w:ascii="Arial" w:cs="Arial" w:eastAsia="Arial" w:hAnsi="Arial"/>
                <w:sz w:val="16"/>
                <w:szCs w:val="16"/>
                <w:color w:val="auto"/>
              </w:rPr>
              <w:t>Date: May 12, 2026</w:t>
            </w:r>
          </w:p>
        </w:tc>
        <w:tc>
          <w:tcPr>
            <w:tcW w:w="2840" w:type="dxa"/>
            <w:vAlign w:val="bottom"/>
          </w:tcPr>
          <w:p>
            <w:pPr>
              <w:ind w:left="2120"/>
              <w:spacing w:after="0"/>
              <w:rPr>
                <w:sz w:val="20"/>
                <w:szCs w:val="20"/>
                <w:color w:val="auto"/>
              </w:rPr>
            </w:pPr>
            <w:r>
              <w:rPr>
                <w:rFonts w:ascii="Arial" w:cs="Arial" w:eastAsia="Arial" w:hAnsi="Arial"/>
                <w:sz w:val="16"/>
                <w:szCs w:val="16"/>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Berndt Modig</w:t>
            </w:r>
          </w:p>
        </w:tc>
      </w:tr>
      <w:tr>
        <w:trPr>
          <w:trHeight w:val="175"/>
        </w:trPr>
        <w:tc>
          <w:tcPr>
            <w:tcW w:w="3520" w:type="dxa"/>
            <w:vAlign w:val="bottom"/>
          </w:tcPr>
          <w:p>
            <w:pPr>
              <w:spacing w:after="0"/>
              <w:rPr>
                <w:sz w:val="15"/>
                <w:szCs w:val="15"/>
                <w:color w:val="auto"/>
              </w:rPr>
            </w:pPr>
          </w:p>
        </w:tc>
        <w:tc>
          <w:tcPr>
            <w:tcW w:w="2840" w:type="dxa"/>
            <w:vAlign w:val="bottom"/>
          </w:tcPr>
          <w:p>
            <w:pPr>
              <w:ind w:left="2120"/>
              <w:spacing w:after="0" w:line="175" w:lineRule="exact"/>
              <w:rPr>
                <w:sz w:val="20"/>
                <w:szCs w:val="20"/>
                <w:color w:val="auto"/>
              </w:rPr>
            </w:pPr>
            <w:r>
              <w:rPr>
                <w:rFonts w:ascii="Arial" w:cs="Arial" w:eastAsia="Arial" w:hAnsi="Arial"/>
                <w:sz w:val="16"/>
                <w:szCs w:val="16"/>
                <w:color w:val="auto"/>
              </w:rPr>
              <w:t>Name:</w:t>
            </w:r>
          </w:p>
        </w:tc>
        <w:tc>
          <w:tcPr>
            <w:tcW w:w="4880" w:type="dxa"/>
            <w:vAlign w:val="bottom"/>
          </w:tcPr>
          <w:p>
            <w:pPr>
              <w:spacing w:after="0" w:line="175" w:lineRule="exact"/>
              <w:rPr>
                <w:sz w:val="20"/>
                <w:szCs w:val="20"/>
                <w:color w:val="auto"/>
              </w:rPr>
            </w:pPr>
            <w:r>
              <w:rPr>
                <w:rFonts w:ascii="Arial" w:cs="Arial" w:eastAsia="Arial" w:hAnsi="Arial"/>
                <w:sz w:val="16"/>
                <w:szCs w:val="16"/>
                <w:color w:val="auto"/>
              </w:rPr>
              <w:t>Berndt Modig</w:t>
            </w:r>
          </w:p>
        </w:tc>
      </w:tr>
      <w:tr>
        <w:trPr>
          <w:trHeight w:val="215"/>
        </w:trPr>
        <w:tc>
          <w:tcPr>
            <w:tcW w:w="3520" w:type="dxa"/>
            <w:vAlign w:val="bottom"/>
          </w:tcPr>
          <w:p>
            <w:pPr>
              <w:spacing w:after="0"/>
              <w:rPr>
                <w:sz w:val="18"/>
                <w:szCs w:val="18"/>
                <w:color w:val="auto"/>
              </w:rPr>
            </w:pPr>
          </w:p>
        </w:tc>
        <w:tc>
          <w:tcPr>
            <w:tcW w:w="2840" w:type="dxa"/>
            <w:vAlign w:val="bottom"/>
          </w:tcPr>
          <w:p>
            <w:pPr>
              <w:ind w:left="2120"/>
              <w:spacing w:after="0"/>
              <w:rPr>
                <w:sz w:val="20"/>
                <w:szCs w:val="20"/>
                <w:color w:val="auto"/>
              </w:rPr>
            </w:pPr>
            <w:r>
              <w:rPr>
                <w:rFonts w:ascii="Arial" w:cs="Arial" w:eastAsia="Arial" w:hAnsi="Arial"/>
                <w:sz w:val="16"/>
                <w:szCs w:val="16"/>
                <w:color w:val="auto"/>
              </w:rPr>
              <w:t>Title:</w:t>
            </w:r>
          </w:p>
        </w:tc>
        <w:tc>
          <w:tcPr>
            <w:tcW w:w="488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1616"/>
        </w:trPr>
        <w:tc>
          <w:tcPr>
            <w:tcW w:w="35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4348480</wp:posOffset>
            </wp:positionH>
            <wp:positionV relativeFrom="page">
              <wp:posOffset>500380</wp:posOffset>
            </wp:positionV>
            <wp:extent cx="2991485"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991485" cy="44577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Pharvaris Reports First Quarter 2026 Financial Results and Provides Business Update</w:t>
      </w:r>
    </w:p>
    <w:p>
      <w:pPr>
        <w:spacing w:after="0" w:line="284" w:lineRule="exact"/>
        <w:rPr>
          <w:sz w:val="20"/>
          <w:szCs w:val="20"/>
          <w:color w:val="auto"/>
        </w:rPr>
      </w:pPr>
    </w:p>
    <w:p>
      <w:pPr>
        <w:ind w:left="760" w:right="560" w:hanging="378"/>
        <w:spacing w:after="0" w:line="250"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data from CHAPTER-3, a pivotal Phase 3 study of deucrictibant XR for the prophylaxis of HAE attacks, expected in 3Q2026</w:t>
      </w:r>
    </w:p>
    <w:p>
      <w:pPr>
        <w:spacing w:after="0" w:line="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Timeline for submission of NDA of deucrictibant IR for the on-demand treatment of HAE attacks remains on-track in 1H2026</w:t>
      </w:r>
    </w:p>
    <w:p>
      <w:pPr>
        <w:ind w:left="760" w:right="160" w:hanging="378"/>
        <w:spacing w:after="0" w:line="23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Enrollment ongoing in CREAATE, a pivotal study of deucrictibant for the prophylactic and on-demand treatment of AAE-C1INH attacks</w:t>
      </w:r>
    </w:p>
    <w:p>
      <w:pPr>
        <w:ind w:left="760" w:right="100" w:hanging="378"/>
        <w:spacing w:after="0" w:line="246"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 cash equivalents of €247 million as of March 31, 2026; subsequent closing of $132 million underwritten offering extends cash runway into 2028</w:t>
      </w:r>
    </w:p>
    <w:p>
      <w:pPr>
        <w:spacing w:after="0" w:line="19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ZUG, Switzerland, May 12, 2026 – Pharvaris (Nasdaq: PHVS), a late-stage biopharmaceutical company developing novel, oral bradykinin B2 receptor antagonists to help address unmet needs of those living with bradykinin-mediated diseases such as hereditary angioedema (HAE) and acquired angioedema due to C1 inhibitor deficiency (AAE-C1INH), today announced financial results for the first quarter ended in March 31, 2026, and provided a business update.</w:t>
      </w:r>
    </w:p>
    <w:p>
      <w:pPr>
        <w:spacing w:after="0" w:line="18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“In 2026, Pharvaris remains focused on execution across our late-stage programs, including reporting CHAPTER-3 data in the third quarter and enrolling in CREAATE, and on establishing our commercial infrastructure in preparation for the potential launch of deucrictibant IR,” </w:t>
      </w:r>
      <w:r>
        <w:rPr>
          <w:rFonts w:ascii="Times New Roman" w:cs="Times New Roman" w:eastAsia="Times New Roman" w:hAnsi="Times New Roman"/>
          <w:sz w:val="20"/>
          <w:szCs w:val="20"/>
          <w:color w:val="auto"/>
        </w:rPr>
        <w:t>said Berndt Modig, Chief Executive Officer of Pharvaris.</w:t>
      </w:r>
      <w:r>
        <w:rPr>
          <w:rFonts w:ascii="Times New Roman" w:cs="Times New Roman" w:eastAsia="Times New Roman" w:hAnsi="Times New Roman"/>
          <w:sz w:val="20"/>
          <w:szCs w:val="20"/>
          <w:i w:val="1"/>
          <w:iCs w:val="1"/>
          <w:color w:val="auto"/>
        </w:rPr>
        <w:t xml:space="preserve"> “The growing published scientific evidence of deucrictibant’s potential as an end-to-end portfolio solution for bradykinin-mediated angioedema care supports our clinical, regulatory, and commercial strategies. Supported by the upsized and oversubscribed raise of approximately $132 million, our team is maintaining a disciplined approach to capital allocation that prioritizes the success of deucrictibant.”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Business Updated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Development Pipeline</w:t>
      </w:r>
    </w:p>
    <w:p>
      <w:pPr>
        <w:ind w:left="760" w:right="180" w:hanging="378"/>
        <w:spacing w:after="0" w:line="24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Topline data from CHAPTER-3 (NCT06669754) anticipated 3Q2026. </w:t>
      </w:r>
      <w:r>
        <w:rPr>
          <w:rFonts w:ascii="Times New Roman" w:cs="Times New Roman" w:eastAsia="Times New Roman" w:hAnsi="Times New Roman"/>
          <w:sz w:val="20"/>
          <w:szCs w:val="20"/>
          <w:color w:val="auto"/>
        </w:rPr>
        <w:t>CHAPTER-3 is a randomized, double-blind, placebo-controlled Phase 3 study of orally administered deucrictibant extended-release (XR) tablet for the prophylaxis against angioedema attacks in adults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left="760" w:right="20"/>
        <w:spacing w:after="0" w:line="247" w:lineRule="auto"/>
        <w:rPr>
          <w:sz w:val="20"/>
          <w:szCs w:val="20"/>
          <w:color w:val="auto"/>
        </w:rPr>
      </w:pPr>
      <w:r>
        <w:rPr>
          <w:rFonts w:ascii="Times New Roman" w:cs="Times New Roman" w:eastAsia="Times New Roman" w:hAnsi="Times New Roman"/>
          <w:sz w:val="20"/>
          <w:szCs w:val="20"/>
          <w:color w:val="auto"/>
        </w:rPr>
        <w:t>adolescents (12 years and older) with HAE. Approximately 81 participants were enrolled and randomized in a 2:1 ratio to receive deucrictibant XR (40 mg), which is the intended commercial formulation, or placebo, once daily for 24 weeks. Pharvaris anticipates announcing topline data from CHAPTER-3 in the third quarter of 2026.</w:t>
      </w:r>
    </w:p>
    <w:p>
      <w:pPr>
        <w:ind w:left="760" w:hanging="378"/>
        <w:spacing w:after="0" w:line="239"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Enrollment in CHAPTER-4 (NCT06679881) progressing as planned. </w:t>
      </w:r>
      <w:r>
        <w:rPr>
          <w:rFonts w:ascii="Times New Roman" w:cs="Times New Roman" w:eastAsia="Times New Roman" w:hAnsi="Times New Roman"/>
          <w:sz w:val="20"/>
          <w:szCs w:val="20"/>
          <w:color w:val="auto"/>
        </w:rPr>
        <w:t>CHAPTER-4 is a long-term, open-label extension study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orally administered deucrictibant XR for the prophylactic treatment of HAE attacks. The goal of the study is to evaluate the long-term safety and effectiveness of deucrictibant XR in the prophylactic treatment of HAE attacks.</w:t>
      </w:r>
    </w:p>
    <w:p>
      <w:pPr>
        <w:spacing w:after="0" w:line="1" w:lineRule="exact"/>
        <w:rPr>
          <w:rFonts w:ascii="Times New Roman" w:cs="Times New Roman" w:eastAsia="Times New Roman" w:hAnsi="Times New Roman"/>
          <w:sz w:val="18"/>
          <w:szCs w:val="18"/>
          <w:color w:val="auto"/>
        </w:rPr>
      </w:pPr>
    </w:p>
    <w:p>
      <w:pPr>
        <w:ind w:left="760" w:right="120" w:hanging="378"/>
        <w:spacing w:after="0" w:line="239"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Submission of New Drug Application (NDA) of deucrictibant immediate release (IR) capsule for the on-demand treatment of HAE attacks remains on-track for 1H2026. </w:t>
      </w:r>
      <w:r>
        <w:rPr>
          <w:rFonts w:ascii="Times New Roman" w:cs="Times New Roman" w:eastAsia="Times New Roman" w:hAnsi="Times New Roman"/>
          <w:sz w:val="20"/>
          <w:szCs w:val="20"/>
          <w:color w:val="auto"/>
        </w:rPr>
        <w:t>Data from the pivotal, randomized, placebo-controlled Phase 3 study, RAPIDe-3,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long-term extension study, RAPIDe-2, will serve as the basis for the NDA of deucrictibant IR, which is on-track for submission to the U.S. Food and Drug Administration (FDA) in the first half of 2026.</w:t>
      </w:r>
    </w:p>
    <w:p>
      <w:pPr>
        <w:spacing w:after="0" w:line="1" w:lineRule="exact"/>
        <w:rPr>
          <w:rFonts w:ascii="Times New Roman" w:cs="Times New Roman" w:eastAsia="Times New Roman" w:hAnsi="Times New Roman"/>
          <w:sz w:val="18"/>
          <w:szCs w:val="18"/>
          <w:color w:val="auto"/>
        </w:rPr>
      </w:pPr>
    </w:p>
    <w:p>
      <w:pPr>
        <w:ind w:left="760" w:right="340" w:hanging="378"/>
        <w:spacing w:after="0" w:line="239"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Enrollment in CREAATE (NCT07266805) progressing as planned. </w:t>
      </w:r>
      <w:r>
        <w:rPr>
          <w:rFonts w:ascii="Times New Roman" w:cs="Times New Roman" w:eastAsia="Times New Roman" w:hAnsi="Times New Roman"/>
          <w:sz w:val="20"/>
          <w:szCs w:val="20"/>
          <w:color w:val="auto"/>
        </w:rPr>
        <w:t>CREAATE is a global, pivotal Phase 3 study evaluating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orally administered deucrictibant for the prophylactic and on-demand treatment of AAE-C1INH attacks.</w:t>
      </w:r>
    </w:p>
    <w:p>
      <w:pPr>
        <w:ind w:left="760" w:right="8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Recent data publications and presentations report evidence on the potential for combined use of bradykinin B2 receptor antagonism for both prophylactic and on-demand treatment of HAE attacks. </w:t>
      </w:r>
      <w:r>
        <w:rPr>
          <w:rFonts w:ascii="Times New Roman" w:cs="Times New Roman" w:eastAsia="Times New Roman" w:hAnsi="Times New Roman"/>
          <w:sz w:val="20"/>
          <w:szCs w:val="20"/>
          <w:color w:val="auto"/>
        </w:rPr>
        <w:t>Evidence supporting the use of deucrictibant 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as an on-demand treatment in the event of a breakthrough attack in combination with deucrictibant XR as a prophylactic treatment were recently presented at the CIIC Spring 2026 Conference. Results from the Phase 2 randomized, placebo-controlled clinical studies CHAPTER-1 and RAPIDe-1 provided evidence of bradykinin B2 receptor antagonism as both prophylactic and on-demand treatment options, respectively, for those living with HAE, supporting further development of deucrictibant for both indications in Phase 3 studies, and were also recently published back-to-back in </w:t>
      </w:r>
      <w:r>
        <w:rPr>
          <w:rFonts w:ascii="Times New Roman" w:cs="Times New Roman" w:eastAsia="Times New Roman" w:hAnsi="Times New Roman"/>
          <w:sz w:val="20"/>
          <w:szCs w:val="20"/>
          <w:i w:val="1"/>
          <w:iCs w:val="1"/>
          <w:color w:val="auto"/>
        </w:rPr>
        <w:t>The Lancet Heamatology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Corporate</w:t>
      </w:r>
    </w:p>
    <w:p>
      <w:pPr>
        <w:spacing w:after="0" w:line="26" w:lineRule="exact"/>
        <w:rPr>
          <w:sz w:val="20"/>
          <w:szCs w:val="20"/>
          <w:color w:val="auto"/>
        </w:rPr>
      </w:pPr>
    </w:p>
    <w:p>
      <w:pPr>
        <w:ind w:left="760" w:right="60" w:hanging="378"/>
        <w:spacing w:after="0" w:line="241"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Closing of $132 million underwritten offering extends cash runway. </w:t>
      </w:r>
      <w:r>
        <w:rPr>
          <w:rFonts w:ascii="Times New Roman" w:cs="Times New Roman" w:eastAsia="Times New Roman" w:hAnsi="Times New Roman"/>
          <w:sz w:val="20"/>
          <w:szCs w:val="20"/>
          <w:color w:val="auto"/>
        </w:rPr>
        <w:t>The proceeds from the offering of $132.3 million of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be used to fund research and development expenses for Pharvaris’ late-stage clinical programs, the expansion of a sales and marketing team in the U.S., and related commercialization expenses, as well as for working capital and general corporate purposes. Pharvaris remains diligent in its operational management and expects to have a cash runway into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 w:name="page7"/>
    <w:bookmarkEnd w:id="6"/>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Upcoming Investor Events</w:t>
      </w:r>
    </w:p>
    <w:p>
      <w:pPr>
        <w:spacing w:after="0" w:line="25"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BofA Securities Health Care Conference 2026. </w:t>
      </w:r>
      <w:r>
        <w:rPr>
          <w:rFonts w:ascii="Times New Roman" w:cs="Times New Roman" w:eastAsia="Times New Roman" w:hAnsi="Times New Roman"/>
          <w:sz w:val="20"/>
          <w:szCs w:val="20"/>
          <w:color w:val="auto"/>
        </w:rPr>
        <w:t>Las Vegas, NV, May 12-14, 2026.</w:t>
      </w:r>
    </w:p>
    <w:p>
      <w:pPr>
        <w:ind w:left="1500" w:hanging="369"/>
        <w:spacing w:after="0"/>
        <w:tabs>
          <w:tab w:leader="none" w:pos="15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Format: </w:t>
      </w:r>
      <w:r>
        <w:rPr>
          <w:rFonts w:ascii="Times New Roman" w:cs="Times New Roman" w:eastAsia="Times New Roman" w:hAnsi="Times New Roman"/>
          <w:sz w:val="20"/>
          <w:szCs w:val="20"/>
          <w:color w:val="auto"/>
        </w:rPr>
        <w:t>Fireside Chat</w:t>
      </w: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Date, time: </w:t>
      </w:r>
      <w:r>
        <w:rPr>
          <w:rFonts w:ascii="Times New Roman" w:cs="Times New Roman" w:eastAsia="Times New Roman" w:hAnsi="Times New Roman"/>
          <w:sz w:val="20"/>
          <w:szCs w:val="20"/>
          <w:color w:val="auto"/>
        </w:rPr>
        <w:t>Wednesday, May 13, 8:40 a.m. PDT (11:40 a.m. EDT)</w:t>
      </w: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2026 RBC Capital Markets Global Healthcare Conference. </w:t>
      </w:r>
      <w:r>
        <w:rPr>
          <w:rFonts w:ascii="Times New Roman" w:cs="Times New Roman" w:eastAsia="Times New Roman" w:hAnsi="Times New Roman"/>
          <w:sz w:val="20"/>
          <w:szCs w:val="20"/>
          <w:color w:val="auto"/>
        </w:rPr>
        <w:t>New York, NY, May 19-20, 2026.</w:t>
      </w:r>
    </w:p>
    <w:p>
      <w:pPr>
        <w:ind w:left="1500" w:hanging="369"/>
        <w:spacing w:after="0"/>
        <w:tabs>
          <w:tab w:leader="none" w:pos="15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Format: </w:t>
      </w:r>
      <w:r>
        <w:rPr>
          <w:rFonts w:ascii="Times New Roman" w:cs="Times New Roman" w:eastAsia="Times New Roman" w:hAnsi="Times New Roman"/>
          <w:sz w:val="20"/>
          <w:szCs w:val="20"/>
          <w:color w:val="auto"/>
        </w:rPr>
        <w:t>Fireside Chat</w:t>
      </w: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Date, time: </w:t>
      </w:r>
      <w:r>
        <w:rPr>
          <w:rFonts w:ascii="Times New Roman" w:cs="Times New Roman" w:eastAsia="Times New Roman" w:hAnsi="Times New Roman"/>
          <w:sz w:val="20"/>
          <w:szCs w:val="20"/>
          <w:color w:val="auto"/>
        </w:rPr>
        <w:t>Wednesday, May 20, 11:00 a.m. EDT</w:t>
      </w:r>
    </w:p>
    <w:p>
      <w:pPr>
        <w:spacing w:after="0"/>
        <w:rPr>
          <w:sz w:val="20"/>
          <w:szCs w:val="20"/>
          <w:color w:val="auto"/>
        </w:rPr>
      </w:pPr>
      <w:r>
        <w:rPr>
          <w:rFonts w:ascii="Times New Roman" w:cs="Times New Roman" w:eastAsia="Times New Roman" w:hAnsi="Times New Roman"/>
          <w:sz w:val="20"/>
          <w:szCs w:val="20"/>
          <w:i w:val="1"/>
          <w:iCs w:val="1"/>
          <w:color w:val="auto"/>
        </w:rPr>
        <w:t>Financials</w:t>
      </w:r>
    </w:p>
    <w:p>
      <w:pPr>
        <w:spacing w:after="0"/>
        <w:rPr>
          <w:sz w:val="20"/>
          <w:szCs w:val="20"/>
          <w:color w:val="auto"/>
        </w:rPr>
      </w:pPr>
      <w:r>
        <w:rPr>
          <w:rFonts w:ascii="Times New Roman" w:cs="Times New Roman" w:eastAsia="Times New Roman" w:hAnsi="Times New Roman"/>
          <w:sz w:val="20"/>
          <w:szCs w:val="20"/>
          <w:b w:val="1"/>
          <w:bCs w:val="1"/>
          <w:color w:val="auto"/>
        </w:rPr>
        <w:t>First Quarter 2026 Financial Results</w:t>
      </w:r>
    </w:p>
    <w:p>
      <w:pPr>
        <w:ind w:left="760" w:right="320" w:hanging="378"/>
        <w:spacing w:after="0" w:line="239" w:lineRule="auto"/>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 xml:space="preserve">Liquidity Position. </w:t>
      </w:r>
      <w:r>
        <w:rPr>
          <w:rFonts w:ascii="Times New Roman" w:cs="Times New Roman" w:eastAsia="Times New Roman" w:hAnsi="Times New Roman"/>
          <w:sz w:val="19"/>
          <w:szCs w:val="19"/>
          <w:color w:val="auto"/>
        </w:rPr>
        <w:t>Cash and cash equivalents were €247 million as of March 31, 2026, compared to €292 million for December 31,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2025.</w:t>
      </w:r>
    </w:p>
    <w:p>
      <w:pPr>
        <w:spacing w:after="0" w:line="1" w:lineRule="exact"/>
        <w:rPr>
          <w:rFonts w:ascii="Times New Roman" w:cs="Times New Roman" w:eastAsia="Times New Roman" w:hAnsi="Times New Roman"/>
          <w:sz w:val="20"/>
          <w:szCs w:val="20"/>
          <w:color w:val="auto"/>
        </w:rPr>
      </w:pPr>
    </w:p>
    <w:p>
      <w:pPr>
        <w:ind w:left="760" w:right="160" w:hanging="378"/>
        <w:spacing w:after="0" w:line="233" w:lineRule="auto"/>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 xml:space="preserve">Research and Development (R&amp;D) Expenses. </w:t>
      </w:r>
      <w:r>
        <w:rPr>
          <w:rFonts w:ascii="Times New Roman" w:cs="Times New Roman" w:eastAsia="Times New Roman" w:hAnsi="Times New Roman"/>
          <w:sz w:val="19"/>
          <w:szCs w:val="19"/>
          <w:color w:val="auto"/>
        </w:rPr>
        <w:t>R&amp;D expenses were €30.2 million for the quarter ended March 31, 2026, compared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€30.9 million for the quarter ended March 31, 2025.</w:t>
      </w:r>
    </w:p>
    <w:p>
      <w:pPr>
        <w:spacing w:after="0" w:line="1" w:lineRule="exact"/>
        <w:rPr>
          <w:rFonts w:ascii="Times New Roman" w:cs="Times New Roman" w:eastAsia="Times New Roman" w:hAnsi="Times New Roman"/>
          <w:sz w:val="20"/>
          <w:szCs w:val="20"/>
          <w:color w:val="auto"/>
        </w:rPr>
      </w:pPr>
    </w:p>
    <w:p>
      <w:pPr>
        <w:ind w:left="760" w:right="80" w:hanging="378"/>
        <w:spacing w:after="0" w:line="241" w:lineRule="auto"/>
        <w:tabs>
          <w:tab w:leader="none" w:pos="76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General and Administrative (G&amp;A) Expenses. </w:t>
      </w:r>
      <w:r>
        <w:rPr>
          <w:rFonts w:ascii="Times New Roman" w:cs="Times New Roman" w:eastAsia="Times New Roman" w:hAnsi="Times New Roman"/>
          <w:sz w:val="19"/>
          <w:szCs w:val="19"/>
          <w:color w:val="auto"/>
        </w:rPr>
        <w:t>G&amp;A expenses were €14.1 million for the quarter ended March 31, 2026, compared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€11.3 million for the quarter ended March 31, 2025.</w:t>
      </w:r>
    </w:p>
    <w:p>
      <w:pPr>
        <w:spacing w:after="0" w:line="1" w:lineRule="exact"/>
        <w:rPr>
          <w:rFonts w:ascii="Times New Roman" w:cs="Times New Roman" w:eastAsia="Times New Roman" w:hAnsi="Times New Roman"/>
          <w:sz w:val="19"/>
          <w:szCs w:val="19"/>
          <w:color w:val="auto"/>
        </w:rPr>
      </w:pPr>
    </w:p>
    <w:p>
      <w:pPr>
        <w:ind w:left="760" w:right="20" w:hanging="378"/>
        <w:spacing w:after="0" w:line="238" w:lineRule="auto"/>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 xml:space="preserve">Loss for the year. </w:t>
      </w:r>
      <w:r>
        <w:rPr>
          <w:rFonts w:ascii="Times New Roman" w:cs="Times New Roman" w:eastAsia="Times New Roman" w:hAnsi="Times New Roman"/>
          <w:sz w:val="19"/>
          <w:szCs w:val="19"/>
          <w:color w:val="auto"/>
        </w:rPr>
        <w:t>Loss for the first quarter was €39.2 million, resulting in basic and diluted loss per share of €0.60 for the quarter ended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March 31, 2026, compared to €46.3 million, or basic and diluted loss per share of €0.85, for the quarter ended March 31,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on International Financial Reporting Standards (IFRS)</w:t>
      </w:r>
    </w:p>
    <w:p>
      <w:pPr>
        <w:spacing w:after="0" w:line="2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Pharvaris is a Foreign Private Issuer and prepares and reports consolidated financial statements and financial information in accordance with IFRS as issued by the International Accounting Standards Board. Pharvaris maintains its books and records in the Euro currency.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Deucrictibant</w:t>
      </w:r>
    </w:p>
    <w:p>
      <w:pPr>
        <w:spacing w:after="0" w:line="26"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auto"/>
        </w:rPr>
        <w:t>Deucrictibant is a novel, potent, orally bioavailable small-molecule bradykinin B2 receptor antagonist currently in clinical development. Deucrictibant is being investigated for its potential to prevent the occurrence of bradykinin-mediated angioedema attacks and to treat the manifestations of attacks if/when they occur by inhibiting bradykinin signaling through the bradykinin B2 receptor. Pharvaris is developing two formulations of deucrictibant for oral administration: an extended-release tablet to enable sustained absorption and efficacy as prophylactic treatment, and an immediate-release capsule to enable rapid onset of activity for on-demand treatment. Deucrictibant has been granted orphan drug designation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auto"/>
        </w:rPr>
        <w:t>treatment of bradykinin-mediated angioedema by the U.S. Food and Drug Administration, the European Commission, and Swissmedic.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Pharvaris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Pharvaris is a late-stage biopharmaceutical company developing novel, oral bradykinin B2 receptor antagonists to help address unmet needs in bradykinin-mediated conditions, including all types of bradykinin-mediated angioedema. Pharvaris’ aspiration is to offer therapies with injectable-like efficacy™, a well-tolerated profile, and the convenience of oral administration to prevent and treat bradykinin-mediated angioedema attacks. By delivering on this aspiration, Pharvaris aims to provide a new standard of care in bradykinin-mediated angioedema. Pharvaris is preparing marketing authorization applications for deucrictibant immediate-release capsule as an on-demand treatment of HAE attacks, and a global pivotal Phase 3 study of deucrictibant extended-release tablet for the prevention of HAE attacks (CHAPTER-3) is ongoing with topline data anticipated in the third quarter of 2026. In addition, CREAATE is an ongoing Phase 3 study of deucrictibant for the prophylactic and on-demand treatment of AAE-C1INH attacks. For more information, visit https://pharvaris.com/.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“hope,”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the expected timing, progress, or success of our clinical development programs, especially for deucrictibant immediate-release capsules and deucrictibant extended-release tablets, which are in late-stage global clinical trials; our ability to replicate the efficacy and safety demonstrated in the RAPIDe-1, RAPIDe-2, RAPIDe-3, and CHAPTER-1 Phase 2 and Phase 3 studies in ongoing and future nonclinical studies and clinical trials, such as CHAPTER-3, and CREAATE; the timing and outcome of regulatory approvals, including the timing and outcome of our planned submission of an NDA with the FDA in the first half of 2026 for the on-demand treatment of acute attacks of HAE; risks arising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color w:val="auto"/>
        </w:rPr>
        <w:t>epidemic diseases, which may adversely impact our business, nonclinical studies, and clinical trials; our ability to potentially use deucrictibant for alternative purposes, for example to treat C1-INH deficiency (AAE-C1INH); the value of our ordinary shares; the timing, costs and other limitations involved in obtaining regulatory approval for our product candidates,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ability to produce sufficient amounts of drug product candidates for commercialization;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(including the Biosecure Act), our ability to maintain an effective system of internal control over financial reporting; changes and uncertainty in general market conditions; disruptions at the FDA and other agencies; changes and uncertainty in general market, political and economic conditions, including as a result of inflation and geopolitical conflicts; changes in regulations and customs, tariffs and trade barriers;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Maggie Beller</w:t>
      </w:r>
    </w:p>
    <w:p>
      <w:pPr>
        <w:spacing w:after="0"/>
        <w:rPr>
          <w:sz w:val="20"/>
          <w:szCs w:val="20"/>
          <w:color w:val="auto"/>
        </w:rPr>
      </w:pPr>
      <w:r>
        <w:rPr>
          <w:rFonts w:ascii="Times New Roman" w:cs="Times New Roman" w:eastAsia="Times New Roman" w:hAnsi="Times New Roman"/>
          <w:sz w:val="20"/>
          <w:szCs w:val="20"/>
          <w:color w:val="auto"/>
        </w:rPr>
        <w:t>Vice President, Head of Corporate and Investor Communications</w:t>
      </w:r>
    </w:p>
    <w:p>
      <w:pPr>
        <w:spacing w:after="0"/>
        <w:rPr>
          <w:sz w:val="20"/>
          <w:szCs w:val="20"/>
          <w:color w:val="auto"/>
        </w:rPr>
      </w:pPr>
      <w:r>
        <w:rPr>
          <w:rFonts w:ascii="Times New Roman" w:cs="Times New Roman" w:eastAsia="Times New Roman" w:hAnsi="Times New Roman"/>
          <w:sz w:val="20"/>
          <w:szCs w:val="20"/>
          <w:color w:val="auto"/>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13"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This management’s discussion and analysis is designed to provide you with a narrative explanation of our financial condition and results of operations. We recommend that you read this discussion together with our unaudited condensed consolidated interim financial statements, including the notes thereto, for the three months ended March 31, 2026 and 2025 included as Exhibit 99.3 to the Report on Form 6-K to which this discussion is attached as Exhibit</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99.2. We also recommend that you read “Item 4. Information on the Company”, “Item 5. Operating and Financial Review and Prospects” and our audited consolidated financial statements for fiscal year 2025, and the notes thereto, which appear in our Annual Report on Form 20-F for the year ended December 31, 2025 (the “Annual Report”) filed with the U.S. Securities and Exchange Commission (the “SEC”). In addition, we recommend that you read any public announcements made from time to time by Pharvaris N.V.</w:t>
      </w:r>
    </w:p>
    <w:p>
      <w:pPr>
        <w:spacing w:after="0" w:line="75"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The following discussion is based on our financial information prepared in accordance with the IFRS Accounting Standards (“IFRS”) as issued by the International Accounting Standards Board (the “IASB”), which may differ in material respects from generally accepted accounting principles in the United States and other jurisdictions. We maintain our books and records in euros. Unless otherwise indicated, all references to currency amounts in this discussion are in euros.</w:t>
      </w:r>
    </w:p>
    <w:p>
      <w:pPr>
        <w:spacing w:after="0" w:line="70"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in the Annual Report and under “Risk factors” in any other periodic filings with the Securities and Exchange Commission.</w:t>
      </w:r>
    </w:p>
    <w:p>
      <w:pPr>
        <w:spacing w:after="0" w:line="63" w:lineRule="exact"/>
        <w:rPr>
          <w:sz w:val="20"/>
          <w:szCs w:val="20"/>
          <w:color w:val="auto"/>
        </w:rPr>
      </w:pPr>
    </w:p>
    <w:p>
      <w:pPr>
        <w:ind w:right="160" w:firstLine="458"/>
        <w:spacing w:after="0" w:line="286" w:lineRule="auto"/>
        <w:rPr>
          <w:sz w:val="20"/>
          <w:szCs w:val="20"/>
          <w:color w:val="auto"/>
        </w:rPr>
      </w:pPr>
      <w:r>
        <w:rPr>
          <w:rFonts w:ascii="Arial" w:cs="Arial" w:eastAsia="Arial" w:hAnsi="Arial"/>
          <w:sz w:val="16"/>
          <w:szCs w:val="16"/>
          <w:color w:val="auto"/>
        </w:rPr>
        <w:t>Unless otherwise indicated or the context otherwise requires, all references to “Pharvaris” or the “Company,” “we,” “our,” “ours,” “us”, or similar terms refer to Pharvaris N.V. and its subsidiaries.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We are a late-stage biopharmaceutical company focused on the development and commercialization of innovative therapies for rare diseases with significant unmet need, initially focused on angioedema and other bradykinin-mediated diseases. Our first molecule, deucrictibant (previously referred to as PHA-022121 or PHA121), is a novel, oral, small-molecule bradykinin B2 receptor antagonist under development for the prevention or treatment of attacks due to bradykinin-mediated angioedema (AE-BK ), including hereditary angioedema (HAE) and acquired angioedema due to C1-inhibitor deficiency (AAE-C1INH). Deucrictibant has the potential to address unmet medical needs by bringing improvements beyond the therapeutic profile of existing medicines and providing patients with quality of life and convenience that is superior to current standard-of-care. We believe deucrictibant has the potential to provide injectable-like efficacy™ and placebo-like tolerability with the convenience of an oral therapy for both the prophylactic and on-demand treatment of HAE attacks.</w:t>
      </w:r>
    </w:p>
    <w:p>
      <w:pPr>
        <w:spacing w:after="0" w:line="75"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Deucrictibant may address unmet medical needs of people living with AE-BK by both preventing attacks from occurring, using an extended-release (XR) tablet formulation of deucrictibant (previously referred to as PHVS719), as well as treat the manifestations of attacks, using an immediate-release (IR) capsule formulation of deucrictibant (previously referred to as PHVS416). The XR tablet formulation is designed to maintain therapeutic levels for over 24 hours and to achieve a steady-state plasma concentration within 72 hours, supporting a once-daily dosing regimen. The IR capsule formulation is designed to rapidly reach therapeutic exposure in order to mitigate HAE attacks symptoms quickly and completely with a single oral dose.</w:t>
      </w:r>
    </w:p>
    <w:p>
      <w:pPr>
        <w:spacing w:after="0" w:line="72" w:lineRule="exact"/>
        <w:rPr>
          <w:sz w:val="20"/>
          <w:szCs w:val="20"/>
          <w:color w:val="auto"/>
        </w:rPr>
      </w:pPr>
    </w:p>
    <w:p>
      <w:pPr>
        <w:jc w:val="both"/>
        <w:ind w:right="440" w:firstLine="458"/>
        <w:spacing w:after="0" w:line="259" w:lineRule="auto"/>
        <w:rPr>
          <w:sz w:val="20"/>
          <w:szCs w:val="20"/>
          <w:color w:val="auto"/>
        </w:rPr>
      </w:pPr>
      <w:r>
        <w:rPr>
          <w:rFonts w:ascii="Arial" w:cs="Arial" w:eastAsia="Arial" w:hAnsi="Arial"/>
          <w:sz w:val="16"/>
          <w:szCs w:val="16"/>
          <w:color w:val="auto"/>
        </w:rPr>
        <w:t>In addition to the differentiation of our individual products, having on-demand and prophylactic products with the same active ingredient enables patients to maintain a trusted active medicine when they change their dosing regimen and delivery mechanism moving from on-demand to prophylactic treatment (or back). This may be particularly valued by children or adolescents who typically begin therapy with on-demand only and gradually move to prophylaxis as attack frequency increases (commonly after puberty).</w:t>
      </w:r>
    </w:p>
    <w:p>
      <w:pPr>
        <w:spacing w:after="0" w:line="70"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We initiated RAPIDe-3, a global, pivotal Phase 3, placebo-controlled study to evaluate deucrictibant IR capsule (20 mg) for the on-demand treatment of attacks in people 12 years and older with HAE, in March 2024 and reported topline data in December 2025. Deucrictibant demonstrated a clinically differentiated profile by meeting the primary and all key secondary efficacy endpoints with statistical significance and was well tolerated. Pharvaris plans to submit a New Drug Application (NDA) with the U.S. Food and Drug Administration (FDA) in the first half of 2026 for the on-demand treatment of acute attacks of HAE.</w:t>
      </w:r>
    </w:p>
    <w:p>
      <w:pPr>
        <w:spacing w:after="0" w:line="72" w:lineRule="exact"/>
        <w:rPr>
          <w:sz w:val="20"/>
          <w:szCs w:val="20"/>
          <w:color w:val="auto"/>
        </w:rPr>
      </w:pPr>
    </w:p>
    <w:p>
      <w:pPr>
        <w:ind w:right="380" w:firstLine="458"/>
        <w:spacing w:after="0" w:line="286" w:lineRule="auto"/>
        <w:rPr>
          <w:sz w:val="20"/>
          <w:szCs w:val="20"/>
          <w:color w:val="auto"/>
        </w:rPr>
      </w:pPr>
      <w:r>
        <w:rPr>
          <w:rFonts w:ascii="Arial" w:cs="Arial" w:eastAsia="Arial" w:hAnsi="Arial"/>
          <w:sz w:val="16"/>
          <w:szCs w:val="16"/>
          <w:color w:val="auto"/>
        </w:rPr>
        <w:t>In December 2024, we initiated CHAPTER-3, a global, pivotal, randomized, double-blind, placebo-controlled Phase 3 study of orally administered deucrictibant extended-release tablet for the prophylaxis against angioedema attacks in adults and adolescents (12 years and older) with HAE.</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addition, we are also running open-label extension studies in both on-demand (RAPIDe-2) and prophylactic</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spacing w:after="0" w:line="15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(CHAPTER-4) settings to collect long-term safety and efficacy data in HAE patients. In October 2025, we initiated CREAATE, a global, pivotal Phase 3 study of to assess the efficacy and safety of deucrictibant for the prophylactic and on-demand treatment of AAE-C1INH attacks.</w:t>
      </w:r>
    </w:p>
    <w:p>
      <w:pPr>
        <w:spacing w:after="0" w:line="129" w:lineRule="exact"/>
        <w:rPr>
          <w:sz w:val="20"/>
          <w:szCs w:val="20"/>
          <w:color w:val="auto"/>
        </w:rPr>
      </w:pPr>
    </w:p>
    <w:p>
      <w:pPr>
        <w:ind w:right="100" w:firstLine="374"/>
        <w:spacing w:after="0" w:line="252"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Additionally, we are exposed to a variety of risks in the ordinary course of our business, including, but not limited to, foreign currency risk and interest rate risk. We regularly assess each of these risks to minimize any adverse effects on our business as a result of those factors. For a detailed discussion, see Note 17 to our consolidated financial statements included in the Annual Report.</w:t>
      </w:r>
    </w:p>
    <w:p>
      <w:pPr>
        <w:spacing w:after="0" w:line="142" w:lineRule="exact"/>
        <w:rPr>
          <w:sz w:val="20"/>
          <w:szCs w:val="20"/>
          <w:color w:val="auto"/>
        </w:rPr>
      </w:pPr>
    </w:p>
    <w:p>
      <w:pPr>
        <w:ind w:firstLine="374"/>
        <w:spacing w:after="0" w:line="253" w:lineRule="auto"/>
        <w:rPr>
          <w:sz w:val="20"/>
          <w:szCs w:val="20"/>
          <w:color w:val="auto"/>
        </w:rPr>
      </w:pPr>
      <w:r>
        <w:rPr>
          <w:rFonts w:ascii="Arial" w:cs="Arial" w:eastAsia="Arial" w:hAnsi="Arial"/>
          <w:sz w:val="16"/>
          <w:szCs w:val="16"/>
          <w:color w:val="auto"/>
        </w:rPr>
        <w:t>In addition, the retaliatory measures that have been taken, or could be taken in the future, by the United States, NATO, and other countries with respect to the invasion of Ukraine and the conflict in the Middle East have created global security concerns that could result in regional conflicts and also adversely affect our ability to conduct ongoing and future clinical trials of our product candidates. For example, our RAPIDe-1 and CHAPTER-1 studies include a significant number of patients in Germany, Poland, and Bulgaria, and we have a patient in Israel. A further escalation of the conflict in Ukraine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Any of the foregoing could impede the execution of our clinical development plans.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Financial Operations Overview</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Revenues</w:t>
      </w:r>
    </w:p>
    <w:p>
      <w:pPr>
        <w:spacing w:after="0" w:line="179" w:lineRule="exact"/>
        <w:rPr>
          <w:sz w:val="20"/>
          <w:szCs w:val="20"/>
          <w:color w:val="auto"/>
        </w:rPr>
      </w:pPr>
    </w:p>
    <w:p>
      <w:pPr>
        <w:ind w:right="80" w:firstLine="374"/>
        <w:spacing w:after="0" w:line="286" w:lineRule="auto"/>
        <w:rPr>
          <w:sz w:val="20"/>
          <w:szCs w:val="20"/>
          <w:color w:val="auto"/>
        </w:rPr>
      </w:pPr>
      <w:r>
        <w:rPr>
          <w:rFonts w:ascii="Arial" w:cs="Arial" w:eastAsia="Arial" w:hAnsi="Arial"/>
          <w:sz w:val="16"/>
          <w:szCs w:val="16"/>
          <w:color w:val="auto"/>
        </w:rPr>
        <w:t>We did not record any revenues during the period covered by the historical financial information included in this Report. We do not expect to recognize any product sales related revenues before we are able to commercialize our first product.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92" w:lineRule="exact"/>
        <w:rPr>
          <w:sz w:val="20"/>
          <w:szCs w:val="20"/>
          <w:color w:val="auto"/>
        </w:rPr>
      </w:pPr>
    </w:p>
    <w:p>
      <w:pPr>
        <w:ind w:right="160" w:firstLine="374"/>
        <w:spacing w:after="0" w:line="259" w:lineRule="auto"/>
        <w:rPr>
          <w:sz w:val="20"/>
          <w:szCs w:val="20"/>
          <w:color w:val="auto"/>
        </w:rPr>
      </w:pPr>
      <w:r>
        <w:rPr>
          <w:rFonts w:ascii="Arial" w:cs="Arial" w:eastAsia="Arial" w:hAnsi="Arial"/>
          <w:sz w:val="16"/>
          <w:szCs w:val="16"/>
          <w:color w:val="auto"/>
        </w:rPr>
        <w:t>We are focused on the clinical development of deucrictibant. Since our inception, we have devoted substantially all of our resources to research and development efforts relating to the development of deucrictibant and our product candidates IR and XR. We expect that we will continue to incur significant research and development expenses as we seek to complete the clinical development of, and achieve regulatory approval for, our product candidates IR and XR, and in connection with discovery and development of any additional product candidates.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expenses consist of the following:</w:t>
      </w:r>
    </w:p>
    <w:p>
      <w:pPr>
        <w:spacing w:after="0" w:line="302" w:lineRule="exact"/>
        <w:rPr>
          <w:sz w:val="20"/>
          <w:szCs w:val="20"/>
          <w:color w:val="auto"/>
        </w:rPr>
      </w:pPr>
    </w:p>
    <w:p>
      <w:pPr>
        <w:ind w:left="1020" w:right="100" w:hanging="503"/>
        <w:spacing w:after="0" w:line="285"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expenses, which includes salaries, pensions, share-based compensation ("SBC") expenses, bonus plans, travel and other related costs for research and development staff;</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nonclinical expenses, which include costs of our outsourced discovery and nonclinical development studies;</w:t>
      </w:r>
    </w:p>
    <w:p>
      <w:pPr>
        <w:spacing w:after="0" w:line="125" w:lineRule="exact"/>
        <w:rPr>
          <w:rFonts w:ascii="Times New Roman" w:cs="Times New Roman" w:eastAsia="Times New Roman" w:hAnsi="Times New Roman"/>
          <w:sz w:val="16"/>
          <w:szCs w:val="16"/>
          <w:color w:val="auto"/>
        </w:rPr>
      </w:pPr>
    </w:p>
    <w:p>
      <w:pPr>
        <w:ind w:left="1020" w:right="200" w:hanging="503"/>
        <w:spacing w:after="0" w:line="285"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clinical expenses, which includes costs of conducting and managing our sponsored clinical trials, including clinical investigator cost, costs of clinical sites, and costs for CROs assisting with our clinical development programs;</w:t>
      </w:r>
    </w:p>
    <w:p>
      <w:pPr>
        <w:spacing w:after="0" w:line="48" w:lineRule="exact"/>
        <w:rPr>
          <w:rFonts w:ascii="Times New Roman" w:cs="Times New Roman" w:eastAsia="Times New Roman" w:hAnsi="Times New Roman"/>
          <w:sz w:val="16"/>
          <w:szCs w:val="16"/>
          <w:color w:val="auto"/>
        </w:rPr>
      </w:pPr>
    </w:p>
    <w:p>
      <w:pPr>
        <w:ind w:left="1020" w:right="420" w:hanging="503"/>
        <w:spacing w:after="0" w:line="285"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expenses, which include costs related to the manufacturing of active pharmaceutical ingredients and manufacturing of the products used in our clinical trials and research and development activities;</w:t>
      </w:r>
    </w:p>
    <w:p>
      <w:pPr>
        <w:spacing w:after="0" w:line="48" w:lineRule="exact"/>
        <w:rPr>
          <w:rFonts w:ascii="Times New Roman" w:cs="Times New Roman" w:eastAsia="Times New Roman" w:hAnsi="Times New Roman"/>
          <w:sz w:val="16"/>
          <w:szCs w:val="16"/>
          <w:color w:val="auto"/>
        </w:rPr>
      </w:pPr>
    </w:p>
    <w:p>
      <w:pPr>
        <w:ind w:left="1020" w:right="140" w:hanging="503"/>
        <w:spacing w:after="0" w:line="285"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costs in connection with investigator-sponsored clinical trials and evaluations;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90"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advisers’ fees, including discovery, nonclinical, clinical, chemistry, manufacturing, and controls-related and other consulting services;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intellectual property costs, which includes costs associated with obtaining and maintaining patents and other intellectual property; and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and license costs.</w:t>
      </w:r>
    </w:p>
    <w:p>
      <w:pPr>
        <w:spacing w:after="0" w:line="234" w:lineRule="exact"/>
        <w:rPr>
          <w:sz w:val="20"/>
          <w:szCs w:val="20"/>
          <w:color w:val="auto"/>
        </w:rPr>
      </w:pPr>
    </w:p>
    <w:p>
      <w:pPr>
        <w:ind w:right="300" w:firstLine="458"/>
        <w:spacing w:after="0" w:line="286" w:lineRule="auto"/>
        <w:rPr>
          <w:sz w:val="20"/>
          <w:szCs w:val="20"/>
          <w:color w:val="auto"/>
        </w:rPr>
      </w:pPr>
      <w:r>
        <w:rPr>
          <w:rFonts w:ascii="Arial" w:cs="Arial" w:eastAsia="Arial" w:hAnsi="Arial"/>
          <w:sz w:val="16"/>
          <w:szCs w:val="16"/>
          <w:color w:val="auto"/>
        </w:rPr>
        <w:t>We expect our total research and development expenses to increase in 2026, driven by activities supporting the preparation and submission of the New Drug Application for IR to the U.S. FDA, as well as the continued development of our XR product candidate and our clinical study in AAE.</w:t>
      </w:r>
    </w:p>
    <w:p>
      <w:pPr>
        <w:spacing w:after="0" w:line="156" w:lineRule="exact"/>
        <w:rPr>
          <w:sz w:val="20"/>
          <w:szCs w:val="20"/>
          <w:color w:val="auto"/>
        </w:rPr>
      </w:pPr>
    </w:p>
    <w:p>
      <w:pPr>
        <w:jc w:val="both"/>
        <w:ind w:right="120" w:firstLine="458"/>
        <w:spacing w:after="0" w:line="266" w:lineRule="auto"/>
        <w:rPr>
          <w:sz w:val="20"/>
          <w:szCs w:val="20"/>
          <w:color w:val="auto"/>
        </w:rPr>
      </w:pPr>
      <w:r>
        <w:rPr>
          <w:rFonts w:ascii="Arial" w:cs="Arial" w:eastAsia="Arial" w:hAnsi="Arial"/>
          <w:sz w:val="16"/>
          <w:szCs w:val="16"/>
          <w:color w:val="auto"/>
        </w:rPr>
        <w:t>There is a risk that any clinical development or product discovery program may not result in commercial approval. To the extent that we fail to obtain approval to commercialize our product candidate in a timely manner, we would need to continue to conduct nonclinical studies or clinical trials over a longer period of time, and we anticipate that our research and development expenses may further increase.</w:t>
      </w:r>
    </w:p>
    <w:p>
      <w:pPr>
        <w:spacing w:after="0" w:line="171"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 Moreover, we cannot assure that we will be able to successfully develop or commercialize our product candidates, if approved for marketing. This is due to numerous risks and uncertainties associated with developing drugs. See “ITEM 3. KEY INFORMATION: — D. Risk factors.”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we will continue to incur significant general and administrative expenses as we advance our research and development portfolio.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consist of the following:</w:t>
      </w:r>
    </w:p>
    <w:p>
      <w:pPr>
        <w:spacing w:after="0" w:line="97" w:lineRule="exact"/>
        <w:rPr>
          <w:sz w:val="20"/>
          <w:szCs w:val="20"/>
          <w:color w:val="auto"/>
        </w:rPr>
      </w:pPr>
    </w:p>
    <w:p>
      <w:pPr>
        <w:ind w:left="900" w:right="600" w:hanging="428"/>
        <w:spacing w:after="0" w:line="285" w:lineRule="auto"/>
        <w:tabs>
          <w:tab w:leader="none" w:pos="90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including salaries, pensions, share-based compensation expenses, bonus plans and other related costs for staff and independent contractors in executive and operational functions;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independent auditors’ and advisers’ fees, including accounting, tax, legal and other consulting services;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rental expenses, insurance, facilities and IT expenses and other general expenses relating to our operations;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travel related expenses; and</w:t>
      </w:r>
    </w:p>
    <w:p>
      <w:pPr>
        <w:spacing w:after="0" w:line="125" w:lineRule="exact"/>
        <w:rPr>
          <w:rFonts w:ascii="Times New Roman" w:cs="Times New Roman" w:eastAsia="Times New Roman" w:hAnsi="Times New Roman"/>
          <w:sz w:val="16"/>
          <w:szCs w:val="16"/>
          <w:color w:val="auto"/>
        </w:rPr>
      </w:pPr>
    </w:p>
    <w:p>
      <w:pPr>
        <w:ind w:left="900" w:right="380" w:hanging="428"/>
        <w:spacing w:after="0" w:line="285" w:lineRule="auto"/>
        <w:tabs>
          <w:tab w:leader="none" w:pos="90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expenses related to the build-out of our commercial organization, including hiring of personnel, assessments of the HAE market landscape, pricing research and congress attendance.</w:t>
      </w:r>
    </w:p>
    <w:p>
      <w:pPr>
        <w:spacing w:after="0" w:line="129" w:lineRule="exact"/>
        <w:rPr>
          <w:sz w:val="20"/>
          <w:szCs w:val="20"/>
          <w:color w:val="auto"/>
        </w:rPr>
      </w:pPr>
    </w:p>
    <w:p>
      <w:pPr>
        <w:ind w:left="200" w:right="940" w:firstLine="180"/>
        <w:spacing w:after="0" w:line="475" w:lineRule="auto"/>
        <w:rPr>
          <w:sz w:val="20"/>
          <w:szCs w:val="20"/>
          <w:color w:val="auto"/>
        </w:rPr>
      </w:pPr>
      <w:r>
        <w:rPr>
          <w:rFonts w:ascii="Arial" w:cs="Arial" w:eastAsia="Arial" w:hAnsi="Arial"/>
          <w:sz w:val="16"/>
          <w:szCs w:val="16"/>
          <w:color w:val="auto"/>
        </w:rPr>
        <w:t xml:space="preserve">We expect our total general and administrative expenses to increase in 2026, primarily due to the build out of our commercial organization. </w:t>
      </w:r>
      <w:r>
        <w:rPr>
          <w:rFonts w:ascii="Arial" w:cs="Arial" w:eastAsia="Arial" w:hAnsi="Arial"/>
          <w:sz w:val="16"/>
          <w:szCs w:val="16"/>
          <w:b w:val="1"/>
          <w:bCs w:val="1"/>
          <w:i w:val="1"/>
          <w:iCs w:val="1"/>
          <w:color w:val="auto"/>
        </w:rPr>
        <w:t>Share-based compensation expenses</w:t>
      </w:r>
    </w:p>
    <w:p>
      <w:pPr>
        <w:spacing w:after="0" w:line="1" w:lineRule="exact"/>
        <w:rPr>
          <w:sz w:val="20"/>
          <w:szCs w:val="20"/>
          <w:color w:val="auto"/>
        </w:rPr>
      </w:pPr>
    </w:p>
    <w:p>
      <w:pPr>
        <w:ind w:right="40" w:firstLine="374"/>
        <w:spacing w:after="0" w:line="252" w:lineRule="auto"/>
        <w:rPr>
          <w:sz w:val="20"/>
          <w:szCs w:val="20"/>
          <w:color w:val="auto"/>
        </w:rPr>
      </w:pPr>
      <w:r>
        <w:rPr>
          <w:rFonts w:ascii="Arial" w:cs="Arial" w:eastAsia="Arial" w:hAnsi="Arial"/>
          <w:sz w:val="16"/>
          <w:szCs w:val="16"/>
          <w:color w:val="auto"/>
        </w:rPr>
        <w:t>In 2016, we implemented an Equity Incentive Plan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(the “2021 Plan”) for employees, consultants and directors prior to the completion of our initial public offering (“IPO”). The 2021 Plan became effective upon our conversion from Pharvaris B.V. into Pharvaris N.V., which occurred prior to the consummation of our IPO. The 2021 Plan provides for the grant of options, stock appreciation rights, restricted stock, RSUs, performance stock awards, other stock-based awards, performance cash awards and substitute awards. The fair values of these instruments are recognized as personnel expenses in either research and development expenses or general and administrative expenses.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 of operations</w:t>
      </w:r>
    </w:p>
    <w:p>
      <w:pPr>
        <w:spacing w:after="0" w:line="181"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The financial information shown below was derived from our unaudited condensed consolidated interim financial statements for the three months ended March 31, 2026 and 2025 included as Exhibit 99.3 to this Report on Form</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57"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6-K. The discussion below should be read along with these unaudited condensed consolidated interim financial statements, and it is qualified in its entirety by reference to them.</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Comparison of the three months ended March 31, 2026 and March 31, 2025.</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gridSpan w:val="5"/>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5"/>
        </w:trPr>
        <w:tc>
          <w:tcPr>
            <w:tcW w:w="426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center"/>
              <w:ind w:left="8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9"/>
        </w:trPr>
        <w:tc>
          <w:tcPr>
            <w:tcW w:w="4260" w:type="dxa"/>
            <w:vAlign w:val="bottom"/>
          </w:tcPr>
          <w:p>
            <w:pPr>
              <w:spacing w:after="0"/>
              <w:rPr>
                <w:sz w:val="17"/>
                <w:szCs w:val="17"/>
                <w:color w:val="auto"/>
              </w:rPr>
            </w:pPr>
          </w:p>
        </w:tc>
        <w:tc>
          <w:tcPr>
            <w:tcW w:w="164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7"/>
                <w:szCs w:val="17"/>
                <w:color w:val="auto"/>
              </w:rPr>
            </w:pPr>
          </w:p>
        </w:tc>
        <w:tc>
          <w:tcPr>
            <w:tcW w:w="16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r>
      <w:tr>
        <w:trPr>
          <w:trHeight w:val="196"/>
        </w:trPr>
        <w:tc>
          <w:tcPr>
            <w:tcW w:w="4260" w:type="dxa"/>
            <w:vAlign w:val="bottom"/>
          </w:tcPr>
          <w:p>
            <w:pPr>
              <w:spacing w:after="0"/>
              <w:rPr>
                <w:sz w:val="17"/>
                <w:szCs w:val="17"/>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2"/>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(30,161,162)</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(30,914,393)</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753,231</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(14,110,839)</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(11,271,918)</w:t>
            </w:r>
          </w:p>
        </w:tc>
        <w:tc>
          <w:tcPr>
            <w:tcW w:w="30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(2,838,921)</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r>
      <w:tr>
        <w:trPr>
          <w:trHeight w:val="20"/>
        </w:trPr>
        <w:tc>
          <w:tcPr>
            <w:tcW w:w="42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(44,272,001)</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(42,186,311)</w:t>
            </w:r>
          </w:p>
        </w:tc>
        <w:tc>
          <w:tcPr>
            <w:tcW w:w="3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(2,085,690)</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426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4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(44,272,001)</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(42,186,311)</w:t>
            </w:r>
          </w:p>
        </w:tc>
        <w:tc>
          <w:tcPr>
            <w:tcW w:w="30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(2,085,690)</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42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income / (expense)</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5,344,435</w:t>
            </w:r>
          </w:p>
        </w:tc>
        <w:tc>
          <w:tcPr>
            <w:tcW w:w="22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(3,851,845)</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9,196,280</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(239)%</w:t>
            </w:r>
          </w:p>
        </w:tc>
      </w:tr>
      <w:tr>
        <w:trPr>
          <w:trHeight w:val="20"/>
        </w:trPr>
        <w:tc>
          <w:tcPr>
            <w:tcW w:w="426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4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before tax</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(38,927,566)</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(46,038,156)</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7,110,590</w:t>
            </w:r>
          </w:p>
        </w:tc>
        <w:tc>
          <w:tcPr>
            <w:tcW w:w="220" w:type="dxa"/>
            <w:vAlign w:val="bottom"/>
          </w:tcPr>
          <w:p>
            <w:pPr>
              <w:spacing w:after="0"/>
              <w:rPr>
                <w:sz w:val="17"/>
                <w:szCs w:val="17"/>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r>
      <w:tr>
        <w:trPr>
          <w:trHeight w:val="20"/>
        </w:trPr>
        <w:tc>
          <w:tcPr>
            <w:tcW w:w="42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(273,107)</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(302,667)</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29,560</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426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4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(39,200,673)</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(46,340,823)</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7,140,150</w:t>
            </w:r>
          </w:p>
        </w:tc>
        <w:tc>
          <w:tcPr>
            <w:tcW w:w="220" w:type="dxa"/>
            <w:vAlign w:val="bottom"/>
          </w:tcPr>
          <w:p>
            <w:pPr>
              <w:spacing w:after="0"/>
              <w:rPr>
                <w:sz w:val="17"/>
                <w:szCs w:val="17"/>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r>
      <w:tr>
        <w:trPr>
          <w:trHeight w:val="20"/>
        </w:trPr>
        <w:tc>
          <w:tcPr>
            <w:tcW w:w="42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-710565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-710565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-710565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-710565</wp:posOffset>
            </wp:positionV>
            <wp:extent cx="1289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-436245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-436245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-436245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-436245</wp:posOffset>
            </wp:positionV>
            <wp:extent cx="1289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-162560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-162560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-162560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-162560</wp:posOffset>
            </wp:positionV>
            <wp:extent cx="1289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373"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Revenues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did not generate any revenues for the three months ended March 31, 2026 and March 31, 2025.</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Research and development expenses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4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5"/>
        </w:trPr>
        <w:tc>
          <w:tcPr>
            <w:tcW w:w="406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center"/>
              <w:ind w:left="11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9"/>
        </w:trPr>
        <w:tc>
          <w:tcPr>
            <w:tcW w:w="4060" w:type="dxa"/>
            <w:vAlign w:val="bottom"/>
          </w:tcPr>
          <w:p>
            <w:pPr>
              <w:spacing w:after="0"/>
              <w:rPr>
                <w:sz w:val="17"/>
                <w:szCs w:val="17"/>
                <w:color w:val="auto"/>
              </w:rPr>
            </w:pPr>
          </w:p>
        </w:tc>
        <w:tc>
          <w:tcPr>
            <w:tcW w:w="156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Pr>
          <w:p>
            <w:pPr>
              <w:spacing w:after="0"/>
              <w:rPr>
                <w:sz w:val="17"/>
                <w:szCs w:val="17"/>
                <w:color w:val="auto"/>
              </w:rPr>
            </w:pP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r>
      <w:tr>
        <w:trPr>
          <w:trHeight w:val="196"/>
        </w:trPr>
        <w:tc>
          <w:tcPr>
            <w:tcW w:w="406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Personnel expenses</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(9,989,756)</w:t>
            </w: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(8,425,450)</w:t>
            </w:r>
          </w:p>
        </w:tc>
        <w:tc>
          <w:tcPr>
            <w:tcW w:w="4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(1,564,306)</w:t>
            </w: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Clinical expenses</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(14,632,586)</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(17,336,382)</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2,703,796</w:t>
            </w:r>
          </w:p>
        </w:tc>
        <w:tc>
          <w:tcPr>
            <w:tcW w:w="220" w:type="dxa"/>
            <w:vAlign w:val="bottom"/>
          </w:tcPr>
          <w:p>
            <w:pPr>
              <w:spacing w:after="0"/>
              <w:rPr>
                <w:sz w:val="17"/>
                <w:szCs w:val="17"/>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Nonclinical expenses</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(1,168,291)</w:t>
            </w: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(1,850,190)</w:t>
            </w:r>
          </w:p>
        </w:tc>
        <w:tc>
          <w:tcPr>
            <w:tcW w:w="4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681,899</w:t>
            </w:r>
          </w:p>
        </w:tc>
        <w:tc>
          <w:tcPr>
            <w:tcW w:w="22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Manufacturing costs</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(4,103,685)</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(3,228,532)</w:t>
            </w:r>
          </w:p>
        </w:tc>
        <w:tc>
          <w:tcPr>
            <w:tcW w:w="40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(875,153)</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r>
      <w:tr>
        <w:trPr>
          <w:trHeight w:val="203"/>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License costs</w:t>
            </w: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Intellectual Property costs</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(266,844)</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(73,839)</w:t>
            </w:r>
          </w:p>
        </w:tc>
        <w:tc>
          <w:tcPr>
            <w:tcW w:w="40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(193,005)</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261%</w:t>
            </w:r>
          </w:p>
        </w:tc>
      </w:tr>
      <w:tr>
        <w:trPr>
          <w:trHeight w:val="20"/>
        </w:trPr>
        <w:tc>
          <w:tcPr>
            <w:tcW w:w="40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(30,161,162)</w:t>
            </w: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(30,914,393)</w:t>
            </w: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753,231</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-24765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-24765</wp:posOffset>
            </wp:positionV>
            <wp:extent cx="1289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1289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55" w:lineRule="exact"/>
        <w:rPr>
          <w:sz w:val="20"/>
          <w:szCs w:val="20"/>
          <w:color w:val="auto"/>
        </w:rPr>
      </w:pPr>
    </w:p>
    <w:p>
      <w:pPr>
        <w:ind w:right="220" w:firstLine="374"/>
        <w:spacing w:after="0" w:line="266" w:lineRule="auto"/>
        <w:rPr>
          <w:sz w:val="20"/>
          <w:szCs w:val="20"/>
          <w:color w:val="auto"/>
        </w:rPr>
      </w:pPr>
      <w:r>
        <w:rPr>
          <w:rFonts w:ascii="Arial" w:cs="Arial" w:eastAsia="Arial" w:hAnsi="Arial"/>
          <w:sz w:val="16"/>
          <w:szCs w:val="16"/>
          <w:color w:val="auto"/>
        </w:rPr>
        <w:t>Research and development expenses decreased from €30.9 million for the three months ended March 31, 2025 to €30.2 million for the three months ended March 31, 2026. The decrease in research and development expenses is primarily due to a decrease in clinical expenses partially offset by an increase in personnel expenses.</w:t>
      </w:r>
    </w:p>
    <w:p>
      <w:pPr>
        <w:spacing w:after="0" w:line="144" w:lineRule="exact"/>
        <w:rPr>
          <w:sz w:val="20"/>
          <w:szCs w:val="20"/>
          <w:color w:val="auto"/>
        </w:rPr>
      </w:pPr>
    </w:p>
    <w:p>
      <w:pPr>
        <w:ind w:right="220" w:firstLine="374"/>
        <w:spacing w:after="0" w:line="266" w:lineRule="auto"/>
        <w:rPr>
          <w:sz w:val="20"/>
          <w:szCs w:val="20"/>
          <w:color w:val="auto"/>
        </w:rPr>
      </w:pPr>
      <w:r>
        <w:rPr>
          <w:rFonts w:ascii="Arial" w:cs="Arial" w:eastAsia="Arial" w:hAnsi="Arial"/>
          <w:sz w:val="16"/>
          <w:szCs w:val="16"/>
          <w:color w:val="auto"/>
        </w:rPr>
        <w:t>For the three months ended March 31, 2026 and 2025, personnel expenses were €10.0 million and €8.4 million, respectively, an increase of €1.6 million. The increase in personnel expenses is driven by the hiring of additional employees to support the progression of the regulatory filings and planned commercial launch of the IR program. Personnel expenses include €2.2 million of share-based compensation versus €2.2 million in the prior-year period.</w:t>
      </w:r>
    </w:p>
    <w:p>
      <w:pPr>
        <w:spacing w:after="0" w:line="144" w:lineRule="exact"/>
        <w:rPr>
          <w:sz w:val="20"/>
          <w:szCs w:val="20"/>
          <w:color w:val="auto"/>
        </w:rPr>
      </w:pPr>
    </w:p>
    <w:p>
      <w:pPr>
        <w:ind w:right="40" w:firstLine="374"/>
        <w:spacing w:after="0" w:line="253" w:lineRule="auto"/>
        <w:rPr>
          <w:sz w:val="20"/>
          <w:szCs w:val="20"/>
          <w:color w:val="auto"/>
        </w:rPr>
      </w:pPr>
      <w:r>
        <w:rPr>
          <w:rFonts w:ascii="Arial" w:cs="Arial" w:eastAsia="Arial" w:hAnsi="Arial"/>
          <w:sz w:val="16"/>
          <w:szCs w:val="16"/>
          <w:color w:val="auto"/>
        </w:rPr>
        <w:t>For the three months ended March 31, 2026 and 2025, clinical expenses were €14.6 million and €17.3 million, respectively. This represents a decrease of €2.7 million primarily due to the completion of the RAPIDe-3 (IR) Phase 3 clinical trial and the Phase 1 and 2 XR clinical trials, offset by the commencement of the pivotal CREAATE (AAE) clinical trial.</w:t>
      </w:r>
    </w:p>
    <w:p>
      <w:pPr>
        <w:spacing w:after="0" w:line="1" w:lineRule="exact"/>
        <w:rPr>
          <w:sz w:val="20"/>
          <w:szCs w:val="20"/>
          <w:color w:val="auto"/>
        </w:rPr>
      </w:pPr>
    </w:p>
    <w:p>
      <w:pPr>
        <w:jc w:val="both"/>
        <w:ind w:right="300" w:firstLine="374"/>
        <w:spacing w:after="0" w:line="256" w:lineRule="auto"/>
        <w:rPr>
          <w:sz w:val="20"/>
          <w:szCs w:val="20"/>
          <w:color w:val="auto"/>
        </w:rPr>
      </w:pPr>
      <w:r>
        <w:rPr>
          <w:rFonts w:ascii="Arial" w:cs="Arial" w:eastAsia="Arial" w:hAnsi="Arial"/>
          <w:sz w:val="16"/>
          <w:szCs w:val="16"/>
          <w:color w:val="auto"/>
        </w:rPr>
        <w:t>For the three months ended March 31, 2026 and 2025, manufacturing expenses were €4.1 million and €3.2 million, respectively. This represents an increase of €0.9 million primarily due to the completion of the IR drug substance validation campaign in the current quarter and manufacturing of the XR validation campaign.</w:t>
      </w:r>
    </w:p>
    <w:p>
      <w:pPr>
        <w:spacing w:after="0" w:line="151" w:lineRule="exact"/>
        <w:rPr>
          <w:sz w:val="20"/>
          <w:szCs w:val="20"/>
          <w:color w:val="auto"/>
        </w:rPr>
      </w:pPr>
    </w:p>
    <w:p>
      <w:pPr>
        <w:ind w:right="600" w:firstLine="374"/>
        <w:spacing w:after="0" w:line="286" w:lineRule="auto"/>
        <w:rPr>
          <w:sz w:val="20"/>
          <w:szCs w:val="20"/>
          <w:color w:val="auto"/>
        </w:rPr>
      </w:pPr>
      <w:r>
        <w:rPr>
          <w:rFonts w:ascii="Arial" w:cs="Arial" w:eastAsia="Arial" w:hAnsi="Arial"/>
          <w:sz w:val="16"/>
          <w:szCs w:val="16"/>
          <w:color w:val="auto"/>
        </w:rPr>
        <w:t>For the three months ended March 31, 2026 and 2025, non-clinical expenses were €1.2 million and €1.9 million, respectively. This represents a decrease of €0.7 million primarily due to a decline in IR and XR non-clinical</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expenditures as the development programs progress to late-stage clinical development plus a lower spend on other non-clinical research.</w:t>
      </w:r>
    </w:p>
    <w:p>
      <w:pPr>
        <w:spacing w:after="0" w:line="3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our research and development expenses by project for the three months ended March 31, 2026 and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4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6"/>
                <w:szCs w:val="16"/>
                <w:b w:val="1"/>
                <w:bCs w:val="1"/>
                <w:color w:val="auto"/>
              </w:rPr>
              <w:t>Three months ended March 31,</w:t>
            </w:r>
          </w:p>
        </w:tc>
        <w:tc>
          <w:tcPr>
            <w:tcW w:w="10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340" w:type="dxa"/>
            <w:vAlign w:val="bottom"/>
            <w:vMerge w:val="restart"/>
          </w:tcPr>
          <w:p>
            <w:pPr>
              <w:spacing w:after="0"/>
              <w:rPr>
                <w:sz w:val="20"/>
                <w:szCs w:val="20"/>
                <w:color w:val="auto"/>
              </w:rPr>
            </w:pPr>
            <w:r>
              <w:rPr>
                <w:rFonts w:ascii="Arial" w:cs="Arial" w:eastAsia="Arial" w:hAnsi="Arial"/>
                <w:sz w:val="16"/>
                <w:szCs w:val="16"/>
                <w:b w:val="1"/>
                <w:bCs w:val="1"/>
                <w:color w:val="auto"/>
              </w:rPr>
              <w:t>Project-Specific Expenses</w:t>
            </w:r>
          </w:p>
        </w:tc>
        <w:tc>
          <w:tcPr>
            <w:tcW w:w="1540" w:type="dxa"/>
            <w:vAlign w:val="bottom"/>
          </w:tcPr>
          <w:p>
            <w:pPr>
              <w:jc w:val="right"/>
              <w:ind w:right="519"/>
              <w:spacing w:after="0" w:line="183"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5"/>
                <w:szCs w:val="15"/>
                <w:color w:val="auto"/>
              </w:rPr>
            </w:pPr>
          </w:p>
        </w:tc>
        <w:tc>
          <w:tcPr>
            <w:tcW w:w="1420" w:type="dxa"/>
            <w:vAlign w:val="bottom"/>
          </w:tcPr>
          <w:p>
            <w:pPr>
              <w:jc w:val="right"/>
              <w:ind w:right="45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1500" w:type="dxa"/>
            <w:vAlign w:val="bottom"/>
            <w:gridSpan w:val="2"/>
          </w:tcPr>
          <w:p>
            <w:pPr>
              <w:jc w:val="right"/>
              <w:ind w:right="520"/>
              <w:spacing w:after="0" w:line="183" w:lineRule="exact"/>
              <w:rPr>
                <w:sz w:val="20"/>
                <w:szCs w:val="20"/>
                <w:color w:val="auto"/>
              </w:rPr>
            </w:pPr>
            <w:r>
              <w:rPr>
                <w:rFonts w:ascii="Arial" w:cs="Arial" w:eastAsia="Arial" w:hAnsi="Arial"/>
                <w:sz w:val="16"/>
                <w:szCs w:val="16"/>
                <w:b w:val="1"/>
                <w:bCs w:val="1"/>
                <w:color w:val="auto"/>
              </w:rPr>
              <w:t>Change</w:t>
            </w:r>
          </w:p>
        </w:tc>
        <w:tc>
          <w:tcPr>
            <w:tcW w:w="1040" w:type="dxa"/>
            <w:vAlign w:val="bottom"/>
          </w:tcPr>
          <w:p>
            <w:pPr>
              <w:jc w:val="right"/>
              <w:ind w:right="379"/>
              <w:spacing w:after="0" w:line="183" w:lineRule="exact"/>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vMerge w:val="continue"/>
          </w:tcPr>
          <w:p>
            <w:pPr>
              <w:spacing w:after="0"/>
              <w:rPr>
                <w:sz w:val="15"/>
                <w:szCs w:val="15"/>
                <w:color w:val="auto"/>
              </w:rPr>
            </w:pPr>
          </w:p>
        </w:tc>
        <w:tc>
          <w:tcPr>
            <w:tcW w:w="154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5"/>
                <w:szCs w:val="15"/>
                <w:color w:val="auto"/>
              </w:rPr>
            </w:pPr>
          </w:p>
        </w:tc>
        <w:tc>
          <w:tcPr>
            <w:tcW w:w="14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5"/>
                <w:szCs w:val="15"/>
                <w:color w:val="auto"/>
              </w:rPr>
            </w:pPr>
          </w:p>
        </w:tc>
        <w:tc>
          <w:tcPr>
            <w:tcW w:w="1380" w:type="dxa"/>
            <w:vAlign w:val="bottom"/>
            <w:tcBorders>
              <w:top w:val="single" w:sz="8" w:color="auto"/>
            </w:tcBorders>
          </w:tcPr>
          <w:p>
            <w:pPr>
              <w:jc w:val="right"/>
              <w:ind w:right="559"/>
              <w:spacing w:after="0" w:line="183"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On-Demand (IR) (HAE – Phase 3)</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(4,511,933)</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(9,180,353)</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4,668,420</w:t>
            </w: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3"/>
        </w:trPr>
        <w:tc>
          <w:tcPr>
            <w:tcW w:w="5340" w:type="dxa"/>
            <w:vAlign w:val="bottom"/>
          </w:tcPr>
          <w:p>
            <w:pPr>
              <w:ind w:left="100"/>
              <w:spacing w:after="0"/>
              <w:rPr>
                <w:sz w:val="20"/>
                <w:szCs w:val="20"/>
                <w:color w:val="auto"/>
              </w:rPr>
            </w:pPr>
            <w:r>
              <w:rPr>
                <w:rFonts w:ascii="Arial" w:cs="Arial" w:eastAsia="Arial" w:hAnsi="Arial"/>
                <w:sz w:val="16"/>
                <w:szCs w:val="16"/>
                <w:color w:val="auto"/>
              </w:rPr>
              <w:t>Prophylaxis (XR) (HAE – Phase 3)</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(8,366,592)</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(8,060,689)</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(305,903)</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53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AAE (AAE – Phase 3)</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(2,343,505)</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(248,387)</w:t>
            </w: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(2,095,118)</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Arial" w:cs="Arial" w:eastAsia="Arial" w:hAnsi="Arial"/>
                <w:sz w:val="16"/>
                <w:szCs w:val="16"/>
                <w:b w:val="1"/>
                <w:bCs w:val="1"/>
                <w:color w:val="auto"/>
              </w:rPr>
              <w:t>Unallocated Expenses</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Personnel</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(9,989,756)</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(8,425,450)</w:t>
            </w: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(1,564,306)</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3"/>
        </w:trPr>
        <w:tc>
          <w:tcPr>
            <w:tcW w:w="5340" w:type="dxa"/>
            <w:vAlign w:val="bottom"/>
          </w:tcPr>
          <w:p>
            <w:pPr>
              <w:ind w:left="100"/>
              <w:spacing w:after="0"/>
              <w:rPr>
                <w:sz w:val="20"/>
                <w:szCs w:val="20"/>
                <w:color w:val="auto"/>
              </w:rPr>
            </w:pPr>
            <w:r>
              <w:rPr>
                <w:rFonts w:ascii="Arial" w:cs="Arial" w:eastAsia="Arial" w:hAnsi="Arial"/>
                <w:sz w:val="16"/>
                <w:szCs w:val="16"/>
                <w:color w:val="auto"/>
              </w:rPr>
              <w:t>Other</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(4,949,376)</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(4,999,514)</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50,138</w:t>
            </w:r>
          </w:p>
        </w:tc>
        <w:tc>
          <w:tcPr>
            <w:tcW w:w="12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research and development expenses</w:t>
            </w:r>
          </w:p>
        </w:tc>
        <w:tc>
          <w:tcPr>
            <w:tcW w:w="1640" w:type="dxa"/>
            <w:vAlign w:val="bottom"/>
            <w:gridSpan w:val="2"/>
            <w:shd w:val="clear" w:color="auto" w:fill="CFF0FC"/>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(30,161,162)</w:t>
            </w:r>
          </w:p>
        </w:tc>
        <w:tc>
          <w:tcPr>
            <w:tcW w:w="1520" w:type="dxa"/>
            <w:vAlign w:val="bottom"/>
            <w:gridSpan w:val="2"/>
            <w:shd w:val="clear" w:color="auto" w:fill="CFF0FC"/>
          </w:tcPr>
          <w:p>
            <w:pPr>
              <w:jc w:val="right"/>
              <w:ind w:right="60"/>
              <w:spacing w:after="0" w:line="183" w:lineRule="exact"/>
              <w:rPr>
                <w:sz w:val="20"/>
                <w:szCs w:val="20"/>
                <w:color w:val="auto"/>
              </w:rPr>
            </w:pPr>
            <w:r>
              <w:rPr>
                <w:rFonts w:ascii="Times New Roman" w:cs="Times New Roman" w:eastAsia="Times New Roman" w:hAnsi="Times New Roman"/>
                <w:sz w:val="16"/>
                <w:szCs w:val="16"/>
                <w:color w:val="auto"/>
              </w:rPr>
              <w:t>(30,914,393)</w:t>
            </w:r>
          </w:p>
        </w:tc>
        <w:tc>
          <w:tcPr>
            <w:tcW w:w="138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753,231</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46"/>
        </w:trPr>
        <w:tc>
          <w:tcPr>
            <w:tcW w:w="5340" w:type="dxa"/>
            <w:vAlign w:val="bottom"/>
            <w:tcBorders>
              <w:top w:val="single" w:sz="8" w:color="CFF0FC"/>
            </w:tcBorders>
          </w:tcPr>
          <w:p>
            <w:pPr>
              <w:spacing w:after="0" w:line="147" w:lineRule="exact"/>
              <w:rPr>
                <w:sz w:val="20"/>
                <w:szCs w:val="20"/>
                <w:color w:val="auto"/>
              </w:rPr>
            </w:pPr>
            <w:r>
              <w:rPr>
                <w:rFonts w:ascii="Arial" w:cs="Arial" w:eastAsia="Arial" w:hAnsi="Arial"/>
                <w:sz w:val="13"/>
                <w:szCs w:val="13"/>
                <w:color w:val="auto"/>
              </w:rPr>
              <w:t>NM: not meaningful</w:t>
            </w:r>
          </w:p>
        </w:tc>
        <w:tc>
          <w:tcPr>
            <w:tcW w:w="15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-130175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-113030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-130175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-113030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-130175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-113030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-130175</wp:posOffset>
            </wp:positionV>
            <wp:extent cx="1289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-113030</wp:posOffset>
            </wp:positionV>
            <wp:extent cx="1289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70" w:lineRule="exact"/>
        <w:rPr>
          <w:sz w:val="20"/>
          <w:szCs w:val="20"/>
          <w:color w:val="auto"/>
        </w:rPr>
      </w:pPr>
    </w:p>
    <w:p>
      <w:pPr>
        <w:ind w:right="340" w:firstLine="374"/>
        <w:spacing w:after="0" w:line="286" w:lineRule="auto"/>
        <w:rPr>
          <w:sz w:val="20"/>
          <w:szCs w:val="20"/>
          <w:color w:val="auto"/>
        </w:rPr>
      </w:pPr>
      <w:r>
        <w:rPr>
          <w:rFonts w:ascii="Arial" w:cs="Arial" w:eastAsia="Arial" w:hAnsi="Arial"/>
          <w:sz w:val="16"/>
          <w:szCs w:val="16"/>
          <w:color w:val="auto"/>
        </w:rPr>
        <w:t>The On-Demand (IR) project-specific expenses decrease of €4.7 million versus the prior year period is primarily due to completion of the RAPIDe-3 pivotal Phase 3 trial offset by an increase in expenses related to the IR regulatory filings.</w:t>
      </w:r>
    </w:p>
    <w:p>
      <w:pPr>
        <w:spacing w:after="0" w:line="129" w:lineRule="exact"/>
        <w:rPr>
          <w:sz w:val="20"/>
          <w:szCs w:val="20"/>
          <w:color w:val="auto"/>
        </w:rPr>
      </w:pPr>
    </w:p>
    <w:p>
      <w:pPr>
        <w:ind w:right="180" w:firstLine="374"/>
        <w:spacing w:after="0" w:line="286" w:lineRule="auto"/>
        <w:rPr>
          <w:sz w:val="20"/>
          <w:szCs w:val="20"/>
          <w:color w:val="auto"/>
        </w:rPr>
      </w:pPr>
      <w:r>
        <w:rPr>
          <w:rFonts w:ascii="Arial" w:cs="Arial" w:eastAsia="Arial" w:hAnsi="Arial"/>
          <w:sz w:val="16"/>
          <w:szCs w:val="16"/>
          <w:color w:val="auto"/>
        </w:rPr>
        <w:t>The Prophylaxis (XR) project-specific expenses increase of €0.3 million versus the prior year period is primarily due to the completion of Phase 1 and Phase 2 XR clinical trials offset by an increase in manufacturing expenses associated with validation activities.</w:t>
      </w:r>
    </w:p>
    <w:p>
      <w:pPr>
        <w:spacing w:after="0" w:line="129" w:lineRule="exact"/>
        <w:rPr>
          <w:sz w:val="20"/>
          <w:szCs w:val="20"/>
          <w:color w:val="auto"/>
        </w:rPr>
      </w:pPr>
    </w:p>
    <w:p>
      <w:pPr>
        <w:ind w:right="400" w:firstLine="374"/>
        <w:spacing w:after="0" w:line="286" w:lineRule="auto"/>
        <w:rPr>
          <w:sz w:val="20"/>
          <w:szCs w:val="20"/>
          <w:color w:val="auto"/>
        </w:rPr>
      </w:pPr>
      <w:r>
        <w:rPr>
          <w:rFonts w:ascii="Arial" w:cs="Arial" w:eastAsia="Arial" w:hAnsi="Arial"/>
          <w:sz w:val="16"/>
          <w:szCs w:val="16"/>
          <w:color w:val="auto"/>
        </w:rPr>
        <w:t>The AAE project-specific expenses increase of €2.1 million versus the prior year period is primarily due to the commencement and progress of the CREAATE trial, a global, pivotal Phase 3 study.</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40" w:type="dxa"/>
            <w:vAlign w:val="bottom"/>
          </w:tcPr>
          <w:p>
            <w:pPr>
              <w:ind w:left="380"/>
              <w:spacing w:after="0"/>
              <w:rPr>
                <w:sz w:val="20"/>
                <w:szCs w:val="20"/>
                <w:color w:val="auto"/>
              </w:rPr>
            </w:pPr>
            <w:r>
              <w:rPr>
                <w:rFonts w:ascii="Arial" w:cs="Arial" w:eastAsia="Arial" w:hAnsi="Arial"/>
                <w:sz w:val="16"/>
                <w:szCs w:val="16"/>
                <w:i w:val="1"/>
                <w:iCs w:val="1"/>
                <w:color w:val="auto"/>
              </w:rPr>
              <w:t>General and administrative expenses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90"/>
        </w:trPr>
        <w:tc>
          <w:tcPr>
            <w:tcW w:w="524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8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99"/>
        </w:trPr>
        <w:tc>
          <w:tcPr>
            <w:tcW w:w="5240" w:type="dxa"/>
            <w:vAlign w:val="bottom"/>
          </w:tcPr>
          <w:p>
            <w:pPr>
              <w:spacing w:after="0"/>
              <w:rPr>
                <w:sz w:val="17"/>
                <w:szCs w:val="17"/>
                <w:color w:val="auto"/>
              </w:rPr>
            </w:pPr>
          </w:p>
        </w:tc>
        <w:tc>
          <w:tcPr>
            <w:tcW w:w="12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r>
      <w:tr>
        <w:trPr>
          <w:trHeight w:val="196"/>
        </w:trPr>
        <w:tc>
          <w:tcPr>
            <w:tcW w:w="5240" w:type="dxa"/>
            <w:vAlign w:val="bottom"/>
          </w:tcPr>
          <w:p>
            <w:pPr>
              <w:spacing w:after="0"/>
              <w:rPr>
                <w:sz w:val="17"/>
                <w:szCs w:val="17"/>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40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Personnel expenses</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(6,247,497)</w:t>
            </w:r>
          </w:p>
        </w:tc>
        <w:tc>
          <w:tcPr>
            <w:tcW w:w="10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(5,029,239)</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(1,218,258)</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(3,573,466)</w:t>
            </w:r>
          </w:p>
        </w:tc>
        <w:tc>
          <w:tcPr>
            <w:tcW w:w="100" w:type="dxa"/>
            <w:vAlign w:val="bottom"/>
          </w:tcPr>
          <w:p>
            <w:pPr>
              <w:spacing w:after="0"/>
              <w:rPr>
                <w:sz w:val="17"/>
                <w:szCs w:val="17"/>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(2,604,146)</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(969,320)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w:t>
            </w: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Insurance, facilities and office expenses</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(1,319,912)</w:t>
            </w:r>
          </w:p>
        </w:tc>
        <w:tc>
          <w:tcPr>
            <w:tcW w:w="10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(1,350,761)</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30,849</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Accounting, tax and auditing fees</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(580,035)</w:t>
            </w:r>
          </w:p>
        </w:tc>
        <w:tc>
          <w:tcPr>
            <w:tcW w:w="100" w:type="dxa"/>
            <w:vAlign w:val="bottom"/>
          </w:tcPr>
          <w:p>
            <w:pPr>
              <w:spacing w:after="0"/>
              <w:rPr>
                <w:sz w:val="17"/>
                <w:szCs w:val="17"/>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(617,323)</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37,288</w:t>
            </w:r>
          </w:p>
        </w:tc>
        <w:tc>
          <w:tcPr>
            <w:tcW w:w="2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Travel expenses</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(257,037)</w:t>
            </w:r>
          </w:p>
        </w:tc>
        <w:tc>
          <w:tcPr>
            <w:tcW w:w="10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(325,131)</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68,094</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Consulting fees</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(47,568)</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47,568</w:t>
            </w:r>
          </w:p>
        </w:tc>
        <w:tc>
          <w:tcPr>
            <w:tcW w:w="2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(2,132,892)</w:t>
            </w:r>
          </w:p>
        </w:tc>
        <w:tc>
          <w:tcPr>
            <w:tcW w:w="10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(1,297,750)</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(835,142)</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64%</w:t>
            </w:r>
          </w:p>
        </w:tc>
      </w:tr>
      <w:tr>
        <w:trPr>
          <w:trHeight w:val="20"/>
        </w:trPr>
        <w:tc>
          <w:tcPr>
            <w:tcW w:w="52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(14,110,839)</w:t>
            </w:r>
          </w:p>
        </w:tc>
        <w:tc>
          <w:tcPr>
            <w:tcW w:w="100" w:type="dxa"/>
            <w:vAlign w:val="bottom"/>
          </w:tcPr>
          <w:p>
            <w:pPr>
              <w:spacing w:after="0"/>
              <w:rPr>
                <w:sz w:val="17"/>
                <w:szCs w:val="17"/>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(11,271,918)</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(2,838,921)</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r>
      <w:tr>
        <w:trPr>
          <w:trHeight w:val="20"/>
        </w:trPr>
        <w:tc>
          <w:tcPr>
            <w:tcW w:w="5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-161925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-161925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-161925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-161925</wp:posOffset>
            </wp:positionV>
            <wp:extent cx="1289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344" w:lineRule="exact"/>
        <w:rPr>
          <w:sz w:val="20"/>
          <w:szCs w:val="20"/>
          <w:color w:val="auto"/>
        </w:rPr>
      </w:pPr>
    </w:p>
    <w:p>
      <w:pPr>
        <w:ind w:right="180" w:firstLine="374"/>
        <w:spacing w:after="0" w:line="266" w:lineRule="auto"/>
        <w:rPr>
          <w:sz w:val="20"/>
          <w:szCs w:val="20"/>
          <w:color w:val="auto"/>
        </w:rPr>
      </w:pPr>
      <w:r>
        <w:rPr>
          <w:rFonts w:ascii="Arial" w:cs="Arial" w:eastAsia="Arial" w:hAnsi="Arial"/>
          <w:sz w:val="16"/>
          <w:szCs w:val="16"/>
          <w:color w:val="auto"/>
        </w:rPr>
        <w:t>General and administrative expenses increased from €11.3 million for the three months ended March 31, 2025 to €14.1 million for the three months ended March 31, 2026. The increase in general and administrative expenses is primarily due to increases supporting IR’s progression towards commercial launch and personnel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100" w:firstLine="374"/>
        <w:spacing w:after="0" w:line="266" w:lineRule="auto"/>
        <w:rPr>
          <w:sz w:val="20"/>
          <w:szCs w:val="20"/>
          <w:color w:val="auto"/>
        </w:rPr>
      </w:pPr>
      <w:r>
        <w:rPr>
          <w:rFonts w:ascii="Arial" w:cs="Arial" w:eastAsia="Arial" w:hAnsi="Arial"/>
          <w:sz w:val="16"/>
          <w:szCs w:val="16"/>
          <w:color w:val="auto"/>
        </w:rPr>
        <w:t>For the three months ended March 31, 2026 and 2025, personnel expenses were €6.2 million and €5.0 million, respectively. The €1.2 million increase in personnel expenses is driven by the hiring of employees to support the planned IR commercial launch. Personnel expenses include €2.7 million of share-based compensation versus €2.0 million in the prior-year period.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 w:name="page15"/>
    <w:bookmarkEnd w:id="14"/>
    <w:p>
      <w:pPr>
        <w:spacing w:after="0" w:line="157" w:lineRule="exact"/>
        <w:rPr>
          <w:sz w:val="20"/>
          <w:szCs w:val="20"/>
          <w:color w:val="auto"/>
        </w:rPr>
      </w:pPr>
    </w:p>
    <w:p>
      <w:pPr>
        <w:ind w:right="180" w:firstLine="374"/>
        <w:spacing w:after="0" w:line="286" w:lineRule="auto"/>
        <w:rPr>
          <w:sz w:val="20"/>
          <w:szCs w:val="20"/>
          <w:color w:val="auto"/>
        </w:rPr>
      </w:pPr>
      <w:r>
        <w:rPr>
          <w:rFonts w:ascii="Arial" w:cs="Arial" w:eastAsia="Arial" w:hAnsi="Arial"/>
          <w:sz w:val="16"/>
          <w:szCs w:val="16"/>
          <w:color w:val="auto"/>
        </w:rPr>
        <w:t>For the three months ended March 31, 2026 and 2025, professional fees were €3.6 million and €2.6 million, respectively. This represents an increase of €1.0 million primarily due to expenses supporting the progression of the IR program towards planned commercialization.</w:t>
      </w:r>
    </w:p>
    <w:p>
      <w:pPr>
        <w:spacing w:after="0" w:line="88" w:lineRule="exact"/>
        <w:rPr>
          <w:sz w:val="20"/>
          <w:szCs w:val="20"/>
          <w:color w:val="auto"/>
        </w:rPr>
      </w:pPr>
    </w:p>
    <w:p>
      <w:pPr>
        <w:ind w:right="40" w:firstLine="374"/>
        <w:spacing w:after="0" w:line="286" w:lineRule="auto"/>
        <w:rPr>
          <w:sz w:val="20"/>
          <w:szCs w:val="20"/>
          <w:color w:val="auto"/>
        </w:rPr>
      </w:pPr>
      <w:r>
        <w:rPr>
          <w:rFonts w:ascii="Arial" w:cs="Arial" w:eastAsia="Arial" w:hAnsi="Arial"/>
          <w:sz w:val="16"/>
          <w:szCs w:val="16"/>
          <w:color w:val="auto"/>
        </w:rPr>
        <w:t>For the three months ended March 31, 2026 and 2025, other expenses were €2.1 million and €1.3 million, respectively, an increase of €0.8 million. The increase is primarily due to conference expenses supporting the progression of the IR program towards planned commercialization.</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Finance income / (expense) - net</w:t>
      </w:r>
    </w:p>
    <w:p>
      <w:pPr>
        <w:spacing w:after="0" w:line="179" w:lineRule="exact"/>
        <w:rPr>
          <w:sz w:val="20"/>
          <w:szCs w:val="20"/>
          <w:color w:val="auto"/>
        </w:rPr>
      </w:pPr>
    </w:p>
    <w:p>
      <w:pPr>
        <w:ind w:right="120" w:firstLine="374"/>
        <w:spacing w:after="0" w:line="262" w:lineRule="auto"/>
        <w:rPr>
          <w:sz w:val="20"/>
          <w:szCs w:val="20"/>
          <w:color w:val="auto"/>
        </w:rPr>
      </w:pPr>
      <w:r>
        <w:rPr>
          <w:rFonts w:ascii="Arial" w:cs="Arial" w:eastAsia="Arial" w:hAnsi="Arial"/>
          <w:sz w:val="16"/>
          <w:szCs w:val="16"/>
          <w:color w:val="auto"/>
        </w:rPr>
        <w:t>Finance income (expense) for the three months ended March 31, 2026 and 2025 was €5.3 million and (€3.9) million, respectively. The €9.2 million year-over-year variance was primarily attributable to foreign exchange losses recognized in the first quarter of 2025, driven by a devaluation of the USD versus the Euro, compared to foreign exchange gains recognized in the same period of 2026 resulting from an appreciation in value of the USD versus the Euro.</w:t>
      </w:r>
    </w:p>
    <w:p>
      <w:pPr>
        <w:spacing w:after="0" w:line="331"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Income taxes</w:t>
      </w:r>
    </w:p>
    <w:p>
      <w:pPr>
        <w:spacing w:after="0" w:line="192" w:lineRule="exact"/>
        <w:rPr>
          <w:sz w:val="20"/>
          <w:szCs w:val="20"/>
          <w:color w:val="auto"/>
        </w:rPr>
      </w:pPr>
    </w:p>
    <w:p>
      <w:pPr>
        <w:ind w:firstLine="374"/>
        <w:spacing w:after="0" w:line="256" w:lineRule="auto"/>
        <w:rPr>
          <w:sz w:val="20"/>
          <w:szCs w:val="20"/>
          <w:color w:val="auto"/>
        </w:rPr>
      </w:pPr>
      <w:r>
        <w:rPr>
          <w:rFonts w:ascii="Arial" w:cs="Arial" w:eastAsia="Arial" w:hAnsi="Arial"/>
          <w:sz w:val="16"/>
          <w:szCs w:val="16"/>
          <w:color w:val="auto"/>
        </w:rPr>
        <w:t>Income taxes are accounted for in accordance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and subsequently allocated using the expected full-year effective tax rate. The one-off items are recognized in full in the interim period in which they emerge. In the total interim tax charge, no distinction is made between current and deferred tax expenses/income.</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tax expense over the three months ended March 31, 2026 relates to the Company's U.S. and Dutch fiscal unity.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4" w:lineRule="exact"/>
        <w:rPr>
          <w:sz w:val="20"/>
          <w:szCs w:val="20"/>
          <w:color w:val="auto"/>
        </w:rPr>
      </w:pPr>
    </w:p>
    <w:p>
      <w:pPr>
        <w:ind w:right="100" w:firstLine="374"/>
        <w:spacing w:after="0" w:line="259" w:lineRule="auto"/>
        <w:rPr>
          <w:sz w:val="20"/>
          <w:szCs w:val="20"/>
          <w:color w:val="auto"/>
        </w:rPr>
      </w:pPr>
      <w:r>
        <w:rPr>
          <w:rFonts w:ascii="Arial" w:cs="Arial" w:eastAsia="Arial" w:hAnsi="Arial"/>
          <w:sz w:val="16"/>
          <w:szCs w:val="16"/>
          <w:color w:val="auto"/>
        </w:rPr>
        <w:t>Since inception, we have incurred significant operating losses. For the three months ended March 31, 2026 and 2025, we incurred losses of €39.2 million and €46.3 million, respectively. Since inception, we have not generated any revenues or net cash flows from sales. We will not receive any revenues or net cash flows from sales until we successfully develop a product candidate, obtain regulatory approval and successfully commercialize it. There is no assurance that we will be able to do so.</w:t>
      </w:r>
    </w:p>
    <w:p>
      <w:pPr>
        <w:spacing w:after="0" w:line="151" w:lineRule="exact"/>
        <w:rPr>
          <w:sz w:val="20"/>
          <w:szCs w:val="20"/>
          <w:color w:val="auto"/>
        </w:rPr>
      </w:pPr>
    </w:p>
    <w:p>
      <w:pPr>
        <w:ind w:right="20" w:firstLine="374"/>
        <w:spacing w:after="0" w:line="259" w:lineRule="auto"/>
        <w:rPr>
          <w:sz w:val="20"/>
          <w:szCs w:val="20"/>
          <w:color w:val="auto"/>
        </w:rPr>
      </w:pPr>
      <w:r>
        <w:rPr>
          <w:rFonts w:ascii="Arial" w:cs="Arial" w:eastAsia="Arial" w:hAnsi="Arial"/>
          <w:sz w:val="16"/>
          <w:szCs w:val="16"/>
          <w:color w:val="auto"/>
        </w:rPr>
        <w:t>To date, we have relied on the issuance of equity securities to finance our operations and internal growth. We have previously offered and sold ordinary shares and pre-funded warrants pursuant to underwritten offerings, private placements and at-the-market sales programs. In July 2025, we conducted an underwritten offering of ordinary shares and pre-funded warrants to purchase ordinary shares that generated net proceeds of approximately €160.9 million ($189 million).</w:t>
      </w:r>
    </w:p>
    <w:p>
      <w:pPr>
        <w:spacing w:after="0" w:line="147" w:lineRule="exact"/>
        <w:rPr>
          <w:sz w:val="20"/>
          <w:szCs w:val="20"/>
          <w:color w:val="auto"/>
        </w:rPr>
      </w:pPr>
    </w:p>
    <w:p>
      <w:pPr>
        <w:ind w:right="100" w:firstLine="374"/>
        <w:spacing w:after="0" w:line="259" w:lineRule="auto"/>
        <w:rPr>
          <w:sz w:val="20"/>
          <w:szCs w:val="20"/>
          <w:color w:val="auto"/>
        </w:rPr>
      </w:pPr>
      <w:r>
        <w:rPr>
          <w:rFonts w:ascii="Arial" w:cs="Arial" w:eastAsia="Arial" w:hAnsi="Arial"/>
          <w:sz w:val="16"/>
          <w:szCs w:val="16"/>
          <w:color w:val="auto"/>
        </w:rPr>
        <w:t>As of March 31, 2026 we held cash and cash equivalents of €247.0 million. Of the cash on hand, €0.1 million relates to guarantees</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We do not expect positive operating cash flows in the foreseeable future and remain dependent on additional financing to fund our research and development expenses, general and administrative expenses and financing costs. We believe that the available cash balances are sufficient to execute our operating plan and strategies and to meet the anticipated working capital requirements and settle all expected liabilities for at least twelve months from the issuance date of the consolidated statements of loss and comprehensive loss. Accordingly, the consolidated statements of loss and comprehensive loss have been prepared on a going concern basis.</w:t>
      </w:r>
    </w:p>
    <w:p>
      <w:pPr>
        <w:spacing w:after="0" w:line="150" w:lineRule="exact"/>
        <w:rPr>
          <w:sz w:val="20"/>
          <w:szCs w:val="20"/>
          <w:color w:val="auto"/>
        </w:rPr>
      </w:pPr>
    </w:p>
    <w:p>
      <w:pPr>
        <w:ind w:right="160" w:firstLine="374"/>
        <w:spacing w:after="0" w:line="254" w:lineRule="auto"/>
        <w:rPr>
          <w:sz w:val="20"/>
          <w:szCs w:val="20"/>
          <w:color w:val="auto"/>
        </w:rPr>
      </w:pPr>
      <w:r>
        <w:rPr>
          <w:rFonts w:ascii="Arial" w:cs="Arial" w:eastAsia="Arial" w:hAnsi="Arial"/>
          <w:sz w:val="16"/>
          <w:szCs w:val="16"/>
          <w:color w:val="auto"/>
        </w:rPr>
        <w:t>Our future viability is dependent on our ability to raise additional capital to finance operations. We will need to finance our operations through public or private securities offerings, debt financings or other sources, which may include licensing, collaborations or other strategic transactions or arrangements. Although we have been successful in raising capital in the past, there is no assurance that we will be successful in obtaining such additional financing on terms acceptable to us, if at all. If we are unable to obtain funding, we could be forced to delay, reduce, or eliminate some or all of our research and development programs for product candidates, product portfolio expansion or commercialization efforts, which could adversely affect our business prospects, or we may be unable to continue operations.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ind w:right="720" w:firstLine="374"/>
        <w:spacing w:after="0" w:line="286" w:lineRule="auto"/>
        <w:rPr>
          <w:sz w:val="20"/>
          <w:szCs w:val="20"/>
          <w:color w:val="auto"/>
        </w:rPr>
      </w:pPr>
      <w:r>
        <w:rPr>
          <w:rFonts w:ascii="Arial" w:cs="Arial" w:eastAsia="Arial" w:hAnsi="Arial"/>
          <w:sz w:val="16"/>
          <w:szCs w:val="16"/>
          <w:color w:val="auto"/>
        </w:rPr>
        <w:t>Our contractual obligations and commitments as of March 31, 2026 amounted to €121.9 million primarily related to research and development contracts.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Comparison for the three months ended March 31, 2026 and 2025.</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our primary sources and uses of our cash and cash equivalents for each of the periods set forth below:</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5"/>
          </w:tcPr>
          <w:p>
            <w:pPr>
              <w:jc w:val="right"/>
              <w:ind w:right="1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5"/>
        </w:trPr>
        <w:tc>
          <w:tcPr>
            <w:tcW w:w="504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9"/>
        </w:trPr>
        <w:tc>
          <w:tcPr>
            <w:tcW w:w="5040" w:type="dxa"/>
            <w:vAlign w:val="bottom"/>
          </w:tcPr>
          <w:p>
            <w:pPr>
              <w:spacing w:after="0"/>
              <w:rPr>
                <w:sz w:val="17"/>
                <w:szCs w:val="17"/>
                <w:color w:val="auto"/>
              </w:rPr>
            </w:pP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15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154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flows used in operating activities</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(48,765,956)</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(38,471,605)</w:t>
            </w:r>
          </w:p>
        </w:tc>
        <w:tc>
          <w:tcPr>
            <w:tcW w:w="2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(10,294,351)</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(52,097)</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(161,003)</w:t>
            </w:r>
          </w:p>
        </w:tc>
        <w:tc>
          <w:tcPr>
            <w:tcW w:w="28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108,906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flows used in financing activities</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(61,514)</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(75,447)</w:t>
            </w:r>
          </w:p>
        </w:tc>
        <w:tc>
          <w:tcPr>
            <w:tcW w:w="2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13,933</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2"/>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(48,879,567)</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(38,708,055)</w:t>
            </w:r>
          </w:p>
        </w:tc>
        <w:tc>
          <w:tcPr>
            <w:tcW w:w="28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(10,171,512)</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w:t>
            </w: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291,678,888</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280,728,037</w:t>
            </w:r>
          </w:p>
        </w:tc>
        <w:tc>
          <w:tcPr>
            <w:tcW w:w="2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10,950,851</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4,158,677</w:t>
            </w:r>
          </w:p>
        </w:tc>
        <w:tc>
          <w:tcPr>
            <w:tcW w:w="10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(5,524,045)</w:t>
            </w:r>
          </w:p>
        </w:tc>
        <w:tc>
          <w:tcPr>
            <w:tcW w:w="28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9,682,722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0"/>
        </w:trPr>
        <w:tc>
          <w:tcPr>
            <w:tcW w:w="50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the end of the period</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246,957,998</w:t>
            </w:r>
          </w:p>
        </w:tc>
        <w:tc>
          <w:tcPr>
            <w:tcW w:w="1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236,495,937</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10,462,061</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r>
      <w:tr>
        <w:trPr>
          <w:trHeight w:val="20"/>
        </w:trPr>
        <w:tc>
          <w:tcPr>
            <w:tcW w:w="504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79" w:lineRule="exact"/>
        <w:rPr>
          <w:sz w:val="20"/>
          <w:szCs w:val="20"/>
          <w:color w:val="auto"/>
        </w:rPr>
      </w:pPr>
    </w:p>
    <w:p>
      <w:pPr>
        <w:ind w:right="80" w:firstLine="374"/>
        <w:spacing w:after="0" w:line="259" w:lineRule="auto"/>
        <w:rPr>
          <w:sz w:val="20"/>
          <w:szCs w:val="20"/>
          <w:color w:val="auto"/>
        </w:rPr>
      </w:pPr>
      <w:r>
        <w:rPr>
          <w:rFonts w:ascii="Arial" w:cs="Arial" w:eastAsia="Arial" w:hAnsi="Arial"/>
          <w:sz w:val="16"/>
          <w:szCs w:val="16"/>
          <w:color w:val="auto"/>
        </w:rPr>
        <w:t>Net cash used in operating activities was €48.8 million for the three months ended March 31, 2026 and primarily consisted of a net loss before taxes of €38.9 million adjusted for share-based compensation of €4.9 million, net foreign exchange gain of €4.1 million and finance costs of €0.1 million, an increase in other current assets of €1.2 million and decreases in trade and other payables of €4.7 million and accrued liabilities of €4.4 million as well as other changes in net working capital.</w:t>
      </w:r>
    </w:p>
    <w:p>
      <w:pPr>
        <w:spacing w:after="0" w:line="151" w:lineRule="exact"/>
        <w:rPr>
          <w:sz w:val="20"/>
          <w:szCs w:val="20"/>
          <w:color w:val="auto"/>
        </w:rPr>
      </w:pPr>
    </w:p>
    <w:p>
      <w:pPr>
        <w:ind w:right="80" w:firstLine="374"/>
        <w:spacing w:after="0" w:line="266" w:lineRule="auto"/>
        <w:rPr>
          <w:sz w:val="20"/>
          <w:szCs w:val="20"/>
          <w:color w:val="auto"/>
        </w:rPr>
      </w:pPr>
      <w:r>
        <w:rPr>
          <w:rFonts w:ascii="Arial" w:cs="Arial" w:eastAsia="Arial" w:hAnsi="Arial"/>
          <w:sz w:val="16"/>
          <w:szCs w:val="16"/>
          <w:color w:val="auto"/>
        </w:rPr>
        <w:t>Net cash used in operating activities was €38.5 million for the three months ended March 31, 2025 and primarily consisted of a net loss before taxes of €46.0 million adjusted for share-based compensation of €4.1 million, net foreign exchange losses of €5.4 million and finance income of €1.2 million, an increase in other current assets of €1.3 million and other changes in net working capital.</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79" w:lineRule="exact"/>
        <w:rPr>
          <w:sz w:val="20"/>
          <w:szCs w:val="20"/>
          <w:color w:val="auto"/>
        </w:rPr>
      </w:pPr>
    </w:p>
    <w:p>
      <w:pPr>
        <w:ind w:right="380" w:firstLine="374"/>
        <w:spacing w:after="0" w:line="286" w:lineRule="auto"/>
        <w:rPr>
          <w:sz w:val="20"/>
          <w:szCs w:val="20"/>
          <w:color w:val="auto"/>
        </w:rPr>
      </w:pPr>
      <w:r>
        <w:rPr>
          <w:rFonts w:ascii="Arial" w:cs="Arial" w:eastAsia="Arial" w:hAnsi="Arial"/>
          <w:sz w:val="16"/>
          <w:szCs w:val="16"/>
          <w:color w:val="auto"/>
        </w:rPr>
        <w:t>Net cash flows used in financing activities was €0.1 million and remained substantially unchanged for the three months ended March 31, 2026 and 2025. The cash flows primarily relate to payments related to lease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March 31, 2026, we did not have any off-balance sheet arrangements other than the disclosed commitments.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Disclosures About Market Risk</w:t>
      </w:r>
    </w:p>
    <w:p>
      <w:pPr>
        <w:spacing w:after="0" w:line="181" w:lineRule="exact"/>
        <w:rPr>
          <w:sz w:val="20"/>
          <w:szCs w:val="20"/>
          <w:color w:val="auto"/>
        </w:rPr>
      </w:pPr>
    </w:p>
    <w:p>
      <w:pPr>
        <w:ind w:right="20" w:firstLine="374"/>
        <w:spacing w:after="0" w:line="286" w:lineRule="auto"/>
        <w:rPr>
          <w:sz w:val="20"/>
          <w:szCs w:val="20"/>
          <w:color w:val="auto"/>
        </w:rPr>
      </w:pPr>
      <w:r>
        <w:rPr>
          <w:rFonts w:ascii="Arial" w:cs="Arial" w:eastAsia="Arial" w:hAnsi="Arial"/>
          <w:sz w:val="16"/>
          <w:szCs w:val="16"/>
          <w:color w:val="auto"/>
        </w:rPr>
        <w:t>During the three months ended March 31, 2026, there were no significant changes to our quantitative and qualitative disclosures about market risk from those reported in “Item 11. Quantitative and Qualitative Disclosures About Market Risk” in the Annual Report.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 and Judgments</w:t>
      </w:r>
    </w:p>
    <w:p>
      <w:pPr>
        <w:spacing w:after="0" w:line="181" w:lineRule="exact"/>
        <w:rPr>
          <w:sz w:val="20"/>
          <w:szCs w:val="20"/>
          <w:color w:val="auto"/>
        </w:rPr>
      </w:pPr>
    </w:p>
    <w:p>
      <w:pPr>
        <w:ind w:right="720" w:firstLine="374"/>
        <w:spacing w:after="0" w:line="286" w:lineRule="auto"/>
        <w:rPr>
          <w:sz w:val="20"/>
          <w:szCs w:val="20"/>
          <w:color w:val="auto"/>
        </w:rPr>
      </w:pPr>
      <w:r>
        <w:rPr>
          <w:rFonts w:ascii="Arial" w:cs="Arial" w:eastAsia="Arial" w:hAnsi="Arial"/>
          <w:sz w:val="16"/>
          <w:szCs w:val="16"/>
          <w:color w:val="auto"/>
        </w:rPr>
        <w:t>There have been no material changes to the significant accounting policies and estimates described in Note 2.19 to our consolidated financial statements in the Annual Report.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81" w:lineRule="exact"/>
        <w:rPr>
          <w:sz w:val="20"/>
          <w:szCs w:val="20"/>
          <w:color w:val="auto"/>
        </w:rPr>
      </w:pPr>
    </w:p>
    <w:p>
      <w:pPr>
        <w:jc w:val="both"/>
        <w:ind w:right="240" w:firstLine="374"/>
        <w:spacing w:after="0" w:line="266" w:lineRule="auto"/>
        <w:rPr>
          <w:sz w:val="20"/>
          <w:szCs w:val="20"/>
          <w:color w:val="auto"/>
        </w:rPr>
      </w:pPr>
      <w:r>
        <w:rPr>
          <w:rFonts w:ascii="Arial" w:cs="Arial" w:eastAsia="Arial" w:hAnsi="Arial"/>
          <w:sz w:val="16"/>
          <w:szCs w:val="16"/>
          <w:color w:val="auto"/>
        </w:rPr>
        <w:t>Certain statements in this management’s discussion and analysis are or may be forward-looking statements with respect to us, our industry and our business that involve substantial risks and uncertainties. All statements other than statements of historical fact contained in this management’s discussion and analysis, including statements regarding</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6" w:name="page17"/>
    <w:bookmarkEnd w:id="16"/>
    <w:p>
      <w:pPr>
        <w:spacing w:after="0" w:line="157"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Factors that might cause such a difference include, but are not limited to:</w:t>
      </w:r>
    </w:p>
    <w:p>
      <w:pPr>
        <w:spacing w:after="0" w:line="302" w:lineRule="exact"/>
        <w:rPr>
          <w:sz w:val="20"/>
          <w:szCs w:val="20"/>
          <w:color w:val="auto"/>
        </w:rPr>
      </w:pPr>
    </w:p>
    <w:p>
      <w:pPr>
        <w:ind w:left="1020" w:hanging="503"/>
        <w:spacing w:after="0" w:line="285"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uncertainty in the outcome of our interactions with regulatory authorities, including the U.S. Food and Drug Administration or FDA, with respect to clinical trials in the U.S. and our ability to resolve any issues to the satisfaction of the FDA or any regulatory agency in a timely manner;</w:t>
      </w:r>
    </w:p>
    <w:p>
      <w:pPr>
        <w:spacing w:after="0" w:line="48" w:lineRule="exact"/>
        <w:rPr>
          <w:rFonts w:ascii="Times New Roman" w:cs="Times New Roman" w:eastAsia="Times New Roman" w:hAnsi="Times New Roman"/>
          <w:sz w:val="16"/>
          <w:szCs w:val="16"/>
          <w:color w:val="auto"/>
        </w:rPr>
      </w:pPr>
    </w:p>
    <w:p>
      <w:pPr>
        <w:ind w:left="1020" w:right="300" w:hanging="503"/>
        <w:spacing w:after="0" w:line="285"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the expected timing, progress, or success of our product candidates, especially for XR (extended-release deucrictibant tablets), which is in late-stage global clinical trials;</w:t>
      </w:r>
    </w:p>
    <w:p>
      <w:pPr>
        <w:spacing w:after="0" w:line="48" w:lineRule="exact"/>
        <w:rPr>
          <w:rFonts w:ascii="Times New Roman" w:cs="Times New Roman" w:eastAsia="Times New Roman" w:hAnsi="Times New Roman"/>
          <w:sz w:val="16"/>
          <w:szCs w:val="16"/>
          <w:color w:val="auto"/>
        </w:rPr>
      </w:pPr>
    </w:p>
    <w:p>
      <w:pPr>
        <w:ind w:left="1020" w:right="200" w:hanging="503"/>
        <w:spacing w:after="0" w:line="285"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replicate the efficacy and safety demonstrated in the RAPIDe-1, RAPIDe-2, RAPIDe-3, and CHAPTER-1 Phase 2 and Phase 3 studies in ongoing and future nonclinical studies and clinical trials, such as CHAPTER-3 and CREAATE;</w:t>
      </w:r>
    </w:p>
    <w:p>
      <w:pPr>
        <w:spacing w:after="0" w:line="48" w:lineRule="exact"/>
        <w:rPr>
          <w:rFonts w:ascii="Times New Roman" w:cs="Times New Roman" w:eastAsia="Times New Roman" w:hAnsi="Times New Roman"/>
          <w:sz w:val="16"/>
          <w:szCs w:val="16"/>
          <w:color w:val="auto"/>
        </w:rPr>
      </w:pPr>
    </w:p>
    <w:p>
      <w:pPr>
        <w:ind w:left="1020" w:right="180" w:hanging="503"/>
        <w:spacing w:after="0" w:line="285"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and outcome of regulatory approvals, including the timing and outcome of our planned submission of a New Drug Application with the FDA in the first half of 2026 for the on-demand treatment of acute attacks of HAE;</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risks arising from epidemic diseases which may adversely impact our business, nonclinical studies and clinical trials;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potentially use deucrictibant for alternative purposes, for example to treat C1-INH deficiency (AAE-C1INH);</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the value of our ordinary shares;</w:t>
      </w:r>
    </w:p>
    <w:p>
      <w:pPr>
        <w:spacing w:after="0" w:line="125" w:lineRule="exact"/>
        <w:rPr>
          <w:rFonts w:ascii="Times New Roman" w:cs="Times New Roman" w:eastAsia="Times New Roman" w:hAnsi="Times New Roman"/>
          <w:sz w:val="16"/>
          <w:szCs w:val="16"/>
          <w:color w:val="auto"/>
        </w:rPr>
      </w:pPr>
    </w:p>
    <w:p>
      <w:pPr>
        <w:ind w:left="1020" w:right="280" w:hanging="503"/>
        <w:spacing w:after="0" w:line="285"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costs and other limitations involved in obtaining regulatory approval for our product candidates, including IR (immediate-release deucrictibant capsules) and XR or any other product candidate that we may develop in the future;</w:t>
      </w:r>
    </w:p>
    <w:p>
      <w:pPr>
        <w:spacing w:after="0" w:line="48" w:lineRule="exact"/>
        <w:rPr>
          <w:rFonts w:ascii="Times New Roman" w:cs="Times New Roman" w:eastAsia="Times New Roman" w:hAnsi="Times New Roman"/>
          <w:sz w:val="16"/>
          <w:szCs w:val="16"/>
          <w:color w:val="auto"/>
        </w:rPr>
      </w:pPr>
    </w:p>
    <w:p>
      <w:pPr>
        <w:ind w:left="1020" w:right="640" w:hanging="503"/>
        <w:spacing w:after="0" w:line="285"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market, commercialize and achieve market acceptance for our product candidates IR and XR or any of our other product candidates that we may develop in the future, if approved;</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establish commercial capabilities or enter into agreements with third parties to market, sell and distribute our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our dependence on third parties to perform critical activities related to the research, nonclinical safety and toxicology studies, development and manufacturing of our product candidates;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disruptions at the FDA and other government agencies;</w:t>
      </w:r>
    </w:p>
    <w:p>
      <w:pPr>
        <w:spacing w:after="0" w:line="125" w:lineRule="exact"/>
        <w:rPr>
          <w:rFonts w:ascii="Times New Roman" w:cs="Times New Roman" w:eastAsia="Times New Roman" w:hAnsi="Times New Roman"/>
          <w:sz w:val="16"/>
          <w:szCs w:val="16"/>
          <w:color w:val="auto"/>
        </w:rPr>
      </w:pPr>
    </w:p>
    <w:p>
      <w:pPr>
        <w:ind w:left="1020" w:right="180" w:hanging="503"/>
        <w:spacing w:after="0" w:line="285"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the expense, time and uncertainty involved in the development and consistent manufacturing and supply of our product candidates, some or all of which may never reach the regulatory approval stage;</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produce sufficient amounts of drug product candidates for commercialization;</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raise capital when needed and on acceptable terms;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enter into any new licensing agreements or to maintain any licensing agreements with respect to our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our reliance on collaboration partners and licensees, whose actions we cannot control;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the willingness of private insurers and other payors to provide reimbursement for our products;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regulatory developments in the United States, the European Union and other jurisdictions;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the outcome and timing of price negotiations with governmental authorities;</w:t>
      </w:r>
    </w:p>
    <w:p>
      <w:pPr>
        <w:spacing w:after="0" w:line="125" w:lineRule="exact"/>
        <w:rPr>
          <w:rFonts w:ascii="Times New Roman" w:cs="Times New Roman" w:eastAsia="Times New Roman" w:hAnsi="Times New Roman"/>
          <w:sz w:val="16"/>
          <w:szCs w:val="16"/>
          <w:color w:val="auto"/>
        </w:rPr>
      </w:pPr>
    </w:p>
    <w:p>
      <w:pPr>
        <w:ind w:left="1020" w:right="220" w:hanging="503"/>
        <w:spacing w:after="0" w:line="285"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compete in the pharmaceutical industry, including with respect to existing therapies, emerging potentially competitive therapies and with competitive generic products;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90" w:lineRule="exact"/>
        <w:rPr>
          <w:sz w:val="20"/>
          <w:szCs w:val="20"/>
          <w:color w:val="auto"/>
        </w:rPr>
      </w:pPr>
    </w:p>
    <w:p>
      <w:pPr>
        <w:ind w:left="1020" w:right="440" w:hanging="503"/>
        <w:spacing w:after="0" w:line="285" w:lineRule="auto"/>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protect our intellectual property and know-how and operate our business without infringing the intellectual property rights or regulatory exclusivity of others;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side effects or adverse events associated with the use of our product candidates;</w:t>
      </w:r>
    </w:p>
    <w:p>
      <w:pPr>
        <w:spacing w:after="0" w:line="125" w:lineRule="exact"/>
        <w:rPr>
          <w:rFonts w:ascii="Times New Roman" w:cs="Times New Roman" w:eastAsia="Times New Roman" w:hAnsi="Times New Roman"/>
          <w:sz w:val="16"/>
          <w:szCs w:val="16"/>
          <w:color w:val="auto"/>
        </w:rPr>
      </w:pPr>
    </w:p>
    <w:p>
      <w:pPr>
        <w:ind w:left="1020" w:right="660" w:hanging="503"/>
        <w:spacing w:after="0" w:line="285" w:lineRule="auto"/>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defend against costly and damaging liability claims resulting from the testing of our product candidates in the clinic or, if, approved, any commercial sales;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the loss of any of our key personnel;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market sizes and anticipated uses of our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future performance;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comply with existing or future laws and regulations in a cost-efficient manner;</w:t>
      </w:r>
    </w:p>
    <w:p>
      <w:pPr>
        <w:spacing w:after="0" w:line="125" w:lineRule="exact"/>
        <w:rPr>
          <w:rFonts w:ascii="Times New Roman" w:cs="Times New Roman" w:eastAsia="Times New Roman" w:hAnsi="Times New Roman"/>
          <w:sz w:val="16"/>
          <w:szCs w:val="16"/>
          <w:color w:val="auto"/>
        </w:rPr>
      </w:pPr>
    </w:p>
    <w:p>
      <w:pPr>
        <w:ind w:left="1020" w:right="280" w:hanging="503"/>
        <w:spacing w:after="0" w:line="285" w:lineRule="auto"/>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manage negative consequences from changes in applicable laws and regulations, including tax laws (including the Biosecure Act);</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maintain an effective system of internal control over financial reporting;</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expectations regarding the time during which we will be a foreign private issuer;</w:t>
      </w:r>
    </w:p>
    <w:p>
      <w:pPr>
        <w:spacing w:after="0" w:line="125"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changes and uncertainty in general market, political and economic conditions, including as a result of inflation and the conflict between Russia and Ukraine and the conflict in the Middle East; and</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regulations and customs, tariffs and trade barriers.</w:t>
      </w:r>
    </w:p>
    <w:p>
      <w:pPr>
        <w:spacing w:after="0" w:line="200" w:lineRule="exact"/>
        <w:rPr>
          <w:sz w:val="20"/>
          <w:szCs w:val="20"/>
          <w:color w:val="auto"/>
        </w:rPr>
      </w:pPr>
    </w:p>
    <w:p>
      <w:pPr>
        <w:spacing w:after="0" w:line="250" w:lineRule="exact"/>
        <w:rPr>
          <w:sz w:val="20"/>
          <w:szCs w:val="20"/>
          <w:color w:val="auto"/>
        </w:rPr>
      </w:pPr>
    </w:p>
    <w:p>
      <w:pPr>
        <w:ind w:right="40" w:firstLine="374"/>
        <w:spacing w:after="0" w:line="259" w:lineRule="auto"/>
        <w:rPr>
          <w:sz w:val="20"/>
          <w:szCs w:val="20"/>
          <w:color w:val="auto"/>
        </w:rPr>
      </w:pPr>
      <w:r>
        <w:rPr>
          <w:rFonts w:ascii="Arial" w:cs="Arial" w:eastAsia="Arial" w:hAnsi="Arial"/>
          <w:sz w:val="16"/>
          <w:szCs w:val="16"/>
          <w:color w:val="auto"/>
        </w:rPr>
        <w:t>You should refer to “ITEM 3. Key information—D. Risk factors.” section of our Annual Report and under “Risk factors” in any other periodic filings with the Securities and Exchange Commission for a discussion of important factors that may cause our actual results to differ materially from those expressed or implied by our forward-looking statements. As a result of these factors, we cannot assure you that the forward-looking statements in this management’s discussion and analysis will prove to be accurate. Furthermore, if our forward-looking statements prove to be inaccurate, the inaccuracy may be material.</w:t>
      </w:r>
    </w:p>
    <w:p>
      <w:pPr>
        <w:spacing w:after="0" w:line="137" w:lineRule="exact"/>
        <w:rPr>
          <w:sz w:val="20"/>
          <w:szCs w:val="20"/>
          <w:color w:val="auto"/>
        </w:rPr>
      </w:pPr>
    </w:p>
    <w:p>
      <w:pPr>
        <w:ind w:right="100" w:firstLine="374"/>
        <w:spacing w:after="0" w:line="286" w:lineRule="auto"/>
        <w:rPr>
          <w:sz w:val="20"/>
          <w:szCs w:val="20"/>
          <w:color w:val="auto"/>
        </w:rPr>
      </w:pPr>
      <w:r>
        <w:rPr>
          <w:rFonts w:ascii="Arial" w:cs="Arial" w:eastAsia="Arial" w:hAnsi="Arial"/>
          <w:sz w:val="16"/>
          <w:szCs w:val="16"/>
          <w:color w:val="auto"/>
        </w:rPr>
        <w:t>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29" w:lineRule="exact"/>
        <w:rPr>
          <w:sz w:val="20"/>
          <w:szCs w:val="20"/>
          <w:color w:val="auto"/>
        </w:rPr>
      </w:pPr>
    </w:p>
    <w:p>
      <w:pPr>
        <w:ind w:right="400" w:firstLine="374"/>
        <w:spacing w:after="0" w:line="286" w:lineRule="auto"/>
        <w:rPr>
          <w:sz w:val="20"/>
          <w:szCs w:val="20"/>
          <w:color w:val="auto"/>
        </w:rPr>
      </w:pPr>
      <w:r>
        <w:rPr>
          <w:rFonts w:ascii="Arial" w:cs="Arial" w:eastAsia="Arial" w:hAnsi="Arial"/>
          <w:sz w:val="16"/>
          <w:szCs w:val="16"/>
          <w:color w:val="auto"/>
        </w:rPr>
        <w:t>We undertake no obligation to publicly update any forward-looking statements, whether as a result of new information, future events or otherwise, except as required by law.</w:t>
      </w:r>
    </w:p>
    <w:p>
      <w:pPr>
        <w:spacing w:after="0" w:line="115" w:lineRule="exact"/>
        <w:rPr>
          <w:sz w:val="20"/>
          <w:szCs w:val="20"/>
          <w:color w:val="auto"/>
        </w:rPr>
      </w:pPr>
    </w:p>
    <w:p>
      <w:pPr>
        <w:ind w:right="40" w:firstLine="374"/>
        <w:spacing w:after="0" w:line="256" w:lineRule="auto"/>
        <w:rPr>
          <w:sz w:val="20"/>
          <w:szCs w:val="20"/>
          <w:color w:val="auto"/>
        </w:rPr>
      </w:pPr>
      <w:r>
        <w:rPr>
          <w:rFonts w:ascii="Arial" w:cs="Arial" w:eastAsia="Arial" w:hAnsi="Arial"/>
          <w:sz w:val="16"/>
          <w:szCs w:val="16"/>
          <w:color w:val="auto"/>
        </w:rPr>
        <w:t>In addition, statements that “we believe” and other similar statements reflect our belief and opinions on the relevant subject. These statements are based upon information available to us as of the date of this management’s discussion and analysis,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Pharvaris N.V.</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 Condensed Consolidated Interim Financial Statements</w:t>
      </w:r>
    </w:p>
    <w:p>
      <w:pPr>
        <w:spacing w:after="0"/>
        <w:rPr>
          <w:sz w:val="20"/>
          <w:szCs w:val="20"/>
          <w:color w:val="auto"/>
        </w:rPr>
      </w:pPr>
      <w:r>
        <w:rPr>
          <w:rFonts w:ascii="Arial" w:cs="Arial" w:eastAsia="Arial" w:hAnsi="Arial"/>
          <w:sz w:val="22"/>
          <w:szCs w:val="22"/>
          <w:b w:val="1"/>
          <w:bCs w:val="1"/>
          <w:color w:val="auto"/>
        </w:rPr>
        <w:t>For the 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1228090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11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loss and other comprehensive loss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3</w:t>
            </w:r>
          </w:p>
        </w:tc>
      </w:tr>
      <w:tr>
        <w:trPr>
          <w:trHeight w:val="412"/>
        </w:trPr>
        <w:tc>
          <w:tcPr>
            <w:tcW w:w="111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financial position</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4</w:t>
            </w:r>
          </w:p>
        </w:tc>
      </w:tr>
      <w:tr>
        <w:trPr>
          <w:trHeight w:val="412"/>
        </w:trPr>
        <w:tc>
          <w:tcPr>
            <w:tcW w:w="111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changes in equity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5</w:t>
            </w:r>
          </w:p>
        </w:tc>
      </w:tr>
      <w:tr>
        <w:trPr>
          <w:trHeight w:val="412"/>
        </w:trPr>
        <w:tc>
          <w:tcPr>
            <w:tcW w:w="111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cash flows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6</w:t>
            </w:r>
          </w:p>
        </w:tc>
      </w:tr>
      <w:tr>
        <w:trPr>
          <w:trHeight w:val="412"/>
        </w:trPr>
        <w:tc>
          <w:tcPr>
            <w:tcW w:w="11160" w:type="dxa"/>
            <w:vAlign w:val="bottom"/>
          </w:tcPr>
          <w:p>
            <w:pPr>
              <w:spacing w:after="0"/>
              <w:rPr>
                <w:sz w:val="20"/>
                <w:szCs w:val="20"/>
                <w:color w:val="auto"/>
              </w:rPr>
            </w:pPr>
            <w:r>
              <w:rPr>
                <w:rFonts w:ascii="Arial" w:cs="Arial" w:eastAsia="Arial" w:hAnsi="Arial"/>
                <w:sz w:val="16"/>
                <w:szCs w:val="16"/>
                <w:b w:val="1"/>
                <w:bCs w:val="1"/>
                <w:color w:val="auto"/>
              </w:rPr>
              <w:t>Notes to the unaudited condensed consolidated interim financial statements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 of loss and other comprehensive loss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30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2"/>
        </w:trPr>
        <w:tc>
          <w:tcPr>
            <w:tcW w:w="6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202"/>
        </w:trPr>
        <w:tc>
          <w:tcPr>
            <w:tcW w:w="6380" w:type="dxa"/>
            <w:vAlign w:val="bottom"/>
          </w:tcPr>
          <w:p>
            <w:pPr>
              <w:spacing w:after="0"/>
              <w:rPr>
                <w:sz w:val="17"/>
                <w:szCs w:val="17"/>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Notes</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(30,161,162)</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(30,914,393)</w:t>
            </w:r>
          </w:p>
        </w:tc>
      </w:tr>
      <w:tr>
        <w:trPr>
          <w:trHeight w:val="203"/>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(14,110,839)</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(11,271,918)</w:t>
            </w:r>
          </w:p>
        </w:tc>
      </w:tr>
      <w:tr>
        <w:trPr>
          <w:trHeight w:val="20"/>
        </w:trPr>
        <w:tc>
          <w:tcPr>
            <w:tcW w:w="6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560" w:type="dxa"/>
            <w:vAlign w:val="bottom"/>
            <w:shd w:val="clear" w:color="auto" w:fill="CFF0FC"/>
          </w:tcPr>
          <w:p>
            <w:pPr>
              <w:spacing w:after="0"/>
              <w:rPr>
                <w:sz w:val="17"/>
                <w:szCs w:val="17"/>
                <w:color w:val="auto"/>
              </w:rPr>
            </w:pP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(44,272,001)</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(42,186,311)</w:t>
            </w:r>
          </w:p>
        </w:tc>
      </w:tr>
      <w:tr>
        <w:trPr>
          <w:trHeight w:val="20"/>
        </w:trPr>
        <w:tc>
          <w:tcPr>
            <w:tcW w:w="638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Finance income/ (expense)</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5,344,435</w:t>
            </w:r>
          </w:p>
        </w:tc>
        <w:tc>
          <w:tcPr>
            <w:tcW w:w="12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(3,851,845)</w:t>
            </w:r>
          </w:p>
        </w:tc>
      </w:tr>
      <w:tr>
        <w:trPr>
          <w:trHeight w:val="20"/>
        </w:trPr>
        <w:tc>
          <w:tcPr>
            <w:tcW w:w="6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1560" w:type="dxa"/>
            <w:vAlign w:val="bottom"/>
            <w:shd w:val="clear" w:color="auto" w:fill="CFF0FC"/>
          </w:tcPr>
          <w:p>
            <w:pPr>
              <w:spacing w:after="0"/>
              <w:rPr>
                <w:sz w:val="17"/>
                <w:szCs w:val="17"/>
                <w:color w:val="auto"/>
              </w:rPr>
            </w:pP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(38,927,566)</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(46,038,156)</w:t>
            </w:r>
          </w:p>
        </w:tc>
      </w:tr>
      <w:tr>
        <w:trPr>
          <w:trHeight w:val="20"/>
        </w:trPr>
        <w:tc>
          <w:tcPr>
            <w:tcW w:w="638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(273,107)</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(302,667)</w:t>
            </w:r>
          </w:p>
        </w:tc>
      </w:tr>
      <w:tr>
        <w:trPr>
          <w:trHeight w:val="20"/>
        </w:trPr>
        <w:tc>
          <w:tcPr>
            <w:tcW w:w="6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56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(39,200,673)</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(46,340,823)</w:t>
            </w:r>
          </w:p>
        </w:tc>
      </w:tr>
      <w:tr>
        <w:trPr>
          <w:trHeight w:val="183"/>
        </w:trPr>
        <w:tc>
          <w:tcPr>
            <w:tcW w:w="6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Other comprehensive loss</w:t>
            </w:r>
          </w:p>
        </w:tc>
        <w:tc>
          <w:tcPr>
            <w:tcW w:w="1560" w:type="dxa"/>
            <w:vAlign w:val="bottom"/>
            <w:tcBorders>
              <w:top w:val="single" w:sz="8" w:color="CFF0FC"/>
            </w:tcBorders>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Items that may be reclassified to profit or loss:</w:t>
            </w:r>
          </w:p>
        </w:tc>
        <w:tc>
          <w:tcPr>
            <w:tcW w:w="156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Exchange (losses) gains arising on translation of foreign operations</w:t>
            </w:r>
          </w:p>
        </w:tc>
        <w:tc>
          <w:tcPr>
            <w:tcW w:w="15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100,850</w:t>
            </w:r>
          </w:p>
        </w:tc>
        <w:tc>
          <w:tcPr>
            <w:tcW w:w="12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(128,755)</w:t>
            </w:r>
          </w:p>
        </w:tc>
      </w:tr>
      <w:tr>
        <w:trPr>
          <w:trHeight w:val="20"/>
        </w:trPr>
        <w:tc>
          <w:tcPr>
            <w:tcW w:w="6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comprehensive loss attributable to:</w:t>
            </w:r>
          </w:p>
        </w:tc>
        <w:tc>
          <w:tcPr>
            <w:tcW w:w="156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Equity holders of the Company</w:t>
            </w:r>
          </w:p>
        </w:tc>
        <w:tc>
          <w:tcPr>
            <w:tcW w:w="1560" w:type="dxa"/>
            <w:vAlign w:val="bottom"/>
          </w:tcPr>
          <w:p>
            <w:pPr>
              <w:spacing w:after="0"/>
              <w:rPr>
                <w:sz w:val="17"/>
                <w:szCs w:val="17"/>
                <w:color w:val="auto"/>
              </w:rPr>
            </w:pP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(39,099,823)</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(46,469,578)</w:t>
            </w:r>
          </w:p>
        </w:tc>
      </w:tr>
      <w:tr>
        <w:trPr>
          <w:trHeight w:val="20"/>
        </w:trPr>
        <w:tc>
          <w:tcPr>
            <w:tcW w:w="6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per share attributable to the equity holders of the Company during the periods</w:t>
            </w:r>
          </w:p>
        </w:tc>
        <w:tc>
          <w:tcPr>
            <w:tcW w:w="156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2"/>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and diluted loss per share:</w:t>
            </w:r>
          </w:p>
        </w:tc>
        <w:tc>
          <w:tcPr>
            <w:tcW w:w="15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19</w:t>
            </w: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(0.60)</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-1531620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-1531620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-1257300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-1257300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-982980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-965835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-982980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-965835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Unaudited condensed consolidated statement of financial position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202"/>
        </w:trPr>
        <w:tc>
          <w:tcPr>
            <w:tcW w:w="7580" w:type="dxa"/>
            <w:vAlign w:val="bottom"/>
          </w:tcPr>
          <w:p>
            <w:pPr>
              <w:ind w:left="7140"/>
              <w:spacing w:after="0"/>
              <w:rPr>
                <w:sz w:val="20"/>
                <w:szCs w:val="20"/>
                <w:color w:val="auto"/>
              </w:rPr>
            </w:pPr>
            <w:r>
              <w:rPr>
                <w:rFonts w:ascii="Times New Roman" w:cs="Times New Roman" w:eastAsia="Times New Roman" w:hAnsi="Times New Roman"/>
                <w:sz w:val="16"/>
                <w:szCs w:val="16"/>
                <w:color w:val="auto"/>
              </w:rPr>
              <w:t>Notes</w:t>
            </w:r>
          </w:p>
        </w:tc>
        <w:tc>
          <w:tcPr>
            <w:tcW w:w="4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r>
      <w:tr>
        <w:trPr>
          <w:trHeight w:val="202"/>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4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8</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643,199</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642,470</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4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714,142</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756,951</w:t>
            </w:r>
          </w:p>
        </w:tc>
        <w:tc>
          <w:tcPr>
            <w:tcW w:w="10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4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7</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747,532</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887,352</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Receivables</w:t>
            </w:r>
          </w:p>
        </w:tc>
        <w:tc>
          <w:tcPr>
            <w:tcW w:w="4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10</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969,625</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556,739</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4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5,749,856</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2,938,215</w:t>
            </w:r>
          </w:p>
        </w:tc>
        <w:tc>
          <w:tcPr>
            <w:tcW w:w="10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12</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246,957,998</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291,678,888</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Current tax receivable</w:t>
            </w:r>
          </w:p>
        </w:tc>
        <w:tc>
          <w:tcPr>
            <w:tcW w:w="4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4,005,689</w:t>
            </w:r>
          </w:p>
        </w:tc>
        <w:tc>
          <w:tcPr>
            <w:tcW w:w="22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3,994,384</w:t>
            </w:r>
          </w:p>
        </w:tc>
        <w:tc>
          <w:tcPr>
            <w:tcW w:w="100" w:type="dxa"/>
            <w:vAlign w:val="bottom"/>
          </w:tcPr>
          <w:p>
            <w:pPr>
              <w:spacing w:after="0"/>
              <w:rPr>
                <w:sz w:val="17"/>
                <w:szCs w:val="17"/>
                <w:color w:val="auto"/>
              </w:rPr>
            </w:pPr>
          </w:p>
        </w:tc>
      </w:tr>
      <w:tr>
        <w:trPr>
          <w:trHeight w:val="236"/>
        </w:trPr>
        <w:tc>
          <w:tcPr>
            <w:tcW w:w="7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6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259,788,041</w:t>
            </w:r>
          </w:p>
        </w:tc>
        <w:tc>
          <w:tcPr>
            <w:tcW w:w="22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301,454,999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Equity and liabilities</w:t>
            </w: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capital</w:t>
            </w:r>
          </w:p>
        </w:tc>
        <w:tc>
          <w:tcPr>
            <w:tcW w:w="4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13</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7,850,864</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7,825,271</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Share premium</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795,290,730</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792,549,401</w:t>
            </w:r>
          </w:p>
        </w:tc>
        <w:tc>
          <w:tcPr>
            <w:tcW w:w="10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reserves</w:t>
            </w: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52,897,007</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50,766,138</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Currency translation reserve</w:t>
            </w:r>
          </w:p>
        </w:tc>
        <w:tc>
          <w:tcPr>
            <w:tcW w:w="460" w:type="dxa"/>
            <w:vAlign w:val="bottom"/>
          </w:tcPr>
          <w:p>
            <w:pPr>
              <w:spacing w:after="0"/>
              <w:rPr>
                <w:sz w:val="17"/>
                <w:szCs w:val="17"/>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(169,319)</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(270,169)</w:t>
            </w: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loss</w:t>
            </w:r>
          </w:p>
        </w:tc>
        <w:tc>
          <w:tcPr>
            <w:tcW w:w="46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(619,536,888)</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(579,596,307)</w:t>
            </w:r>
          </w:p>
        </w:tc>
      </w:tr>
      <w:tr>
        <w:trPr>
          <w:trHeight w:val="196"/>
        </w:trPr>
        <w:tc>
          <w:tcPr>
            <w:tcW w:w="7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460" w:type="dxa"/>
            <w:vAlign w:val="bottom"/>
            <w:tcBorders>
              <w:top w:val="single" w:sz="8" w:color="CFF0FC"/>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236,332,394</w:t>
            </w:r>
          </w:p>
        </w:tc>
        <w:tc>
          <w:tcPr>
            <w:tcW w:w="220" w:type="dxa"/>
            <w:vAlign w:val="bottom"/>
            <w:tcBorders>
              <w:top w:val="single" w:sz="8" w:color="CFF0FC"/>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271,274,334</w:t>
            </w:r>
          </w:p>
        </w:tc>
        <w:tc>
          <w:tcPr>
            <w:tcW w:w="100" w:type="dxa"/>
            <w:vAlign w:val="bottom"/>
            <w:tcBorders>
              <w:top w:val="single" w:sz="8" w:color="CFF0FC"/>
            </w:tcBorders>
          </w:tcPr>
          <w:p>
            <w:pPr>
              <w:spacing w:after="0"/>
              <w:rPr>
                <w:sz w:val="17"/>
                <w:szCs w:val="17"/>
                <w:color w:val="auto"/>
              </w:rPr>
            </w:pPr>
          </w:p>
        </w:tc>
      </w:tr>
      <w:tr>
        <w:trPr>
          <w:trHeight w:val="20"/>
        </w:trPr>
        <w:tc>
          <w:tcPr>
            <w:tcW w:w="7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Long term liabilities</w:t>
            </w: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Non-current lease liability</w:t>
            </w:r>
          </w:p>
        </w:tc>
        <w:tc>
          <w:tcPr>
            <w:tcW w:w="4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9</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532,580</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576,585</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 and other payables</w:t>
            </w:r>
          </w:p>
        </w:tc>
        <w:tc>
          <w:tcPr>
            <w:tcW w:w="4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14</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2,709,840</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5,114,186</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4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19,046,107</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23,348,472</w:t>
            </w:r>
          </w:p>
        </w:tc>
        <w:tc>
          <w:tcPr>
            <w:tcW w:w="10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lease liability</w:t>
            </w:r>
          </w:p>
        </w:tc>
        <w:tc>
          <w:tcPr>
            <w:tcW w:w="4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9</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206,311</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200,213</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Current tax payable</w:t>
            </w:r>
          </w:p>
        </w:tc>
        <w:tc>
          <w:tcPr>
            <w:tcW w:w="46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960,809</w:t>
            </w:r>
          </w:p>
        </w:tc>
        <w:tc>
          <w:tcPr>
            <w:tcW w:w="22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941,209</w:t>
            </w:r>
          </w:p>
        </w:tc>
        <w:tc>
          <w:tcPr>
            <w:tcW w:w="100" w:type="dxa"/>
            <w:vAlign w:val="bottom"/>
          </w:tcPr>
          <w:p>
            <w:pPr>
              <w:spacing w:after="0"/>
              <w:rPr>
                <w:sz w:val="17"/>
                <w:szCs w:val="17"/>
                <w:color w:val="auto"/>
              </w:rPr>
            </w:pPr>
          </w:p>
        </w:tc>
      </w:tr>
      <w:tr>
        <w:trPr>
          <w:trHeight w:val="196"/>
        </w:trPr>
        <w:tc>
          <w:tcPr>
            <w:tcW w:w="7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6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23,455,647</w:t>
            </w:r>
          </w:p>
        </w:tc>
        <w:tc>
          <w:tcPr>
            <w:tcW w:w="22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30,180,665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46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259,788,041</w:t>
            </w:r>
          </w:p>
        </w:tc>
        <w:tc>
          <w:tcPr>
            <w:tcW w:w="22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301,454,999</w:t>
            </w:r>
          </w:p>
        </w:tc>
        <w:tc>
          <w:tcPr>
            <w:tcW w:w="100" w:type="dxa"/>
            <w:vAlign w:val="bottom"/>
          </w:tcPr>
          <w:p>
            <w:pPr>
              <w:spacing w:after="0"/>
              <w:rPr>
                <w:sz w:val="17"/>
                <w:szCs w:val="17"/>
                <w:color w:val="auto"/>
              </w:rPr>
            </w:pPr>
          </w:p>
        </w:tc>
      </w:tr>
      <w:tr>
        <w:trPr>
          <w:trHeight w:val="20"/>
        </w:trPr>
        <w:tc>
          <w:tcPr>
            <w:tcW w:w="7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-2545080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-2527935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-1490980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-161925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Unaudited condensed consolidated statement of changes in equity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2026 and March 31, 2025</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220" w:type="dxa"/>
            <w:vAlign w:val="bottom"/>
          </w:tcPr>
          <w:p>
            <w:pPr>
              <w:spacing w:after="0"/>
              <w:rPr>
                <w:sz w:val="17"/>
                <w:szCs w:val="17"/>
                <w:color w:val="auto"/>
              </w:rPr>
            </w:pPr>
          </w:p>
        </w:tc>
        <w:tc>
          <w:tcPr>
            <w:tcW w:w="13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12"/>
        </w:trPr>
        <w:tc>
          <w:tcPr>
            <w:tcW w:w="2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220" w:type="dxa"/>
            <w:vAlign w:val="bottom"/>
          </w:tcPr>
          <w:p>
            <w:pPr>
              <w:spacing w:after="0"/>
              <w:rPr>
                <w:sz w:val="18"/>
                <w:szCs w:val="18"/>
                <w:color w:val="auto"/>
              </w:rPr>
            </w:pPr>
          </w:p>
        </w:tc>
        <w:tc>
          <w:tcPr>
            <w:tcW w:w="13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premium</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reserves</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reserve</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02"/>
        </w:trPr>
        <w:tc>
          <w:tcPr>
            <w:tcW w:w="2720" w:type="dxa"/>
            <w:vAlign w:val="bottom"/>
          </w:tcPr>
          <w:p>
            <w:pPr>
              <w:spacing w:after="0"/>
              <w:rPr>
                <w:sz w:val="17"/>
                <w:szCs w:val="17"/>
                <w:color w:val="auto"/>
              </w:rPr>
            </w:pPr>
          </w:p>
        </w:tc>
        <w:tc>
          <w:tcPr>
            <w:tcW w:w="11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Notes</w:t>
            </w: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189"/>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2025</w:t>
            </w:r>
          </w:p>
        </w:tc>
        <w:tc>
          <w:tcPr>
            <w:tcW w:w="1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623,641,3</w:t>
            </w:r>
          </w:p>
        </w:tc>
        <w:tc>
          <w:tcPr>
            <w:tcW w:w="5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7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6,525,539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39,711,103</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137,726</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(402,255,007)</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267,760,741</w:t>
            </w:r>
          </w:p>
        </w:tc>
        <w:tc>
          <w:tcPr>
            <w:tcW w:w="100" w:type="dxa"/>
            <w:vAlign w:val="bottom"/>
            <w:shd w:val="clear" w:color="auto" w:fill="CFF0FC"/>
          </w:tcPr>
          <w:p>
            <w:pPr>
              <w:spacing w:after="0"/>
              <w:rPr>
                <w:sz w:val="18"/>
                <w:szCs w:val="18"/>
                <w:color w:val="auto"/>
              </w:rPr>
            </w:pPr>
          </w:p>
        </w:tc>
      </w:tr>
      <w:tr>
        <w:trPr>
          <w:trHeight w:val="20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(46,340,823)</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(46,340,823)</w:t>
            </w:r>
          </w:p>
        </w:tc>
      </w:tr>
      <w:tr>
        <w:trPr>
          <w:trHeight w:val="203"/>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Issue of share capital</w:t>
            </w:r>
          </w:p>
        </w:tc>
        <w:tc>
          <w:tcPr>
            <w:tcW w:w="1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Transaction costs on issue of shares</w:t>
            </w:r>
          </w:p>
        </w:tc>
        <w:tc>
          <w:tcPr>
            <w:tcW w:w="1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Currency translation reserve</w:t>
            </w:r>
          </w:p>
        </w:tc>
        <w:tc>
          <w:tcPr>
            <w:tcW w:w="1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(128,755)</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(128,755)</w:t>
            </w:r>
          </w:p>
        </w:tc>
      </w:tr>
      <w:tr>
        <w:trPr>
          <w:trHeight w:val="20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Share-based payments</w:t>
            </w: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4,127,912</w:t>
            </w:r>
          </w:p>
        </w:tc>
        <w:tc>
          <w:tcPr>
            <w:tcW w:w="20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4,127,912</w:t>
            </w:r>
          </w:p>
        </w:tc>
        <w:tc>
          <w:tcPr>
            <w:tcW w:w="100" w:type="dxa"/>
            <w:vAlign w:val="bottom"/>
          </w:tcPr>
          <w:p>
            <w:pPr>
              <w:spacing w:after="0"/>
              <w:rPr>
                <w:sz w:val="17"/>
                <w:szCs w:val="17"/>
                <w:color w:val="auto"/>
              </w:rPr>
            </w:pPr>
          </w:p>
        </w:tc>
      </w:tr>
      <w:tr>
        <w:trPr>
          <w:trHeight w:val="203"/>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Settlement of share-based payments</w:t>
            </w:r>
          </w:p>
        </w:tc>
        <w:tc>
          <w:tcPr>
            <w:tcW w:w="1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13,638</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782,276</w:t>
            </w:r>
          </w:p>
        </w:tc>
        <w:tc>
          <w:tcPr>
            <w:tcW w:w="5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(766,826)</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(109,220)</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(80,132)</w:t>
            </w:r>
          </w:p>
        </w:tc>
      </w:tr>
      <w:tr>
        <w:trPr>
          <w:trHeight w:val="182"/>
        </w:trPr>
        <w:tc>
          <w:tcPr>
            <w:tcW w:w="272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1140" w:type="dxa"/>
            <w:vAlign w:val="bottom"/>
            <w:tcBorders>
              <w:top w:val="single" w:sz="8" w:color="CFF0FC"/>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624,423,6</w:t>
            </w:r>
          </w:p>
        </w:tc>
        <w:tc>
          <w:tcPr>
            <w:tcW w:w="500" w:type="dxa"/>
            <w:vAlign w:val="bottom"/>
            <w:tcBorders>
              <w:top w:val="single" w:sz="8" w:color="CFF0FC"/>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13"/>
        </w:trPr>
        <w:tc>
          <w:tcPr>
            <w:tcW w:w="2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6,539,177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43,072,189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8,971</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(448,705,050)</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225,338,943</w:t>
            </w:r>
          </w:p>
        </w:tc>
        <w:tc>
          <w:tcPr>
            <w:tcW w:w="100" w:type="dxa"/>
            <w:vAlign w:val="bottom"/>
          </w:tcPr>
          <w:p>
            <w:pPr>
              <w:spacing w:after="0"/>
              <w:rPr>
                <w:sz w:val="18"/>
                <w:szCs w:val="18"/>
                <w:color w:val="auto"/>
              </w:rPr>
            </w:pPr>
          </w:p>
        </w:tc>
      </w:tr>
      <w:tr>
        <w:trPr>
          <w:trHeight w:val="20"/>
        </w:trPr>
        <w:tc>
          <w:tcPr>
            <w:tcW w:w="2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272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Balance at January 1, 2026</w:t>
            </w:r>
          </w:p>
        </w:tc>
        <w:tc>
          <w:tcPr>
            <w:tcW w:w="1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spacing w:after="0" w:line="172" w:lineRule="exact"/>
              <w:rPr>
                <w:sz w:val="20"/>
                <w:szCs w:val="20"/>
                <w:color w:val="auto"/>
              </w:rPr>
            </w:pPr>
            <w:r>
              <w:rPr>
                <w:rFonts w:ascii="Times New Roman" w:cs="Times New Roman" w:eastAsia="Times New Roman" w:hAnsi="Times New Roman"/>
                <w:sz w:val="16"/>
                <w:szCs w:val="16"/>
                <w:color w:val="auto"/>
              </w:rPr>
              <w:t>792,549,4</w:t>
            </w:r>
          </w:p>
        </w:tc>
        <w:tc>
          <w:tcPr>
            <w:tcW w:w="5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6"/>
        </w:trPr>
        <w:tc>
          <w:tcPr>
            <w:tcW w:w="27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7,825,271</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50,766,138</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(270,169)</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(579,596,307)</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271,274,334</w:t>
            </w:r>
          </w:p>
        </w:tc>
        <w:tc>
          <w:tcPr>
            <w:tcW w:w="100" w:type="dxa"/>
            <w:vAlign w:val="bottom"/>
            <w:shd w:val="clear" w:color="auto" w:fill="CFF0FC"/>
          </w:tcPr>
          <w:p>
            <w:pPr>
              <w:spacing w:after="0"/>
              <w:rPr>
                <w:sz w:val="18"/>
                <w:szCs w:val="18"/>
                <w:color w:val="auto"/>
              </w:rPr>
            </w:pPr>
          </w:p>
        </w:tc>
      </w:tr>
      <w:tr>
        <w:trPr>
          <w:trHeight w:val="20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(39,200,673)</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(39,200,673)</w:t>
            </w:r>
          </w:p>
        </w:tc>
      </w:tr>
      <w:tr>
        <w:trPr>
          <w:trHeight w:val="203"/>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Currency translation reserve</w:t>
            </w:r>
          </w:p>
        </w:tc>
        <w:tc>
          <w:tcPr>
            <w:tcW w:w="1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100,850</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100,850</w:t>
            </w:r>
          </w:p>
        </w:tc>
        <w:tc>
          <w:tcPr>
            <w:tcW w:w="100" w:type="dxa"/>
            <w:vAlign w:val="bottom"/>
            <w:shd w:val="clear" w:color="auto" w:fill="CFF0FC"/>
          </w:tcPr>
          <w:p>
            <w:pPr>
              <w:spacing w:after="0"/>
              <w:rPr>
                <w:sz w:val="17"/>
                <w:szCs w:val="17"/>
                <w:color w:val="auto"/>
              </w:rPr>
            </w:pPr>
          </w:p>
        </w:tc>
      </w:tr>
      <w:tr>
        <w:trPr>
          <w:trHeight w:val="20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Settlement of share-based payments</w:t>
            </w:r>
          </w:p>
        </w:tc>
        <w:tc>
          <w:tcPr>
            <w:tcW w:w="1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2,741,329</w:t>
            </w:r>
          </w:p>
        </w:tc>
        <w:tc>
          <w:tcPr>
            <w:tcW w:w="5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(2,767,235)</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(739,908)</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(740,221)</w:t>
            </w:r>
          </w:p>
        </w:tc>
      </w:tr>
      <w:tr>
        <w:trPr>
          <w:trHeight w:val="203"/>
        </w:trPr>
        <w:tc>
          <w:tcPr>
            <w:tcW w:w="2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payments</w:t>
            </w:r>
          </w:p>
        </w:tc>
        <w:tc>
          <w:tcPr>
            <w:tcW w:w="114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4,898,104</w:t>
            </w:r>
          </w:p>
        </w:tc>
        <w:tc>
          <w:tcPr>
            <w:tcW w:w="2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4,898,104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2"/>
        </w:trPr>
        <w:tc>
          <w:tcPr>
            <w:tcW w:w="272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795,290,7</w:t>
            </w: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2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7,850,864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52,897,007</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(169,319)</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(619,536,888)</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236,332,394</w:t>
            </w:r>
          </w:p>
        </w:tc>
        <w:tc>
          <w:tcPr>
            <w:tcW w:w="100" w:type="dxa"/>
            <w:vAlign w:val="bottom"/>
          </w:tcPr>
          <w:p>
            <w:pPr>
              <w:spacing w:after="0"/>
              <w:rPr>
                <w:sz w:val="18"/>
                <w:szCs w:val="18"/>
                <w:color w:val="auto"/>
              </w:rPr>
            </w:pPr>
          </w:p>
        </w:tc>
      </w:tr>
      <w:tr>
        <w:trPr>
          <w:trHeight w:val="20"/>
        </w:trPr>
        <w:tc>
          <w:tcPr>
            <w:tcW w:w="2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-1353820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-1353820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-1353820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-1353820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-1353820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-290830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-290830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-290830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-290830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-290830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Unaudited condensed consolidated statement of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2026 and 2025</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540" w:type="dxa"/>
            <w:vAlign w:val="bottom"/>
            <w:tcBorders>
              <w:bottom w:val="single" w:sz="8" w:color="auto"/>
            </w:tcBorders>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202"/>
        </w:trPr>
        <w:tc>
          <w:tcPr>
            <w:tcW w:w="6360" w:type="dxa"/>
            <w:vAlign w:val="bottom"/>
          </w:tcPr>
          <w:p>
            <w:pPr>
              <w:spacing w:after="0"/>
              <w:rPr>
                <w:sz w:val="17"/>
                <w:szCs w:val="17"/>
                <w:color w:val="auto"/>
              </w:rPr>
            </w:pPr>
          </w:p>
        </w:tc>
        <w:tc>
          <w:tcPr>
            <w:tcW w:w="17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Notes</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7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Loss before tax</w:t>
            </w:r>
          </w:p>
        </w:tc>
        <w:tc>
          <w:tcPr>
            <w:tcW w:w="170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(38,927,566)</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(46,038,156)</w:t>
            </w: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Non-cash adjustments to reconcile loss before tax to net cash flows from operations:</w:t>
            </w:r>
          </w:p>
        </w:tc>
        <w:tc>
          <w:tcPr>
            <w:tcW w:w="17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Share-based payment expense</w:t>
            </w:r>
          </w:p>
        </w:tc>
        <w:tc>
          <w:tcPr>
            <w:tcW w:w="170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18</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4,898,104</w:t>
            </w:r>
          </w:p>
        </w:tc>
        <w:tc>
          <w:tcPr>
            <w:tcW w:w="10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4,127,912</w:t>
            </w: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expense</w:t>
            </w:r>
          </w:p>
        </w:tc>
        <w:tc>
          <w:tcPr>
            <w:tcW w:w="1700" w:type="dxa"/>
            <w:vAlign w:val="bottom"/>
            <w:shd w:val="clear" w:color="auto" w:fill="CFF0FC"/>
          </w:tcPr>
          <w:p>
            <w:pPr>
              <w:jc w:val="center"/>
              <w:ind w:left="299"/>
              <w:spacing w:after="0"/>
              <w:rPr>
                <w:sz w:val="20"/>
                <w:szCs w:val="20"/>
                <w:color w:val="auto"/>
              </w:rPr>
            </w:pPr>
            <w:r>
              <w:rPr>
                <w:rFonts w:ascii="Times New Roman" w:cs="Times New Roman" w:eastAsia="Times New Roman" w:hAnsi="Times New Roman"/>
                <w:sz w:val="16"/>
                <w:szCs w:val="16"/>
                <w:color w:val="auto"/>
                <w:w w:val="99"/>
              </w:rPr>
              <w:t>4</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104,726</w:t>
            </w:r>
          </w:p>
        </w:tc>
        <w:tc>
          <w:tcPr>
            <w:tcW w:w="1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105,301</w:t>
            </w: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Net foreign exchange (gain) loss</w:t>
            </w:r>
          </w:p>
        </w:tc>
        <w:tc>
          <w:tcPr>
            <w:tcW w:w="170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(4,113,942)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5,386,295</w:t>
            </w: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costs (income)</w:t>
            </w:r>
          </w:p>
        </w:tc>
        <w:tc>
          <w:tcPr>
            <w:tcW w:w="17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75,826</w:t>
            </w:r>
          </w:p>
        </w:tc>
        <w:tc>
          <w:tcPr>
            <w:tcW w:w="100" w:type="dxa"/>
            <w:vAlign w:val="bottom"/>
            <w:shd w:val="clear" w:color="auto" w:fill="CFF0FC"/>
          </w:tcPr>
          <w:p>
            <w:pPr>
              <w:spacing w:after="0"/>
              <w:rPr>
                <w:sz w:val="17"/>
                <w:szCs w:val="17"/>
                <w:color w:val="auto"/>
              </w:rPr>
            </w:pPr>
          </w:p>
        </w:tc>
        <w:tc>
          <w:tcPr>
            <w:tcW w:w="16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(1,170,692)</w:t>
            </w:r>
          </w:p>
        </w:tc>
      </w:tr>
      <w:tr>
        <w:trPr>
          <w:trHeight w:val="203"/>
        </w:trPr>
        <w:tc>
          <w:tcPr>
            <w:tcW w:w="6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Changes in working capital:</w:t>
            </w:r>
          </w:p>
        </w:tc>
        <w:tc>
          <w:tcPr>
            <w:tcW w:w="17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(Increase) decrease in receivables</w:t>
            </w:r>
          </w:p>
        </w:tc>
        <w:tc>
          <w:tcPr>
            <w:tcW w:w="170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(286,166)</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(125,287)</w:t>
            </w: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Increase in other current assets</w:t>
            </w:r>
          </w:p>
        </w:tc>
        <w:tc>
          <w:tcPr>
            <w:tcW w:w="17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(1,225,836)</w:t>
            </w:r>
          </w:p>
        </w:tc>
        <w:tc>
          <w:tcPr>
            <w:tcW w:w="16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(1,294,663)</w:t>
            </w: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Decrease in trade and other payables</w:t>
            </w:r>
          </w:p>
        </w:tc>
        <w:tc>
          <w:tcPr>
            <w:tcW w:w="170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(4,729,326)</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(336,954)</w:t>
            </w: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 in accrued liabilities</w:t>
            </w:r>
          </w:p>
        </w:tc>
        <w:tc>
          <w:tcPr>
            <w:tcW w:w="17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(4,371,024)</w:t>
            </w:r>
          </w:p>
        </w:tc>
        <w:tc>
          <w:tcPr>
            <w:tcW w:w="16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(533,016)</w:t>
            </w:r>
          </w:p>
        </w:tc>
      </w:tr>
      <w:tr>
        <w:trPr>
          <w:trHeight w:val="203"/>
        </w:trPr>
        <w:tc>
          <w:tcPr>
            <w:tcW w:w="6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taxes (paid) received</w:t>
            </w:r>
          </w:p>
        </w:tc>
        <w:tc>
          <w:tcPr>
            <w:tcW w:w="17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(128,436)</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224,259</w:t>
            </w: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(Paid) received interest</w:t>
            </w:r>
          </w:p>
        </w:tc>
        <w:tc>
          <w:tcPr>
            <w:tcW w:w="170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(62,316)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1,183,396</w:t>
            </w:r>
          </w:p>
        </w:tc>
        <w:tc>
          <w:tcPr>
            <w:tcW w:w="100" w:type="dxa"/>
            <w:vAlign w:val="bottom"/>
          </w:tcPr>
          <w:p>
            <w:pPr>
              <w:spacing w:after="0"/>
              <w:rPr>
                <w:sz w:val="17"/>
                <w:szCs w:val="17"/>
                <w:color w:val="auto"/>
              </w:rPr>
            </w:pPr>
          </w:p>
        </w:tc>
      </w:tr>
      <w:tr>
        <w:trPr>
          <w:trHeight w:val="20"/>
        </w:trPr>
        <w:tc>
          <w:tcPr>
            <w:tcW w:w="6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flows used in operating activities</w:t>
            </w:r>
          </w:p>
        </w:tc>
        <w:tc>
          <w:tcPr>
            <w:tcW w:w="17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(48,765,956)</w:t>
            </w:r>
          </w:p>
        </w:tc>
        <w:tc>
          <w:tcPr>
            <w:tcW w:w="16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(38,471,605)</w:t>
            </w:r>
          </w:p>
        </w:tc>
      </w:tr>
      <w:tr>
        <w:trPr>
          <w:trHeight w:val="196"/>
        </w:trPr>
        <w:tc>
          <w:tcPr>
            <w:tcW w:w="6360" w:type="dxa"/>
            <w:vAlign w:val="bottom"/>
            <w:tcBorders>
              <w:top w:val="single" w:sz="8" w:color="CFF0FC"/>
            </w:tcBorders>
          </w:tcPr>
          <w:p>
            <w:pPr>
              <w:spacing w:after="0"/>
              <w:rPr>
                <w:sz w:val="17"/>
                <w:szCs w:val="17"/>
                <w:color w:val="auto"/>
              </w:rPr>
            </w:pPr>
          </w:p>
        </w:tc>
        <w:tc>
          <w:tcPr>
            <w:tcW w:w="1700" w:type="dxa"/>
            <w:vAlign w:val="bottom"/>
            <w:tcBorders>
              <w:top w:val="single" w:sz="8" w:color="CFF0FC"/>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7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170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8</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(52,097)</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(161,003)</w:t>
            </w:r>
          </w:p>
        </w:tc>
      </w:tr>
      <w:tr>
        <w:trPr>
          <w:trHeight w:val="20"/>
        </w:trPr>
        <w:tc>
          <w:tcPr>
            <w:tcW w:w="6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flows used in investing activities</w:t>
            </w:r>
          </w:p>
        </w:tc>
        <w:tc>
          <w:tcPr>
            <w:tcW w:w="17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(52,097)</w:t>
            </w:r>
          </w:p>
        </w:tc>
        <w:tc>
          <w:tcPr>
            <w:tcW w:w="16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(161,003)</w:t>
            </w:r>
          </w:p>
        </w:tc>
      </w:tr>
      <w:tr>
        <w:trPr>
          <w:trHeight w:val="196"/>
        </w:trPr>
        <w:tc>
          <w:tcPr>
            <w:tcW w:w="6360" w:type="dxa"/>
            <w:vAlign w:val="bottom"/>
            <w:tcBorders>
              <w:top w:val="single" w:sz="8" w:color="CFF0FC"/>
            </w:tcBorders>
          </w:tcPr>
          <w:p>
            <w:pPr>
              <w:spacing w:after="0"/>
              <w:rPr>
                <w:sz w:val="17"/>
                <w:szCs w:val="17"/>
                <w:color w:val="auto"/>
              </w:rPr>
            </w:pPr>
          </w:p>
        </w:tc>
        <w:tc>
          <w:tcPr>
            <w:tcW w:w="1700" w:type="dxa"/>
            <w:vAlign w:val="bottom"/>
            <w:tcBorders>
              <w:top w:val="single" w:sz="8" w:color="CFF0FC"/>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7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issue of shares</w:t>
            </w:r>
          </w:p>
        </w:tc>
        <w:tc>
          <w:tcPr>
            <w:tcW w:w="170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13</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29,088</w:t>
            </w: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 of principal portion of lease liabilities</w:t>
            </w:r>
          </w:p>
        </w:tc>
        <w:tc>
          <w:tcPr>
            <w:tcW w:w="1700" w:type="dxa"/>
            <w:vAlign w:val="bottom"/>
            <w:shd w:val="clear" w:color="auto" w:fill="CFF0FC"/>
          </w:tcPr>
          <w:p>
            <w:pPr>
              <w:jc w:val="center"/>
              <w:ind w:left="299"/>
              <w:spacing w:after="0"/>
              <w:rPr>
                <w:sz w:val="20"/>
                <w:szCs w:val="20"/>
                <w:color w:val="auto"/>
              </w:rPr>
            </w:pPr>
            <w:r>
              <w:rPr>
                <w:rFonts w:ascii="Times New Roman" w:cs="Times New Roman" w:eastAsia="Times New Roman" w:hAnsi="Times New Roman"/>
                <w:sz w:val="16"/>
                <w:szCs w:val="16"/>
                <w:color w:val="auto"/>
                <w:w w:val="99"/>
              </w:rPr>
              <w:t>9</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(61,514)</w:t>
            </w:r>
          </w:p>
        </w:tc>
        <w:tc>
          <w:tcPr>
            <w:tcW w:w="16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(104,535)</w:t>
            </w:r>
          </w:p>
        </w:tc>
      </w:tr>
      <w:tr>
        <w:trPr>
          <w:trHeight w:val="20"/>
        </w:trPr>
        <w:tc>
          <w:tcPr>
            <w:tcW w:w="636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flows used in financing activities</w:t>
            </w:r>
          </w:p>
        </w:tc>
        <w:tc>
          <w:tcPr>
            <w:tcW w:w="170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(61,514)</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(75,447)</w:t>
            </w:r>
          </w:p>
        </w:tc>
      </w:tr>
      <w:tr>
        <w:trPr>
          <w:trHeight w:val="196"/>
        </w:trPr>
        <w:tc>
          <w:tcPr>
            <w:tcW w:w="636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70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(48,879,567)</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(38,708,055)</w:t>
            </w: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17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291,678,888</w:t>
            </w:r>
          </w:p>
        </w:tc>
        <w:tc>
          <w:tcPr>
            <w:tcW w:w="1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280,728,037</w:t>
            </w: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w:t>
            </w:r>
          </w:p>
        </w:tc>
        <w:tc>
          <w:tcPr>
            <w:tcW w:w="17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4,158,677</w:t>
            </w:r>
          </w:p>
        </w:tc>
        <w:tc>
          <w:tcPr>
            <w:tcW w:w="100" w:type="dxa"/>
            <w:vAlign w:val="bottom"/>
          </w:tcPr>
          <w:p>
            <w:pPr>
              <w:spacing w:after="0"/>
              <w:rPr>
                <w:sz w:val="17"/>
                <w:szCs w:val="17"/>
                <w:color w:val="auto"/>
              </w:rPr>
            </w:pP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(5,524,045)</w:t>
            </w:r>
          </w:p>
        </w:tc>
      </w:tr>
      <w:tr>
        <w:trPr>
          <w:trHeight w:val="236"/>
        </w:trPr>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the end of the period</w:t>
            </w:r>
          </w:p>
        </w:tc>
        <w:tc>
          <w:tcPr>
            <w:tcW w:w="1700" w:type="dxa"/>
            <w:vAlign w:val="bottom"/>
            <w:tcBorders>
              <w:bottom w:val="single" w:sz="8" w:color="CFF0FC"/>
            </w:tcBorders>
            <w:shd w:val="clear" w:color="auto" w:fill="CFF0FC"/>
          </w:tcPr>
          <w:p>
            <w:pPr>
              <w:jc w:val="center"/>
              <w:ind w:left="299"/>
              <w:spacing w:after="0"/>
              <w:rPr>
                <w:sz w:val="20"/>
                <w:szCs w:val="20"/>
                <w:color w:val="auto"/>
              </w:rPr>
            </w:pPr>
            <w:r>
              <w:rPr>
                <w:rFonts w:ascii="Times New Roman" w:cs="Times New Roman" w:eastAsia="Times New Roman" w:hAnsi="Times New Roman"/>
                <w:sz w:val="16"/>
                <w:szCs w:val="16"/>
                <w:color w:val="auto"/>
                <w:w w:val="99"/>
              </w:rPr>
              <w:t>12</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246,957,998</w:t>
            </w:r>
          </w:p>
        </w:tc>
        <w:tc>
          <w:tcPr>
            <w:tcW w:w="10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236,495,937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-1876425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-1345565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-1345565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-822325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4" w:name="page25"/>
    <w:bookmarkEnd w:id="24"/>
    <w:p>
      <w:pPr>
        <w:ind w:right="3320"/>
        <w:spacing w:after="0" w:line="371" w:lineRule="auto"/>
        <w:rPr>
          <w:sz w:val="20"/>
          <w:szCs w:val="20"/>
          <w:color w:val="auto"/>
        </w:rPr>
      </w:pPr>
      <w:r>
        <w:rPr>
          <w:rFonts w:ascii="Arial" w:cs="Arial" w:eastAsia="Arial" w:hAnsi="Arial"/>
          <w:sz w:val="22"/>
          <w:szCs w:val="22"/>
          <w:b w:val="1"/>
          <w:bCs w:val="1"/>
          <w:color w:val="auto"/>
        </w:rPr>
        <w:t xml:space="preserve">Notes to the unaudited condensed consolidated interim financial statements </w:t>
      </w:r>
      <w:r>
        <w:rPr>
          <w:rFonts w:ascii="Times New Roman" w:cs="Times New Roman" w:eastAsia="Times New Roman" w:hAnsi="Times New Roman"/>
          <w:sz w:val="25"/>
          <w:szCs w:val="25"/>
          <w:b w:val="1"/>
          <w:bCs w:val="1"/>
          <w:color w:val="auto"/>
        </w:rPr>
        <w:t>1</w:t>
      </w:r>
      <w:r>
        <w:rPr>
          <w:rFonts w:ascii="Times New Roman" w:cs="Times New Roman" w:eastAsia="Times New Roman" w:hAnsi="Times New Roman"/>
          <w:sz w:val="21"/>
          <w:szCs w:val="21"/>
          <w:b w:val="1"/>
          <w:bCs w:val="1"/>
          <w:color w:val="auto"/>
        </w:rPr>
        <w:t>. Corporate and Group information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general corporate and group information about Pharvaris N.V. and its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Corporate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Pharvaris N.V. was incorporated on September 30, 2015 and is based in Leiden, the Netherlands.</w:t>
      </w:r>
    </w:p>
    <w:p>
      <w:pPr>
        <w:spacing w:after="0" w:line="11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Company’s registered office is located at Emmy Noetherweg 2, Leiden. The Company is registered at the Chamber of Commerce under file number 64239411.</w:t>
      </w:r>
    </w:p>
    <w:p>
      <w:pPr>
        <w:spacing w:after="0" w:line="48"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Pharvaris is a late-stage biopharmaceutical company focused on the development and commercialization of innovative therapies for rare diseases with significant unmet need, initially focused on angioedema and other bradykinin-mediated diseases.</w:t>
      </w:r>
    </w:p>
    <w:p>
      <w:pPr>
        <w:spacing w:after="0" w:line="48"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The unaudited condensed consolidated interim financial statements of Pharvaris N.V. (the “Company” or “Pharvaris”) and its subsidiaries (collectively, “The Group”) as of March 31, 2026, and December 31, 2025, and for the three months ended March 31, 2026 and 2025 were authorized for issue in accordance with a resolution of the directors on May 12, 2026.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Group information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Subsidiaries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unaudited condensed consolidated interim financial statements of the Group include: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80" w:type="dxa"/>
            <w:vAlign w:val="bottom"/>
            <w:gridSpan w:val="3"/>
          </w:tcPr>
          <w:p>
            <w:pPr>
              <w:jc w:val="center"/>
              <w:ind w:right="939"/>
              <w:spacing w:after="0"/>
              <w:rPr>
                <w:sz w:val="20"/>
                <w:szCs w:val="20"/>
                <w:color w:val="auto"/>
              </w:rPr>
            </w:pPr>
            <w:r>
              <w:rPr>
                <w:rFonts w:ascii="Times New Roman" w:cs="Times New Roman" w:eastAsia="Times New Roman" w:hAnsi="Times New Roman"/>
                <w:sz w:val="16"/>
                <w:szCs w:val="16"/>
                <w:color w:val="auto"/>
              </w:rPr>
              <w:t>% of equity interest as</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7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Country of</w:t>
            </w:r>
          </w:p>
        </w:tc>
        <w:tc>
          <w:tcPr>
            <w:tcW w:w="10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center"/>
              <w:ind w:right="939"/>
              <w:spacing w:after="0"/>
              <w:rPr>
                <w:sz w:val="20"/>
                <w:szCs w:val="20"/>
                <w:color w:val="auto"/>
              </w:rPr>
            </w:pPr>
            <w:r>
              <w:rPr>
                <w:rFonts w:ascii="Times New Roman" w:cs="Times New Roman" w:eastAsia="Times New Roman" w:hAnsi="Times New Roman"/>
                <w:sz w:val="16"/>
                <w:szCs w:val="16"/>
                <w:color w:val="auto"/>
              </w:rPr>
              <w:t>March 31,</w:t>
            </w:r>
          </w:p>
        </w:tc>
        <w:tc>
          <w:tcPr>
            <w:tcW w:w="0" w:type="dxa"/>
            <w:vAlign w:val="bottom"/>
          </w:tcPr>
          <w:p>
            <w:pPr>
              <w:spacing w:after="0"/>
              <w:rPr>
                <w:sz w:val="1"/>
                <w:szCs w:val="1"/>
                <w:color w:val="auto"/>
              </w:rPr>
            </w:pPr>
          </w:p>
        </w:tc>
      </w:tr>
      <w:tr>
        <w:trPr>
          <w:trHeight w:val="196"/>
        </w:trPr>
        <w:tc>
          <w:tcPr>
            <w:tcW w:w="32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Name</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Legal seat</w:t>
            </w:r>
          </w:p>
        </w:tc>
        <w:tc>
          <w:tcPr>
            <w:tcW w:w="27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incorporation</w:t>
            </w:r>
          </w:p>
        </w:tc>
        <w:tc>
          <w:tcPr>
            <w:tcW w:w="100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w w:val="99"/>
              </w:rPr>
              <w:t>2026</w:t>
            </w:r>
          </w:p>
        </w:tc>
        <w:tc>
          <w:tcPr>
            <w:tcW w:w="2480" w:type="dxa"/>
            <w:vAlign w:val="bottom"/>
            <w:gridSpan w:val="3"/>
          </w:tcPr>
          <w:p>
            <w:pPr>
              <w:jc w:val="center"/>
              <w:ind w:left="73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vMerge w:val="continue"/>
          </w:tcPr>
          <w:p>
            <w:pPr>
              <w:spacing w:after="0"/>
              <w:rPr>
                <w:sz w:val="17"/>
                <w:szCs w:val="17"/>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Pharvaris Holdings B.V.</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Leiden</w:t>
            </w:r>
          </w:p>
        </w:tc>
        <w:tc>
          <w:tcPr>
            <w:tcW w:w="276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The Netherlands</w:t>
            </w:r>
          </w:p>
        </w:tc>
        <w:tc>
          <w:tcPr>
            <w:tcW w:w="1000" w:type="dxa"/>
            <w:vAlign w:val="bottom"/>
            <w:shd w:val="clear" w:color="auto" w:fill="CFF0FC"/>
          </w:tcPr>
          <w:p>
            <w:pPr>
              <w:jc w:val="center"/>
              <w:ind w:left="539"/>
              <w:spacing w:after="0"/>
              <w:rPr>
                <w:sz w:val="20"/>
                <w:szCs w:val="20"/>
                <w:color w:val="auto"/>
              </w:rPr>
            </w:pPr>
            <w:r>
              <w:rPr>
                <w:rFonts w:ascii="Times New Roman" w:cs="Times New Roman" w:eastAsia="Times New Roman" w:hAnsi="Times New Roman"/>
                <w:sz w:val="16"/>
                <w:szCs w:val="16"/>
                <w:color w:val="auto"/>
              </w:rPr>
              <w:t>100%</w:t>
            </w:r>
          </w:p>
        </w:tc>
        <w:tc>
          <w:tcPr>
            <w:tcW w:w="2480" w:type="dxa"/>
            <w:vAlign w:val="bottom"/>
            <w:gridSpan w:val="3"/>
            <w:shd w:val="clear" w:color="auto" w:fill="CFF0FC"/>
          </w:tcPr>
          <w:p>
            <w:pPr>
              <w:jc w:val="center"/>
              <w:ind w:left="73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Pharvaris Netherlands B.V.</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Leiden</w:t>
            </w:r>
          </w:p>
        </w:tc>
        <w:tc>
          <w:tcPr>
            <w:tcW w:w="27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The Netherlands</w:t>
            </w:r>
          </w:p>
        </w:tc>
        <w:tc>
          <w:tcPr>
            <w:tcW w:w="100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rPr>
              <w:t>100%</w:t>
            </w:r>
          </w:p>
        </w:tc>
        <w:tc>
          <w:tcPr>
            <w:tcW w:w="2480" w:type="dxa"/>
            <w:vAlign w:val="bottom"/>
            <w:gridSpan w:val="3"/>
          </w:tcPr>
          <w:p>
            <w:pPr>
              <w:jc w:val="center"/>
              <w:ind w:left="73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Pharvaris GmbH</w:t>
            </w:r>
          </w:p>
        </w:tc>
        <w:tc>
          <w:tcPr>
            <w:tcW w:w="17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Zug</w:t>
            </w:r>
          </w:p>
        </w:tc>
        <w:tc>
          <w:tcPr>
            <w:tcW w:w="276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Switzerland</w:t>
            </w:r>
          </w:p>
        </w:tc>
        <w:tc>
          <w:tcPr>
            <w:tcW w:w="1000" w:type="dxa"/>
            <w:vAlign w:val="bottom"/>
            <w:shd w:val="clear" w:color="auto" w:fill="CFF0FC"/>
          </w:tcPr>
          <w:p>
            <w:pPr>
              <w:jc w:val="center"/>
              <w:ind w:left="539"/>
              <w:spacing w:after="0"/>
              <w:rPr>
                <w:sz w:val="20"/>
                <w:szCs w:val="20"/>
                <w:color w:val="auto"/>
              </w:rPr>
            </w:pPr>
            <w:r>
              <w:rPr>
                <w:rFonts w:ascii="Times New Roman" w:cs="Times New Roman" w:eastAsia="Times New Roman" w:hAnsi="Times New Roman"/>
                <w:sz w:val="16"/>
                <w:szCs w:val="16"/>
                <w:color w:val="auto"/>
              </w:rPr>
              <w:t>100%</w:t>
            </w:r>
          </w:p>
        </w:tc>
        <w:tc>
          <w:tcPr>
            <w:tcW w:w="2480" w:type="dxa"/>
            <w:vAlign w:val="bottom"/>
            <w:gridSpan w:val="3"/>
            <w:shd w:val="clear" w:color="auto" w:fill="CFF0FC"/>
          </w:tcPr>
          <w:p>
            <w:pPr>
              <w:jc w:val="center"/>
              <w:ind w:left="73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Pharvaris, Inc.</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Delaware</w:t>
            </w:r>
          </w:p>
        </w:tc>
        <w:tc>
          <w:tcPr>
            <w:tcW w:w="27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00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rPr>
              <w:t>100%</w:t>
            </w:r>
          </w:p>
        </w:tc>
        <w:tc>
          <w:tcPr>
            <w:tcW w:w="2480" w:type="dxa"/>
            <w:vAlign w:val="bottom"/>
            <w:gridSpan w:val="3"/>
          </w:tcPr>
          <w:p>
            <w:pPr>
              <w:jc w:val="center"/>
              <w:ind w:left="73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i w:val="1"/>
                <w:iCs w:val="1"/>
                <w:color w:val="auto"/>
                <w:w w:val="91"/>
              </w:rPr>
              <w:t>*</w:t>
            </w:r>
          </w:p>
        </w:tc>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Pharvaris Pharmaceuticals, Inc.*</w:t>
            </w:r>
          </w:p>
        </w:tc>
        <w:tc>
          <w:tcPr>
            <w:tcW w:w="17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Delaware</w:t>
            </w:r>
          </w:p>
        </w:tc>
        <w:tc>
          <w:tcPr>
            <w:tcW w:w="276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000" w:type="dxa"/>
            <w:vAlign w:val="bottom"/>
            <w:shd w:val="clear" w:color="auto" w:fill="CFF0FC"/>
          </w:tcPr>
          <w:p>
            <w:pPr>
              <w:jc w:val="center"/>
              <w:ind w:left="539"/>
              <w:spacing w:after="0"/>
              <w:rPr>
                <w:sz w:val="20"/>
                <w:szCs w:val="20"/>
                <w:color w:val="auto"/>
              </w:rPr>
            </w:pPr>
            <w:r>
              <w:rPr>
                <w:rFonts w:ascii="Times New Roman" w:cs="Times New Roman" w:eastAsia="Times New Roman" w:hAnsi="Times New Roman"/>
                <w:sz w:val="16"/>
                <w:szCs w:val="16"/>
                <w:color w:val="auto"/>
              </w:rPr>
              <w:t>100%</w:t>
            </w: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64"/>
        </w:trPr>
        <w:tc>
          <w:tcPr>
            <w:tcW w:w="80" w:type="dxa"/>
            <w:vAlign w:val="bottom"/>
            <w:vMerge w:val="continue"/>
          </w:tcPr>
          <w:p>
            <w:pPr>
              <w:spacing w:after="0"/>
              <w:rPr>
                <w:sz w:val="14"/>
                <w:szCs w:val="1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7"/>
              </w:rPr>
              <w:t>Pharvaris Pharmaceuticals, Inc was incorporated in June 2025</w:t>
            </w:r>
          </w:p>
        </w:tc>
        <w:tc>
          <w:tcPr>
            <w:tcW w:w="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ultimate parent company of the Group is Pharvaris N.V., which is based in the Netherlands.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unaudited condensed consolidated interim financial statements have been prepared in accordance with IAS 34 Interim Financial Reporting as issued by the International Accounting Standards Board (IASB) and should be read in conjunction with the Group’s annual consolidated financial statements for the year ended December 31, 2025 (“last annual financial statements”). These unaudited condensed consolidated interim financial statements do not include all the information required for a complete set of financial statements prepared in accordance with IFRS as issued by the IASB.</w:t>
      </w:r>
    </w:p>
    <w:p>
      <w:pPr>
        <w:spacing w:after="0" w:line="7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However, selected explanatory notes are included to explain events and transactions that are significant to an understanding of the changes in the Group’s financial position and performance since the last annual financial statements.</w:t>
      </w:r>
    </w:p>
    <w:p>
      <w:pPr>
        <w:spacing w:after="0" w:line="48"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The unaudited condensed consolidated interim financial statements have been prepared on a historical cost basis. Unless otherwise stated, the unaudited condensed consolidated interim financial statements are presented in euros and all values are rounded to the nearest EUR (€), except per share amounts.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Going concern</w:t>
      </w:r>
    </w:p>
    <w:p>
      <w:pPr>
        <w:spacing w:after="0" w:line="16"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Management assessed the Company’s ability to fund its operations for a period of at least 12 months after the date of signing these financial statements. Management has not identified significant going concern risks. The financial statements of the Company have been prepared on the basis of the going concern assumption based on its existing funding, taking into account the Company’s current cash position and the projected cash flows based on the activities under execution on the basis of Pharvaris’ business plan and budget.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25" w:name="page26"/>
    <w:bookmarkEnd w:id="25"/>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Use of judgements and estimates</w:t>
      </w:r>
    </w:p>
    <w:p>
      <w:pPr>
        <w:spacing w:after="0" w:line="10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In preparing these unaudited condensed consolidated interim financial statements, management has made judgements and estimates that affect the application of accounting policies and the reported amounts of assets and liabilities, income and expense. Actual results may differ from these estimates.</w:t>
      </w:r>
    </w:p>
    <w:p>
      <w:pPr>
        <w:spacing w:after="0" w:line="4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significant judgements made by management in applying the Group’s accounting policies and the key sources of estimation uncertainty were the same as those described in the last annual 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Change in material accounting policies</w:t>
      </w:r>
    </w:p>
    <w:p>
      <w:pPr>
        <w:spacing w:after="0" w:line="10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accounting policies applied in these unaudited condensed consolidated interim financial statements are the same as those applied in the consolidated financial statements for the year ended December 31, 2025.</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 to IFRS 9 and IFRS 7 - Classification and Measurement of Financial Instruments</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These amendments clarify the requirements for the timing of recognition and derecognition of some financial assets and liabilities, with a new exception for some financial liabilities settled through an electronic cash transfer system; clarify and add further guidance for assessing whether a financial asset meets the solely payments of principal and interest (SPPI) criterion; add new disclosures for certain instruments with contractual terms that can change cash flows (such as some instruments with features linked to the achievement of environment, social and governance (ESG) targets); and make updates to the disclosures for equity instruments designated at Fair Value through Other Comprehensive Income (FVOCI)</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ind w:right="360"/>
        <w:spacing w:after="0" w:line="432" w:lineRule="auto"/>
        <w:rPr>
          <w:sz w:val="20"/>
          <w:szCs w:val="20"/>
          <w:color w:val="auto"/>
        </w:rPr>
      </w:pPr>
      <w:r>
        <w:rPr>
          <w:rFonts w:ascii="Arial" w:cs="Arial" w:eastAsia="Arial" w:hAnsi="Arial"/>
          <w:sz w:val="16"/>
          <w:szCs w:val="16"/>
          <w:color w:val="auto"/>
        </w:rPr>
        <w:t xml:space="preserve">The amendment is effective for reporting periods beginning on or after January 1, 2026. The amendments did not have a material impact on the Group. </w:t>
      </w:r>
      <w:r>
        <w:rPr>
          <w:rFonts w:ascii="Arial" w:cs="Arial" w:eastAsia="Arial" w:hAnsi="Arial"/>
          <w:sz w:val="16"/>
          <w:szCs w:val="16"/>
          <w:b w:val="1"/>
          <w:bCs w:val="1"/>
          <w:color w:val="auto"/>
        </w:rPr>
        <w:t>New standards and interpretations issued not yet effective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IFRS 18, Presentation and Disclosure in Financial Statements</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This is the new standard on presentation and disclosure in financial statements, with a focus on updates to the statement of profit or loss. The key new concepts introduced in IFRS 18 relate to the structure of the statement of profit or loss; required disclosures in the financial statements for certain profit or loss performance measures that are reported outside an entity’s financial statements (that is, management-defined performance measures); and enhanced principles on aggregation and disaggregation which apply to the primary financial statements and notes in general.</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amendment is effective for reporting periods beginning on or after January 1, 2027. The amendments are being assessed by the Group.</w:t>
      </w:r>
    </w:p>
    <w:p>
      <w:pPr>
        <w:spacing w:after="0" w:line="113"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There are no other IFRS or IFRIC interpretations that are not yet effective and that are expected to have a material impact to the interim consolidated 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Research and development expenses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324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199"/>
        </w:trPr>
        <w:tc>
          <w:tcPr>
            <w:tcW w:w="20" w:type="dxa"/>
            <w:vAlign w:val="bottom"/>
          </w:tcPr>
          <w:p>
            <w:pPr>
              <w:spacing w:after="0"/>
              <w:rPr>
                <w:sz w:val="17"/>
                <w:szCs w:val="17"/>
                <w:color w:val="auto"/>
              </w:rPr>
            </w:pPr>
          </w:p>
        </w:tc>
        <w:tc>
          <w:tcPr>
            <w:tcW w:w="7860" w:type="dxa"/>
            <w:vAlign w:val="bottom"/>
          </w:tcPr>
          <w:p>
            <w:pPr>
              <w:spacing w:after="0"/>
              <w:rPr>
                <w:sz w:val="17"/>
                <w:szCs w:val="17"/>
                <w:color w:val="auto"/>
              </w:rPr>
            </w:pPr>
          </w:p>
        </w:tc>
        <w:tc>
          <w:tcPr>
            <w:tcW w:w="176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6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Clinical expenses</w:t>
            </w: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(14,632,586)</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(17,336,382)</w:t>
            </w:r>
          </w:p>
        </w:tc>
      </w:tr>
      <w:tr>
        <w:trPr>
          <w:trHeight w:val="203"/>
        </w:trPr>
        <w:tc>
          <w:tcPr>
            <w:tcW w:w="20" w:type="dxa"/>
            <w:vAlign w:val="bottom"/>
          </w:tcPr>
          <w:p>
            <w:pPr>
              <w:spacing w:after="0"/>
              <w:rPr>
                <w:sz w:val="17"/>
                <w:szCs w:val="17"/>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Personnel expenses (Note 5)</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(9,989,756)</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(8,425,450)</w:t>
            </w:r>
          </w:p>
        </w:tc>
      </w:tr>
      <w:tr>
        <w:trPr>
          <w:trHeight w:val="203"/>
        </w:trPr>
        <w:tc>
          <w:tcPr>
            <w:tcW w:w="20" w:type="dxa"/>
            <w:vAlign w:val="bottom"/>
          </w:tcPr>
          <w:p>
            <w:pPr>
              <w:spacing w:after="0"/>
              <w:rPr>
                <w:sz w:val="17"/>
                <w:szCs w:val="17"/>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Nonclinical expenses</w:t>
            </w: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(1,168,291)</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(1,850,190)</w:t>
            </w:r>
          </w:p>
        </w:tc>
      </w:tr>
      <w:tr>
        <w:trPr>
          <w:trHeight w:val="203"/>
        </w:trPr>
        <w:tc>
          <w:tcPr>
            <w:tcW w:w="20" w:type="dxa"/>
            <w:vAlign w:val="bottom"/>
          </w:tcPr>
          <w:p>
            <w:pPr>
              <w:spacing w:after="0"/>
              <w:rPr>
                <w:sz w:val="17"/>
                <w:szCs w:val="17"/>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Manufacturing costs</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(4,103,685)</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(3,228,532)</w:t>
            </w:r>
          </w:p>
        </w:tc>
      </w:tr>
      <w:tr>
        <w:trPr>
          <w:trHeight w:val="203"/>
        </w:trPr>
        <w:tc>
          <w:tcPr>
            <w:tcW w:w="20" w:type="dxa"/>
            <w:vAlign w:val="bottom"/>
          </w:tcPr>
          <w:p>
            <w:pPr>
              <w:spacing w:after="0"/>
              <w:rPr>
                <w:sz w:val="17"/>
                <w:szCs w:val="17"/>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Intellectual Property costs</w:t>
            </w: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(266,844)</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(73,839)</w:t>
            </w:r>
          </w:p>
        </w:tc>
      </w:tr>
      <w:tr>
        <w:trPr>
          <w:trHeight w:val="20"/>
        </w:trPr>
        <w:tc>
          <w:tcPr>
            <w:tcW w:w="20" w:type="dxa"/>
            <w:vAlign w:val="bottom"/>
          </w:tcPr>
          <w:p>
            <w:pPr>
              <w:spacing w:after="0" w:line="20" w:lineRule="exact"/>
              <w:rPr>
                <w:sz w:val="1"/>
                <w:szCs w:val="1"/>
                <w:color w:val="auto"/>
              </w:rPr>
            </w:pPr>
          </w:p>
        </w:tc>
        <w:tc>
          <w:tcPr>
            <w:tcW w:w="7860" w:type="dxa"/>
            <w:vAlign w:val="bottom"/>
            <w:shd w:val="clear" w:color="auto" w:fill="CFF0FC"/>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tcPr>
          <w:p>
            <w:pPr>
              <w:spacing w:after="0"/>
              <w:rPr>
                <w:sz w:val="17"/>
                <w:szCs w:val="17"/>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(30,161,162)</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(30,914,393)</w:t>
            </w: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-161925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-161925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Development expenses are currently not capitalized but are recorded in the condensed consolidated statements of profit or loss and other comprehensive loss because the recognition criteria for capitalization are not met.</w:t>
      </w:r>
    </w:p>
    <w:p>
      <w:pPr>
        <w:spacing w:after="0" w:line="1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Clinical expenses include costs of conducting and managing our sponsored clinical trials, including clinical investigator cost, costs of clinical sites, and costs for CRO’s assisting with our clinical development programs and travel expenses.</w:t>
      </w:r>
    </w:p>
    <w:p>
      <w:pPr>
        <w:spacing w:after="0" w:line="12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Manufacturing expenses include costs related to manufacturing of active pharmaceutical ingredients and manufacturing of the products used in our clinical trials and research and development activities as well as travel expenses.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Nonclinical expenses include costs of our outsourced discovery and nonclinical development studies and associated</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travel expenses.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 expenses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20" w:type="dxa"/>
            <w:vAlign w:val="bottom"/>
          </w:tcPr>
          <w:p>
            <w:pPr>
              <w:spacing w:after="0"/>
              <w:rPr>
                <w:sz w:val="18"/>
                <w:szCs w:val="18"/>
                <w:color w:val="auto"/>
              </w:rPr>
            </w:pPr>
          </w:p>
        </w:tc>
        <w:tc>
          <w:tcPr>
            <w:tcW w:w="342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199"/>
        </w:trPr>
        <w:tc>
          <w:tcPr>
            <w:tcW w:w="7820" w:type="dxa"/>
            <w:vAlign w:val="bottom"/>
          </w:tcPr>
          <w:p>
            <w:pPr>
              <w:spacing w:after="0"/>
              <w:rPr>
                <w:sz w:val="17"/>
                <w:szCs w:val="17"/>
                <w:color w:val="auto"/>
              </w:rPr>
            </w:pPr>
          </w:p>
        </w:tc>
        <w:tc>
          <w:tcPr>
            <w:tcW w:w="194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78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Personnel expenses (Note 5)</w:t>
            </w:r>
          </w:p>
        </w:tc>
        <w:tc>
          <w:tcPr>
            <w:tcW w:w="2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(6,247,497)</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(5,029,239)</w:t>
            </w:r>
          </w:p>
        </w:tc>
      </w:tr>
      <w:tr>
        <w:trPr>
          <w:trHeight w:val="20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(3,573,466)</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(2,604,146)</w:t>
            </w:r>
          </w:p>
        </w:tc>
      </w:tr>
      <w:tr>
        <w:trPr>
          <w:trHeight w:val="203"/>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Insurance, facilities and office expenses</w:t>
            </w:r>
          </w:p>
        </w:tc>
        <w:tc>
          <w:tcPr>
            <w:tcW w:w="2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(1,319,912)</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(1,350,761)</w:t>
            </w:r>
          </w:p>
        </w:tc>
      </w:tr>
      <w:tr>
        <w:trPr>
          <w:trHeight w:val="20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Accounting, tax and auditing fees</w:t>
            </w: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(580,035)</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(617,323)</w:t>
            </w:r>
          </w:p>
        </w:tc>
      </w:tr>
      <w:tr>
        <w:trPr>
          <w:trHeight w:val="203"/>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Travel expenses</w:t>
            </w:r>
          </w:p>
        </w:tc>
        <w:tc>
          <w:tcPr>
            <w:tcW w:w="2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(257,037)</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(325,131)</w:t>
            </w:r>
          </w:p>
        </w:tc>
      </w:tr>
      <w:tr>
        <w:trPr>
          <w:trHeight w:val="20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Consulting fees</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(47,568)</w:t>
            </w:r>
          </w:p>
        </w:tc>
      </w:tr>
      <w:tr>
        <w:trPr>
          <w:trHeight w:val="203"/>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2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(2,132,892)</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(1,297,750)</w:t>
            </w:r>
          </w:p>
        </w:tc>
      </w:tr>
      <w:tr>
        <w:trPr>
          <w:trHeight w:val="20"/>
        </w:trPr>
        <w:tc>
          <w:tcPr>
            <w:tcW w:w="7820" w:type="dxa"/>
            <w:vAlign w:val="bottom"/>
            <w:shd w:val="clear" w:color="auto" w:fill="CFF0FC"/>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820" w:type="dxa"/>
            <w:vAlign w:val="bottom"/>
          </w:tcPr>
          <w:p>
            <w:pPr>
              <w:spacing w:after="0"/>
              <w:rPr>
                <w:sz w:val="17"/>
                <w:szCs w:val="17"/>
                <w:color w:val="auto"/>
              </w:rPr>
            </w:pP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(14,110,839)</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(11,271,918)</w:t>
            </w:r>
          </w:p>
        </w:tc>
      </w:tr>
      <w:tr>
        <w:trPr>
          <w:trHeight w:val="20"/>
        </w:trPr>
        <w:tc>
          <w:tcPr>
            <w:tcW w:w="782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-162560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Since 2022, the Group entered into a number of short-term rental arrangements, the expenses are included in "Other expenses".</w:t>
      </w:r>
    </w:p>
    <w:p>
      <w:pPr>
        <w:spacing w:after="0" w:line="11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Depreciation expense for each of the three months ended March 31, 2026 and 2025 was €0.1 million, which related to property, plant and equipment and leases, and is included in the 'Other expenses' line.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Personnel expenses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spacing w:after="0"/>
              <w:rPr>
                <w:sz w:val="18"/>
                <w:szCs w:val="18"/>
                <w:color w:val="auto"/>
              </w:rPr>
            </w:pPr>
          </w:p>
        </w:tc>
        <w:tc>
          <w:tcPr>
            <w:tcW w:w="3540" w:type="dxa"/>
            <w:vAlign w:val="bottom"/>
            <w:gridSpan w:val="4"/>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199"/>
        </w:trPr>
        <w:tc>
          <w:tcPr>
            <w:tcW w:w="7700" w:type="dxa"/>
            <w:vAlign w:val="bottom"/>
          </w:tcPr>
          <w:p>
            <w:pPr>
              <w:spacing w:after="0"/>
              <w:rPr>
                <w:sz w:val="17"/>
                <w:szCs w:val="17"/>
                <w:color w:val="auto"/>
              </w:rPr>
            </w:pPr>
          </w:p>
        </w:tc>
        <w:tc>
          <w:tcPr>
            <w:tcW w:w="15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7"/>
                <w:szCs w:val="17"/>
                <w:color w:val="auto"/>
              </w:rPr>
            </w:pPr>
          </w:p>
        </w:tc>
        <w:tc>
          <w:tcPr>
            <w:tcW w:w="174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196"/>
        </w:trPr>
        <w:tc>
          <w:tcPr>
            <w:tcW w:w="77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r>
      <w:tr>
        <w:trPr>
          <w:trHeight w:val="20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Wages and salaries</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(9,233,162)</w:t>
            </w: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(7,902,307)</w:t>
            </w:r>
          </w:p>
        </w:tc>
      </w:tr>
      <w:tr>
        <w:trPr>
          <w:trHeight w:val="202"/>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Share-based payments</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(4,898,104)</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(4,127,912)</w:t>
            </w:r>
          </w:p>
        </w:tc>
      </w:tr>
      <w:tr>
        <w:trPr>
          <w:trHeight w:val="20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social security charges</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(1,168,674)</w:t>
            </w: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(711,179)</w:t>
            </w: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Pension charges</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(646,455)</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(544,716)</w:t>
            </w:r>
          </w:p>
        </w:tc>
      </w:tr>
      <w:tr>
        <w:trPr>
          <w:trHeight w:val="20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employee related costs</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(290,858)</w:t>
            </w: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(168,575)</w:t>
            </w:r>
          </w:p>
        </w:tc>
      </w:tr>
      <w:tr>
        <w:trPr>
          <w:trHeight w:val="20"/>
        </w:trPr>
        <w:tc>
          <w:tcPr>
            <w:tcW w:w="770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70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(16,237,253)</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(13,454,689)</w:t>
            </w:r>
          </w:p>
        </w:tc>
      </w:tr>
      <w:tr>
        <w:trPr>
          <w:trHeight w:val="20"/>
        </w:trPr>
        <w:tc>
          <w:tcPr>
            <w:tcW w:w="77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-162560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The average number of staff (in FTEs) employed by the Group in the three months ended March 31, 2026 was 134 (2025: 119).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Finance income/ (expense)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3460" w:type="dxa"/>
            <w:vAlign w:val="bottom"/>
            <w:gridSpan w:val="4"/>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199"/>
        </w:trPr>
        <w:tc>
          <w:tcPr>
            <w:tcW w:w="7780" w:type="dxa"/>
            <w:vAlign w:val="bottom"/>
          </w:tcPr>
          <w:p>
            <w:pPr>
              <w:spacing w:after="0"/>
              <w:rPr>
                <w:sz w:val="17"/>
                <w:szCs w:val="17"/>
                <w:color w:val="auto"/>
              </w:rPr>
            </w:pPr>
          </w:p>
        </w:tc>
        <w:tc>
          <w:tcPr>
            <w:tcW w:w="198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778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exchange differences</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3,757,186</w:t>
            </w:r>
          </w:p>
        </w:tc>
        <w:tc>
          <w:tcPr>
            <w:tcW w:w="1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(5,022,538)</w:t>
            </w: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income over bank balances</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1,673,652</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1,196,649</w:t>
            </w:r>
          </w:p>
        </w:tc>
        <w:tc>
          <w:tcPr>
            <w:tcW w:w="100" w:type="dxa"/>
            <w:vAlign w:val="bottom"/>
          </w:tcPr>
          <w:p>
            <w:pPr>
              <w:spacing w:after="0"/>
              <w:rPr>
                <w:sz w:val="17"/>
                <w:szCs w:val="17"/>
                <w:color w:val="auto"/>
              </w:rPr>
            </w:pPr>
          </w:p>
        </w:tc>
      </w:tr>
      <w:tr>
        <w:trPr>
          <w:trHeight w:val="202"/>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finance expenses</w:t>
            </w:r>
          </w:p>
        </w:tc>
        <w:tc>
          <w:tcPr>
            <w:tcW w:w="2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(86,403)</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(25,956)</w:t>
            </w:r>
          </w:p>
        </w:tc>
      </w:tr>
      <w:tr>
        <w:trPr>
          <w:trHeight w:val="20"/>
        </w:trPr>
        <w:tc>
          <w:tcPr>
            <w:tcW w:w="7780" w:type="dxa"/>
            <w:vAlign w:val="bottom"/>
            <w:shd w:val="clear" w:color="auto" w:fill="CFF0FC"/>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8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5,344,435</w:t>
            </w:r>
          </w:p>
        </w:tc>
        <w:tc>
          <w:tcPr>
            <w:tcW w:w="10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(3,851,845)</w:t>
            </w:r>
          </w:p>
        </w:tc>
      </w:tr>
      <w:tr>
        <w:trPr>
          <w:trHeight w:val="20"/>
        </w:trPr>
        <w:tc>
          <w:tcPr>
            <w:tcW w:w="778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-162560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0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Income taxes are accounted for in line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(P&amp;L) and subsequently allocated using the expected full year effective tax rate. The discrete items are recognized in full in the interim period in which they emerge. In the total interim tax charge, no distinction is made between current and deferred tax expenses/ income.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2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7720" w:type="dxa"/>
            <w:vAlign w:val="bottom"/>
          </w:tcPr>
          <w:p>
            <w:pPr>
              <w:spacing w:after="0"/>
              <w:rPr>
                <w:sz w:val="17"/>
                <w:szCs w:val="17"/>
                <w:color w:val="auto"/>
              </w:rPr>
            </w:pPr>
          </w:p>
        </w:tc>
        <w:tc>
          <w:tcPr>
            <w:tcW w:w="980" w:type="dxa"/>
            <w:vAlign w:val="bottom"/>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8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(117,131)</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(217,149)</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Deferred tax charge</w:t>
            </w:r>
          </w:p>
        </w:tc>
        <w:tc>
          <w:tcPr>
            <w:tcW w:w="9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(155,976)</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(85,518)</w:t>
            </w:r>
          </w:p>
        </w:tc>
      </w:tr>
      <w:tr>
        <w:trPr>
          <w:trHeight w:val="20"/>
        </w:trPr>
        <w:tc>
          <w:tcPr>
            <w:tcW w:w="7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9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(273,107)</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(302,667)</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The tax expense over the three months ended March 31, 2026 and 2025 relates to the Company's U.S. and Dutch subsidiaries as the result of a cost-plus agreement between the Company's principal entity and the U.S. and the Dutch subsidiaries, resulting in an estimated taxable profit in the U.S. and the Netherlands.</w:t>
      </w:r>
    </w:p>
    <w:p>
      <w:pPr>
        <w:spacing w:after="0" w:line="63"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Reconciliation of income tax benefit at statutory tax rate and the income tax expense as reported in the unaudited condensed consolidated statement of profit or loss and other comprehensive income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310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199"/>
        </w:trPr>
        <w:tc>
          <w:tcPr>
            <w:tcW w:w="814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81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income tax</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(38,927,566)</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(46,038,156)</w:t>
            </w: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Income tax at statutory income tax rate in the Netherlands (25.8%)</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10,043,313</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11,877,844</w:t>
            </w:r>
          </w:p>
        </w:tc>
        <w:tc>
          <w:tcPr>
            <w:tcW w:w="100" w:type="dxa"/>
            <w:vAlign w:val="bottom"/>
          </w:tcPr>
          <w:p>
            <w:pPr>
              <w:spacing w:after="0"/>
              <w:rPr>
                <w:sz w:val="17"/>
                <w:szCs w:val="17"/>
                <w:color w:val="auto"/>
              </w:rPr>
            </w:pPr>
          </w:p>
        </w:tc>
      </w:tr>
      <w:tr>
        <w:trPr>
          <w:trHeight w:val="203"/>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tax rates in other countries</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(5,725,612)</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(6,553,527)</w:t>
            </w: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 recognition effects</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(4,745,512)</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(5,300,079)</w:t>
            </w:r>
          </w:p>
        </w:tc>
      </w:tr>
      <w:tr>
        <w:trPr>
          <w:trHeight w:val="203"/>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Temporary differences for which no deferred tax assets/liabilities have been recognized</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318,148</w:t>
            </w: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Non-deductible expenses</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(160,624)</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(329,311)</w:t>
            </w:r>
          </w:p>
        </w:tc>
      </w:tr>
      <w:tr>
        <w:trPr>
          <w:trHeight w:val="203"/>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Prior period adjustments</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(2,820)</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100" w:type="dxa"/>
            <w:vAlign w:val="bottom"/>
            <w:shd w:val="clear" w:color="auto" w:fill="CFF0FC"/>
          </w:tcPr>
          <w:p>
            <w:pPr>
              <w:spacing w:after="0"/>
              <w:rPr>
                <w:sz w:val="17"/>
                <w:szCs w:val="17"/>
                <w:color w:val="auto"/>
              </w:rPr>
            </w:pPr>
          </w:p>
        </w:tc>
      </w:tr>
      <w:tr>
        <w:trPr>
          <w:trHeight w:val="20"/>
        </w:trPr>
        <w:tc>
          <w:tcPr>
            <w:tcW w:w="814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(273,107)</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(302,667)</w:t>
            </w:r>
          </w:p>
        </w:tc>
      </w:tr>
      <w:tr>
        <w:trPr>
          <w:trHeight w:val="20"/>
        </w:trPr>
        <w:tc>
          <w:tcPr>
            <w:tcW w:w="8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-162560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Income tax expense is recognized based on management’s estimate of the weighted average effective annual income tax rate expected for the full financial year, bearing in mind the impact of non-discrete and discrete items. Non discrete items in the income tax expense are recognized based on management’s estimate of the weighted average effective annual income tax rate expected for the full financial year. Discrete items in the income tax expense are recognized at the applicable statutory tax rate.</w:t>
      </w:r>
    </w:p>
    <w:p>
      <w:pPr>
        <w:spacing w:after="0" w:line="70"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The (estimated) average annual tax rate used for the three months ended March 31, 2026 was (0.7%), compared to (0.7%)for the three months ended March 31, 2025.</w:t>
      </w:r>
    </w:p>
    <w:p>
      <w:pPr>
        <w:spacing w:after="0" w:line="48" w:lineRule="exact"/>
        <w:rPr>
          <w:sz w:val="20"/>
          <w:szCs w:val="20"/>
          <w:color w:val="auto"/>
        </w:rPr>
      </w:pPr>
    </w:p>
    <w:p>
      <w:pPr>
        <w:jc w:val="both"/>
        <w:ind w:right="780"/>
        <w:spacing w:after="0" w:line="266" w:lineRule="auto"/>
        <w:rPr>
          <w:sz w:val="20"/>
          <w:szCs w:val="20"/>
          <w:color w:val="auto"/>
        </w:rPr>
      </w:pPr>
      <w:r>
        <w:rPr>
          <w:rFonts w:ascii="Arial" w:cs="Arial" w:eastAsia="Arial" w:hAnsi="Arial"/>
          <w:sz w:val="16"/>
          <w:szCs w:val="16"/>
          <w:color w:val="auto"/>
        </w:rPr>
        <w:t>The current period losses for which no deferred tax asset has been recognized mainly consists of the unrecognized tax effect of losses incurred in Switzerland. The differences in the overseas tax rates are due to the lower tax rate in Switzerland compared to the statutory income tax rate in the Netherlands.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Pharvaris N.V. is the head of the fiscal unity including Pharvaris Netherlands B.V. and Pharvaris Holdings B.V.</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w:t>
      </w:r>
    </w:p>
    <w:p>
      <w:pPr>
        <w:spacing w:after="0" w:line="108"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Deferred taxes have been recognized to the extent that management concludes that there is sufficient probability as per IAS 12 that there will be future taxable profits available in the foreseeable future against which the unused tax losses and deductible temporary differences can be utilized.</w:t>
      </w:r>
    </w:p>
    <w:p>
      <w:pPr>
        <w:spacing w:after="0" w:line="48"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and loss and other comprehensive income for the Dutch fiscal unity.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plant and equipment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246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9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2"/>
        </w:trPr>
        <w:tc>
          <w:tcPr>
            <w:tcW w:w="6640" w:type="dxa"/>
            <w:vAlign w:val="bottom"/>
          </w:tcPr>
          <w:p>
            <w:pPr>
              <w:spacing w:after="0"/>
              <w:rPr>
                <w:sz w:val="20"/>
                <w:szCs w:val="20"/>
                <w:color w:val="auto"/>
              </w:rPr>
            </w:pPr>
            <w:r>
              <w:rPr>
                <w:rFonts w:ascii="Arial" w:cs="Arial" w:eastAsia="Arial" w:hAnsi="Arial"/>
                <w:sz w:val="16"/>
                <w:szCs w:val="16"/>
                <w:b w:val="1"/>
                <w:bCs w:val="1"/>
                <w:color w:val="auto"/>
              </w:rPr>
              <w:t>Net book value</w:t>
            </w:r>
          </w:p>
        </w:tc>
        <w:tc>
          <w:tcPr>
            <w:tcW w:w="224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80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period</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642,470</w:t>
            </w:r>
          </w:p>
        </w:tc>
        <w:tc>
          <w:tcPr>
            <w:tcW w:w="22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667,000</w:t>
            </w:r>
          </w:p>
        </w:tc>
        <w:tc>
          <w:tcPr>
            <w:tcW w:w="12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Additions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52,097</w:t>
            </w:r>
          </w:p>
        </w:tc>
        <w:tc>
          <w:tcPr>
            <w:tcW w:w="2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164,620</w:t>
            </w:r>
          </w:p>
        </w:tc>
        <w:tc>
          <w:tcPr>
            <w:tcW w:w="12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Depreciation expenses</w:t>
            </w:r>
          </w:p>
        </w:tc>
        <w:tc>
          <w:tcPr>
            <w:tcW w:w="2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(51,368)</w:t>
            </w:r>
          </w:p>
        </w:tc>
        <w:tc>
          <w:tcPr>
            <w:tcW w:w="1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(189,150)</w:t>
            </w:r>
          </w:p>
        </w:tc>
      </w:tr>
      <w:tr>
        <w:trPr>
          <w:trHeight w:val="209"/>
        </w:trPr>
        <w:tc>
          <w:tcPr>
            <w:tcW w:w="664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Balance at end of period</w:t>
            </w: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643,199</w:t>
            </w:r>
          </w:p>
        </w:tc>
        <w:tc>
          <w:tcPr>
            <w:tcW w:w="220" w:type="dxa"/>
            <w:vAlign w:val="bottom"/>
            <w:tcBorders>
              <w:top w:val="single" w:sz="8" w:color="CFF0FC"/>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642,470</w:t>
            </w:r>
          </w:p>
        </w:tc>
        <w:tc>
          <w:tcPr>
            <w:tcW w:w="120" w:type="dxa"/>
            <w:vAlign w:val="bottom"/>
            <w:tcBorders>
              <w:top w:val="single" w:sz="8" w:color="CFF0FC"/>
            </w:tcBorders>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-162560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-162560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2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1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Pr>
          <w:p>
            <w:pPr>
              <w:spacing w:after="0"/>
              <w:rPr>
                <w:sz w:val="18"/>
                <w:szCs w:val="18"/>
                <w:color w:val="auto"/>
              </w:rPr>
            </w:pPr>
          </w:p>
        </w:tc>
      </w:tr>
      <w:tr>
        <w:trPr>
          <w:trHeight w:val="199"/>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Cumulative depreciation</w:t>
            </w:r>
          </w:p>
        </w:tc>
        <w:tc>
          <w:tcPr>
            <w:tcW w:w="2460" w:type="dxa"/>
            <w:vAlign w:val="bottom"/>
            <w:gridSpan w:val="2"/>
            <w:shd w:val="clear" w:color="auto" w:fill="CFF0FC"/>
          </w:tcPr>
          <w:p>
            <w:pPr>
              <w:jc w:val="right"/>
              <w:ind w:right="132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shd w:val="clear" w:color="auto" w:fill="CFF0FC"/>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As of January 1,</w:t>
            </w:r>
          </w:p>
        </w:tc>
        <w:tc>
          <w:tcPr>
            <w:tcW w:w="2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(409,286)</w:t>
            </w:r>
          </w:p>
        </w:tc>
        <w:tc>
          <w:tcPr>
            <w:tcW w:w="1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(220,136)</w:t>
            </w:r>
          </w:p>
        </w:tc>
      </w:tr>
      <w:tr>
        <w:trPr>
          <w:trHeight w:val="203"/>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Depreciation</w:t>
            </w:r>
          </w:p>
        </w:tc>
        <w:tc>
          <w:tcPr>
            <w:tcW w:w="2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(51,368)</w:t>
            </w:r>
          </w:p>
        </w:tc>
        <w:tc>
          <w:tcPr>
            <w:tcW w:w="1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(189,150)</w:t>
            </w:r>
          </w:p>
        </w:tc>
      </w:tr>
      <w:tr>
        <w:trPr>
          <w:trHeight w:val="20"/>
        </w:trPr>
        <w:tc>
          <w:tcPr>
            <w:tcW w:w="6640" w:type="dxa"/>
            <w:vAlign w:val="bottom"/>
            <w:shd w:val="clear" w:color="auto" w:fill="CFF0FC"/>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spacing w:after="0"/>
              <w:rPr>
                <w:sz w:val="20"/>
                <w:szCs w:val="20"/>
                <w:color w:val="auto"/>
              </w:rPr>
            </w:pPr>
            <w:r>
              <w:rPr>
                <w:rFonts w:ascii="Arial" w:cs="Arial" w:eastAsia="Arial" w:hAnsi="Arial"/>
                <w:sz w:val="16"/>
                <w:szCs w:val="16"/>
                <w:color w:val="auto"/>
              </w:rPr>
              <w:t>Balance at end of period</w:t>
            </w:r>
          </w:p>
        </w:tc>
        <w:tc>
          <w:tcPr>
            <w:tcW w:w="2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(460,654)</w:t>
            </w:r>
          </w:p>
        </w:tc>
        <w:tc>
          <w:tcPr>
            <w:tcW w:w="1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(409,286)</w:t>
            </w:r>
          </w:p>
        </w:tc>
      </w:tr>
      <w:tr>
        <w:trPr>
          <w:trHeight w:val="20"/>
        </w:trPr>
        <w:tc>
          <w:tcPr>
            <w:tcW w:w="664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-161925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-161925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2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Pr>
          <w:p>
            <w:pPr>
              <w:spacing w:after="0"/>
              <w:rPr>
                <w:sz w:val="18"/>
                <w:szCs w:val="18"/>
                <w:color w:val="auto"/>
              </w:rPr>
            </w:pPr>
          </w:p>
        </w:tc>
      </w:tr>
      <w:tr>
        <w:trPr>
          <w:trHeight w:val="212"/>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Cumulative Costs</w:t>
            </w:r>
          </w:p>
        </w:tc>
        <w:tc>
          <w:tcPr>
            <w:tcW w:w="224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6640" w:type="dxa"/>
            <w:vAlign w:val="bottom"/>
          </w:tcPr>
          <w:p>
            <w:pPr>
              <w:spacing w:after="0"/>
              <w:rPr>
                <w:sz w:val="20"/>
                <w:szCs w:val="20"/>
                <w:color w:val="auto"/>
              </w:rPr>
            </w:pPr>
            <w:r>
              <w:rPr>
                <w:rFonts w:ascii="Arial" w:cs="Arial" w:eastAsia="Arial" w:hAnsi="Arial"/>
                <w:sz w:val="16"/>
                <w:szCs w:val="16"/>
                <w:color w:val="auto"/>
              </w:rPr>
              <w:t>Balance at beginning of period</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1,051,756</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887,136</w:t>
            </w:r>
          </w:p>
        </w:tc>
        <w:tc>
          <w:tcPr>
            <w:tcW w:w="120" w:type="dxa"/>
            <w:vAlign w:val="bottom"/>
          </w:tcPr>
          <w:p>
            <w:pPr>
              <w:spacing w:after="0"/>
              <w:rPr>
                <w:sz w:val="18"/>
                <w:szCs w:val="18"/>
                <w:color w:val="auto"/>
              </w:rPr>
            </w:pPr>
          </w:p>
        </w:tc>
      </w:tr>
      <w:tr>
        <w:trPr>
          <w:trHeight w:val="203"/>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Additions</w:t>
            </w: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52,097</w:t>
            </w:r>
          </w:p>
        </w:tc>
        <w:tc>
          <w:tcPr>
            <w:tcW w:w="22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164,620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9"/>
        </w:trPr>
        <w:tc>
          <w:tcPr>
            <w:tcW w:w="6640" w:type="dxa"/>
            <w:vAlign w:val="bottom"/>
          </w:tcPr>
          <w:p>
            <w:pPr>
              <w:spacing w:after="0"/>
              <w:rPr>
                <w:sz w:val="20"/>
                <w:szCs w:val="20"/>
                <w:color w:val="auto"/>
              </w:rPr>
            </w:pPr>
            <w:r>
              <w:rPr>
                <w:rFonts w:ascii="Arial" w:cs="Arial" w:eastAsia="Arial" w:hAnsi="Arial"/>
                <w:sz w:val="16"/>
                <w:szCs w:val="16"/>
                <w:color w:val="auto"/>
              </w:rPr>
              <w:t>Balance at end of period</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1,103,853</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1,051,756</w:t>
            </w:r>
          </w:p>
        </w:tc>
        <w:tc>
          <w:tcPr>
            <w:tcW w:w="12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-162560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-162560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1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During the three months ended March 31, 2026, the Group acquired assets with a cost of €0.1 million (December 31, 2025: €0.2 million). The acquisitions were mainly related to equipment, tools and installations.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Group’s right-of-use assets: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2280" w:type="dxa"/>
            <w:vAlign w:val="bottom"/>
          </w:tcPr>
          <w:p>
            <w:pPr>
              <w:ind w:left="12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836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2"/>
        </w:trPr>
        <w:tc>
          <w:tcPr>
            <w:tcW w:w="6080" w:type="dxa"/>
            <w:vAlign w:val="bottom"/>
          </w:tcPr>
          <w:p>
            <w:pPr>
              <w:spacing w:after="0"/>
              <w:rPr>
                <w:sz w:val="17"/>
                <w:szCs w:val="17"/>
                <w:color w:val="auto"/>
              </w:rPr>
            </w:pPr>
          </w:p>
        </w:tc>
        <w:tc>
          <w:tcPr>
            <w:tcW w:w="2280" w:type="dxa"/>
            <w:vAlign w:val="bottom"/>
            <w:tcBorders>
              <w:top w:val="single" w:sz="8" w:color="auto"/>
            </w:tcBorders>
          </w:tcPr>
          <w:p>
            <w:pPr>
              <w:jc w:val="center"/>
              <w:ind w:lef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r>
      <w:tr>
        <w:trPr>
          <w:trHeight w:val="203"/>
        </w:trPr>
        <w:tc>
          <w:tcPr>
            <w:tcW w:w="8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756,951</w:t>
            </w: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813,842</w:t>
            </w:r>
          </w:p>
        </w:tc>
        <w:tc>
          <w:tcPr>
            <w:tcW w:w="100" w:type="dxa"/>
            <w:vAlign w:val="bottom"/>
            <w:shd w:val="clear" w:color="auto" w:fill="CFF0FC"/>
          </w:tcPr>
          <w:p>
            <w:pPr>
              <w:spacing w:after="0"/>
              <w:rPr>
                <w:sz w:val="17"/>
                <w:szCs w:val="17"/>
                <w:color w:val="auto"/>
              </w:rPr>
            </w:pPr>
          </w:p>
        </w:tc>
      </w:tr>
      <w:tr>
        <w:trPr>
          <w:trHeight w:val="203"/>
        </w:trPr>
        <w:tc>
          <w:tcPr>
            <w:tcW w:w="8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Remeasurement</w:t>
            </w: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251,427</w:t>
            </w:r>
          </w:p>
        </w:tc>
        <w:tc>
          <w:tcPr>
            <w:tcW w:w="100" w:type="dxa"/>
            <w:vAlign w:val="bottom"/>
            <w:shd w:val="clear" w:color="auto" w:fill="CFF0FC"/>
          </w:tcPr>
          <w:p>
            <w:pPr>
              <w:spacing w:after="0"/>
              <w:rPr>
                <w:sz w:val="17"/>
                <w:szCs w:val="17"/>
                <w:color w:val="auto"/>
              </w:rPr>
            </w:pPr>
          </w:p>
        </w:tc>
      </w:tr>
      <w:tr>
        <w:trPr>
          <w:trHeight w:val="203"/>
        </w:trPr>
        <w:tc>
          <w:tcPr>
            <w:tcW w:w="8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charges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(53,358)</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(229,203)</w:t>
            </w:r>
          </w:p>
        </w:tc>
      </w:tr>
      <w:tr>
        <w:trPr>
          <w:trHeight w:val="203"/>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Impact of transaction of foreign currency</w:t>
            </w:r>
          </w:p>
        </w:tc>
        <w:tc>
          <w:tcPr>
            <w:tcW w:w="22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10,549</w:t>
            </w:r>
          </w:p>
        </w:tc>
        <w:tc>
          <w:tcPr>
            <w:tcW w:w="22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(79,115)</w:t>
            </w:r>
          </w:p>
        </w:tc>
      </w:tr>
      <w:tr>
        <w:trPr>
          <w:trHeight w:val="196"/>
        </w:trPr>
        <w:tc>
          <w:tcPr>
            <w:tcW w:w="6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Balance at end of period</w:t>
            </w:r>
          </w:p>
        </w:tc>
        <w:tc>
          <w:tcPr>
            <w:tcW w:w="2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714,142</w:t>
            </w:r>
          </w:p>
        </w:tc>
        <w:tc>
          <w:tcPr>
            <w:tcW w:w="220" w:type="dxa"/>
            <w:vAlign w:val="bottom"/>
            <w:tcBorders>
              <w:top w:val="single" w:sz="8" w:color="CFF0FC"/>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756,951</w:t>
            </w:r>
          </w:p>
        </w:tc>
        <w:tc>
          <w:tcPr>
            <w:tcW w:w="100" w:type="dxa"/>
            <w:vAlign w:val="bottom"/>
            <w:tcBorders>
              <w:top w:val="single" w:sz="8" w:color="CFF0FC"/>
            </w:tcBorders>
          </w:tcPr>
          <w:p>
            <w:pPr>
              <w:spacing w:after="0"/>
              <w:rPr>
                <w:sz w:val="17"/>
                <w:szCs w:val="17"/>
                <w:color w:val="auto"/>
              </w:rPr>
            </w:pPr>
          </w:p>
        </w:tc>
      </w:tr>
      <w:tr>
        <w:trPr>
          <w:trHeight w:val="20"/>
        </w:trPr>
        <w:tc>
          <w:tcPr>
            <w:tcW w:w="608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-161925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Group’s lease liabilities at March 31, 2026:</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3380" w:type="dxa"/>
            <w:vAlign w:val="bottom"/>
            <w:gridSpan w:val="2"/>
          </w:tcPr>
          <w:p>
            <w:pPr>
              <w:ind w:left="12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78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6080" w:type="dxa"/>
            <w:vAlign w:val="bottom"/>
          </w:tcPr>
          <w:p>
            <w:pPr>
              <w:spacing w:after="0"/>
              <w:rPr>
                <w:sz w:val="18"/>
                <w:szCs w:val="18"/>
                <w:color w:val="auto"/>
              </w:rPr>
            </w:pPr>
          </w:p>
        </w:tc>
        <w:tc>
          <w:tcPr>
            <w:tcW w:w="316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8"/>
                <w:szCs w:val="18"/>
                <w:color w:val="auto"/>
              </w:rPr>
            </w:pPr>
          </w:p>
        </w:tc>
        <w:tc>
          <w:tcPr>
            <w:tcW w:w="16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202"/>
        </w:trPr>
        <w:tc>
          <w:tcPr>
            <w:tcW w:w="6080" w:type="dxa"/>
            <w:vAlign w:val="bottom"/>
          </w:tcPr>
          <w:p>
            <w:pPr>
              <w:spacing w:after="0"/>
              <w:rPr>
                <w:sz w:val="17"/>
                <w:szCs w:val="17"/>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Office leases</w:t>
            </w:r>
          </w:p>
        </w:tc>
        <w:tc>
          <w:tcPr>
            <w:tcW w:w="3380" w:type="dxa"/>
            <w:vAlign w:val="bottom"/>
            <w:gridSpan w:val="2"/>
            <w:shd w:val="clear" w:color="auto" w:fill="CFF0FC"/>
          </w:tcPr>
          <w:p>
            <w:pPr>
              <w:ind w:left="2580"/>
              <w:spacing w:after="0"/>
              <w:rPr>
                <w:sz w:val="20"/>
                <w:szCs w:val="20"/>
                <w:color w:val="auto"/>
              </w:rPr>
            </w:pPr>
            <w:r>
              <w:rPr>
                <w:rFonts w:ascii="Times New Roman" w:cs="Times New Roman" w:eastAsia="Times New Roman" w:hAnsi="Times New Roman"/>
                <w:sz w:val="16"/>
                <w:szCs w:val="16"/>
                <w:color w:val="auto"/>
              </w:rPr>
              <w:t>(738,891)</w:t>
            </w:r>
          </w:p>
        </w:tc>
        <w:tc>
          <w:tcPr>
            <w:tcW w:w="178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6"/>
                <w:szCs w:val="16"/>
                <w:color w:val="auto"/>
              </w:rPr>
              <w:t>(776,798)</w:t>
            </w:r>
          </w:p>
        </w:tc>
      </w:tr>
      <w:tr>
        <w:trPr>
          <w:trHeight w:val="203"/>
        </w:trPr>
        <w:tc>
          <w:tcPr>
            <w:tcW w:w="6080" w:type="dxa"/>
            <w:vAlign w:val="bottom"/>
          </w:tcPr>
          <w:p>
            <w:pPr>
              <w:spacing w:after="0"/>
              <w:rPr>
                <w:sz w:val="20"/>
                <w:szCs w:val="20"/>
                <w:color w:val="auto"/>
              </w:rPr>
            </w:pPr>
            <w:r>
              <w:rPr>
                <w:rFonts w:ascii="Arial" w:cs="Arial" w:eastAsia="Arial" w:hAnsi="Arial"/>
                <w:sz w:val="16"/>
                <w:szCs w:val="16"/>
                <w:color w:val="auto"/>
              </w:rPr>
              <w:t>Total lease liability</w:t>
            </w:r>
          </w:p>
        </w:tc>
        <w:tc>
          <w:tcPr>
            <w:tcW w:w="3380" w:type="dxa"/>
            <w:vAlign w:val="bottom"/>
            <w:gridSpan w:val="2"/>
          </w:tcPr>
          <w:p>
            <w:pPr>
              <w:ind w:left="2580"/>
              <w:spacing w:after="0"/>
              <w:rPr>
                <w:sz w:val="20"/>
                <w:szCs w:val="20"/>
                <w:color w:val="auto"/>
              </w:rPr>
            </w:pPr>
            <w:r>
              <w:rPr>
                <w:rFonts w:ascii="Times New Roman" w:cs="Times New Roman" w:eastAsia="Times New Roman" w:hAnsi="Times New Roman"/>
                <w:sz w:val="16"/>
                <w:szCs w:val="16"/>
                <w:color w:val="auto"/>
              </w:rPr>
              <w:t>(738,891)</w:t>
            </w:r>
          </w:p>
        </w:tc>
        <w:tc>
          <w:tcPr>
            <w:tcW w:w="178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(776,798)</w:t>
            </w:r>
          </w:p>
        </w:tc>
      </w:tr>
      <w:tr>
        <w:trPr>
          <w:trHeight w:val="203"/>
        </w:trPr>
        <w:tc>
          <w:tcPr>
            <w:tcW w:w="6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portion</w:t>
            </w:r>
          </w:p>
        </w:tc>
        <w:tc>
          <w:tcPr>
            <w:tcW w:w="3380" w:type="dxa"/>
            <w:vAlign w:val="bottom"/>
            <w:gridSpan w:val="2"/>
            <w:shd w:val="clear" w:color="auto" w:fill="CFF0FC"/>
          </w:tcPr>
          <w:p>
            <w:pPr>
              <w:ind w:left="2580"/>
              <w:spacing w:after="0"/>
              <w:rPr>
                <w:sz w:val="20"/>
                <w:szCs w:val="20"/>
                <w:color w:val="auto"/>
              </w:rPr>
            </w:pPr>
            <w:r>
              <w:rPr>
                <w:rFonts w:ascii="Times New Roman" w:cs="Times New Roman" w:eastAsia="Times New Roman" w:hAnsi="Times New Roman"/>
                <w:sz w:val="16"/>
                <w:szCs w:val="16"/>
                <w:color w:val="auto"/>
              </w:rPr>
              <w:t>(206,311)</w:t>
            </w:r>
          </w:p>
        </w:tc>
        <w:tc>
          <w:tcPr>
            <w:tcW w:w="178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6"/>
                <w:szCs w:val="16"/>
                <w:color w:val="auto"/>
              </w:rPr>
              <w:t>(200,213)</w:t>
            </w:r>
          </w:p>
        </w:tc>
      </w:tr>
      <w:tr>
        <w:trPr>
          <w:trHeight w:val="210"/>
        </w:trPr>
        <w:tc>
          <w:tcPr>
            <w:tcW w:w="6080" w:type="dxa"/>
            <w:vAlign w:val="bottom"/>
          </w:tcPr>
          <w:p>
            <w:pPr>
              <w:spacing w:after="0"/>
              <w:rPr>
                <w:sz w:val="20"/>
                <w:szCs w:val="20"/>
                <w:color w:val="auto"/>
              </w:rPr>
            </w:pPr>
            <w:r>
              <w:rPr>
                <w:rFonts w:ascii="Arial" w:cs="Arial" w:eastAsia="Arial" w:hAnsi="Arial"/>
                <w:sz w:val="16"/>
                <w:szCs w:val="16"/>
                <w:b w:val="1"/>
                <w:bCs w:val="1"/>
                <w:color w:val="auto"/>
              </w:rPr>
              <w:t>Non-current portion</w:t>
            </w:r>
          </w:p>
        </w:tc>
        <w:tc>
          <w:tcPr>
            <w:tcW w:w="3160" w:type="dxa"/>
            <w:vAlign w:val="bottom"/>
            <w:tcBorders>
              <w:top w:val="single" w:sz="8" w:color="auto"/>
              <w:bottom w:val="single" w:sz="8" w:color="auto"/>
            </w:tcBorders>
          </w:tcPr>
          <w:p>
            <w:pPr>
              <w:ind w:left="2580"/>
              <w:spacing w:after="0"/>
              <w:rPr>
                <w:sz w:val="20"/>
                <w:szCs w:val="20"/>
                <w:color w:val="auto"/>
              </w:rPr>
            </w:pPr>
            <w:r>
              <w:rPr>
                <w:rFonts w:ascii="Times New Roman" w:cs="Times New Roman" w:eastAsia="Times New Roman" w:hAnsi="Times New Roman"/>
                <w:sz w:val="16"/>
                <w:szCs w:val="16"/>
                <w:color w:val="auto"/>
                <w:w w:val="89"/>
              </w:rPr>
              <w:t>(532,580)</w:t>
            </w:r>
          </w:p>
        </w:tc>
        <w:tc>
          <w:tcPr>
            <w:tcW w:w="220" w:type="dxa"/>
            <w:vAlign w:val="bottom"/>
          </w:tcPr>
          <w:p>
            <w:pPr>
              <w:spacing w:after="0"/>
              <w:rPr>
                <w:sz w:val="18"/>
                <w:szCs w:val="18"/>
                <w:color w:val="auto"/>
              </w:rPr>
            </w:pPr>
          </w:p>
        </w:tc>
        <w:tc>
          <w:tcPr>
            <w:tcW w:w="168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w w:val="89"/>
              </w:rPr>
              <w:t>(576,585)</w:t>
            </w:r>
          </w:p>
        </w:tc>
        <w:tc>
          <w:tcPr>
            <w:tcW w:w="10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right="700"/>
        <w:spacing w:after="0" w:line="266" w:lineRule="auto"/>
        <w:rPr>
          <w:sz w:val="20"/>
          <w:szCs w:val="20"/>
          <w:color w:val="auto"/>
        </w:rPr>
      </w:pPr>
      <w:r>
        <w:rPr>
          <w:rFonts w:ascii="Arial" w:cs="Arial" w:eastAsia="Arial" w:hAnsi="Arial"/>
          <w:sz w:val="16"/>
          <w:szCs w:val="16"/>
          <w:color w:val="auto"/>
        </w:rPr>
        <w:t>Office leases consist of (i) a lease that was renewed on December 1, 2025 with an expiration date of November 30, 2028 for offices in Leiden, the Netherlands. The lease has a lease term of three years, and (ii) a new lease agreement entered into on October 16, 2024 with an expiration date of December 31, 2029, for office space in Lexington, Massachusetts, United States of America (the "U.S.").</w:t>
      </w:r>
    </w:p>
    <w:p>
      <w:pPr>
        <w:spacing w:after="0" w:line="21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average incremental borrowing rate applied to the lease liability related to the Leiden lease was 7.77% during the three months ended March 31, 2026 and the twelve months ended December 31, 2025.</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average incremental borrowing rate applied to the lease liability related to the U.S. lease was 6.39% for the year ended three months ended March 31, 2026 and the twelve months ended December 31, 2025.</w:t>
      </w:r>
    </w:p>
    <w:p>
      <w:pPr>
        <w:spacing w:after="0" w:line="196"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color w:val="auto"/>
        </w:rPr>
        <w:t>Depreciation expense was €0.1 million for each of the three months ended March 31, 2026 and 2025, respectively, and is reflected in general and administrative expenses as determined by the underlying activities.</w:t>
      </w:r>
    </w:p>
    <w:p>
      <w:pPr>
        <w:spacing w:after="0" w:line="169"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252525"/>
        </w:rPr>
        <w:t xml:space="preserve">The total expense related to short-term and low-value leases for the </w:t>
      </w:r>
      <w:r>
        <w:rPr>
          <w:rFonts w:ascii="Arial" w:cs="Arial" w:eastAsia="Arial" w:hAnsi="Arial"/>
          <w:sz w:val="16"/>
          <w:szCs w:val="16"/>
          <w:color w:val="000000"/>
        </w:rPr>
        <w:t>three</w:t>
      </w:r>
      <w:r>
        <w:rPr>
          <w:rFonts w:ascii="Arial" w:cs="Arial" w:eastAsia="Arial" w:hAnsi="Arial"/>
          <w:sz w:val="16"/>
          <w:szCs w:val="16"/>
          <w:color w:val="252525"/>
        </w:rPr>
        <w:t xml:space="preserve"> months ended </w:t>
      </w:r>
      <w:r>
        <w:rPr>
          <w:rFonts w:ascii="Arial" w:cs="Arial" w:eastAsia="Arial" w:hAnsi="Arial"/>
          <w:sz w:val="16"/>
          <w:szCs w:val="16"/>
          <w:color w:val="000000"/>
        </w:rPr>
        <w:t>March 31, 2026</w:t>
      </w:r>
      <w:r>
        <w:rPr>
          <w:rFonts w:ascii="Arial" w:cs="Arial" w:eastAsia="Arial" w:hAnsi="Arial"/>
          <w:sz w:val="16"/>
          <w:szCs w:val="16"/>
          <w:color w:val="252525"/>
        </w:rPr>
        <w:t xml:space="preserve"> and 2025, was €NIL million and €0.1 </w:t>
      </w:r>
      <w:r>
        <w:rPr>
          <w:rFonts w:ascii="Arial" w:cs="Arial" w:eastAsia="Arial" w:hAnsi="Arial"/>
          <w:sz w:val="16"/>
          <w:szCs w:val="16"/>
          <w:color w:val="000000"/>
        </w:rPr>
        <w:t>million,</w:t>
      </w:r>
      <w:r>
        <w:rPr>
          <w:rFonts w:ascii="Arial" w:cs="Arial" w:eastAsia="Arial" w:hAnsi="Arial"/>
          <w:sz w:val="16"/>
          <w:szCs w:val="16"/>
          <w:color w:val="252525"/>
        </w:rPr>
        <w:t xml:space="preserve"> </w:t>
      </w:r>
      <w:r>
        <w:rPr>
          <w:rFonts w:ascii="Arial" w:cs="Arial" w:eastAsia="Arial" w:hAnsi="Arial"/>
          <w:sz w:val="16"/>
          <w:szCs w:val="16"/>
          <w:color w:val="000000"/>
        </w:rPr>
        <w:t xml:space="preserve">respectively, </w:t>
      </w:r>
      <w:r>
        <w:rPr>
          <w:rFonts w:ascii="Arial" w:cs="Arial" w:eastAsia="Arial" w:hAnsi="Arial"/>
          <w:sz w:val="16"/>
          <w:szCs w:val="16"/>
          <w:color w:val="252525"/>
        </w:rPr>
        <w:t>and is included in facility, communication, and office expenses.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Cash outflows related to leases during the three months ended March 31, 2026 and 2025 were €0.1 million,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Receivables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7"/>
                <w:szCs w:val="17"/>
                <w:color w:val="auto"/>
              </w:rPr>
            </w:pPr>
          </w:p>
        </w:tc>
        <w:tc>
          <w:tcPr>
            <w:tcW w:w="17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660" w:type="dxa"/>
            <w:vAlign w:val="bottom"/>
          </w:tcPr>
          <w:p>
            <w:pPr>
              <w:spacing w:after="0"/>
              <w:rPr>
                <w:sz w:val="18"/>
                <w:szCs w:val="18"/>
                <w:color w:val="auto"/>
              </w:rPr>
            </w:pPr>
          </w:p>
        </w:tc>
        <w:tc>
          <w:tcPr>
            <w:tcW w:w="16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8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202"/>
        </w:trPr>
        <w:tc>
          <w:tcPr>
            <w:tcW w:w="7660" w:type="dxa"/>
            <w:vAlign w:val="bottom"/>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tax receivable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4,005,689</w:t>
            </w:r>
          </w:p>
        </w:tc>
        <w:tc>
          <w:tcPr>
            <w:tcW w:w="1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3,994,384</w:t>
            </w: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VAT receivables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969,625</w:t>
            </w:r>
          </w:p>
        </w:tc>
        <w:tc>
          <w:tcPr>
            <w:tcW w:w="220" w:type="dxa"/>
            <w:vAlign w:val="bottom"/>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556,739</w:t>
            </w:r>
          </w:p>
        </w:tc>
        <w:tc>
          <w:tcPr>
            <w:tcW w:w="100" w:type="dxa"/>
            <w:vAlign w:val="bottom"/>
          </w:tcPr>
          <w:p>
            <w:pPr>
              <w:spacing w:after="0"/>
              <w:rPr>
                <w:sz w:val="17"/>
                <w:szCs w:val="17"/>
                <w:color w:val="auto"/>
              </w:rPr>
            </w:pPr>
          </w:p>
        </w:tc>
      </w:tr>
      <w:tr>
        <w:trPr>
          <w:trHeight w:val="236"/>
        </w:trPr>
        <w:tc>
          <w:tcPr>
            <w:tcW w:w="766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4,975,314</w:t>
            </w:r>
          </w:p>
        </w:tc>
        <w:tc>
          <w:tcPr>
            <w:tcW w:w="1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4,551,123</w:t>
            </w:r>
          </w:p>
        </w:tc>
      </w:tr>
      <w:tr>
        <w:trPr>
          <w:trHeight w:val="519"/>
        </w:trPr>
        <w:tc>
          <w:tcPr>
            <w:tcW w:w="766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11. Other current assets</w:t>
            </w:r>
          </w:p>
        </w:tc>
        <w:tc>
          <w:tcPr>
            <w:tcW w:w="16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-367030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-349885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-367030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-349885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60" w:type="dxa"/>
            <w:vAlign w:val="bottom"/>
          </w:tcPr>
          <w:p>
            <w:pPr>
              <w:spacing w:after="0"/>
              <w:rPr>
                <w:sz w:val="17"/>
                <w:szCs w:val="17"/>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660" w:type="dxa"/>
            <w:vAlign w:val="bottom"/>
          </w:tcPr>
          <w:p>
            <w:pPr>
              <w:spacing w:after="0"/>
              <w:rPr>
                <w:sz w:val="18"/>
                <w:szCs w:val="18"/>
                <w:color w:val="auto"/>
              </w:rPr>
            </w:pPr>
          </w:p>
        </w:tc>
        <w:tc>
          <w:tcPr>
            <w:tcW w:w="162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202"/>
        </w:trPr>
        <w:tc>
          <w:tcPr>
            <w:tcW w:w="7660" w:type="dxa"/>
            <w:vAlign w:val="bottom"/>
          </w:tcPr>
          <w:p>
            <w:pPr>
              <w:spacing w:after="0"/>
              <w:rPr>
                <w:sz w:val="17"/>
                <w:szCs w:val="17"/>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60" w:type="dxa"/>
            <w:vAlign w:val="bottom"/>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Prepayments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5,749,856</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2,938,215</w:t>
            </w:r>
          </w:p>
        </w:tc>
        <w:tc>
          <w:tcPr>
            <w:tcW w:w="100" w:type="dxa"/>
            <w:vAlign w:val="bottom"/>
            <w:shd w:val="clear" w:color="auto" w:fill="CFF0FC"/>
          </w:tcPr>
          <w:p>
            <w:pPr>
              <w:spacing w:after="0"/>
              <w:rPr>
                <w:sz w:val="17"/>
                <w:szCs w:val="17"/>
                <w:color w:val="auto"/>
              </w:rPr>
            </w:pPr>
          </w:p>
        </w:tc>
      </w:tr>
      <w:tr>
        <w:trPr>
          <w:trHeight w:val="196"/>
        </w:trPr>
        <w:tc>
          <w:tcPr>
            <w:tcW w:w="766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5,749,856</w:t>
            </w:r>
          </w:p>
        </w:tc>
        <w:tc>
          <w:tcPr>
            <w:tcW w:w="26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2,938,215</w:t>
            </w:r>
          </w:p>
        </w:tc>
        <w:tc>
          <w:tcPr>
            <w:tcW w:w="100" w:type="dxa"/>
            <w:vAlign w:val="bottom"/>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Prepayments mainly relate to prepaid insurance, prepaid research and development expenses and rent.</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Cash and cash equivalents</w:t>
      </w:r>
    </w:p>
    <w:p>
      <w:pPr>
        <w:spacing w:after="0" w:line="108"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As of March 31, 2026 and December 31, 2025, there were no restricted cash and cash equivalent balances. Cash and cash equivalent balances as of March 31, 2026 include investments in money market funds of €233.0 million at fair market value. (Cost: €241.2 million). December 31, 2025 include investments in money market funds of €232.5 million at fair market value. (Cost: €241.2 million)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w:t>
      </w:r>
    </w:p>
    <w:p>
      <w:pPr>
        <w:spacing w:after="0" w:line="10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On March 31, 2026, the Company’s authorized share capital amounted to € 14.1 million divided into 117.5 million ordinary shares each with a nominal value of twelve eurocents (€0.12).</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2026, the total number of issued and fully paid shares was 65.4 million (2025: 54.5 million). On March 31, 2026, the issued share capital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totaled €7.9 million (2025: €6.5 million).</w:t>
      </w:r>
    </w:p>
    <w:p>
      <w:pPr>
        <w:spacing w:after="0" w:line="286"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auto"/>
        </w:rPr>
        <w:t>In April 2024, the Company entered into an at-the-market sales agreement with Leerink Partners, pursuant to which it may sell ordinary shares having an aggregate offering price of up to $175 million from time to time through Leerink Partners. As of March 31, 2026, no ordinary shares have been sold under this agreement.</w:t>
      </w:r>
    </w:p>
    <w:p>
      <w:pPr>
        <w:spacing w:after="0" w:line="6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In July 2025, the Company entered into an underwriting agreement with Morgan Stanley &amp; Co. and Leerink Partners, as representatives of the underwriters, pursuant to which the Company agreed to issue and sell (i) 9,562,500 ordinary shares, par value €0.12 per share and (ii) pre-funded warrants to purchase up to 500,000 ordinary shares in an underwritten offering. The offering closed on July 24, 2025, and the Company generated net proceeds of €160.3 million ($188.5 million), after deducting fees and expenses of €10.9 million ($12.8 million).The pre-funded warrants were exercised in September 2025 for gross exercise proceeds of €0.04 million ($0.05 million) and resulted in issuance of 500,000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8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6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88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r>
      <w:tr>
        <w:trPr>
          <w:trHeight w:val="202"/>
        </w:trPr>
        <w:tc>
          <w:tcPr>
            <w:tcW w:w="764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7"/>
                <w:szCs w:val="17"/>
                <w:color w:val="auto"/>
              </w:rPr>
            </w:pPr>
          </w:p>
        </w:tc>
      </w:tr>
      <w:tr>
        <w:trPr>
          <w:trHeight w:val="19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Ordinary shares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65,423,863</w:t>
            </w:r>
          </w:p>
        </w:tc>
        <w:tc>
          <w:tcPr>
            <w:tcW w:w="28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65,210,590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65,423,863</w:t>
            </w: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65,210,590</w:t>
            </w:r>
          </w:p>
        </w:tc>
      </w:tr>
      <w:tr>
        <w:trPr>
          <w:trHeight w:val="20"/>
        </w:trPr>
        <w:tc>
          <w:tcPr>
            <w:tcW w:w="76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-162560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Trade and other payables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60" w:type="dxa"/>
            <w:vAlign w:val="bottom"/>
          </w:tcPr>
          <w:p>
            <w:pPr>
              <w:spacing w:after="0"/>
              <w:rPr>
                <w:sz w:val="17"/>
                <w:szCs w:val="17"/>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660" w:type="dxa"/>
            <w:vAlign w:val="bottom"/>
          </w:tcPr>
          <w:p>
            <w:pPr>
              <w:spacing w:after="0"/>
              <w:rPr>
                <w:sz w:val="18"/>
                <w:szCs w:val="18"/>
                <w:color w:val="auto"/>
              </w:rPr>
            </w:pPr>
          </w:p>
        </w:tc>
        <w:tc>
          <w:tcPr>
            <w:tcW w:w="16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202"/>
        </w:trPr>
        <w:tc>
          <w:tcPr>
            <w:tcW w:w="7660" w:type="dxa"/>
            <w:vAlign w:val="bottom"/>
          </w:tcPr>
          <w:p>
            <w:pPr>
              <w:spacing w:after="0"/>
              <w:rPr>
                <w:sz w:val="17"/>
                <w:szCs w:val="17"/>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60" w:type="dxa"/>
            <w:vAlign w:val="bottom"/>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 payables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2,709,840</w:t>
            </w:r>
          </w:p>
        </w:tc>
        <w:tc>
          <w:tcPr>
            <w:tcW w:w="19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5,114,186</w:t>
            </w:r>
          </w:p>
        </w:tc>
      </w:tr>
      <w:tr>
        <w:trPr>
          <w:trHeight w:val="196"/>
        </w:trPr>
        <w:tc>
          <w:tcPr>
            <w:tcW w:w="766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2,709,840</w:t>
            </w:r>
          </w:p>
        </w:tc>
        <w:tc>
          <w:tcPr>
            <w:tcW w:w="26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5,114,186</w:t>
            </w:r>
          </w:p>
        </w:tc>
        <w:tc>
          <w:tcPr>
            <w:tcW w:w="100" w:type="dxa"/>
            <w:vAlign w:val="bottom"/>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Accrued liabilities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182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720" w:type="dxa"/>
            <w:vAlign w:val="bottom"/>
          </w:tcPr>
          <w:p>
            <w:pPr>
              <w:spacing w:after="0"/>
              <w:rPr>
                <w:sz w:val="18"/>
                <w:szCs w:val="18"/>
                <w:color w:val="auto"/>
              </w:rPr>
            </w:pPr>
          </w:p>
        </w:tc>
        <w:tc>
          <w:tcPr>
            <w:tcW w:w="15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Pr>
          <w:p>
            <w:pPr>
              <w:spacing w:after="0"/>
              <w:rPr>
                <w:sz w:val="18"/>
                <w:szCs w:val="18"/>
                <w:color w:val="auto"/>
              </w:rPr>
            </w:pPr>
          </w:p>
        </w:tc>
        <w:tc>
          <w:tcPr>
            <w:tcW w:w="16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202"/>
        </w:trPr>
        <w:tc>
          <w:tcPr>
            <w:tcW w:w="77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Clinical accrued liabilities</w:t>
            </w:r>
          </w:p>
        </w:tc>
        <w:tc>
          <w:tcPr>
            <w:tcW w:w="1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6,393,208</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5,806,522</w:t>
            </w: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Personnel related accruals</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6,962,451</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11,432,445</w:t>
            </w: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Manufacturing accrued liabilities</w:t>
            </w:r>
          </w:p>
        </w:tc>
        <w:tc>
          <w:tcPr>
            <w:tcW w:w="1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1,693,539</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2,879,222</w:t>
            </w: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Nonclinical accrued liabilities</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812,147</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527,935</w:t>
            </w: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Consulting, professional and audit liability</w:t>
            </w:r>
          </w:p>
        </w:tc>
        <w:tc>
          <w:tcPr>
            <w:tcW w:w="1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1,057,252</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1,226,432</w:t>
            </w: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2,127,510</w:t>
            </w:r>
          </w:p>
        </w:tc>
        <w:tc>
          <w:tcPr>
            <w:tcW w:w="24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1,475,916</w:t>
            </w:r>
          </w:p>
        </w:tc>
        <w:tc>
          <w:tcPr>
            <w:tcW w:w="100" w:type="dxa"/>
            <w:vAlign w:val="bottom"/>
          </w:tcPr>
          <w:p>
            <w:pPr>
              <w:spacing w:after="0"/>
              <w:rPr>
                <w:sz w:val="17"/>
                <w:szCs w:val="17"/>
                <w:color w:val="auto"/>
              </w:rPr>
            </w:pPr>
          </w:p>
        </w:tc>
      </w:tr>
      <w:tr>
        <w:trPr>
          <w:trHeight w:val="236"/>
        </w:trPr>
        <w:tc>
          <w:tcPr>
            <w:tcW w:w="772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19,046,107</w:t>
            </w:r>
          </w:p>
        </w:tc>
        <w:tc>
          <w:tcPr>
            <w:tcW w:w="24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23,348,472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Risk management activities</w:t>
      </w:r>
    </w:p>
    <w:p>
      <w:pPr>
        <w:spacing w:after="0" w:line="108"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Group’s risk management activities are the same as disclosed in Note 17 of the consolidated financial statements for the year ended December 31, 2025.</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Fair values</w:t>
      </w:r>
    </w:p>
    <w:p>
      <w:pPr>
        <w:spacing w:after="0" w:line="10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Fair values of cash balances, trade receivables, trade payables, and other current liabilities approximate their carrying amounts largely due to the short-term maturities of these instruments.</w:t>
      </w:r>
    </w:p>
    <w:p>
      <w:pPr>
        <w:spacing w:after="0" w:line="15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fair value of the cash equivalents, Group’s financial instruments measured at fair value on recurring basis, is categorized within level 1 of the fair value hierarchy, as the valuation is based on quoted net asset values (NAV) in active markets at the reporting date.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payments</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 2016, the Company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Equity Incentive Plan (the “2021 Plan”).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Set out below is an overview of changes in the Stock Options and Restricted Stock Units (“RSUs”) during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1920" w:type="dxa"/>
            <w:vAlign w:val="bottom"/>
            <w:gridSpan w:val="3"/>
          </w:tcPr>
          <w:p>
            <w:pPr>
              <w:ind w:left="1000"/>
              <w:spacing w:after="0"/>
              <w:rPr>
                <w:sz w:val="20"/>
                <w:szCs w:val="20"/>
                <w:color w:val="auto"/>
              </w:rPr>
            </w:pPr>
            <w:r>
              <w:rPr>
                <w:rFonts w:ascii="Times New Roman" w:cs="Times New Roman" w:eastAsia="Times New Roman" w:hAnsi="Times New Roman"/>
                <w:sz w:val="16"/>
                <w:szCs w:val="16"/>
                <w:color w:val="auto"/>
                <w:w w:val="98"/>
              </w:rPr>
              <w:t>Stock Options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RSUs</w:t>
            </w:r>
          </w:p>
        </w:tc>
      </w:tr>
      <w:tr>
        <w:trPr>
          <w:trHeight w:val="183"/>
        </w:trPr>
        <w:tc>
          <w:tcPr>
            <w:tcW w:w="656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6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60" w:type="dxa"/>
            <w:vAlign w:val="bottom"/>
          </w:tcPr>
          <w:p>
            <w:pPr>
              <w:spacing w:after="0"/>
              <w:rPr>
                <w:sz w:val="17"/>
                <w:szCs w:val="17"/>
                <w:color w:val="auto"/>
              </w:rPr>
            </w:pPr>
          </w:p>
        </w:tc>
        <w:tc>
          <w:tcPr>
            <w:tcW w:w="192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2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15"/>
        </w:trPr>
        <w:tc>
          <w:tcPr>
            <w:tcW w:w="6560" w:type="dxa"/>
            <w:vAlign w:val="bottom"/>
          </w:tcPr>
          <w:p>
            <w:pPr>
              <w:spacing w:after="0"/>
              <w:rPr>
                <w:sz w:val="18"/>
                <w:szCs w:val="18"/>
                <w:color w:val="auto"/>
              </w:rPr>
            </w:pPr>
          </w:p>
        </w:tc>
        <w:tc>
          <w:tcPr>
            <w:tcW w:w="192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RSUs</w:t>
            </w:r>
          </w:p>
        </w:tc>
      </w:tr>
      <w:tr>
        <w:trPr>
          <w:trHeight w:val="199"/>
        </w:trPr>
        <w:tc>
          <w:tcPr>
            <w:tcW w:w="656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January 1, 2026</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3,951,032</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1,417,632</w:t>
            </w:r>
          </w:p>
        </w:tc>
        <w:tc>
          <w:tcPr>
            <w:tcW w:w="120" w:type="dxa"/>
            <w:vAlign w:val="bottom"/>
            <w:shd w:val="clear" w:color="auto" w:fill="CFF0FC"/>
          </w:tcPr>
          <w:p>
            <w:pPr>
              <w:spacing w:after="0"/>
              <w:rPr>
                <w:sz w:val="17"/>
                <w:szCs w:val="17"/>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657,500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561,705</w:t>
            </w:r>
          </w:p>
        </w:tc>
        <w:tc>
          <w:tcPr>
            <w:tcW w:w="120" w:type="dxa"/>
            <w:vAlign w:val="bottom"/>
          </w:tcPr>
          <w:p>
            <w:pPr>
              <w:spacing w:after="0"/>
              <w:rPr>
                <w:sz w:val="17"/>
                <w:szCs w:val="17"/>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Exercised (Vested and Settled)</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(49,000)</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7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(201,788)</w:t>
            </w: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92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(13,583)</w:t>
            </w:r>
          </w:p>
        </w:tc>
      </w:tr>
      <w:tr>
        <w:trPr>
          <w:trHeight w:val="236"/>
        </w:trPr>
        <w:tc>
          <w:tcPr>
            <w:tcW w:w="65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March 31, 2026</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4,559,532</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1,763,966</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-162560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-162560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76"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During the three months ended March 31, 2026, a total of 341,205 RSUs were granted to employees that joined the Group in the same period and to existing employees. The RSUs shall vest equally over a four-year period on each of the four anniversaries of the vesting start date until either the RSUs are fully vested or the RSUs holders’ continuous service terminates.</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During the three months ended March 31, 2026, 193,000 RSUs were issued to existing key management. The RSUs shall vest over a four-year period, with 25% of the aggregate number of RSUs vesting on the 12-month anniversary of the vesting commencement date, and thereafter 1/48th of the aggregate number of RSUs vesting on each subsequent monthly anniversary of the vesting commencement date, subject to continuous service through each applicable vesting date.</w:t>
      </w:r>
    </w:p>
    <w:p>
      <w:pPr>
        <w:spacing w:after="0" w:line="70"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During the three months ended March 31, 2026, 27,500 RSUs were issued to members of the Board of Directors. The RSUs shall vest on the 12-month anniversary of the vesting start date.</w:t>
      </w:r>
    </w:p>
    <w:p>
      <w:pPr>
        <w:spacing w:after="0" w:line="4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fair value of the RSUs is determined based on the share value per ordinary share at the grant date (or at the first trading day after the grant date if the Nasdaq Stock Exchange is not open on this date). The grant dates and share closing prices for grants during the first three months of 2026 were: January 1 (€23.63), February 1 (€22.83), March 1 (€24.03) and March 3 (€23.05), respectively.</w:t>
      </w:r>
    </w:p>
    <w:p>
      <w:pPr>
        <w:spacing w:after="0" w:line="63"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On March 3, 2026, a total of 82,500 stock options were granted to members of the Board of Directors with an exercise price of €24.11 per share with a final exercise date of March 2, 2036, unless forfeited or exercised on an earlier date. 100% of the aggregate number of shares subject to the option shall vest on the 12-month anniversary of the vesting commencement date, subject to the option holder’s continuous service.</w:t>
      </w:r>
    </w:p>
    <w:p>
      <w:pPr>
        <w:spacing w:after="0" w:line="6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On March 3, 2026, a total of 575,000 stock options were granted to members of key management with an exercise price of €24.11 per share with a final exercise date of March 2, 2036,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2026, a total number of 2,885,966 stock options are exercisable (March 31, 2025: 2,301,381).</w:t>
      </w:r>
    </w:p>
    <w:p>
      <w:pPr>
        <w:spacing w:after="0" w:line="11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For the three months ended March 31, 2026, the Group recognized €4.9 million of share-based payment expense in the unaudited condensed consolidated statement of income or loss and other comprehensive income (three months ended March 31, 2025: €4.1 million).</w:t>
      </w:r>
    </w:p>
    <w:p>
      <w:pPr>
        <w:spacing w:after="0" w:line="4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inputs and outputs used in the measurement of the fair value per option at each grant/ measurement date using the Black-Scholes formula (including the related number of options and the fair value of the options)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March 3, 2026*</w:t>
            </w:r>
          </w:p>
        </w:tc>
        <w:tc>
          <w:tcPr>
            <w:tcW w:w="16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March 3, 2026**</w:t>
            </w:r>
          </w:p>
        </w:tc>
        <w:tc>
          <w:tcPr>
            <w:tcW w:w="1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March 12, 2025*</w:t>
            </w: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March 12, 2025**</w:t>
            </w:r>
          </w:p>
        </w:tc>
      </w:tr>
      <w:tr>
        <w:trPr>
          <w:trHeight w:val="19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Number of options</w:t>
            </w:r>
          </w:p>
        </w:tc>
        <w:tc>
          <w:tcPr>
            <w:tcW w:w="12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82,500</w:t>
            </w:r>
          </w:p>
        </w:tc>
        <w:tc>
          <w:tcPr>
            <w:tcW w:w="1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4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555,000</w:t>
            </w:r>
          </w:p>
        </w:tc>
        <w:tc>
          <w:tcPr>
            <w:tcW w:w="140" w:type="dxa"/>
            <w:vAlign w:val="bottom"/>
            <w:shd w:val="clear" w:color="auto" w:fill="CFF0FC"/>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the options</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40" w:type="dxa"/>
            <w:vAlign w:val="bottom"/>
          </w:tcPr>
          <w:p>
            <w:pPr>
              <w:spacing w:after="0"/>
              <w:rPr>
                <w:sz w:val="17"/>
                <w:szCs w:val="17"/>
                <w:color w:val="auto"/>
              </w:rPr>
            </w:pPr>
          </w:p>
        </w:tc>
      </w:tr>
      <w:tr>
        <w:trPr>
          <w:trHeight w:val="203"/>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of the ordinary shares</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24.11</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140" w:type="dxa"/>
            <w:vAlign w:val="bottom"/>
            <w:shd w:val="clear" w:color="auto" w:fill="CFF0FC"/>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24.11</w:t>
            </w:r>
          </w:p>
        </w:tc>
        <w:tc>
          <w:tcPr>
            <w:tcW w:w="1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24.11</w:t>
            </w: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40" w:type="dxa"/>
            <w:vAlign w:val="bottom"/>
          </w:tcPr>
          <w:p>
            <w:pPr>
              <w:spacing w:after="0"/>
              <w:rPr>
                <w:sz w:val="17"/>
                <w:szCs w:val="17"/>
                <w:color w:val="auto"/>
              </w:rPr>
            </w:pPr>
          </w:p>
        </w:tc>
      </w:tr>
      <w:tr>
        <w:trPr>
          <w:trHeight w:val="203"/>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volatility (%)</w:t>
            </w:r>
          </w:p>
        </w:tc>
        <w:tc>
          <w:tcPr>
            <w:tcW w:w="1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105%</w:t>
            </w:r>
          </w:p>
        </w:tc>
        <w:tc>
          <w:tcPr>
            <w:tcW w:w="4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105%</w:t>
            </w: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Expected life (years)</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tcPr>
          <w:p>
            <w:pPr>
              <w:spacing w:after="0"/>
              <w:rPr>
                <w:sz w:val="17"/>
                <w:szCs w:val="17"/>
                <w:color w:val="auto"/>
              </w:rPr>
            </w:pPr>
          </w:p>
        </w:tc>
      </w:tr>
      <w:tr>
        <w:trPr>
          <w:trHeight w:val="203"/>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Risk-free interest rate (%)</w:t>
            </w:r>
          </w:p>
        </w:tc>
        <w:tc>
          <w:tcPr>
            <w:tcW w:w="1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c>
          <w:tcPr>
            <w:tcW w:w="16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c>
          <w:tcPr>
            <w:tcW w:w="4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Granted to the Board of Directors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Granted to members of key management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32" w:name="page33"/>
    <w:bookmarkEnd w:id="32"/>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Basic and diluted loss per share</w:t>
      </w:r>
    </w:p>
    <w:p>
      <w:pPr>
        <w:spacing w:after="0" w:line="10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Basic and diluted loss per share is calculated by dividing the loss attributable to equity holders of the Company by the weighted average number of issued and outstanding ordinary shares during the three months ended March 31, 2026 and 2025.</w:t>
      </w:r>
    </w:p>
    <w:p>
      <w:pPr>
        <w:spacing w:after="0" w:line="4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All of the Company’s potential dilutive securities have been excluded from the computation of diluted net loss per share attributable to ordinary stockholders as the effect of including them would be antidilutive.</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336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199"/>
        </w:trPr>
        <w:tc>
          <w:tcPr>
            <w:tcW w:w="2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top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(39,200,673)</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(46,340,823)</w:t>
            </w:r>
          </w:p>
        </w:tc>
      </w:tr>
      <w:tr>
        <w:trPr>
          <w:trHeight w:val="203"/>
        </w:trPr>
        <w:tc>
          <w:tcPr>
            <w:tcW w:w="20" w:type="dxa"/>
            <w:vAlign w:val="bottom"/>
          </w:tcPr>
          <w:p>
            <w:pPr>
              <w:spacing w:after="0"/>
              <w:rPr>
                <w:sz w:val="17"/>
                <w:szCs w:val="17"/>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ordinary shares outstanding</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65,305,263</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54,487,350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and diluted loss per share</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(0.60)</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(0.85)</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claims known to management related to the activities of the Group.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5"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Group's contractual obligations and commitments as of March 31, 2026 amounted to €121.9 million, (December 31, 2025: €119.2 million) primarily related to research and development activities.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Group had no contingent liabilities and no contingent assets as of March 31, 2026 and December 31, 2025.</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parties</w:t>
      </w:r>
    </w:p>
    <w:p>
      <w:pPr>
        <w:spacing w:after="0" w:line="10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Note 1.2 provides information about the Group’s structure, including details of the subsidiaries and the holding company. The following provides the total amount of transactions that have been entered into with related parties for the relevant financial period.</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management personnel compensation</w:t>
      </w:r>
    </w:p>
    <w:p>
      <w:pPr>
        <w:spacing w:after="0" w:line="232"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202"/>
        </w:trPr>
        <w:tc>
          <w:tcPr>
            <w:tcW w:w="8160" w:type="dxa"/>
            <w:vAlign w:val="bottom"/>
            <w:gridSpan w:val="2"/>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140" w:type="dxa"/>
            <w:vAlign w:val="bottom"/>
          </w:tcPr>
          <w:p>
            <w:pPr>
              <w:spacing w:after="0"/>
              <w:rPr>
                <w:sz w:val="17"/>
                <w:szCs w:val="17"/>
                <w:color w:val="auto"/>
              </w:rPr>
            </w:pPr>
          </w:p>
        </w:tc>
        <w:tc>
          <w:tcPr>
            <w:tcW w:w="1020" w:type="dxa"/>
            <w:vAlign w:val="bottom"/>
            <w:tcBorders>
              <w:top w:val="single" w:sz="8" w:color="auto"/>
            </w:tcBorders>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Short term employee benefits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2,822,218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1,409,616</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Post employee benefits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73,599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70,175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payments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2,846,461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2,861,210</w:t>
            </w:r>
          </w:p>
        </w:tc>
        <w:tc>
          <w:tcPr>
            <w:tcW w:w="100" w:type="dxa"/>
            <w:vAlign w:val="bottom"/>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5,742,278</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4,341,001</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Group engages a management entity for the purpose of providing key management services and/or strategic advisory services to the Company. This management entity is considered a related party, as it provides key management advisory services and exercises key management functions.</w:t>
      </w:r>
    </w:p>
    <w:p>
      <w:pPr>
        <w:spacing w:after="0" w:line="237"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aggregate amount of expense recognized in the unaudited condensed consolidated interim financial statements related to this related party was €0.2 million in each of the three months ended March 31, 2026 and 2025, respectively.</w:t>
      </w:r>
    </w:p>
    <w:p>
      <w:pPr>
        <w:spacing w:after="0" w:line="1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outstanding balances payable to key management personnel, or entities which they control, as per March 31, 2026 and December 31, 2025 were €0.8 million and €1.6 million, respectively.</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3" w:name="page34"/>
    <w:bookmarkEnd w:id="33"/>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Events after the reporting period</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May 8, 2026, the Company entered into an underwriting agreement with Morgan Stanley &amp; Co. LLC and Leerink Partners LLC as representatives of the underwriters named therein, pursuant to which the Company agreed to issue and sell in an underwritten offering 4,455,863 ordinary shares, par value €0.12 per share (which includes the exercise in full by the underwriters of their option to purchase up to an additional 581,199 ordinary shares). The offering closed on May 11, 2026, and the Company generated net proceeds of approximately $124.3 million, after deducting bank fees of approximately $7.9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85" w:lineRule="exact"/>
        <w:rPr>
          <w:sz w:val="20"/>
          <w:szCs w:val="20"/>
          <w:color w:val="auto"/>
        </w:rPr>
      </w:pPr>
    </w:p>
    <w:p>
      <w:pPr>
        <w:ind w:right="3119"/>
        <w:spacing w:after="0" w:line="443" w:lineRule="auto"/>
        <w:rPr>
          <w:sz w:val="20"/>
          <w:szCs w:val="20"/>
          <w:color w:val="auto"/>
        </w:rPr>
      </w:pPr>
      <w:r>
        <w:rPr>
          <w:rFonts w:ascii="Arial" w:cs="Arial" w:eastAsia="Arial" w:hAnsi="Arial"/>
          <w:sz w:val="18"/>
          <w:szCs w:val="18"/>
          <w:b w:val="1"/>
          <w:bCs w:val="1"/>
          <w:color w:val="auto"/>
        </w:rPr>
        <w:t xml:space="preserve">Signatories to the unaudited condensed consolidated interim financial statements </w:t>
      </w:r>
      <w:r>
        <w:rPr>
          <w:rFonts w:ascii="Arial" w:cs="Arial" w:eastAsia="Arial" w:hAnsi="Arial"/>
          <w:sz w:val="18"/>
          <w:szCs w:val="18"/>
          <w:color w:val="auto"/>
        </w:rPr>
        <w:t>Leiden, May 12, 2026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Pharvaris N.V.</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B.A.E. Modig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R.H. Glassman</w:t>
      </w:r>
    </w:p>
    <w:p>
      <w:pPr>
        <w:spacing w:after="0" w:line="211" w:lineRule="exact"/>
        <w:rPr>
          <w:sz w:val="20"/>
          <w:szCs w:val="20"/>
          <w:color w:val="auto"/>
        </w:rPr>
      </w:pPr>
    </w:p>
    <w:p>
      <w:pPr>
        <w:sectPr>
          <w:pgSz w:w="11900" w:h="16838" w:orient="portrait"/>
          <w:cols w:equalWidth="0" w:num="2">
            <w:col w:w="4760" w:space="720"/>
            <w:col w:w="4659"/>
          </w:cols>
          <w:pgMar w:left="320" w:top="1440" w:right="1440"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E. Björk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J.G.C.P. Schikan</w:t>
      </w:r>
    </w:p>
    <w:p>
      <w:pPr>
        <w:spacing w:after="0" w:line="211" w:lineRule="exact"/>
        <w:rPr>
          <w:sz w:val="20"/>
          <w:szCs w:val="20"/>
          <w:color w:val="auto"/>
        </w:rPr>
      </w:pPr>
    </w:p>
    <w:p>
      <w:pPr>
        <w:sectPr>
          <w:pgSz w:w="11900" w:h="16838" w:orient="portrait"/>
          <w:cols w:equalWidth="0" w:num="2">
            <w:col w:w="4760" w:space="720"/>
            <w:col w:w="4659"/>
          </w:cols>
          <w:pgMar w:left="320" w:top="1440" w:right="1440"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D.P. Meeker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V. Monges</w:t>
      </w:r>
    </w:p>
    <w:p>
      <w:pPr>
        <w:spacing w:after="0" w:line="200" w:lineRule="exact"/>
        <w:rPr>
          <w:sz w:val="20"/>
          <w:szCs w:val="20"/>
          <w:color w:val="auto"/>
        </w:rPr>
      </w:pPr>
    </w:p>
    <w:p>
      <w:pPr>
        <w:sectPr>
          <w:pgSz w:w="11900" w:h="16838" w:orient="portrait"/>
          <w:cols w:equalWidth="0" w:num="2">
            <w:col w:w="4760" w:space="720"/>
            <w:col w:w="4659"/>
          </w:cols>
          <w:pgMar w:left="3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2026-05-12T15:17:04Z</dcterms:created>
  <dcterms:modified xsi:type="dcterms:W3CDTF">2026-05-12T15:17:04Z</dcterms:modified>
</cp:coreProperties>
</file>