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Nijdam Anna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00" w:type="dxa"/>
            <w:vAlign w:val="bottom"/>
            <w:tcBorders>
              <w:top w:val="single" w:sz="8" w:color="0000EE"/>
              <w:bottom w:val="single" w:sz="8" w:color="9A9A9A"/>
            </w:tcBorders>
          </w:tcPr>
          <w:p>
            <w:pPr>
              <w:spacing w:after="0"/>
              <w:rPr>
                <w:sz w:val="16"/>
                <w:szCs w:val="16"/>
                <w:color w:val="auto"/>
              </w:rPr>
            </w:pPr>
          </w:p>
        </w:tc>
        <w:tc>
          <w:tcPr>
            <w:tcW w:w="17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Pharvaris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PHVS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CRANBERRY HILL SUITE 400</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LEXINGTON MA</w:t>
            </w: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02421</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23"/>
        <w:spacing w:after="0"/>
        <w:rPr>
          <w:sz w:val="20"/>
          <w:szCs w:val="20"/>
          <w:color w:val="auto"/>
        </w:rPr>
      </w:pPr>
      <w:r>
        <w:rPr>
          <w:rFonts w:ascii="Times New Roman" w:cs="Times New Roman" w:eastAsia="Times New Roman" w:hAnsi="Times New Roman"/>
          <w:sz w:val="20"/>
          <w:szCs w:val="20"/>
          <w:color w:val="0000FF"/>
        </w:rPr>
        <w:t>Principal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20"/>
                <w:szCs w:val="20"/>
                <w:color w:val="0000FF"/>
              </w:rPr>
              <w:t>51,819</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02/05/2031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30,000</w:t>
            </w:r>
          </w:p>
        </w:tc>
        <w:tc>
          <w:tcPr>
            <w:tcW w:w="4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20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20" w:firstLine="5"/>
        <w:spacing w:after="0" w:line="236"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restricted stock units previously granted under the Company's equity plan that remain outstanding as of March 18, 2026. The awards settle in shares of common stock and are reported in Table I as non-derivative securities. Vesting occurs as follows: -6,200 RSUs from an award granted March 3, 2026 of which 25% will vest on March 3, 2027 with the remainder vesting 25% on each annual anniversary; -6,150 RSUs from an award granted March 12, 2025 of which 25% vested March 12, 2026 with the remainder vesting 25% on each annual anniversary; -5,250 RSUs from an award granted April 11, 2024 of which 25% vested April 11, 2025 with the remainder vesting 25% on each annual anniversary; -7,500 RSUs from an award granted April 6, 2023 of which 25% vested April 6, 2024 with the remainder vesting 25% on each annual anniversary; -3,554 RSUs from an award granted April 1, 2022 of which 25% vested April 1, 2023 with the remainder vesting 25% on each annual anniversary.</w:t>
      </w:r>
    </w:p>
    <w:p>
      <w:pPr>
        <w:spacing w:after="0" w:line="3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February 5, 2022 with the remaining shares vesting in 1/48 monthly installments thereafter.</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Marnus Nel, Attorney-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 for Anna Nijdam</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26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March 2, 2026</w:t>
      </w:r>
    </w:p>
    <w:p>
      <w:pPr>
        <w:spacing w:after="0" w:line="234" w:lineRule="exact"/>
        <w:rPr>
          <w:sz w:val="20"/>
          <w:szCs w:val="20"/>
          <w:color w:val="auto"/>
        </w:rPr>
      </w:pPr>
    </w:p>
    <w:p>
      <w:pPr>
        <w:jc w:val="both"/>
        <w:ind w:firstLine="929"/>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David Nassif, Marnus Nel, and Skyler Wallace, acting individually, as the undersigned’s true and lawful attorney-in-fact and agent, with full power and authority, including substitution and revocation, as hereinafter described on behalf of and in the name, place and stead of the undersigned to:</w:t>
      </w:r>
    </w:p>
    <w:p>
      <w:pPr>
        <w:spacing w:after="0" w:line="179" w:lineRule="exact"/>
        <w:rPr>
          <w:sz w:val="20"/>
          <w:szCs w:val="20"/>
          <w:color w:val="auto"/>
        </w:rPr>
      </w:pPr>
    </w:p>
    <w:p>
      <w:pPr>
        <w:jc w:val="both"/>
        <w:ind w:left="660" w:right="740" w:hanging="528"/>
        <w:spacing w:after="0" w:line="238"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director, officer or beneficial owner of shares of stock of Pharvaris N.V., a Dutch public limited liability company (naamloze vennootschap)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any Form 3, 4 and 5 and any amendments, supplements or exhibits thereto required to be filed by the undersigned under Section 16(a) of the Exchange Act, as well as notices on Form 144 and amendments thereto, filed pursuant to Rule 144 promulgated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219" w:lineRule="exact"/>
        <w:rPr>
          <w:rFonts w:ascii="Times New Roman" w:cs="Times New Roman" w:eastAsia="Times New Roman" w:hAnsi="Times New Roman"/>
          <w:sz w:val="24"/>
          <w:szCs w:val="24"/>
          <w:color w:val="auto"/>
        </w:rPr>
      </w:pPr>
    </w:p>
    <w:p>
      <w:pPr>
        <w:jc w:val="both"/>
        <w:ind w:left="660" w:right="720" w:hanging="587"/>
        <w:spacing w:after="0" w:line="242"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169" w:lineRule="exact"/>
        <w:rPr>
          <w:rFonts w:ascii="Times New Roman" w:cs="Times New Roman" w:eastAsia="Times New Roman" w:hAnsi="Times New Roman"/>
          <w:sz w:val="24"/>
          <w:szCs w:val="24"/>
          <w:color w:val="auto"/>
        </w:rPr>
      </w:pPr>
    </w:p>
    <w:p>
      <w:pPr>
        <w:jc w:val="both"/>
        <w:ind w:left="660" w:right="720" w:hanging="660"/>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 13D, Schedule 13G, and any amendments thereto, Form 3, 4 or 5, and any amendments thereto, notices on Form 144 and amendments thereto, or any other required report relating to any of the foregoing and timely file such notices, forms or reports with the U.S. Securities and Exchange Commission and any stock exchange on which the stock of the Company is then listed; and</w:t>
      </w:r>
    </w:p>
    <w:p>
      <w:pPr>
        <w:spacing w:after="0" w:line="93" w:lineRule="exact"/>
        <w:rPr>
          <w:rFonts w:ascii="Times New Roman" w:cs="Times New Roman" w:eastAsia="Times New Roman" w:hAnsi="Times New Roman"/>
          <w:sz w:val="24"/>
          <w:szCs w:val="24"/>
          <w:color w:val="auto"/>
        </w:rPr>
      </w:pPr>
    </w:p>
    <w:p>
      <w:pPr>
        <w:jc w:val="both"/>
        <w:ind w:left="660" w:right="720" w:hanging="646"/>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each such attorney-in-fact’s discretion.</w:t>
      </w:r>
    </w:p>
    <w:p>
      <w:pPr>
        <w:spacing w:after="0" w:line="198" w:lineRule="exact"/>
        <w:rPr>
          <w:sz w:val="20"/>
          <w:szCs w:val="20"/>
          <w:color w:val="auto"/>
        </w:rPr>
      </w:pPr>
    </w:p>
    <w:p>
      <w:pPr>
        <w:ind w:firstLine="929"/>
        <w:spacing w:after="0" w:line="266" w:lineRule="auto"/>
        <w:rPr>
          <w:sz w:val="20"/>
          <w:szCs w:val="20"/>
          <w:color w:val="auto"/>
        </w:rPr>
      </w:pPr>
      <w:r>
        <w:rPr>
          <w:rFonts w:ascii="Times New Roman" w:cs="Times New Roman" w:eastAsia="Times New Roman" w:hAnsi="Times New Roman"/>
          <w:sz w:val="24"/>
          <w:szCs w:val="24"/>
          <w:color w:val="auto"/>
        </w:rPr>
        <w:t>The undersigned hereby acknowledges that (a) the foregoing attorneys-in-fact are serving in such capacity at the request of the undersigned; (b) this Power of Attorney authorizes,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208915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2" w:name="page3"/>
    <w:bookmarkEnd w:id="2"/>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2" w:lineRule="exact"/>
        <w:rPr>
          <w:sz w:val="20"/>
          <w:szCs w:val="20"/>
          <w:color w:val="auto"/>
        </w:rPr>
      </w:pPr>
    </w:p>
    <w:p>
      <w:pPr>
        <w:jc w:val="both"/>
        <w:spacing w:after="0" w:line="234" w:lineRule="auto"/>
        <w:tabs>
          <w:tab w:leader="none" w:pos="346"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(i) any liability for the undersigned's responsibility to comply with the requirements of the Exchange Act or Securities Act, as applicable, (ii) any liability of the undersigned for any failure to comply with such requirements,</w:t>
      </w:r>
    </w:p>
    <w:p>
      <w:pPr>
        <w:spacing w:after="0" w:line="3" w:lineRule="exact"/>
        <w:rPr>
          <w:rFonts w:ascii="Times New Roman" w:cs="Times New Roman" w:eastAsia="Times New Roman" w:hAnsi="Times New Roman"/>
          <w:sz w:val="24"/>
          <w:szCs w:val="24"/>
          <w:color w:val="auto"/>
        </w:rPr>
      </w:pPr>
    </w:p>
    <w:p>
      <w:pPr>
        <w:jc w:val="both"/>
        <w:spacing w:after="0" w:line="237" w:lineRule="auto"/>
        <w:tabs>
          <w:tab w:leader="none" w:pos="485"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obligation or liability of the undersigned for profit disgorgement under Section 16(b) of the Exchange Act, if applicable, or (iv) any liability resulting from a failure to qualify for the safe harbor under Rule 144; and (e) this Power of Attorney does not relieve the undersigned from responsibility for compliance with the undersigned’s obligations under the Exchange Act or Securities Act, including, without limitation, the reporting requirements under Section 13 and Section 16 of the Exchange Act or Rule 144 promulgated under the Securities Act, as applicable.</w:t>
      </w:r>
    </w:p>
    <w:p>
      <w:pPr>
        <w:spacing w:after="0" w:line="200" w:lineRule="exact"/>
        <w:rPr>
          <w:sz w:val="20"/>
          <w:szCs w:val="20"/>
          <w:color w:val="auto"/>
        </w:rPr>
      </w:pPr>
    </w:p>
    <w:p>
      <w:pPr>
        <w:jc w:val="both"/>
        <w:ind w:firstLine="929"/>
        <w:spacing w:after="0" w:line="241"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(and shall survive, if necessary, by incapacity and/or death) until the undersigned is no longer required to file Schedule 13D or Schedule 13G, Forms 3, 4 or 5, notices on Form 144, or any amendments, supplements or exhibits to any of the foregoing with respect to the undersigned’s holdings of, and transactions in, securities issued by the Company, unless earlier revoked as to any attorney-in-fact by the undersigned in a signed writing delivered to such attorney-in-fact.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to Follow]</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3" w:name="page4"/>
    <w:bookmarkEnd w:id="3"/>
    <w:p>
      <w:pPr>
        <w:spacing w:after="0" w:line="96" w:lineRule="exact"/>
        <w:rPr>
          <w:sz w:val="20"/>
          <w:szCs w:val="20"/>
          <w:color w:val="auto"/>
        </w:rPr>
      </w:pPr>
    </w:p>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1418590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364490</wp:posOffset>
            </wp:positionV>
            <wp:extent cx="1734185" cy="666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34185" cy="666750"/>
                    </a:xfrm>
                    <a:prstGeom prst="rect">
                      <a:avLst/>
                    </a:prstGeom>
                    <a:noFill/>
                  </pic:spPr>
                </pic:pic>
              </a:graphicData>
            </a:graphic>
          </wp:anchor>
        </w:drawing>
      </w:r>
    </w:p>
    <w:p>
      <w:pPr>
        <w:sectPr>
          <w:pgSz w:w="11900" w:h="16838" w:orient="portrait"/>
          <w:cols w:equalWidth="0" w:num="1">
            <w:col w:w="10620"/>
          </w:cols>
          <w:pgMar w:left="480" w:top="1440" w:right="7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0" Type="http://schemas.openxmlformats.org/officeDocument/2006/relationships/hyperlink" Target="http://www.sec.gov/cgi-bin/browse-edgar?action=getcompany&amp;CIK=0001973872" TargetMode="External"/><Relationship Id="rId11"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2026-03-18T13:25:17Z</dcterms:created>
  <dcterms:modified xsi:type="dcterms:W3CDTF">2026-03-18T13:25:17Z</dcterms:modified>
</cp:coreProperties>
</file>