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31"/>
        </w:trPr>
        <w:tc>
          <w:tcPr>
            <w:tcW w:w="1200" w:type="dxa"/>
            <w:vAlign w:val="bottom"/>
          </w:tcPr>
          <w:p>
            <w:pPr>
              <w:spacing w:after="0"/>
              <w:rPr>
                <w:sz w:val="24"/>
                <w:szCs w:val="24"/>
                <w:color w:val="auto"/>
              </w:rPr>
            </w:pPr>
          </w:p>
        </w:tc>
        <w:tc>
          <w:tcPr>
            <w:tcW w:w="10060" w:type="dxa"/>
            <w:vAlign w:val="bottom"/>
          </w:tcPr>
          <w:p>
            <w:pPr>
              <w:jc w:val="center"/>
              <w:ind w:right="1105"/>
              <w:spacing w:after="0"/>
              <w:rPr>
                <w:sz w:val="20"/>
                <w:szCs w:val="20"/>
                <w:color w:val="auto"/>
              </w:rPr>
            </w:pPr>
            <w:r>
              <w:rPr>
                <w:rFonts w:ascii="Arial" w:cs="Arial" w:eastAsia="Arial" w:hAnsi="Arial"/>
                <w:sz w:val="28"/>
                <w:szCs w:val="28"/>
                <w:b w:val="1"/>
                <w:bCs w:val="1"/>
                <w:color w:val="auto"/>
                <w:w w:val="99"/>
              </w:rPr>
              <w:t>UNITED STATES</w:t>
            </w:r>
          </w:p>
        </w:tc>
      </w:tr>
      <w:tr>
        <w:trPr>
          <w:trHeight w:val="339"/>
        </w:trPr>
        <w:tc>
          <w:tcPr>
            <w:tcW w:w="1200" w:type="dxa"/>
            <w:vAlign w:val="bottom"/>
          </w:tcPr>
          <w:p>
            <w:pPr>
              <w:spacing w:after="0"/>
              <w:rPr>
                <w:sz w:val="24"/>
                <w:szCs w:val="24"/>
                <w:color w:val="auto"/>
              </w:rPr>
            </w:pPr>
          </w:p>
        </w:tc>
        <w:tc>
          <w:tcPr>
            <w:tcW w:w="10060" w:type="dxa"/>
            <w:vAlign w:val="bottom"/>
          </w:tcPr>
          <w:p>
            <w:pPr>
              <w:jc w:val="center"/>
              <w:ind w:right="1105"/>
              <w:spacing w:after="0"/>
              <w:rPr>
                <w:sz w:val="20"/>
                <w:szCs w:val="20"/>
                <w:color w:val="auto"/>
              </w:rPr>
            </w:pPr>
            <w:r>
              <w:rPr>
                <w:rFonts w:ascii="Arial" w:cs="Arial" w:eastAsia="Arial" w:hAnsi="Arial"/>
                <w:sz w:val="28"/>
                <w:szCs w:val="28"/>
                <w:b w:val="1"/>
                <w:bCs w:val="1"/>
                <w:color w:val="auto"/>
              </w:rPr>
              <w:t>SECURITIES AND EXCHANGE COMMISSION</w:t>
            </w:r>
          </w:p>
        </w:tc>
      </w:tr>
      <w:tr>
        <w:trPr>
          <w:trHeight w:val="217"/>
        </w:trPr>
        <w:tc>
          <w:tcPr>
            <w:tcW w:w="1200" w:type="dxa"/>
            <w:vAlign w:val="bottom"/>
          </w:tcPr>
          <w:p>
            <w:pPr>
              <w:spacing w:after="0"/>
              <w:rPr>
                <w:sz w:val="18"/>
                <w:szCs w:val="18"/>
                <w:color w:val="auto"/>
              </w:rPr>
            </w:pPr>
          </w:p>
        </w:tc>
        <w:tc>
          <w:tcPr>
            <w:tcW w:w="10060" w:type="dxa"/>
            <w:vAlign w:val="bottom"/>
          </w:tcPr>
          <w:p>
            <w:pPr>
              <w:jc w:val="center"/>
              <w:ind w:right="1125"/>
              <w:spacing w:after="0"/>
              <w:rPr>
                <w:sz w:val="20"/>
                <w:szCs w:val="20"/>
                <w:color w:val="auto"/>
              </w:rPr>
            </w:pPr>
            <w:r>
              <w:rPr>
                <w:rFonts w:ascii="Arial" w:cs="Arial" w:eastAsia="Arial" w:hAnsi="Arial"/>
                <w:sz w:val="16"/>
                <w:szCs w:val="16"/>
                <w:b w:val="1"/>
                <w:bCs w:val="1"/>
                <w:color w:val="auto"/>
                <w:w w:val="97"/>
              </w:rPr>
              <w:t>WASHINGTON, D.C. 20549</w:t>
            </w:r>
          </w:p>
        </w:tc>
      </w:tr>
      <w:tr>
        <w:trPr>
          <w:trHeight w:val="155"/>
        </w:trPr>
        <w:tc>
          <w:tcPr>
            <w:tcW w:w="1200" w:type="dxa"/>
            <w:vAlign w:val="bottom"/>
            <w:tcBorders>
              <w:bottom w:val="single" w:sz="8" w:color="auto"/>
            </w:tcBorders>
          </w:tcPr>
          <w:p>
            <w:pPr>
              <w:spacing w:after="0"/>
              <w:rPr>
                <w:sz w:val="13"/>
                <w:szCs w:val="13"/>
                <w:color w:val="auto"/>
              </w:rPr>
            </w:pPr>
          </w:p>
        </w:tc>
        <w:tc>
          <w:tcPr>
            <w:tcW w:w="10060" w:type="dxa"/>
            <w:vAlign w:val="bottom"/>
            <w:tcBorders>
              <w:bottom w:val="single" w:sz="8" w:color="auto"/>
            </w:tcBorders>
          </w:tcPr>
          <w:p>
            <w:pPr>
              <w:spacing w:after="0"/>
              <w:rPr>
                <w:sz w:val="13"/>
                <w:szCs w:val="13"/>
                <w:color w:val="auto"/>
              </w:rPr>
            </w:pPr>
          </w:p>
        </w:tc>
      </w:tr>
      <w:tr>
        <w:trPr>
          <w:trHeight w:val="383"/>
        </w:trPr>
        <w:tc>
          <w:tcPr>
            <w:tcW w:w="1200" w:type="dxa"/>
            <w:vAlign w:val="bottom"/>
          </w:tcPr>
          <w:p>
            <w:pPr>
              <w:spacing w:after="0"/>
              <w:rPr>
                <w:sz w:val="24"/>
                <w:szCs w:val="24"/>
                <w:color w:val="auto"/>
              </w:rPr>
            </w:pPr>
          </w:p>
        </w:tc>
        <w:tc>
          <w:tcPr>
            <w:tcW w:w="10060" w:type="dxa"/>
            <w:vAlign w:val="bottom"/>
          </w:tcPr>
          <w:p>
            <w:pPr>
              <w:jc w:val="center"/>
              <w:ind w:right="1125"/>
              <w:spacing w:after="0"/>
              <w:rPr>
                <w:sz w:val="20"/>
                <w:szCs w:val="20"/>
                <w:color w:val="auto"/>
              </w:rPr>
            </w:pPr>
            <w:r>
              <w:rPr>
                <w:rFonts w:ascii="Arial" w:cs="Arial" w:eastAsia="Arial" w:hAnsi="Arial"/>
                <w:sz w:val="28"/>
                <w:szCs w:val="28"/>
                <w:b w:val="1"/>
                <w:bCs w:val="1"/>
                <w:color w:val="auto"/>
              </w:rPr>
              <w:t>FORM 6-K</w:t>
            </w:r>
          </w:p>
        </w:tc>
      </w:tr>
      <w:tr>
        <w:trPr>
          <w:trHeight w:val="129"/>
        </w:trPr>
        <w:tc>
          <w:tcPr>
            <w:tcW w:w="1200" w:type="dxa"/>
            <w:vAlign w:val="bottom"/>
            <w:tcBorders>
              <w:bottom w:val="single" w:sz="8" w:color="auto"/>
            </w:tcBorders>
          </w:tcPr>
          <w:p>
            <w:pPr>
              <w:spacing w:after="0"/>
              <w:rPr>
                <w:sz w:val="11"/>
                <w:szCs w:val="11"/>
                <w:color w:val="auto"/>
              </w:rPr>
            </w:pPr>
          </w:p>
        </w:tc>
        <w:tc>
          <w:tcPr>
            <w:tcW w:w="10060" w:type="dxa"/>
            <w:vAlign w:val="bottom"/>
            <w:tcBorders>
              <w:bottom w:val="single" w:sz="8" w:color="auto"/>
            </w:tcBorders>
          </w:tcPr>
          <w:p>
            <w:pPr>
              <w:spacing w:after="0"/>
              <w:rPr>
                <w:sz w:val="11"/>
                <w:szCs w:val="11"/>
                <w:color w:val="auto"/>
              </w:rPr>
            </w:pPr>
          </w:p>
        </w:tc>
      </w:tr>
      <w:tr>
        <w:trPr>
          <w:trHeight w:val="152"/>
        </w:trPr>
        <w:tc>
          <w:tcPr>
            <w:tcW w:w="1200" w:type="dxa"/>
            <w:vAlign w:val="bottom"/>
          </w:tcPr>
          <w:p>
            <w:pPr>
              <w:spacing w:after="0"/>
              <w:rPr>
                <w:sz w:val="13"/>
                <w:szCs w:val="13"/>
                <w:color w:val="auto"/>
              </w:rPr>
            </w:pPr>
          </w:p>
        </w:tc>
        <w:tc>
          <w:tcPr>
            <w:tcW w:w="10060" w:type="dxa"/>
            <w:vAlign w:val="bottom"/>
          </w:tcPr>
          <w:p>
            <w:pPr>
              <w:jc w:val="center"/>
              <w:ind w:right="1105"/>
              <w:spacing w:after="0" w:line="152" w:lineRule="exact"/>
              <w:rPr>
                <w:sz w:val="20"/>
                <w:szCs w:val="20"/>
                <w:color w:val="auto"/>
              </w:rPr>
            </w:pPr>
            <w:r>
              <w:rPr>
                <w:rFonts w:ascii="Arial" w:cs="Arial" w:eastAsia="Arial" w:hAnsi="Arial"/>
                <w:sz w:val="16"/>
                <w:szCs w:val="16"/>
                <w:b w:val="1"/>
                <w:bCs w:val="1"/>
                <w:color w:val="auto"/>
                <w:w w:val="97"/>
              </w:rPr>
              <w:t>REPORT OF FOREIGN PRIVATE ISSUER</w:t>
            </w:r>
          </w:p>
        </w:tc>
      </w:tr>
      <w:tr>
        <w:trPr>
          <w:trHeight w:val="177"/>
        </w:trPr>
        <w:tc>
          <w:tcPr>
            <w:tcW w:w="1200" w:type="dxa"/>
            <w:vAlign w:val="bottom"/>
          </w:tcPr>
          <w:p>
            <w:pPr>
              <w:spacing w:after="0"/>
              <w:rPr>
                <w:sz w:val="15"/>
                <w:szCs w:val="15"/>
                <w:color w:val="auto"/>
              </w:rPr>
            </w:pPr>
          </w:p>
        </w:tc>
        <w:tc>
          <w:tcPr>
            <w:tcW w:w="10060" w:type="dxa"/>
            <w:vAlign w:val="bottom"/>
          </w:tcPr>
          <w:p>
            <w:pPr>
              <w:jc w:val="center"/>
              <w:ind w:right="1105"/>
              <w:spacing w:after="0" w:line="178" w:lineRule="exact"/>
              <w:rPr>
                <w:sz w:val="20"/>
                <w:szCs w:val="20"/>
                <w:color w:val="auto"/>
              </w:rPr>
            </w:pPr>
            <w:r>
              <w:rPr>
                <w:rFonts w:ascii="Arial" w:cs="Arial" w:eastAsia="Arial" w:hAnsi="Arial"/>
                <w:sz w:val="16"/>
                <w:szCs w:val="16"/>
                <w:b w:val="1"/>
                <w:bCs w:val="1"/>
                <w:color w:val="auto"/>
                <w:w w:val="98"/>
              </w:rPr>
              <w:t>PURSUANT TO RULE 13A-16 OR 15D-16 UNDER</w:t>
            </w:r>
          </w:p>
        </w:tc>
      </w:tr>
      <w:tr>
        <w:trPr>
          <w:trHeight w:val="217"/>
        </w:trPr>
        <w:tc>
          <w:tcPr>
            <w:tcW w:w="1200" w:type="dxa"/>
            <w:vAlign w:val="bottom"/>
          </w:tcPr>
          <w:p>
            <w:pPr>
              <w:spacing w:after="0"/>
              <w:rPr>
                <w:sz w:val="18"/>
                <w:szCs w:val="18"/>
                <w:color w:val="auto"/>
              </w:rPr>
            </w:pPr>
          </w:p>
        </w:tc>
        <w:tc>
          <w:tcPr>
            <w:tcW w:w="10060" w:type="dxa"/>
            <w:vAlign w:val="bottom"/>
          </w:tcPr>
          <w:p>
            <w:pPr>
              <w:jc w:val="center"/>
              <w:ind w:right="1105"/>
              <w:spacing w:after="0"/>
              <w:rPr>
                <w:sz w:val="20"/>
                <w:szCs w:val="20"/>
                <w:color w:val="auto"/>
              </w:rPr>
            </w:pPr>
            <w:r>
              <w:rPr>
                <w:rFonts w:ascii="Arial" w:cs="Arial" w:eastAsia="Arial" w:hAnsi="Arial"/>
                <w:sz w:val="16"/>
                <w:szCs w:val="16"/>
                <w:b w:val="1"/>
                <w:bCs w:val="1"/>
                <w:color w:val="auto"/>
                <w:w w:val="98"/>
              </w:rPr>
              <w:t>THE SECURITIES EXCHANGE ACT OF 1934</w:t>
            </w:r>
          </w:p>
        </w:tc>
      </w:tr>
      <w:tr>
        <w:trPr>
          <w:trHeight w:val="493"/>
        </w:trPr>
        <w:tc>
          <w:tcPr>
            <w:tcW w:w="1200" w:type="dxa"/>
            <w:vAlign w:val="bottom"/>
          </w:tcPr>
          <w:p>
            <w:pPr>
              <w:spacing w:after="0"/>
              <w:rPr>
                <w:sz w:val="24"/>
                <w:szCs w:val="24"/>
                <w:color w:val="auto"/>
              </w:rPr>
            </w:pPr>
          </w:p>
        </w:tc>
        <w:tc>
          <w:tcPr>
            <w:tcW w:w="10060" w:type="dxa"/>
            <w:vAlign w:val="bottom"/>
          </w:tcPr>
          <w:p>
            <w:pPr>
              <w:jc w:val="center"/>
              <w:ind w:right="1105"/>
              <w:spacing w:after="0"/>
              <w:rPr>
                <w:sz w:val="20"/>
                <w:szCs w:val="20"/>
                <w:color w:val="auto"/>
              </w:rPr>
            </w:pPr>
            <w:r>
              <w:rPr>
                <w:rFonts w:ascii="Arial" w:cs="Arial" w:eastAsia="Arial" w:hAnsi="Arial"/>
                <w:sz w:val="16"/>
                <w:szCs w:val="16"/>
                <w:b w:val="1"/>
                <w:bCs w:val="1"/>
                <w:color w:val="auto"/>
                <w:w w:val="98"/>
              </w:rPr>
              <w:t>For the month of January 2024</w:t>
            </w:r>
          </w:p>
        </w:tc>
      </w:tr>
      <w:tr>
        <w:trPr>
          <w:trHeight w:val="217"/>
        </w:trPr>
        <w:tc>
          <w:tcPr>
            <w:tcW w:w="1200" w:type="dxa"/>
            <w:vAlign w:val="bottom"/>
          </w:tcPr>
          <w:p>
            <w:pPr>
              <w:spacing w:after="0"/>
              <w:rPr>
                <w:sz w:val="18"/>
                <w:szCs w:val="18"/>
                <w:color w:val="auto"/>
              </w:rPr>
            </w:pPr>
          </w:p>
        </w:tc>
        <w:tc>
          <w:tcPr>
            <w:tcW w:w="10060" w:type="dxa"/>
            <w:vAlign w:val="bottom"/>
          </w:tcPr>
          <w:p>
            <w:pPr>
              <w:jc w:val="center"/>
              <w:ind w:right="1125"/>
              <w:spacing w:after="0"/>
              <w:rPr>
                <w:sz w:val="20"/>
                <w:szCs w:val="20"/>
                <w:color w:val="auto"/>
              </w:rPr>
            </w:pPr>
            <w:r>
              <w:rPr>
                <w:rFonts w:ascii="Arial" w:cs="Arial" w:eastAsia="Arial" w:hAnsi="Arial"/>
                <w:sz w:val="16"/>
                <w:szCs w:val="16"/>
                <w:b w:val="1"/>
                <w:bCs w:val="1"/>
                <w:color w:val="auto"/>
                <w:w w:val="98"/>
              </w:rPr>
              <w:t>Commission File Number: 001-40010</w:t>
            </w:r>
          </w:p>
        </w:tc>
      </w:tr>
      <w:tr>
        <w:trPr>
          <w:trHeight w:val="155"/>
        </w:trPr>
        <w:tc>
          <w:tcPr>
            <w:tcW w:w="1200" w:type="dxa"/>
            <w:vAlign w:val="bottom"/>
            <w:tcBorders>
              <w:bottom w:val="single" w:sz="8" w:color="auto"/>
            </w:tcBorders>
          </w:tcPr>
          <w:p>
            <w:pPr>
              <w:spacing w:after="0"/>
              <w:rPr>
                <w:sz w:val="13"/>
                <w:szCs w:val="13"/>
                <w:color w:val="auto"/>
              </w:rPr>
            </w:pPr>
          </w:p>
        </w:tc>
        <w:tc>
          <w:tcPr>
            <w:tcW w:w="10060" w:type="dxa"/>
            <w:vAlign w:val="bottom"/>
            <w:tcBorders>
              <w:bottom w:val="single" w:sz="8" w:color="auto"/>
            </w:tcBorders>
          </w:tcPr>
          <w:p>
            <w:pPr>
              <w:spacing w:after="0"/>
              <w:rPr>
                <w:sz w:val="13"/>
                <w:szCs w:val="13"/>
                <w:color w:val="auto"/>
              </w:rPr>
            </w:pPr>
          </w:p>
        </w:tc>
      </w:tr>
      <w:tr>
        <w:trPr>
          <w:trHeight w:val="415"/>
        </w:trPr>
        <w:tc>
          <w:tcPr>
            <w:tcW w:w="1200" w:type="dxa"/>
            <w:vAlign w:val="bottom"/>
          </w:tcPr>
          <w:p>
            <w:pPr>
              <w:spacing w:after="0"/>
              <w:rPr>
                <w:sz w:val="24"/>
                <w:szCs w:val="24"/>
                <w:color w:val="auto"/>
              </w:rPr>
            </w:pPr>
          </w:p>
        </w:tc>
        <w:tc>
          <w:tcPr>
            <w:tcW w:w="10060" w:type="dxa"/>
            <w:vAlign w:val="bottom"/>
          </w:tcPr>
          <w:p>
            <w:pPr>
              <w:jc w:val="center"/>
              <w:ind w:right="1125"/>
              <w:spacing w:after="0" w:line="414" w:lineRule="exact"/>
              <w:rPr>
                <w:sz w:val="20"/>
                <w:szCs w:val="20"/>
                <w:color w:val="auto"/>
              </w:rPr>
            </w:pPr>
            <w:r>
              <w:rPr>
                <w:rFonts w:ascii="Arial" w:cs="Arial" w:eastAsia="Arial" w:hAnsi="Arial"/>
                <w:sz w:val="38"/>
                <w:szCs w:val="38"/>
                <w:color w:val="auto"/>
                <w:w w:val="97"/>
              </w:rPr>
              <w:t>Pharvaris N.V.</w:t>
            </w:r>
          </w:p>
        </w:tc>
      </w:tr>
      <w:tr>
        <w:trPr>
          <w:trHeight w:val="207"/>
        </w:trPr>
        <w:tc>
          <w:tcPr>
            <w:tcW w:w="1200" w:type="dxa"/>
            <w:vAlign w:val="bottom"/>
          </w:tcPr>
          <w:p>
            <w:pPr>
              <w:spacing w:after="0"/>
              <w:rPr>
                <w:sz w:val="17"/>
                <w:szCs w:val="17"/>
                <w:color w:val="auto"/>
              </w:rPr>
            </w:pPr>
          </w:p>
        </w:tc>
        <w:tc>
          <w:tcPr>
            <w:tcW w:w="10060" w:type="dxa"/>
            <w:vAlign w:val="bottom"/>
          </w:tcPr>
          <w:p>
            <w:pPr>
              <w:jc w:val="center"/>
              <w:ind w:right="1125"/>
              <w:spacing w:after="0"/>
              <w:rPr>
                <w:sz w:val="20"/>
                <w:szCs w:val="20"/>
                <w:color w:val="auto"/>
              </w:rPr>
            </w:pPr>
            <w:r>
              <w:rPr>
                <w:rFonts w:ascii="Arial" w:cs="Arial" w:eastAsia="Arial" w:hAnsi="Arial"/>
                <w:sz w:val="16"/>
                <w:szCs w:val="16"/>
                <w:color w:val="auto"/>
                <w:w w:val="98"/>
              </w:rPr>
              <w:t>(Translation of registrant’s name into English)</w:t>
            </w:r>
          </w:p>
        </w:tc>
      </w:tr>
      <w:tr>
        <w:trPr>
          <w:trHeight w:val="163"/>
        </w:trPr>
        <w:tc>
          <w:tcPr>
            <w:tcW w:w="1200" w:type="dxa"/>
            <w:vAlign w:val="bottom"/>
            <w:tcBorders>
              <w:bottom w:val="single" w:sz="8" w:color="auto"/>
            </w:tcBorders>
          </w:tcPr>
          <w:p>
            <w:pPr>
              <w:spacing w:after="0"/>
              <w:rPr>
                <w:sz w:val="14"/>
                <w:szCs w:val="14"/>
                <w:color w:val="auto"/>
              </w:rPr>
            </w:pPr>
          </w:p>
        </w:tc>
        <w:tc>
          <w:tcPr>
            <w:tcW w:w="10060" w:type="dxa"/>
            <w:vAlign w:val="bottom"/>
            <w:tcBorders>
              <w:bottom w:val="single" w:sz="8" w:color="auto"/>
            </w:tcBorders>
          </w:tcPr>
          <w:p>
            <w:pPr>
              <w:spacing w:after="0"/>
              <w:rPr>
                <w:sz w:val="14"/>
                <w:szCs w:val="14"/>
                <w:color w:val="auto"/>
              </w:rPr>
            </w:pPr>
          </w:p>
        </w:tc>
      </w:tr>
      <w:tr>
        <w:trPr>
          <w:trHeight w:val="161"/>
        </w:trPr>
        <w:tc>
          <w:tcPr>
            <w:tcW w:w="1200" w:type="dxa"/>
            <w:vAlign w:val="bottom"/>
          </w:tcPr>
          <w:p>
            <w:pPr>
              <w:spacing w:after="0"/>
              <w:rPr>
                <w:sz w:val="14"/>
                <w:szCs w:val="14"/>
                <w:color w:val="auto"/>
              </w:rPr>
            </w:pPr>
          </w:p>
        </w:tc>
        <w:tc>
          <w:tcPr>
            <w:tcW w:w="10060" w:type="dxa"/>
            <w:vAlign w:val="bottom"/>
          </w:tcPr>
          <w:p>
            <w:pPr>
              <w:jc w:val="center"/>
              <w:ind w:right="1125"/>
              <w:spacing w:after="0"/>
              <w:rPr>
                <w:sz w:val="20"/>
                <w:szCs w:val="20"/>
                <w:color w:val="auto"/>
              </w:rPr>
            </w:pPr>
            <w:r>
              <w:rPr>
                <w:rFonts w:ascii="Arial" w:cs="Arial" w:eastAsia="Arial" w:hAnsi="Arial"/>
                <w:sz w:val="13"/>
                <w:szCs w:val="13"/>
                <w:b w:val="1"/>
                <w:bCs w:val="1"/>
                <w:color w:val="auto"/>
                <w:w w:val="96"/>
              </w:rPr>
              <w:t>Emmy Noetherweg 2</w:t>
            </w:r>
          </w:p>
        </w:tc>
      </w:tr>
      <w:tr>
        <w:trPr>
          <w:trHeight w:val="172"/>
        </w:trPr>
        <w:tc>
          <w:tcPr>
            <w:tcW w:w="1200" w:type="dxa"/>
            <w:vAlign w:val="bottom"/>
          </w:tcPr>
          <w:p>
            <w:pPr>
              <w:spacing w:after="0"/>
              <w:rPr>
                <w:sz w:val="14"/>
                <w:szCs w:val="14"/>
                <w:color w:val="auto"/>
              </w:rPr>
            </w:pPr>
          </w:p>
        </w:tc>
        <w:tc>
          <w:tcPr>
            <w:tcW w:w="10060" w:type="dxa"/>
            <w:vAlign w:val="bottom"/>
          </w:tcPr>
          <w:p>
            <w:pPr>
              <w:jc w:val="center"/>
              <w:ind w:right="1105"/>
              <w:spacing w:after="0"/>
              <w:rPr>
                <w:sz w:val="20"/>
                <w:szCs w:val="20"/>
                <w:color w:val="auto"/>
              </w:rPr>
            </w:pPr>
            <w:r>
              <w:rPr>
                <w:rFonts w:ascii="Arial" w:cs="Arial" w:eastAsia="Arial" w:hAnsi="Arial"/>
                <w:sz w:val="13"/>
                <w:szCs w:val="13"/>
                <w:b w:val="1"/>
                <w:bCs w:val="1"/>
                <w:color w:val="auto"/>
                <w:w w:val="97"/>
              </w:rPr>
              <w:t>2333 BK Leiden</w:t>
            </w:r>
          </w:p>
        </w:tc>
      </w:tr>
      <w:tr>
        <w:trPr>
          <w:trHeight w:val="140"/>
        </w:trPr>
        <w:tc>
          <w:tcPr>
            <w:tcW w:w="1200" w:type="dxa"/>
            <w:vAlign w:val="bottom"/>
          </w:tcPr>
          <w:p>
            <w:pPr>
              <w:spacing w:after="0"/>
              <w:rPr>
                <w:sz w:val="12"/>
                <w:szCs w:val="12"/>
                <w:color w:val="auto"/>
              </w:rPr>
            </w:pPr>
          </w:p>
        </w:tc>
        <w:tc>
          <w:tcPr>
            <w:tcW w:w="10060" w:type="dxa"/>
            <w:vAlign w:val="bottom"/>
          </w:tcPr>
          <w:p>
            <w:pPr>
              <w:jc w:val="center"/>
              <w:ind w:right="1105"/>
              <w:spacing w:after="0" w:line="141" w:lineRule="exact"/>
              <w:rPr>
                <w:sz w:val="20"/>
                <w:szCs w:val="20"/>
                <w:color w:val="auto"/>
              </w:rPr>
            </w:pPr>
            <w:r>
              <w:rPr>
                <w:rFonts w:ascii="Arial" w:cs="Arial" w:eastAsia="Arial" w:hAnsi="Arial"/>
                <w:sz w:val="13"/>
                <w:szCs w:val="13"/>
                <w:b w:val="1"/>
                <w:bCs w:val="1"/>
                <w:color w:val="auto"/>
                <w:w w:val="96"/>
              </w:rPr>
              <w:t>The Netherlands</w:t>
            </w:r>
          </w:p>
        </w:tc>
      </w:tr>
      <w:tr>
        <w:trPr>
          <w:trHeight w:val="207"/>
        </w:trPr>
        <w:tc>
          <w:tcPr>
            <w:tcW w:w="1200" w:type="dxa"/>
            <w:vAlign w:val="bottom"/>
          </w:tcPr>
          <w:p>
            <w:pPr>
              <w:spacing w:after="0"/>
              <w:rPr>
                <w:sz w:val="17"/>
                <w:szCs w:val="17"/>
                <w:color w:val="auto"/>
              </w:rPr>
            </w:pPr>
          </w:p>
        </w:tc>
        <w:tc>
          <w:tcPr>
            <w:tcW w:w="10060" w:type="dxa"/>
            <w:vAlign w:val="bottom"/>
          </w:tcPr>
          <w:p>
            <w:pPr>
              <w:jc w:val="center"/>
              <w:ind w:right="1105"/>
              <w:spacing w:after="0"/>
              <w:rPr>
                <w:sz w:val="20"/>
                <w:szCs w:val="20"/>
                <w:color w:val="auto"/>
              </w:rPr>
            </w:pPr>
            <w:r>
              <w:rPr>
                <w:rFonts w:ascii="Arial" w:cs="Arial" w:eastAsia="Arial" w:hAnsi="Arial"/>
                <w:sz w:val="16"/>
                <w:szCs w:val="16"/>
                <w:color w:val="auto"/>
                <w:w w:val="98"/>
              </w:rPr>
              <w:t>(Address of principal executive office)</w:t>
            </w:r>
          </w:p>
        </w:tc>
      </w:tr>
      <w:tr>
        <w:trPr>
          <w:trHeight w:val="305"/>
        </w:trPr>
        <w:tc>
          <w:tcPr>
            <w:tcW w:w="11260" w:type="dxa"/>
            <w:vAlign w:val="bottom"/>
            <w:gridSpan w:val="2"/>
          </w:tcPr>
          <w:p>
            <w:pPr>
              <w:spacing w:after="0"/>
              <w:rPr>
                <w:sz w:val="20"/>
                <w:szCs w:val="20"/>
                <w:color w:val="auto"/>
              </w:rPr>
            </w:pPr>
            <w:r>
              <w:rPr>
                <w:rFonts w:ascii="Arial" w:cs="Arial" w:eastAsia="Arial" w:hAnsi="Arial"/>
                <w:sz w:val="16"/>
                <w:szCs w:val="16"/>
                <w:color w:val="auto"/>
              </w:rPr>
              <w:t>Indicate by check mark whether the registrant files or will file annual reports under cover of Form 20-F or Form 40-F.</w:t>
            </w:r>
          </w:p>
        </w:tc>
      </w:tr>
      <w:tr>
        <w:trPr>
          <w:trHeight w:val="264"/>
        </w:trPr>
        <w:tc>
          <w:tcPr>
            <w:tcW w:w="1200" w:type="dxa"/>
            <w:vAlign w:val="bottom"/>
          </w:tcPr>
          <w:p>
            <w:pPr>
              <w:spacing w:after="0" w:line="184" w:lineRule="exact"/>
              <w:rPr>
                <w:sz w:val="20"/>
                <w:szCs w:val="20"/>
                <w:color w:val="auto"/>
              </w:rPr>
            </w:pPr>
            <w:r>
              <w:rPr>
                <w:rFonts w:ascii="Arial" w:cs="Arial" w:eastAsia="Arial" w:hAnsi="Arial"/>
                <w:sz w:val="16"/>
                <w:szCs w:val="16"/>
                <w:color w:val="auto"/>
              </w:rPr>
              <w:t xml:space="preserve">Form 20-F </w:t>
            </w:r>
            <w:r>
              <w:rPr>
                <w:rFonts w:ascii="MS PGothic" w:cs="MS PGothic" w:eastAsia="MS PGothic" w:hAnsi="MS PGothic"/>
                <w:sz w:val="16"/>
                <w:szCs w:val="16"/>
                <w:color w:val="auto"/>
              </w:rPr>
              <w:t>☒</w:t>
            </w:r>
          </w:p>
        </w:tc>
        <w:tc>
          <w:tcPr>
            <w:tcW w:w="10060" w:type="dxa"/>
            <w:vAlign w:val="bottom"/>
          </w:tcPr>
          <w:p>
            <w:pPr>
              <w:ind w:left="280"/>
              <w:spacing w:after="0" w:line="184" w:lineRule="exact"/>
              <w:rPr>
                <w:sz w:val="20"/>
                <w:szCs w:val="20"/>
                <w:color w:val="auto"/>
              </w:rPr>
            </w:pPr>
            <w:r>
              <w:rPr>
                <w:rFonts w:ascii="Arial" w:cs="Arial" w:eastAsia="Arial" w:hAnsi="Arial"/>
                <w:sz w:val="16"/>
                <w:szCs w:val="16"/>
                <w:color w:val="auto"/>
              </w:rPr>
              <w:t xml:space="preserve">Form 40-F </w:t>
            </w:r>
            <w:r>
              <w:rPr>
                <w:rFonts w:ascii="MS PGothic" w:cs="MS PGothic" w:eastAsia="MS PGothic" w:hAnsi="MS PGothic"/>
                <w:sz w:val="16"/>
                <w:szCs w:val="16"/>
                <w:color w:val="auto"/>
              </w:rPr>
              <w:t>☐</w:t>
            </w:r>
          </w:p>
        </w:tc>
      </w:tr>
    </w:tbl>
    <w:p>
      <w:pPr>
        <w:spacing w:after="0" w:line="7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200025</wp:posOffset>
            </wp:positionH>
            <wp:positionV relativeFrom="page">
              <wp:posOffset>149225</wp:posOffset>
            </wp:positionV>
            <wp:extent cx="714946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9465" cy="7620"/>
                    </a:xfrm>
                    <a:prstGeom prst="rect">
                      <a:avLst/>
                    </a:prstGeom>
                    <a:noFill/>
                  </pic:spPr>
                </pic:pic>
              </a:graphicData>
            </a:graphic>
          </wp:anchor>
        </w:drawing>
        <w:drawing>
          <wp:anchor simplePos="0" relativeHeight="251657728" behindDoc="1" locked="0" layoutInCell="0" allowOverlap="1">
            <wp:simplePos x="0" y="0"/>
            <wp:positionH relativeFrom="page">
              <wp:posOffset>200025</wp:posOffset>
            </wp:positionH>
            <wp:positionV relativeFrom="page">
              <wp:posOffset>163830</wp:posOffset>
            </wp:positionV>
            <wp:extent cx="714946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9465" cy="7620"/>
                    </a:xfrm>
                    <a:prstGeom prst="rect">
                      <a:avLst/>
                    </a:prstGeom>
                    <a:noFill/>
                  </pic:spPr>
                </pic:pic>
              </a:graphicData>
            </a:graphic>
          </wp:anchor>
        </w:drawing>
      </w: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06" w:lineRule="exact"/>
        <w:rPr>
          <w:sz w:val="24"/>
          <w:szCs w:val="24"/>
          <w:color w:val="auto"/>
        </w:rPr>
      </w:pPr>
    </w:p>
    <w:p>
      <w:pPr>
        <w:ind w:right="480"/>
        <w:spacing w:after="0" w:line="260" w:lineRule="auto"/>
        <w:rPr>
          <w:sz w:val="20"/>
          <w:szCs w:val="20"/>
          <w:color w:val="auto"/>
        </w:rPr>
      </w:pPr>
      <w:r>
        <w:rPr>
          <w:rFonts w:ascii="Arial" w:cs="Arial" w:eastAsia="Arial" w:hAnsi="Arial"/>
          <w:sz w:val="16"/>
          <w:szCs w:val="16"/>
          <w:color w:val="auto"/>
        </w:rPr>
        <w:t>Note: Regulation S-T Rule 101(b)(1) only permits the submission in paper of a Form 6-K if submitted solely to provide an attached annual report to security holders.</w:t>
      </w:r>
    </w:p>
    <w:p>
      <w:pPr>
        <w:spacing w:after="0" w:line="9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6" w:lineRule="exact"/>
        <w:rPr>
          <w:sz w:val="24"/>
          <w:szCs w:val="24"/>
          <w:color w:val="auto"/>
        </w:rPr>
      </w:pPr>
    </w:p>
    <w:p>
      <w:pPr>
        <w:ind w:right="280"/>
        <w:spacing w:after="0" w:line="239" w:lineRule="auto"/>
        <w:rPr>
          <w:sz w:val="20"/>
          <w:szCs w:val="20"/>
          <w:color w:val="auto"/>
        </w:rPr>
      </w:pPr>
      <w:r>
        <w:rPr>
          <w:rFonts w:ascii="Arial" w:cs="Arial" w:eastAsia="Arial" w:hAnsi="Arial"/>
          <w:sz w:val="16"/>
          <w:szCs w:val="16"/>
          <w:color w:val="auto"/>
        </w:rPr>
        <w:t>Note: Regulation S-T Rule 101(b)(7) only permits the submission in paper of a Form 6-K if submitted to furnish a report or other document that the registrant foreign private issuer must furnish and make public under the laws of the jurisdiction in which the registrant is incorporated, domiciled or legally organized (the registrant’s “home country”), or under the rules of the home country exchange on which the registrant’s securities are traded, as long as the report or other document is not a press release, is not required to be and has not been distributed to the registrant’s security holders, and, if discussing a material event, has already been the subject of a Form 6-K submission or other Commission filing on EDGAR.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158115</wp:posOffset>
            </wp:positionV>
            <wp:extent cx="7174865" cy="406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422" w:right="319" w:bottom="1440" w:gutter="0" w:footer="0" w:header="0"/>
        </w:sectPr>
      </w:pPr>
    </w:p>
    <w:bookmarkStart w:id="1" w:name="page2"/>
    <w:bookmarkEnd w:id="1"/>
    <w:p>
      <w:pPr>
        <w:jc w:val="center"/>
        <w:spacing w:after="0"/>
        <w:rPr>
          <w:sz w:val="20"/>
          <w:szCs w:val="20"/>
          <w:color w:val="auto"/>
        </w:rPr>
      </w:pPr>
      <w:r>
        <w:rPr>
          <w:rFonts w:ascii="Arial" w:cs="Arial" w:eastAsia="Arial" w:hAnsi="Arial"/>
          <w:sz w:val="16"/>
          <w:szCs w:val="16"/>
          <w:b w:val="1"/>
          <w:bCs w:val="1"/>
          <w:color w:val="auto"/>
        </w:rPr>
        <w:t>PHARVARIS N.V.</w:t>
      </w:r>
    </w:p>
    <w:p>
      <w:pPr>
        <w:spacing w:after="0" w:line="172"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On January 22, 2024, Pharvaris N.V. (the “Company”) issued a press release. The press release is attached as Exhibit 99.1 hereto and is incorporated by reference herein. Also on January 22, 2024, the Company made available a corporate presentation on its website. A copy of the corporate presentation is attached hereto as Exhibit 99.2.</w:t>
      </w:r>
    </w:p>
    <w:p>
      <w:pPr>
        <w:spacing w:after="0" w:line="144" w:lineRule="exact"/>
        <w:rPr>
          <w:sz w:val="20"/>
          <w:szCs w:val="20"/>
          <w:color w:val="auto"/>
        </w:rPr>
      </w:pPr>
    </w:p>
    <w:p>
      <w:pPr>
        <w:ind w:right="100"/>
        <w:spacing w:after="0" w:line="241" w:lineRule="auto"/>
        <w:rPr>
          <w:sz w:val="20"/>
          <w:szCs w:val="20"/>
          <w:color w:val="auto"/>
        </w:rPr>
      </w:pPr>
      <w:r>
        <w:rPr>
          <w:rFonts w:ascii="Arial" w:cs="Arial" w:eastAsia="Arial" w:hAnsi="Arial"/>
          <w:sz w:val="16"/>
          <w:szCs w:val="16"/>
          <w:color w:val="auto"/>
        </w:rPr>
        <w:t>Exhibit 99.1 to this Report on Form 6-K shall be deemed to be incorporated by reference into the registration statements on Form F-3 (Registration Number 333-263198 and 333-273757) and Form S-8 (Registration Number 333-252897). Exhibit 99.2 to this Report on Form 6-K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SIGNATURES</w:t>
      </w:r>
    </w:p>
    <w:p>
      <w:pPr>
        <w:spacing w:after="0" w:line="173"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640" w:type="dxa"/>
            <w:vAlign w:val="bottom"/>
          </w:tcPr>
          <w:p>
            <w:pPr>
              <w:spacing w:after="0"/>
              <w:rPr>
                <w:sz w:val="18"/>
                <w:szCs w:val="18"/>
                <w:color w:val="auto"/>
              </w:rPr>
            </w:pPr>
          </w:p>
        </w:tc>
        <w:tc>
          <w:tcPr>
            <w:tcW w:w="7620" w:type="dxa"/>
            <w:vAlign w:val="bottom"/>
            <w:gridSpan w:val="2"/>
          </w:tcPr>
          <w:p>
            <w:pPr>
              <w:ind w:left="2000"/>
              <w:spacing w:after="0"/>
              <w:rPr>
                <w:sz w:val="20"/>
                <w:szCs w:val="20"/>
                <w:color w:val="auto"/>
              </w:rPr>
            </w:pPr>
            <w:r>
              <w:rPr>
                <w:rFonts w:ascii="Arial" w:cs="Arial" w:eastAsia="Arial" w:hAnsi="Arial"/>
                <w:sz w:val="16"/>
                <w:szCs w:val="16"/>
                <w:b w:val="1"/>
                <w:bCs w:val="1"/>
                <w:color w:val="auto"/>
              </w:rPr>
              <w:t>PHARVARIS N.V.</w:t>
            </w:r>
          </w:p>
        </w:tc>
      </w:tr>
      <w:tr>
        <w:trPr>
          <w:trHeight w:val="419"/>
        </w:trPr>
        <w:tc>
          <w:tcPr>
            <w:tcW w:w="3640" w:type="dxa"/>
            <w:vAlign w:val="bottom"/>
          </w:tcPr>
          <w:p>
            <w:pPr>
              <w:spacing w:after="0"/>
              <w:rPr>
                <w:sz w:val="20"/>
                <w:szCs w:val="20"/>
                <w:color w:val="auto"/>
              </w:rPr>
            </w:pPr>
            <w:r>
              <w:rPr>
                <w:rFonts w:ascii="Arial" w:cs="Arial" w:eastAsia="Arial" w:hAnsi="Arial"/>
                <w:sz w:val="16"/>
                <w:szCs w:val="16"/>
                <w:color w:val="auto"/>
              </w:rPr>
              <w:t>Date: January 22, 2024</w:t>
            </w:r>
          </w:p>
        </w:tc>
        <w:tc>
          <w:tcPr>
            <w:tcW w:w="2920" w:type="dxa"/>
            <w:vAlign w:val="bottom"/>
          </w:tcPr>
          <w:p>
            <w:pPr>
              <w:ind w:left="2000"/>
              <w:spacing w:after="0"/>
              <w:rPr>
                <w:sz w:val="20"/>
                <w:szCs w:val="20"/>
                <w:color w:val="auto"/>
              </w:rPr>
            </w:pPr>
            <w:r>
              <w:rPr>
                <w:rFonts w:ascii="Arial" w:cs="Arial" w:eastAsia="Arial" w:hAnsi="Arial"/>
                <w:sz w:val="16"/>
                <w:szCs w:val="16"/>
                <w:color w:val="auto"/>
              </w:rPr>
              <w:t>By:</w:t>
            </w:r>
          </w:p>
        </w:tc>
        <w:tc>
          <w:tcPr>
            <w:tcW w:w="47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Berndt Modig</w:t>
            </w:r>
          </w:p>
        </w:tc>
      </w:tr>
      <w:tr>
        <w:trPr>
          <w:trHeight w:val="207"/>
        </w:trPr>
        <w:tc>
          <w:tcPr>
            <w:tcW w:w="3640" w:type="dxa"/>
            <w:vAlign w:val="bottom"/>
          </w:tcPr>
          <w:p>
            <w:pPr>
              <w:spacing w:after="0"/>
              <w:rPr>
                <w:sz w:val="17"/>
                <w:szCs w:val="17"/>
                <w:color w:val="auto"/>
              </w:rPr>
            </w:pPr>
          </w:p>
        </w:tc>
        <w:tc>
          <w:tcPr>
            <w:tcW w:w="2920" w:type="dxa"/>
            <w:vAlign w:val="bottom"/>
          </w:tcPr>
          <w:p>
            <w:pPr>
              <w:ind w:left="2000"/>
              <w:spacing w:after="0"/>
              <w:rPr>
                <w:sz w:val="20"/>
                <w:szCs w:val="20"/>
                <w:color w:val="auto"/>
              </w:rPr>
            </w:pPr>
            <w:r>
              <w:rPr>
                <w:rFonts w:ascii="Arial" w:cs="Arial" w:eastAsia="Arial" w:hAnsi="Arial"/>
                <w:sz w:val="16"/>
                <w:szCs w:val="16"/>
                <w:color w:val="auto"/>
              </w:rPr>
              <w:t>Name:</w:t>
            </w:r>
          </w:p>
        </w:tc>
        <w:tc>
          <w:tcPr>
            <w:tcW w:w="4700" w:type="dxa"/>
            <w:vAlign w:val="bottom"/>
          </w:tcPr>
          <w:p>
            <w:pPr>
              <w:ind w:left="20"/>
              <w:spacing w:after="0"/>
              <w:rPr>
                <w:sz w:val="20"/>
                <w:szCs w:val="20"/>
                <w:color w:val="auto"/>
              </w:rPr>
            </w:pPr>
            <w:r>
              <w:rPr>
                <w:rFonts w:ascii="Arial" w:cs="Arial" w:eastAsia="Arial" w:hAnsi="Arial"/>
                <w:sz w:val="16"/>
                <w:szCs w:val="16"/>
                <w:color w:val="auto"/>
              </w:rPr>
              <w:t>Berndt Modig</w:t>
            </w:r>
          </w:p>
        </w:tc>
      </w:tr>
      <w:tr>
        <w:trPr>
          <w:trHeight w:val="210"/>
        </w:trPr>
        <w:tc>
          <w:tcPr>
            <w:tcW w:w="3640" w:type="dxa"/>
            <w:vAlign w:val="bottom"/>
          </w:tcPr>
          <w:p>
            <w:pPr>
              <w:spacing w:after="0"/>
              <w:rPr>
                <w:sz w:val="18"/>
                <w:szCs w:val="18"/>
                <w:color w:val="auto"/>
              </w:rPr>
            </w:pPr>
          </w:p>
        </w:tc>
        <w:tc>
          <w:tcPr>
            <w:tcW w:w="2920" w:type="dxa"/>
            <w:vAlign w:val="bottom"/>
          </w:tcPr>
          <w:p>
            <w:pPr>
              <w:ind w:left="2000"/>
              <w:spacing w:after="0"/>
              <w:rPr>
                <w:sz w:val="20"/>
                <w:szCs w:val="20"/>
                <w:color w:val="auto"/>
              </w:rPr>
            </w:pPr>
            <w:r>
              <w:rPr>
                <w:rFonts w:ascii="Arial" w:cs="Arial" w:eastAsia="Arial" w:hAnsi="Arial"/>
                <w:sz w:val="16"/>
                <w:szCs w:val="16"/>
                <w:color w:val="auto"/>
              </w:rPr>
              <w:t>Title:</w:t>
            </w:r>
          </w:p>
        </w:tc>
        <w:tc>
          <w:tcPr>
            <w:tcW w:w="4700" w:type="dxa"/>
            <w:vAlign w:val="bottom"/>
          </w:tcPr>
          <w:p>
            <w:pPr>
              <w:ind w:left="20"/>
              <w:spacing w:after="0"/>
              <w:rPr>
                <w:sz w:val="20"/>
                <w:szCs w:val="20"/>
                <w:color w:val="auto"/>
              </w:rPr>
            </w:pPr>
            <w:r>
              <w:rPr>
                <w:rFonts w:ascii="Arial" w:cs="Arial" w:eastAsia="Arial" w:hAnsi="Arial"/>
                <w:sz w:val="16"/>
                <w:szCs w:val="16"/>
                <w:color w:val="auto"/>
              </w:rPr>
              <w:t>Chief Executive Officer</w:t>
            </w:r>
          </w:p>
        </w:tc>
      </w:tr>
    </w:tbl>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80" w:type="dxa"/>
            <w:vAlign w:val="bottom"/>
          </w:tcPr>
          <w:p>
            <w:pPr>
              <w:ind w:left="840"/>
              <w:spacing w:after="0"/>
              <w:rPr>
                <w:sz w:val="20"/>
                <w:szCs w:val="20"/>
                <w:color w:val="auto"/>
              </w:rPr>
            </w:pPr>
            <w:r>
              <w:rPr>
                <w:rFonts w:ascii="Times New Roman" w:cs="Times New Roman" w:eastAsia="Times New Roman" w:hAnsi="Times New Roman"/>
                <w:sz w:val="16"/>
                <w:szCs w:val="16"/>
                <w:b w:val="1"/>
                <w:bCs w:val="1"/>
                <w:color w:val="auto"/>
              </w:rPr>
              <w:t>EXHIBIT INDEX</w:t>
            </w:r>
          </w:p>
        </w:tc>
      </w:tr>
      <w:tr>
        <w:trPr>
          <w:trHeight w:val="361"/>
        </w:trPr>
        <w:tc>
          <w:tcPr>
            <w:tcW w:w="1020" w:type="dxa"/>
            <w:vAlign w:val="bottom"/>
            <w:gridSpan w:val="2"/>
          </w:tcPr>
          <w:p>
            <w:pPr>
              <w:spacing w:after="0"/>
              <w:rPr>
                <w:sz w:val="20"/>
                <w:szCs w:val="20"/>
                <w:color w:val="auto"/>
              </w:rPr>
            </w:pPr>
            <w:r>
              <w:rPr>
                <w:rFonts w:ascii="Arial" w:cs="Arial" w:eastAsia="Arial" w:hAnsi="Arial"/>
                <w:sz w:val="16"/>
                <w:szCs w:val="16"/>
                <w:b w:val="1"/>
                <w:bCs w:val="1"/>
                <w:color w:val="auto"/>
              </w:rPr>
              <w:t>Exhibit</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80" w:type="dxa"/>
            <w:vAlign w:val="bottom"/>
          </w:tcPr>
          <w:p>
            <w:pPr>
              <w:spacing w:after="0"/>
              <w:rPr>
                <w:sz w:val="24"/>
                <w:szCs w:val="24"/>
                <w:color w:val="auto"/>
              </w:rPr>
            </w:pPr>
          </w:p>
        </w:tc>
      </w:tr>
      <w:tr>
        <w:trPr>
          <w:trHeight w:val="210"/>
        </w:trPr>
        <w:tc>
          <w:tcPr>
            <w:tcW w:w="102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No.</w:t>
            </w:r>
          </w:p>
        </w:tc>
        <w:tc>
          <w:tcPr>
            <w:tcW w:w="1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120" w:type="dxa"/>
            <w:vAlign w:val="bottom"/>
            <w:tcBorders>
              <w:bottom w:val="single" w:sz="8" w:color="auto"/>
            </w:tcBorders>
            <w:gridSpan w:val="3"/>
          </w:tcPr>
          <w:p>
            <w:pPr>
              <w:spacing w:after="0"/>
              <w:rPr>
                <w:sz w:val="20"/>
                <w:szCs w:val="20"/>
                <w:color w:val="auto"/>
              </w:rPr>
            </w:pPr>
            <w:r>
              <w:rPr>
                <w:rFonts w:ascii="Arial" w:cs="Arial" w:eastAsia="Arial" w:hAnsi="Arial"/>
                <w:sz w:val="16"/>
                <w:szCs w:val="16"/>
                <w:b w:val="1"/>
                <w:bCs w:val="1"/>
                <w:color w:val="auto"/>
              </w:rPr>
              <w:t>Description</w:t>
            </w:r>
          </w:p>
        </w:tc>
      </w:tr>
      <w:tr>
        <w:trPr>
          <w:trHeight w:val="157"/>
        </w:trPr>
        <w:tc>
          <w:tcPr>
            <w:tcW w:w="280" w:type="dxa"/>
            <w:vAlign w:val="bottom"/>
            <w:tcBorders>
              <w:bottom w:val="single" w:sz="8" w:color="0000FF"/>
            </w:tcBorders>
          </w:tcPr>
          <w:p>
            <w:pPr>
              <w:spacing w:after="0" w:line="134" w:lineRule="exact"/>
              <w:rPr>
                <w:sz w:val="20"/>
                <w:szCs w:val="20"/>
                <w:color w:val="auto"/>
              </w:rPr>
            </w:pPr>
            <w:r>
              <w:rPr>
                <w:rFonts w:ascii="Arial" w:cs="Arial" w:eastAsia="Arial" w:hAnsi="Arial"/>
                <w:sz w:val="14"/>
                <w:szCs w:val="14"/>
                <w:color w:val="0000FF"/>
                <w:w w:val="95"/>
              </w:rPr>
              <w:t>99.</w:t>
            </w:r>
            <w:r>
              <w:rPr>
                <w:rFonts w:ascii="Arial" w:cs="Arial" w:eastAsia="Arial" w:hAnsi="Arial"/>
                <w:sz w:val="14"/>
                <w:szCs w:val="14"/>
                <w:u w:val="single" w:color="auto"/>
                <w:color w:val="0000FF"/>
                <w:w w:val="95"/>
              </w:rPr>
              <w:t>1</w:t>
            </w: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0" w:type="dxa"/>
            <w:vAlign w:val="bottom"/>
            <w:tcBorders>
              <w:bottom w:val="single" w:sz="8" w:color="0000FF"/>
            </w:tcBorders>
          </w:tcPr>
          <w:p>
            <w:pPr>
              <w:spacing w:after="0" w:line="134" w:lineRule="exact"/>
              <w:rPr>
                <w:sz w:val="20"/>
                <w:szCs w:val="20"/>
                <w:color w:val="auto"/>
              </w:rPr>
            </w:pPr>
            <w:r>
              <w:rPr>
                <w:rFonts w:ascii="Times New Roman" w:cs="Times New Roman" w:eastAsia="Times New Roman" w:hAnsi="Times New Roman"/>
                <w:sz w:val="15"/>
                <w:szCs w:val="15"/>
                <w:color w:val="0000FF"/>
              </w:rPr>
              <w:t>Press release, dated January 22, 2024.</w:t>
            </w:r>
          </w:p>
        </w:tc>
        <w:tc>
          <w:tcPr>
            <w:tcW w:w="7720" w:type="dxa"/>
            <w:vAlign w:val="bottom"/>
            <w:gridSpan w:val="2"/>
          </w:tcPr>
          <w:p>
            <w:pPr>
              <w:spacing w:after="0"/>
              <w:rPr>
                <w:sz w:val="13"/>
                <w:szCs w:val="13"/>
                <w:color w:val="auto"/>
              </w:rPr>
            </w:pPr>
          </w:p>
        </w:tc>
      </w:tr>
      <w:tr>
        <w:trPr>
          <w:trHeight w:val="193"/>
        </w:trPr>
        <w:tc>
          <w:tcPr>
            <w:tcW w:w="280" w:type="dxa"/>
            <w:vAlign w:val="bottom"/>
          </w:tcPr>
          <w:p>
            <w:pPr>
              <w:spacing w:after="0"/>
              <w:rPr>
                <w:sz w:val="20"/>
                <w:szCs w:val="20"/>
                <w:color w:val="auto"/>
              </w:rPr>
            </w:pPr>
            <w:r>
              <w:rPr>
                <w:rFonts w:ascii="Arial" w:cs="Arial" w:eastAsia="Arial" w:hAnsi="Arial"/>
                <w:sz w:val="14"/>
                <w:szCs w:val="14"/>
                <w:color w:val="0000FF"/>
                <w:w w:val="95"/>
              </w:rPr>
              <w:t>99.</w:t>
            </w:r>
            <w:r>
              <w:rPr>
                <w:rFonts w:ascii="Arial" w:cs="Arial" w:eastAsia="Arial" w:hAnsi="Arial"/>
                <w:sz w:val="14"/>
                <w:szCs w:val="14"/>
                <w:u w:val="single" w:color="auto"/>
                <w:color w:val="0000FF"/>
                <w:w w:val="95"/>
              </w:rPr>
              <w:t>2</w:t>
            </w: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120" w:type="dxa"/>
            <w:vAlign w:val="bottom"/>
            <w:gridSpan w:val="3"/>
          </w:tcPr>
          <w:p>
            <w:pPr>
              <w:spacing w:after="0" w:line="169" w:lineRule="exact"/>
              <w:rPr>
                <w:sz w:val="20"/>
                <w:szCs w:val="20"/>
                <w:color w:val="auto"/>
              </w:rPr>
            </w:pPr>
            <w:r>
              <w:rPr>
                <w:rFonts w:ascii="Times New Roman" w:cs="Times New Roman" w:eastAsia="Times New Roman" w:hAnsi="Times New Roman"/>
                <w:sz w:val="16"/>
                <w:szCs w:val="16"/>
                <w:color w:val="0000FF"/>
              </w:rPr>
              <w:t>Corporate Presentation, dated January 22, 2024.</w:t>
            </w:r>
          </w:p>
        </w:tc>
      </w:tr>
      <w:tr>
        <w:trPr>
          <w:trHeight w:val="323"/>
        </w:trPr>
        <w:tc>
          <w:tcPr>
            <w:tcW w:w="280" w:type="dxa"/>
            <w:vAlign w:val="bottom"/>
            <w:tcBorders>
              <w:top w:val="single" w:sz="8" w:color="0000FF"/>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00" w:type="dxa"/>
            <w:vAlign w:val="bottom"/>
            <w:tcBorders>
              <w:top w:val="single" w:sz="8" w:color="0000FF"/>
              <w:bottom w:val="single" w:sz="8" w:color="9A9A9A"/>
            </w:tcBorders>
          </w:tcPr>
          <w:p>
            <w:pPr>
              <w:spacing w:after="0"/>
              <w:rPr>
                <w:sz w:val="24"/>
                <w:szCs w:val="24"/>
                <w:color w:val="auto"/>
              </w:rPr>
            </w:pPr>
          </w:p>
        </w:tc>
        <w:tc>
          <w:tcPr>
            <w:tcW w:w="640" w:type="dxa"/>
            <w:vAlign w:val="bottom"/>
            <w:tcBorders>
              <w:top w:val="single" w:sz="8" w:color="0000FF"/>
              <w:bottom w:val="single" w:sz="8" w:color="9A9A9A"/>
            </w:tcBorders>
          </w:tcPr>
          <w:p>
            <w:pPr>
              <w:spacing w:after="0"/>
              <w:rPr>
                <w:sz w:val="24"/>
                <w:szCs w:val="24"/>
                <w:color w:val="auto"/>
              </w:rPr>
            </w:pPr>
          </w:p>
        </w:tc>
        <w:tc>
          <w:tcPr>
            <w:tcW w:w="70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sectPr>
      </w:pPr>
    </w:p>
    <w:bookmarkStart w:id="2" w:name="page3"/>
    <w:bookmarkEnd w:id="2"/>
    <w:p>
      <w:pPr>
        <w:ind w:left="103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5486400</wp:posOffset>
            </wp:positionH>
            <wp:positionV relativeFrom="page">
              <wp:posOffset>88900</wp:posOffset>
            </wp:positionV>
            <wp:extent cx="1839595" cy="2705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1839595" cy="270510"/>
                    </a:xfrm>
                    <a:prstGeom prst="rect">
                      <a:avLst/>
                    </a:prstGeom>
                    <a:noFill/>
                  </pic:spPr>
                </pic:pic>
              </a:graphicData>
            </a:graphic>
          </wp:anchor>
        </w:drawing>
        <w:t>Exhibit 99.1</w:t>
      </w:r>
    </w:p>
    <w:p>
      <w:pPr>
        <w:spacing w:after="0" w:line="33" w:lineRule="exact"/>
        <w:rPr>
          <w:sz w:val="20"/>
          <w:szCs w:val="20"/>
          <w:color w:val="auto"/>
        </w:rPr>
      </w:pPr>
    </w:p>
    <w:p>
      <w:pPr>
        <w:jc w:val="center"/>
        <w:ind w:right="20"/>
        <w:spacing w:after="0" w:line="255" w:lineRule="auto"/>
        <w:rPr>
          <w:sz w:val="20"/>
          <w:szCs w:val="20"/>
          <w:color w:val="auto"/>
        </w:rPr>
      </w:pPr>
      <w:r>
        <w:rPr>
          <w:rFonts w:ascii="Times New Roman" w:cs="Times New Roman" w:eastAsia="Times New Roman" w:hAnsi="Times New Roman"/>
          <w:sz w:val="22"/>
          <w:szCs w:val="22"/>
          <w:b w:val="1"/>
          <w:bCs w:val="1"/>
          <w:color w:val="auto"/>
        </w:rPr>
        <w:t>Pharvaris Announces FDA Lifting of the Clinical Hold of Deucrictibant for the Prophylactic Treatment of HAE Attacks</w:t>
      </w:r>
    </w:p>
    <w:p>
      <w:pPr>
        <w:spacing w:after="0" w:line="157"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7"/>
          <w:szCs w:val="17"/>
          <w:b w:val="1"/>
          <w:bCs w:val="1"/>
          <w:color w:val="auto"/>
        </w:rPr>
        <w:t xml:space="preserve">Zug, Switzerland, January 22, 2024 </w:t>
      </w:r>
      <w:r>
        <w:rPr>
          <w:rFonts w:ascii="Times New Roman" w:cs="Times New Roman" w:eastAsia="Times New Roman" w:hAnsi="Times New Roman"/>
          <w:sz w:val="17"/>
          <w:szCs w:val="17"/>
          <w:color w:val="auto"/>
        </w:rPr>
        <w:t>– Pharvaris (Nasdaq: PHVS), a clinical-stage company developing novel, oral bradykinin B2 receptor antagonists to treat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and prevent hereditary angioedema (HAE) attacks, today announced the U.S. Food and Drug Administration (FDA) has lifted the clinical hold on the Investigational New Drug (IND) application for deucrictibant for the prophylactic treatment of HAE attacks following review of data from a 26-week rodent toxicology study.</w:t>
      </w:r>
    </w:p>
    <w:p>
      <w:pPr>
        <w:spacing w:after="0" w:line="16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7"/>
          <w:szCs w:val="17"/>
          <w:color w:val="auto"/>
        </w:rPr>
        <w:t>“The lift of the clinical hold in the U.S. enables us to progress the global development of deucrictibant for long-term prophylaxis, including resuming the open-label portion of CHAPTER-1, our Phase 2 proof-of-concept study of deucrictibant for the prevention of HAE attacks, in the U.S.,” said Berndt Modig, Chief Executive Officer of Pharvaris. “We are pleased to have worked collaboratively with the FDA to address the requests of the agency with the submission of additional nonclinical data, and we appreciate the agency’s comments and recommendations regarding study conduct. We will request an End-of-Phase 2 meeting with the FDA to align on key elements of CHAPTER-3, the anticipated global Phase 3 study of deucrictibant extended-release tablets (PHVS719) for the prophylactic treatment of HAE attacks.”</w:t>
      </w:r>
    </w:p>
    <w:p>
      <w:pPr>
        <w:spacing w:after="0" w:line="166" w:lineRule="exact"/>
        <w:rPr>
          <w:sz w:val="20"/>
          <w:szCs w:val="20"/>
          <w:color w:val="auto"/>
        </w:rPr>
      </w:pPr>
    </w:p>
    <w:p>
      <w:pPr>
        <w:ind w:right="280"/>
        <w:spacing w:after="0" w:line="256" w:lineRule="auto"/>
        <w:rPr>
          <w:sz w:val="20"/>
          <w:szCs w:val="20"/>
          <w:color w:val="auto"/>
        </w:rPr>
      </w:pPr>
      <w:r>
        <w:rPr>
          <w:rFonts w:ascii="Times New Roman" w:cs="Times New Roman" w:eastAsia="Times New Roman" w:hAnsi="Times New Roman"/>
          <w:sz w:val="17"/>
          <w:szCs w:val="17"/>
          <w:color w:val="auto"/>
        </w:rPr>
        <w:t>In August 2022, the FDA placed clinical studies of deucrictibant, including CHAPTER-1, on hold. Pharvaris notified ex-U.S. country-specific regulatory authorities of the clinical hold in the U.S., and the regulatory status of deucrictibant outside the U.S. was not affected. In June 2023, Pharvaris announced the FDA’s removal of the clinical hold of deucrictibant for the on-demand treatment of HAE in the U.S. following FDA review of data from a preplanned interim analysis of a 26-week rodent toxicology study. In December 2023, Pharvaris announced positive top-line clinical data from the Phase 2 CHAPTER-1 study of deucrictibant for the prophylactic treatment of HAE attacks.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About Deucrictibant</w:t>
      </w:r>
    </w:p>
    <w:p>
      <w:pPr>
        <w:spacing w:after="0" w:line="138"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7"/>
          <w:szCs w:val="17"/>
          <w:color w:val="auto"/>
        </w:rPr>
        <w:t>Deucrictibant is a potent, selective, and orally available antagonist of the bradykinin B2 receptor. By inhibiting bradykinin signaling through the bradykinin B2 receptor, deucrictibant has the potential to treat the clinical signs of an HAE attack and to prevent the occurrence of attacks. Based on its chemical properties, Pharvaris is developing two formulations of deucrictibant for oral administration; a capsule to enable rapid onset of activity for acute treatment, and an extended-release tablet to enable sustained absorption and efficacy in prophylactic treatment.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463550</wp:posOffset>
            </wp:positionV>
            <wp:extent cx="7174865" cy="406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20"/>
          </w:cols>
          <w:pgMar w:left="320" w:top="590"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7"/>
          <w:szCs w:val="17"/>
          <w:b w:val="1"/>
          <w:bCs w:val="1"/>
          <w:color w:val="auto"/>
        </w:rPr>
        <w:t>About Pharvaris</w:t>
      </w:r>
    </w:p>
    <w:p>
      <w:pPr>
        <w:spacing w:after="0" w:line="28" w:lineRule="exact"/>
        <w:rPr>
          <w:sz w:val="20"/>
          <w:szCs w:val="20"/>
          <w:color w:val="auto"/>
        </w:rPr>
      </w:pPr>
    </w:p>
    <w:p>
      <w:pPr>
        <w:jc w:val="both"/>
        <w:ind w:right="180"/>
        <w:spacing w:after="0" w:line="251" w:lineRule="auto"/>
        <w:rPr>
          <w:sz w:val="20"/>
          <w:szCs w:val="20"/>
          <w:color w:val="auto"/>
        </w:rPr>
      </w:pPr>
      <w:r>
        <w:rPr>
          <w:rFonts w:ascii="Times New Roman" w:cs="Times New Roman" w:eastAsia="Times New Roman" w:hAnsi="Times New Roman"/>
          <w:sz w:val="17"/>
          <w:szCs w:val="17"/>
          <w:color w:val="auto"/>
        </w:rPr>
        <w:t>Building on its deep-seated roots in HAE, Pharvaris is a clinical-stage company developing novel, oral bradykinin B2 receptor antagonists to treat and prevent HAE attacks. By directly pursuing this clinically proven therapeutic target with novel small molecules, the Pharvaris team aspires to offer people with all sub-types of HAE efficacious, safe, and easy-to-administer alternatives to treat attacks, both on-demand and prophylactically. The company brings together the best talent in the industry with deep expertise in rare diseases and HAE. For more information, visit https://pharvaris.com/.</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Forward-Looking Statements</w:t>
      </w:r>
    </w:p>
    <w:p>
      <w:pPr>
        <w:spacing w:after="0" w:line="28"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7"/>
          <w:szCs w:val="17"/>
          <w:color w:val="auto"/>
        </w:rPr>
        <w:t>This press release contains certain forward-looking statements that involve substantial risks and uncertainties. All statements contained in this press release that do not relate to matters of historical fact should be considered forward-looking statements, including, without limitation, statements relating to our future plans, studies and trials, and any statements containing the words “believe,” “anticipate,” “expect,” “estimate,” “may,” “could,” “should,” “would,” “will,” “intend” and similar expressions. These forward-looking statements are based on management’s current expectations, are neither promises nor guarantees, and involve known and unknown risks, uncertainties and other important factors that may cause Pharvaris’ actual results, performance or achievements to be materially different from its expectations expressed or implied by the forward-looking statements. Such risks include but are not limited to the following: uncertainty in the outcome of our interactions with regulatory authorities, including the FDA; the expected timing, progress, or success of our clinical development programs, especially for deucrictibant immediate-release capsules (PHVS416) and deucrictibant extended-release tablets (PHVS719), which are in mid-stage global clinical trials; risks arising from epidemic diseases, such as the COVID-19 pandemic, which may adversely impact our business, nonclinical studies, and clinical trials; the outcome and timing of regulatory approvals; the value of our ordinary shares; the timing, costs and other limitations involved in obtaining regulatory approval for our product candidates, or any other product candidate that we may develop in the future; our ability to establish commercial capabilities or enter into agreements with third parties to market, sell, and distribute our product candidates; our ability to compete in the pharmaceutical industry, including with respect to existing therapies, emerging potentially competitive therapies and with competitive generic products; our ability to market, commercialize and achieve market acceptance for our product candidates; our ability to raise capital when needed and on acceptable terms; regulatory developments in the United States, the European Union and other jurisdictions; our ability to protect our intellectual property and know-how and operate our business without infringing the intellectual property rights or regulatory exclusivity of others; our ability to manage negative consequences from changes in applicable laws and regulations, including tax laws, our ability to successfully remediate the material weaknesses in our internal control over financial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474345</wp:posOffset>
            </wp:positionV>
            <wp:extent cx="7174865" cy="406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531" w:right="339" w:bottom="1440" w:gutter="0" w:footer="0" w:header="0"/>
        </w:sectPr>
      </w:pPr>
    </w:p>
    <w:bookmarkStart w:id="4" w:name="page5"/>
    <w:bookmarkEnd w:id="4"/>
    <w:p>
      <w:pPr>
        <w:spacing w:after="0" w:line="251" w:lineRule="auto"/>
        <w:rPr>
          <w:sz w:val="20"/>
          <w:szCs w:val="20"/>
          <w:color w:val="auto"/>
        </w:rPr>
      </w:pPr>
      <w:r>
        <w:rPr>
          <w:rFonts w:ascii="Times New Roman" w:cs="Times New Roman" w:eastAsia="Times New Roman" w:hAnsi="Times New Roman"/>
          <w:sz w:val="17"/>
          <w:szCs w:val="17"/>
          <w:color w:val="auto"/>
        </w:rPr>
        <w:t>reporting and to maintain an effective system of internal control over financial reporting; changes and uncertainty in general market, political and economic conditions, including as a result of inflation and the current conflict between Russia and Ukraine and the Hamas attack against Israel and the ensuing war; and the other factors described under the headings “Cautionary Statement Regarding Forward-Looking Statements” and “Item 3. Key Information—D. Risk Factors” in our Annual Report on Form 20-F and other periodic filings with the U.S. Securities and Exchange Commission. These and other important factors could cause actual results to differ materially from those indicated by the forward-looking statements made in this press release. Any such forward-looking statements represent management’s estimates as of the date of this press release. New risks and uncertainties may emerge from time to time, and it is not possible to predict all risks and uncertainties. While Pharvaris may elect to update such forward-looking statements at some point in the future, Pharvaris disclaims any obligation to do so, even if subsequent events cause its views to change. These forward-looking statements should not be relied upon as representing Pharvaris’ views as of any date subsequent to the date of this press release.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Contact</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Maggie Beller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Executive Director, Head of External and Internal Communications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563C1"/>
        </w:rPr>
        <w:t>maggie.beller@pharvaris.com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479425</wp:posOffset>
            </wp:positionV>
            <wp:extent cx="7174865" cy="406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3307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45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6775" cy="43459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0551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clrChange>
                        <a:clrFrom>
                          <a:srgbClr val="FFFFFF"/>
                        </a:clrFrom>
                        <a:clrTo>
                          <a:srgbClr val="FFFFFF">
                            <a:alpha val="0"/>
                          </a:srgbClr>
                        </a:clrTo>
                      </a:clrChange>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2024-01-22T05:55:55Z</dcterms:created>
  <dcterms:modified xsi:type="dcterms:W3CDTF">2024-01-22T05:55:55Z</dcterms:modified>
</cp:coreProperties>
</file>