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23, 2025</w:t>
      </w:r>
    </w:p>
    <w:p>
      <w:pPr>
        <w:spacing w:after="0" w:line="2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Registration No. 333-277705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50165</wp:posOffset>
            </wp:positionV>
            <wp:extent cx="54076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660" cy="63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83185</wp:posOffset>
            </wp:positionV>
            <wp:extent cx="54076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7660" cy="635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109220</wp:posOffset>
            </wp:positionV>
            <wp:extent cx="11334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POST-EFFECTIVE AMENDMENT NO. 1</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109220</wp:posOffset>
            </wp:positionV>
            <wp:extent cx="11334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PHARVARIS N.V.</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122555</wp:posOffset>
            </wp:positionV>
            <wp:extent cx="11334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85" w:lineRule="exact"/>
        <w:rPr>
          <w:sz w:val="24"/>
          <w:szCs w:val="24"/>
          <w:color w:val="auto"/>
        </w:rPr>
      </w:pPr>
    </w:p>
    <w:tbl>
      <w:tblPr>
        <w:tblLayout w:type="fixed"/>
        <w:tblInd w:w="1660" w:type="dxa"/>
        <w:tblCellMar>
          <w:top w:w="0" w:type="dxa"/>
          <w:left w:w="0" w:type="dxa"/>
          <w:bottom w:w="0" w:type="dxa"/>
          <w:right w:w="0" w:type="dxa"/>
        </w:tblCellMar>
      </w:tblPr>
      <w:tr>
        <w:trPr>
          <w:trHeight w:val="150"/>
        </w:trPr>
        <w:tc>
          <w:tcPr>
            <w:tcW w:w="2960" w:type="dxa"/>
            <w:vAlign w:val="bottom"/>
          </w:tcPr>
          <w:p>
            <w:pPr>
              <w:jc w:val="center"/>
              <w:ind w:right="1462"/>
              <w:spacing w:after="0"/>
              <w:rPr>
                <w:sz w:val="20"/>
                <w:szCs w:val="20"/>
                <w:color w:val="auto"/>
              </w:rPr>
            </w:pPr>
            <w:r>
              <w:rPr>
                <w:rFonts w:ascii="Times New Roman" w:cs="Times New Roman" w:eastAsia="Times New Roman" w:hAnsi="Times New Roman"/>
                <w:sz w:val="13"/>
                <w:szCs w:val="13"/>
                <w:b w:val="1"/>
                <w:bCs w:val="1"/>
                <w:color w:val="auto"/>
                <w:w w:val="94"/>
              </w:rPr>
              <w:t>Netherlands</w:t>
            </w:r>
          </w:p>
        </w:tc>
        <w:tc>
          <w:tcPr>
            <w:tcW w:w="2620" w:type="dxa"/>
            <w:vAlign w:val="bottom"/>
          </w:tcPr>
          <w:p>
            <w:pPr>
              <w:jc w:val="center"/>
              <w:ind w:left="1442"/>
              <w:spacing w:after="0"/>
              <w:rPr>
                <w:sz w:val="20"/>
                <w:szCs w:val="20"/>
                <w:color w:val="auto"/>
              </w:rPr>
            </w:pPr>
            <w:r>
              <w:rPr>
                <w:rFonts w:ascii="Times New Roman" w:cs="Times New Roman" w:eastAsia="Times New Roman" w:hAnsi="Times New Roman"/>
                <w:sz w:val="13"/>
                <w:szCs w:val="13"/>
                <w:b w:val="1"/>
                <w:bCs w:val="1"/>
                <w:color w:val="auto"/>
                <w:w w:val="95"/>
              </w:rPr>
              <w:t>Not Applicable</w:t>
            </w:r>
          </w:p>
        </w:tc>
      </w:tr>
      <w:tr>
        <w:trPr>
          <w:trHeight w:val="115"/>
        </w:trPr>
        <w:tc>
          <w:tcPr>
            <w:tcW w:w="2960" w:type="dxa"/>
            <w:vAlign w:val="bottom"/>
          </w:tcPr>
          <w:p>
            <w:pPr>
              <w:jc w:val="center"/>
              <w:ind w:right="1462"/>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20" w:type="dxa"/>
            <w:vAlign w:val="bottom"/>
          </w:tcPr>
          <w:p>
            <w:pPr>
              <w:jc w:val="center"/>
              <w:ind w:left="1442"/>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7"/>
        </w:trPr>
        <w:tc>
          <w:tcPr>
            <w:tcW w:w="2960" w:type="dxa"/>
            <w:vAlign w:val="bottom"/>
          </w:tcPr>
          <w:p>
            <w:pPr>
              <w:jc w:val="center"/>
              <w:ind w:right="146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20" w:type="dxa"/>
            <w:vAlign w:val="bottom"/>
          </w:tcPr>
          <w:p>
            <w:pPr>
              <w:jc w:val="center"/>
              <w:ind w:left="144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Emmy Noetherweg 2,</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2333 BK Leiden, The Netherlands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+31 (0)71 203 6410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114935</wp:posOffset>
            </wp:positionV>
            <wp:extent cx="11334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Berndt Modig</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Pharvaris N.V.</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Emmy Noetherweg 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2333 BK Leiden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Netherlands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+31 (0)71 203 6410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108585</wp:posOffset>
            </wp:positionV>
            <wp:extent cx="11334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Sophia Hudson, P.C.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Jennifer L. Lee, P.C.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Kirkland &amp; Ellis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601 Lexington Avenue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New York, NY 10022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119380</wp:posOffset>
            </wp:positionV>
            <wp:extent cx="11334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4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 From time to time after this registration statement becomes effective.</w:t>
      </w:r>
    </w:p>
    <w:p>
      <w:pPr>
        <w:spacing w:after="0" w:line="64" w:lineRule="exact"/>
        <w:rPr>
          <w:sz w:val="24"/>
          <w:szCs w:val="24"/>
          <w:color w:val="auto"/>
        </w:rPr>
      </w:pPr>
    </w:p>
    <w:p>
      <w:pPr>
        <w:ind w:left="240"/>
        <w:spacing w:after="0" w:line="150" w:lineRule="exact"/>
        <w:rPr>
          <w:sz w:val="20"/>
          <w:szCs w:val="20"/>
          <w:color w:val="auto"/>
        </w:rPr>
      </w:pPr>
      <w:r>
        <w:rPr>
          <w:rFonts w:ascii="Times New Roman" w:cs="Times New Roman" w:eastAsia="Times New Roman" w:hAnsi="Times New Roman"/>
          <w:sz w:val="13"/>
          <w:szCs w:val="13"/>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19" w:lineRule="exact"/>
        <w:rPr>
          <w:sz w:val="24"/>
          <w:szCs w:val="24"/>
          <w:color w:val="auto"/>
        </w:rPr>
      </w:pPr>
    </w:p>
    <w:p>
      <w:pPr>
        <w:ind w:left="240" w:right="359"/>
        <w:spacing w:after="0" w:line="16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left="240" w:right="27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9" w:lineRule="exact"/>
        <w:rPr>
          <w:sz w:val="24"/>
          <w:szCs w:val="24"/>
          <w:color w:val="auto"/>
        </w:rPr>
      </w:pPr>
    </w:p>
    <w:p>
      <w:pPr>
        <w:ind w:left="240" w:right="71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9" w:lineRule="exact"/>
        <w:rPr>
          <w:sz w:val="24"/>
          <w:szCs w:val="24"/>
          <w:color w:val="auto"/>
        </w:rPr>
      </w:pPr>
    </w:p>
    <w:p>
      <w:pPr>
        <w:ind w:left="240" w:right="71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left="240" w:right="35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30" w:lineRule="exact"/>
        <w:rPr>
          <w:sz w:val="24"/>
          <w:szCs w:val="24"/>
          <w:color w:val="auto"/>
        </w:rPr>
      </w:pPr>
    </w:p>
    <w:p>
      <w:pPr>
        <w:ind w:left="24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1"/>
          <w:szCs w:val="11"/>
          <w:color w:val="auto"/>
        </w:rPr>
        <w:t>☐</w:t>
      </w:r>
    </w:p>
    <w:p>
      <w:pPr>
        <w:spacing w:after="0" w:line="142" w:lineRule="exact"/>
        <w:rPr>
          <w:sz w:val="24"/>
          <w:szCs w:val="24"/>
          <w:color w:val="auto"/>
        </w:rPr>
      </w:pPr>
    </w:p>
    <w:p>
      <w:pPr>
        <w:ind w:left="240" w:right="399"/>
        <w:spacing w:after="0" w:line="169"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59" w:lineRule="exact"/>
        <w:rPr>
          <w:sz w:val="24"/>
          <w:szCs w:val="24"/>
          <w:color w:val="auto"/>
        </w:rPr>
      </w:pPr>
    </w:p>
    <w:p>
      <w:pPr>
        <w:ind w:left="240" w:right="739" w:firstLine="6"/>
        <w:spacing w:after="0" w:line="273" w:lineRule="auto"/>
        <w:tabs>
          <w:tab w:leader="none" w:pos="334"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62865</wp:posOffset>
            </wp:positionV>
            <wp:extent cx="540766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660" cy="63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95885</wp:posOffset>
            </wp:positionV>
            <wp:extent cx="540766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660" cy="635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Explanatory Note</w:t>
      </w:r>
    </w:p>
    <w:p>
      <w:pPr>
        <w:spacing w:after="0" w:line="175" w:lineRule="exact"/>
        <w:rPr>
          <w:sz w:val="20"/>
          <w:szCs w:val="20"/>
          <w:color w:val="auto"/>
        </w:rPr>
      </w:pPr>
    </w:p>
    <w:p>
      <w:pPr>
        <w:ind w:left="240" w:right="359" w:firstLine="340"/>
        <w:spacing w:after="0" w:line="253" w:lineRule="auto"/>
        <w:rPr>
          <w:sz w:val="20"/>
          <w:szCs w:val="20"/>
          <w:color w:val="auto"/>
        </w:rPr>
      </w:pPr>
      <w:r>
        <w:rPr>
          <w:rFonts w:ascii="Times New Roman" w:cs="Times New Roman" w:eastAsia="Times New Roman" w:hAnsi="Times New Roman"/>
          <w:sz w:val="14"/>
          <w:szCs w:val="14"/>
          <w:color w:val="auto"/>
        </w:rPr>
        <w:t>This registration statement is a post-effective amendment to the registration statement on Form F-3 (File No. 333-277705) of Pharvaris N.V., a Dutch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(the “Company”) filed with the Securities and Exchange Commission (the “SEC”) on March 6, 2024 (the “Registration Statement”). This post-effective amendment to the Registration Statement is being filed for the purpose of, among other things, (i) registering additional Ordinary Shares for resale by the selling securityholder (as defined herein) pursuant to Rule 413(b) under the Securities Act of 1933, as amended, for an aggregate of 6,045,155 ordinary shares, par value €0.12 per share (“Ordinary Shares”)</w:t>
      </w:r>
    </w:p>
    <w:p>
      <w:pPr>
        <w:spacing w:after="0" w:line="1" w:lineRule="exact"/>
        <w:rPr>
          <w:sz w:val="20"/>
          <w:szCs w:val="20"/>
          <w:color w:val="auto"/>
        </w:rPr>
      </w:pPr>
    </w:p>
    <w:p>
      <w:pPr>
        <w:ind w:left="240" w:right="399"/>
        <w:spacing w:after="0" w:line="251" w:lineRule="auto"/>
        <w:rPr>
          <w:sz w:val="20"/>
          <w:szCs w:val="20"/>
          <w:color w:val="auto"/>
        </w:rPr>
      </w:pPr>
      <w:r>
        <w:rPr>
          <w:rFonts w:ascii="Times New Roman" w:cs="Times New Roman" w:eastAsia="Times New Roman" w:hAnsi="Times New Roman"/>
          <w:sz w:val="14"/>
          <w:szCs w:val="14"/>
          <w:color w:val="auto"/>
        </w:rPr>
        <w:t>(including 500,000 Ordinary Shares registered hereby), (ii) making corresponding changes to the base prospectus included in Part I of the Registration Statement, changing the date on the cover page of the prospectus to correspond to the date of this Post-Effective Amendment No. 1 and updating as appropriate the information contained in such base prospectus and (iii) updating certain exhibits to the Registration Statement. This post-effective amendment shall become effective immediately upon filing with the Securities and Exchange Commission. A prospectus to be used by the selling securityholder in connection with the resale of the Ordinary Shares is included in this Registration Statement.</w:t>
      </w:r>
    </w:p>
    <w:p>
      <w:pPr>
        <w:sectPr>
          <w:pgSz w:w="11900" w:h="16838" w:orient="portrait"/>
          <w:cols w:equalWidth="0" w:num="1">
            <w:col w:w="9019"/>
          </w:cols>
          <w:pgMar w:left="1440" w:top="238" w:right="1440" w:bottom="1440" w:gutter="0" w:footer="0" w:header="0"/>
        </w:sectPr>
      </w:pPr>
    </w:p>
    <w:bookmarkStart w:id="2" w:name="page3"/>
    <w:bookmarkEnd w:id="2"/>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133985</wp:posOffset>
            </wp:positionV>
            <wp:extent cx="2193290" cy="318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329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Pharvaris N.V.</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(incorporated in the Netherlands)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6,045,155 Ordinary Shares Offered by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177165</wp:posOffset>
            </wp:positionV>
            <wp:extent cx="113347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right="519" w:firstLine="340"/>
        <w:spacing w:after="0" w:line="264" w:lineRule="auto"/>
        <w:rPr>
          <w:sz w:val="20"/>
          <w:szCs w:val="20"/>
          <w:color w:val="auto"/>
        </w:rPr>
      </w:pPr>
      <w:r>
        <w:rPr>
          <w:rFonts w:ascii="Times New Roman" w:cs="Times New Roman" w:eastAsia="Times New Roman" w:hAnsi="Times New Roman"/>
          <w:sz w:val="14"/>
          <w:szCs w:val="14"/>
          <w:color w:val="auto"/>
        </w:rPr>
        <w:t>This prospectus relates to the resale from time to time in one or more offerings by General Atlantic PH B.V. or its permitted transferees (the “selling securityholder”) of up to 6,045,155 ordinary shares, par value €0.12 per share (“Ordinary Shares”) of Pharvaris N.V., a Dutch public limited liability company (naamloze vennootschap) (the “Company”).</w:t>
      </w:r>
    </w:p>
    <w:p>
      <w:pPr>
        <w:spacing w:after="0" w:line="137" w:lineRule="exact"/>
        <w:rPr>
          <w:sz w:val="20"/>
          <w:szCs w:val="20"/>
          <w:color w:val="auto"/>
        </w:rPr>
      </w:pPr>
    </w:p>
    <w:p>
      <w:pPr>
        <w:ind w:left="240" w:right="259" w:firstLine="340"/>
        <w:spacing w:after="0" w:line="255" w:lineRule="auto"/>
        <w:rPr>
          <w:sz w:val="20"/>
          <w:szCs w:val="20"/>
          <w:color w:val="auto"/>
        </w:rPr>
      </w:pPr>
      <w:r>
        <w:rPr>
          <w:rFonts w:ascii="Times New Roman" w:cs="Times New Roman" w:eastAsia="Times New Roman" w:hAnsi="Times New Roman"/>
          <w:sz w:val="14"/>
          <w:szCs w:val="14"/>
          <w:color w:val="auto"/>
        </w:rPr>
        <w:t>We are registering the securities described above for resale pursuant to the selling securityholder’s registration rights under the registration rights agreements which the Company and the selling securityholder entered into on February 5, 2024 and September 2, 2025 (together, the “Registration Rights Agreement”). Our registration of the securities covered by this prospectus does not mean that the selling securityholder will issue, offer or sell, as applicable, any of the securities. The selling securityholder may offer and sell the securities covered by this prospectus in a number of different ways and at varying prices. We provide more information about how the selling securityholder may sell the Ordinary Shares in the section entitled “Plan of Distribution.”</w:t>
      </w:r>
    </w:p>
    <w:p>
      <w:pPr>
        <w:spacing w:after="0" w:line="143" w:lineRule="exact"/>
        <w:rPr>
          <w:sz w:val="20"/>
          <w:szCs w:val="20"/>
          <w:color w:val="auto"/>
        </w:rPr>
      </w:pPr>
    </w:p>
    <w:p>
      <w:pPr>
        <w:ind w:left="240" w:right="299" w:firstLine="340"/>
        <w:spacing w:after="0" w:line="264" w:lineRule="auto"/>
        <w:rPr>
          <w:sz w:val="20"/>
          <w:szCs w:val="20"/>
          <w:color w:val="auto"/>
        </w:rPr>
      </w:pPr>
      <w:r>
        <w:rPr>
          <w:rFonts w:ascii="Times New Roman" w:cs="Times New Roman" w:eastAsia="Times New Roman" w:hAnsi="Times New Roman"/>
          <w:sz w:val="14"/>
          <w:szCs w:val="14"/>
          <w:color w:val="auto"/>
        </w:rPr>
        <w:t>We will not receive any proceeds from the sale of Ordinary Shares by the selling securityholder pursuant to this prospectus. However, we will pay certain expenses associated with the registration of the securities covered by this prospectus, as described in the section entitled “Plan of Distribution.” The selling securityholder will bear all commissions and discounts, if any, attributable to their sales of the Ordinary Shares.</w:t>
      </w:r>
    </w:p>
    <w:p>
      <w:pPr>
        <w:spacing w:after="0" w:line="137" w:lineRule="exact"/>
        <w:rPr>
          <w:sz w:val="20"/>
          <w:szCs w:val="20"/>
          <w:color w:val="auto"/>
        </w:rPr>
      </w:pPr>
    </w:p>
    <w:p>
      <w:pPr>
        <w:ind w:left="240" w:right="339" w:firstLine="340"/>
        <w:spacing w:after="0" w:line="280" w:lineRule="auto"/>
        <w:rPr>
          <w:sz w:val="20"/>
          <w:szCs w:val="20"/>
          <w:color w:val="auto"/>
        </w:rPr>
      </w:pPr>
      <w:r>
        <w:rPr>
          <w:rFonts w:ascii="Times New Roman" w:cs="Times New Roman" w:eastAsia="Times New Roman" w:hAnsi="Times New Roman"/>
          <w:sz w:val="14"/>
          <w:szCs w:val="14"/>
          <w:color w:val="auto"/>
        </w:rPr>
        <w:t>Our Ordinary Shares are listed on The Nasdaq Global Select Market (“Nasdaq”) under the symbol “PHVS.” On September 18, 2025, the last sale price of our Ordinary Shares as reported on Nasdaq was $24.54 per share.</w:t>
      </w:r>
    </w:p>
    <w:p>
      <w:pPr>
        <w:spacing w:after="0" w:line="125" w:lineRule="exact"/>
        <w:rPr>
          <w:sz w:val="20"/>
          <w:szCs w:val="20"/>
          <w:color w:val="auto"/>
        </w:rPr>
      </w:pPr>
    </w:p>
    <w:p>
      <w:pPr>
        <w:ind w:left="240" w:right="399" w:firstLine="340"/>
        <w:spacing w:after="0" w:line="264" w:lineRule="auto"/>
        <w:rPr>
          <w:sz w:val="20"/>
          <w:szCs w:val="20"/>
          <w:color w:val="auto"/>
        </w:rPr>
      </w:pPr>
      <w:r>
        <w:rPr>
          <w:rFonts w:ascii="Times New Roman" w:cs="Times New Roman" w:eastAsia="Times New Roman" w:hAnsi="Times New Roman"/>
          <w:sz w:val="14"/>
          <w:szCs w:val="14"/>
          <w:color w:val="auto"/>
        </w:rPr>
        <w:t>We are a “foreign private issuer” as defined under the U.S. Securities and Exchange Commission (“SEC”) rules and, as such, we have elected to comply with certain reduced public company reporting requirements for this prospectus and future filings. Please see “Pharvaris N.V.—Summary— Implications of Being a Foreign Private Issuer”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168910</wp:posOffset>
            </wp:positionV>
            <wp:extent cx="113347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399" w:lineRule="exact"/>
        <w:rPr>
          <w:sz w:val="20"/>
          <w:szCs w:val="20"/>
          <w:color w:val="auto"/>
        </w:rPr>
      </w:pPr>
    </w:p>
    <w:p>
      <w:pPr>
        <w:ind w:left="240" w:right="559" w:firstLine="340"/>
        <w:spacing w:after="0" w:line="261" w:lineRule="auto"/>
        <w:rPr>
          <w:sz w:val="20"/>
          <w:szCs w:val="20"/>
          <w:color w:val="auto"/>
        </w:rPr>
      </w:pPr>
      <w:r>
        <w:rPr>
          <w:rFonts w:ascii="Times New Roman" w:cs="Times New Roman" w:eastAsia="Times New Roman" w:hAnsi="Times New Roman"/>
          <w:sz w:val="17"/>
          <w:szCs w:val="17"/>
          <w:b w:val="1"/>
          <w:bCs w:val="1"/>
          <w:color w:val="auto"/>
        </w:rPr>
        <w:t>Investing in our ordinary shares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11 of this prospectus and in the documents incorporated by reference herein.</w:t>
      </w:r>
    </w:p>
    <w:p>
      <w:pPr>
        <w:spacing w:after="0" w:line="125" w:lineRule="exact"/>
        <w:rPr>
          <w:sz w:val="20"/>
          <w:szCs w:val="20"/>
          <w:color w:val="auto"/>
        </w:rPr>
      </w:pPr>
    </w:p>
    <w:p>
      <w:pPr>
        <w:ind w:left="240" w:right="419" w:firstLine="340"/>
        <w:spacing w:after="0" w:line="283"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153670</wp:posOffset>
            </wp:positionV>
            <wp:extent cx="113347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3475" cy="635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September 23, 2025</w:t>
      </w:r>
    </w:p>
    <w:p>
      <w:pPr>
        <w:sectPr>
          <w:pgSz w:w="11900" w:h="16838" w:orient="portrait"/>
          <w:cols w:equalWidth="0" w:num="1">
            <w:col w:w="9019"/>
          </w:cols>
          <w:pgMar w:left="1440" w:top="238" w:right="1440" w:bottom="1440" w:gutter="0" w:footer="0" w:header="0"/>
        </w:sectPr>
      </w:pPr>
    </w:p>
    <w:bookmarkStart w:id="3" w:name="page4"/>
    <w:bookmarkEnd w:id="3"/>
    <w:p>
      <w:pPr>
        <w:ind w:left="240" w:right="319" w:firstLine="340"/>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We have not, and the selling securityholder has not, authorized anyone to provide any information other than that contained in or incorporated by reference in this prospectus and any related prospectus supplement we provide to you. We have not, and the selling securityholder has not, authorized anyone to provide you with different or additional information. This prospectus does not constitute an offer to sell securities in any jurisdiction where such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460" w:type="dxa"/>
            <w:vAlign w:val="bottom"/>
          </w:tcPr>
          <w:p>
            <w:pPr>
              <w:spacing w:after="0"/>
              <w:rPr>
                <w:sz w:val="15"/>
                <w:szCs w:val="15"/>
                <w:color w:val="auto"/>
              </w:rPr>
            </w:pPr>
          </w:p>
        </w:tc>
      </w:tr>
      <w:tr>
        <w:trPr>
          <w:trHeight w:val="334"/>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w w:val="99"/>
              </w:rPr>
              <w:t>PROSPECTUS</w:t>
            </w:r>
          </w:p>
        </w:tc>
        <w:tc>
          <w:tcPr>
            <w:tcW w:w="1460" w:type="dxa"/>
            <w:vAlign w:val="bottom"/>
          </w:tcPr>
          <w:p>
            <w:pPr>
              <w:spacing w:after="0"/>
              <w:rPr>
                <w:sz w:val="24"/>
                <w:szCs w:val="24"/>
                <w:color w:val="auto"/>
              </w:rPr>
            </w:pPr>
          </w:p>
        </w:tc>
      </w:tr>
      <w:tr>
        <w:trPr>
          <w:trHeight w:val="323"/>
        </w:trPr>
        <w:tc>
          <w:tcPr>
            <w:tcW w:w="702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7"/>
        </w:trPr>
        <w:tc>
          <w:tcPr>
            <w:tcW w:w="296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4060" w:type="dxa"/>
            <w:vAlign w:val="bottom"/>
            <w:gridSpan w:val="4"/>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PRESENTATION OF FINANCIAL INFORMATION</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r>
      <w:tr>
        <w:trPr>
          <w:trHeight w:val="147"/>
        </w:trPr>
        <w:tc>
          <w:tcPr>
            <w:tcW w:w="3000" w:type="dxa"/>
            <w:vAlign w:val="bottom"/>
            <w:tcBorders>
              <w:top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TRADEMARKS</w:t>
            </w:r>
          </w:p>
        </w:tc>
        <w:tc>
          <w:tcPr>
            <w:tcW w:w="4020" w:type="dxa"/>
            <w:vAlign w:val="bottom"/>
            <w:gridSpan w:val="3"/>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1620" w:type="dxa"/>
            <w:vAlign w:val="bottom"/>
            <w:tcBorders>
              <w:top w:val="single" w:sz="8" w:color="0000EE"/>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2500" w:type="dxa"/>
            <w:vAlign w:val="bottom"/>
            <w:tcBorders>
              <w:top w:val="single" w:sz="8" w:color="0000EE"/>
            </w:tcBorders>
            <w:gridSpan w:val="8"/>
          </w:tcPr>
          <w:p>
            <w:pPr>
              <w:spacing w:after="0"/>
              <w:rPr>
                <w:sz w:val="12"/>
                <w:szCs w:val="12"/>
                <w:color w:val="auto"/>
              </w:rPr>
            </w:pPr>
          </w:p>
        </w:tc>
        <w:tc>
          <w:tcPr>
            <w:tcW w:w="2900" w:type="dxa"/>
            <w:vAlign w:val="bottom"/>
            <w:gridSpan w:val="2"/>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7"/>
        </w:trPr>
        <w:tc>
          <w:tcPr>
            <w:tcW w:w="10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8"/>
              </w:rPr>
              <w:t>THE OFFERING</w:t>
            </w:r>
          </w:p>
        </w:tc>
        <w:tc>
          <w:tcPr>
            <w:tcW w:w="6020" w:type="dxa"/>
            <w:vAlign w:val="bottom"/>
            <w:gridSpan w:val="14"/>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r>
      <w:tr>
        <w:trPr>
          <w:trHeight w:val="147"/>
        </w:trPr>
        <w:tc>
          <w:tcPr>
            <w:tcW w:w="98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RISK FACTORS</w:t>
            </w:r>
          </w:p>
        </w:tc>
        <w:tc>
          <w:tcPr>
            <w:tcW w:w="6040" w:type="dxa"/>
            <w:vAlign w:val="bottom"/>
            <w:gridSpan w:val="15"/>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w:t>
            </w: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SELLING SECURITYHOLDER</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7"/>
        </w:trPr>
        <w:tc>
          <w:tcPr>
            <w:tcW w:w="572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UNITED STATES FEDERAL INCOME TAX AND DUTCH TAX CONSIDERATIONS</w:t>
            </w:r>
          </w:p>
        </w:tc>
        <w:tc>
          <w:tcPr>
            <w:tcW w:w="1300" w:type="dxa"/>
            <w:vAlign w:val="bottom"/>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7"/>
        </w:trPr>
        <w:tc>
          <w:tcPr>
            <w:tcW w:w="160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420" w:type="dxa"/>
            <w:vAlign w:val="bottom"/>
            <w:gridSpan w:val="11"/>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DESCRIPTION OF SHARE CAPITAL</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7"/>
        </w:trPr>
        <w:tc>
          <w:tcPr>
            <w:tcW w:w="2220" w:type="dxa"/>
            <w:vAlign w:val="bottom"/>
            <w:tcBorders>
              <w:top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ENFORCEMENT OF JUDGMENTS</w:t>
            </w:r>
          </w:p>
        </w:tc>
        <w:tc>
          <w:tcPr>
            <w:tcW w:w="4800" w:type="dxa"/>
            <w:vAlign w:val="bottom"/>
            <w:gridSpan w:val="5"/>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w:t>
            </w:r>
          </w:p>
        </w:tc>
      </w:tr>
      <w:tr>
        <w:trPr>
          <w:trHeight w:val="147"/>
        </w:trPr>
        <w:tc>
          <w:tcPr>
            <w:tcW w:w="7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8"/>
              </w:rPr>
              <w:t>EXPENSES</w:t>
            </w:r>
          </w:p>
        </w:tc>
        <w:tc>
          <w:tcPr>
            <w:tcW w:w="1400" w:type="dxa"/>
            <w:vAlign w:val="bottom"/>
            <w:tcBorders>
              <w:top w:val="single" w:sz="8" w:color="0000EE"/>
            </w:tcBorders>
            <w:gridSpan w:val="10"/>
          </w:tcPr>
          <w:p>
            <w:pPr>
              <w:spacing w:after="0"/>
              <w:rPr>
                <w:sz w:val="12"/>
                <w:szCs w:val="12"/>
                <w:color w:val="auto"/>
              </w:rPr>
            </w:pPr>
          </w:p>
        </w:tc>
        <w:tc>
          <w:tcPr>
            <w:tcW w:w="4920" w:type="dxa"/>
            <w:vAlign w:val="bottom"/>
            <w:gridSpan w:val="7"/>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48</w:t>
            </w:r>
          </w:p>
        </w:tc>
      </w:tr>
      <w:tr>
        <w:trPr>
          <w:trHeight w:val="147"/>
        </w:trPr>
        <w:tc>
          <w:tcPr>
            <w:tcW w:w="114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5880" w:type="dxa"/>
            <w:vAlign w:val="bottom"/>
            <w:gridSpan w:val="13"/>
          </w:tcPr>
          <w:p>
            <w:pPr>
              <w:spacing w:after="0"/>
              <w:rPr>
                <w:sz w:val="12"/>
                <w:szCs w:val="12"/>
                <w:color w:val="auto"/>
              </w:rPr>
            </w:pP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49</w:t>
            </w: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w:t>
            </w:r>
          </w:p>
        </w:tc>
      </w:tr>
      <w:tr>
        <w:trPr>
          <w:trHeight w:val="20"/>
        </w:trPr>
        <w:tc>
          <w:tcPr>
            <w:tcW w:w="600" w:type="dxa"/>
            <w:vAlign w:val="bottom"/>
            <w:shd w:val="clear" w:color="auto" w:fill="0000EE"/>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7"/>
        </w:trPr>
        <w:tc>
          <w:tcPr>
            <w:tcW w:w="7020" w:type="dxa"/>
            <w:vAlign w:val="bottom"/>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w:t>
            </w: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ABOUT THIS PROSPECTUS</w:t>
      </w:r>
    </w:p>
    <w:p>
      <w:pPr>
        <w:spacing w:after="0" w:line="175" w:lineRule="exact"/>
        <w:rPr>
          <w:sz w:val="20"/>
          <w:szCs w:val="20"/>
          <w:color w:val="auto"/>
        </w:rPr>
      </w:pPr>
    </w:p>
    <w:p>
      <w:pPr>
        <w:ind w:left="240" w:right="259" w:firstLine="340"/>
        <w:spacing w:after="0" w:line="251"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F-3 that we filed with the U.S. Securities and Exchange Commission (the “SEC”) as a “well-known seasoned issuer” as defined in Rule 405 under the Securities Act of 1933, as amended (the “Securities Act”). Under the automatic shelf process, the selling securityholder may offer and sell Ordinary Shares as described in this prospectus, from time to time, in one or more offerings. To the extent permitted by law, we may also file or authorize one or more prospectus supplements and/or free writing prospectuses to be provided to you that may contain material information relating to these offerings.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50" w:lineRule="exact"/>
        <w:rPr>
          <w:sz w:val="20"/>
          <w:szCs w:val="20"/>
          <w:color w:val="auto"/>
        </w:rPr>
      </w:pPr>
    </w:p>
    <w:p>
      <w:pPr>
        <w:ind w:left="240" w:right="279" w:firstLine="340"/>
        <w:spacing w:after="0" w:line="271" w:lineRule="auto"/>
        <w:rPr>
          <w:sz w:val="20"/>
          <w:szCs w:val="20"/>
          <w:color w:val="auto"/>
        </w:rPr>
      </w:pPr>
      <w:r>
        <w:rPr>
          <w:rFonts w:ascii="Times New Roman" w:cs="Times New Roman" w:eastAsia="Times New Roman" w:hAnsi="Times New Roman"/>
          <w:sz w:val="13"/>
          <w:szCs w:val="13"/>
          <w:color w:val="auto"/>
        </w:rPr>
        <w:t>Neither we, nor the selling securityholder,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 take no responsibility for, and can provide no assurance as to the reliability of, any other information that others may give you. The selling securityholder will not make an offer to sell these securities in any jurisdiction where the offer or sale is not permitted.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WHERE YOU CAN FIND MORE INFORMATION</w:t>
      </w:r>
    </w:p>
    <w:p>
      <w:pPr>
        <w:spacing w:after="0" w:line="175" w:lineRule="exact"/>
        <w:rPr>
          <w:sz w:val="20"/>
          <w:szCs w:val="20"/>
          <w:color w:val="auto"/>
        </w:rPr>
      </w:pPr>
    </w:p>
    <w:p>
      <w:pPr>
        <w:ind w:left="240" w:right="379" w:firstLine="340"/>
        <w:spacing w:after="0" w:line="259" w:lineRule="auto"/>
        <w:rPr>
          <w:sz w:val="20"/>
          <w:szCs w:val="20"/>
          <w:color w:val="auto"/>
        </w:rPr>
      </w:pPr>
      <w:r>
        <w:rPr>
          <w:rFonts w:ascii="Times New Roman" w:cs="Times New Roman" w:eastAsia="Times New Roman" w:hAnsi="Times New Roman"/>
          <w:sz w:val="14"/>
          <w:szCs w:val="14"/>
          <w:color w:val="auto"/>
        </w:rPr>
        <w:t>We file annual reports on Form 20-F, reports on Form 6-K, and other information with the SEC under the Securities Exchange Act of 1934, as amended (the “Exchange Act”). The SEC maintains a website that contains reports and other information about issuers like us who file electronically with the SEC. The address of the site is http://www.sec.gov. Copies of certain information filed by us with the SEC are also available on our website at http://www.pharvaris.com. Our website is not a part of this prospectus and is not incorporated by reference in this prospectus.</w:t>
      </w:r>
    </w:p>
    <w:p>
      <w:pPr>
        <w:spacing w:after="0" w:line="140" w:lineRule="exact"/>
        <w:rPr>
          <w:sz w:val="20"/>
          <w:szCs w:val="20"/>
          <w:color w:val="auto"/>
        </w:rPr>
      </w:pPr>
    </w:p>
    <w:p>
      <w:pPr>
        <w:ind w:left="240" w:right="299" w:firstLine="340"/>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43" w:lineRule="exact"/>
        <w:rPr>
          <w:sz w:val="20"/>
          <w:szCs w:val="20"/>
          <w:color w:val="auto"/>
        </w:rPr>
      </w:pPr>
    </w:p>
    <w:p>
      <w:pPr>
        <w:ind w:left="240" w:right="319" w:firstLine="340"/>
        <w:spacing w:after="0" w:line="259"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PRESENTATION OF FINANCIAL INFORMATION</w:t>
      </w:r>
    </w:p>
    <w:p>
      <w:pPr>
        <w:spacing w:after="0" w:line="175" w:lineRule="exact"/>
        <w:rPr>
          <w:sz w:val="20"/>
          <w:szCs w:val="20"/>
          <w:color w:val="auto"/>
        </w:rPr>
      </w:pPr>
    </w:p>
    <w:p>
      <w:pPr>
        <w:ind w:left="240" w:right="379" w:firstLine="340"/>
        <w:spacing w:after="0" w:line="256" w:lineRule="auto"/>
        <w:rPr>
          <w:sz w:val="20"/>
          <w:szCs w:val="20"/>
          <w:color w:val="auto"/>
        </w:rPr>
      </w:pPr>
      <w:r>
        <w:rPr>
          <w:rFonts w:ascii="Times New Roman" w:cs="Times New Roman" w:eastAsia="Times New Roman" w:hAnsi="Times New Roman"/>
          <w:sz w:val="14"/>
          <w:szCs w:val="14"/>
          <w:color w:val="auto"/>
        </w:rPr>
        <w:t>We report under International Financial Reporting Standards (“IFRS”), as issued by the International Accounting Standards Board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Accordingly, numerical figures shown as totals in some tables may not be an arithmetic aggregation of the figures that preceded them.</w:t>
      </w:r>
    </w:p>
    <w:p>
      <w:pPr>
        <w:spacing w:after="0" w:line="143" w:lineRule="exact"/>
        <w:rPr>
          <w:sz w:val="20"/>
          <w:szCs w:val="20"/>
          <w:color w:val="auto"/>
        </w:rPr>
      </w:pPr>
    </w:p>
    <w:p>
      <w:pPr>
        <w:ind w:left="240" w:right="259" w:firstLine="340"/>
        <w:spacing w:after="0" w:line="264"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TRADEMARKS</w:t>
      </w:r>
    </w:p>
    <w:p>
      <w:pPr>
        <w:spacing w:after="0" w:line="175" w:lineRule="exact"/>
        <w:rPr>
          <w:sz w:val="20"/>
          <w:szCs w:val="20"/>
          <w:color w:val="auto"/>
        </w:rPr>
      </w:pPr>
    </w:p>
    <w:p>
      <w:pPr>
        <w:ind w:left="240" w:right="439" w:firstLine="340"/>
        <w:spacing w:after="0" w:line="247" w:lineRule="auto"/>
        <w:rPr>
          <w:sz w:val="20"/>
          <w:szCs w:val="20"/>
          <w:color w:val="auto"/>
        </w:rPr>
      </w:pPr>
      <w:r>
        <w:rPr>
          <w:rFonts w:ascii="Times New Roman" w:cs="Times New Roman" w:eastAsia="Times New Roman" w:hAnsi="Times New Roman"/>
          <w:sz w:val="13"/>
          <w:szCs w:val="13"/>
          <w:color w:val="auto"/>
        </w:rPr>
        <w:t xml:space="preserve">All trademarks, trade names and service marks appearing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SPECIAL NOTE REGARDING FORWARD-LOOKING STATEMENTS</w:t>
      </w:r>
    </w:p>
    <w:p>
      <w:pPr>
        <w:spacing w:after="0" w:line="175" w:lineRule="exact"/>
        <w:rPr>
          <w:sz w:val="20"/>
          <w:szCs w:val="20"/>
          <w:color w:val="auto"/>
        </w:rPr>
      </w:pPr>
    </w:p>
    <w:p>
      <w:pPr>
        <w:ind w:left="240" w:right="379" w:firstLine="340"/>
        <w:spacing w:after="0" w:line="253" w:lineRule="auto"/>
        <w:rPr>
          <w:sz w:val="20"/>
          <w:szCs w:val="20"/>
          <w:color w:val="auto"/>
        </w:rPr>
      </w:pPr>
      <w:r>
        <w:rPr>
          <w:rFonts w:ascii="Times New Roman" w:cs="Times New Roman" w:eastAsia="Times New Roman" w:hAnsi="Times New Roman"/>
          <w:sz w:val="14"/>
          <w:szCs w:val="14"/>
          <w:color w:val="auto"/>
        </w:rPr>
        <w:t>This prospectus and other documents incorporated by reference in this prospectus contain forward-looking statements, including statements concerning our use of proceeds,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45" w:lineRule="exact"/>
        <w:rPr>
          <w:sz w:val="20"/>
          <w:szCs w:val="20"/>
          <w:color w:val="auto"/>
        </w:rPr>
      </w:pPr>
    </w:p>
    <w:p>
      <w:pPr>
        <w:ind w:left="240" w:right="759" w:firstLine="340"/>
        <w:spacing w:after="0" w:line="280" w:lineRule="auto"/>
        <w:rPr>
          <w:sz w:val="20"/>
          <w:szCs w:val="20"/>
          <w:color w:val="auto"/>
        </w:rPr>
      </w:pPr>
      <w:r>
        <w:rPr>
          <w:rFonts w:ascii="Times New Roman" w:cs="Times New Roman" w:eastAsia="Times New Roman" w:hAnsi="Times New Roman"/>
          <w:sz w:val="14"/>
          <w:szCs w:val="14"/>
          <w:color w:val="auto"/>
        </w:rPr>
        <w:t>The following represent some, but not necessarily all, of the factors that could cause actual results to differ from historical results or those anticipated or predicted by our forward-looking statements:</w:t>
      </w:r>
    </w:p>
    <w:p>
      <w:pPr>
        <w:spacing w:after="0" w:line="52" w:lineRule="exact"/>
        <w:rPr>
          <w:sz w:val="20"/>
          <w:szCs w:val="20"/>
          <w:color w:val="auto"/>
        </w:rPr>
      </w:pPr>
    </w:p>
    <w:p>
      <w:pPr>
        <w:jc w:val="both"/>
        <w:ind w:left="1000" w:right="339" w:hanging="336"/>
        <w:spacing w:after="0" w:line="264"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63" w:lineRule="exact"/>
        <w:rPr>
          <w:rFonts w:ascii="Times New Roman" w:cs="Times New Roman" w:eastAsia="Times New Roman" w:hAnsi="Times New Roman"/>
          <w:sz w:val="14"/>
          <w:szCs w:val="14"/>
          <w:color w:val="auto"/>
        </w:rPr>
      </w:pPr>
    </w:p>
    <w:p>
      <w:pPr>
        <w:ind w:left="1000" w:right="75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52" w:lineRule="exact"/>
        <w:rPr>
          <w:rFonts w:ascii="Times New Roman" w:cs="Times New Roman" w:eastAsia="Times New Roman" w:hAnsi="Times New Roman"/>
          <w:sz w:val="14"/>
          <w:szCs w:val="14"/>
          <w:color w:val="auto"/>
        </w:rPr>
      </w:pPr>
    </w:p>
    <w:p>
      <w:pPr>
        <w:ind w:left="1000" w:right="67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the efficacy and safety demonstrated in the RAPIDe-1 and CHAPTER-1 Phase 2 study in ongoing and future nonclinical studies and clinical trials;</w:t>
      </w:r>
    </w:p>
    <w:p>
      <w:pPr>
        <w:spacing w:after="0" w:line="52" w:lineRule="exact"/>
        <w:rPr>
          <w:rFonts w:ascii="Times New Roman" w:cs="Times New Roman" w:eastAsia="Times New Roman" w:hAnsi="Times New Roman"/>
          <w:sz w:val="14"/>
          <w:szCs w:val="14"/>
          <w:color w:val="auto"/>
        </w:rPr>
      </w:pPr>
    </w:p>
    <w:p>
      <w:pPr>
        <w:ind w:left="1000" w:right="55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arising from epidemic diseases which may adversely impact our business, nonclinical studies and clinical trials, the outcome and timing of regulatory approvals and the value of our ordinary shares;</w:t>
      </w:r>
    </w:p>
    <w:p>
      <w:pPr>
        <w:spacing w:after="0" w:line="52" w:lineRule="exact"/>
        <w:rPr>
          <w:rFonts w:ascii="Times New Roman" w:cs="Times New Roman" w:eastAsia="Times New Roman" w:hAnsi="Times New Roman"/>
          <w:sz w:val="14"/>
          <w:szCs w:val="14"/>
          <w:color w:val="auto"/>
        </w:rPr>
      </w:pPr>
    </w:p>
    <w:p>
      <w:pPr>
        <w:ind w:left="1000" w:right="25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costs and other limitations involved in obtaining regulatory approval for our product candidates IR and XR or any other product candidate that we may develop in the future;</w:t>
      </w:r>
    </w:p>
    <w:p>
      <w:pPr>
        <w:spacing w:after="0" w:line="52" w:lineRule="exact"/>
        <w:rPr>
          <w:rFonts w:ascii="Times New Roman" w:cs="Times New Roman" w:eastAsia="Times New Roman" w:hAnsi="Times New Roman"/>
          <w:sz w:val="14"/>
          <w:szCs w:val="14"/>
          <w:color w:val="auto"/>
        </w:rPr>
      </w:pPr>
    </w:p>
    <w:p>
      <w:pPr>
        <w:ind w:left="1000" w:right="55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commercialize and achieve market acceptance for our product candidates IR and XR or any of our other product candidates that we may develop in the future, if approved;</w:t>
      </w:r>
    </w:p>
    <w:p>
      <w:pPr>
        <w:spacing w:after="0" w:line="52" w:lineRule="exact"/>
        <w:rPr>
          <w:rFonts w:ascii="Times New Roman" w:cs="Times New Roman" w:eastAsia="Times New Roman" w:hAnsi="Times New Roman"/>
          <w:sz w:val="14"/>
          <w:szCs w:val="14"/>
          <w:color w:val="auto"/>
        </w:rPr>
      </w:pPr>
    </w:p>
    <w:p>
      <w:pPr>
        <w:ind w:left="1000" w:right="75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commercial capabilities or enter into agreements with third parties to market, sell and distribute our product candidates;</w:t>
      </w:r>
    </w:p>
    <w:p>
      <w:pPr>
        <w:spacing w:after="0" w:line="52" w:lineRule="exact"/>
        <w:rPr>
          <w:rFonts w:ascii="Times New Roman" w:cs="Times New Roman" w:eastAsia="Times New Roman" w:hAnsi="Times New Roman"/>
          <w:sz w:val="14"/>
          <w:szCs w:val="14"/>
          <w:color w:val="auto"/>
        </w:rPr>
      </w:pPr>
    </w:p>
    <w:p>
      <w:pPr>
        <w:ind w:left="1000" w:right="29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to perform critical activities related to the research, nonclinical safety and toxicology studies, development and manufacturing of our product candidates;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and other government agencies;</w:t>
      </w:r>
    </w:p>
    <w:p>
      <w:pPr>
        <w:spacing w:after="0" w:line="99" w:lineRule="exact"/>
        <w:rPr>
          <w:rFonts w:ascii="Times New Roman" w:cs="Times New Roman" w:eastAsia="Times New Roman" w:hAnsi="Times New Roman"/>
          <w:sz w:val="14"/>
          <w:szCs w:val="14"/>
          <w:color w:val="auto"/>
        </w:rPr>
      </w:pPr>
    </w:p>
    <w:p>
      <w:pPr>
        <w:ind w:left="1000" w:right="399" w:hanging="336"/>
        <w:spacing w:after="0" w:line="280"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time and uncertainty involved in the development and consistent manufacturing and supply of our product candidates, some or all of which may never reach the regulatory approval stage;</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when needed and on acceptable terms;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any new licensing agreements or to maintain any licensing agreements with respect to our product candidates;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collaboration partners and licensees, whose actions we cannot control;</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private insurers and other payors to provide reimbursement for our products;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the European Union and other jurisdictions;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and timing of price negotiations with governmental authorities;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9" w:name="page10"/>
    <w:bookmarkEnd w:id="9"/>
    <w:p>
      <w:pPr>
        <w:ind w:left="1000" w:right="719" w:hanging="336"/>
        <w:spacing w:after="0" w:line="280"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our ability to compete in the pharmaceutical industry, including with respect to existing therapies, emerging potentially competitive therapies and with competitive generic products;</w:t>
      </w:r>
    </w:p>
    <w:p>
      <w:pPr>
        <w:spacing w:after="0" w:line="52" w:lineRule="exact"/>
        <w:rPr>
          <w:rFonts w:ascii="Times New Roman" w:cs="Times New Roman" w:eastAsia="Times New Roman" w:hAnsi="Times New Roman"/>
          <w:sz w:val="14"/>
          <w:szCs w:val="14"/>
          <w:color w:val="auto"/>
        </w:rPr>
      </w:pPr>
    </w:p>
    <w:p>
      <w:pPr>
        <w:ind w:left="1000" w:right="319" w:hanging="336"/>
        <w:spacing w:after="0" w:line="280"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know-how and operate our business without infringing the intellectual property rights or regulatory exclusivity of others;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side effects or adverse events associated with the use of our product candidates;</w:t>
      </w:r>
    </w:p>
    <w:p>
      <w:pPr>
        <w:spacing w:after="0" w:line="99" w:lineRule="exact"/>
        <w:rPr>
          <w:rFonts w:ascii="Times New Roman" w:cs="Times New Roman" w:eastAsia="Times New Roman" w:hAnsi="Times New Roman"/>
          <w:sz w:val="14"/>
          <w:szCs w:val="14"/>
          <w:color w:val="auto"/>
        </w:rPr>
      </w:pPr>
    </w:p>
    <w:p>
      <w:pPr>
        <w:ind w:left="1000" w:right="499" w:hanging="336"/>
        <w:spacing w:after="0" w:line="280"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defend against costly and damaging liability claims resulting from the testing of our product candidates in the clinic or, if, approved, any commercial sales;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personnel;</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market sizes and anticipated uses of our product candidates;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future performance;</w:t>
      </w:r>
    </w:p>
    <w:p>
      <w:pPr>
        <w:spacing w:after="0" w:line="99" w:lineRule="exact"/>
        <w:rPr>
          <w:rFonts w:ascii="Times New Roman" w:cs="Times New Roman" w:eastAsia="Times New Roman" w:hAnsi="Times New Roman"/>
          <w:sz w:val="14"/>
          <w:szCs w:val="14"/>
          <w:color w:val="auto"/>
        </w:rPr>
      </w:pPr>
    </w:p>
    <w:p>
      <w:pPr>
        <w:ind w:left="1000" w:right="839" w:hanging="336"/>
        <w:spacing w:after="0" w:line="280"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anticipated operating losses, future revenues, expenses, capital requirements and our needs for additional financing;</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or future laws and regulations in a cost-efficient manner;</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negative consequences from changes in applicable laws and regulations, including tax laws;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 over financial reporting;</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 foreign private issuer; and</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uncertainty in general market, political and economic conditions, including as a result of inflation and geopolitical conflicts;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and customs, tariffs and trade barriers; and</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discussed herein under “Risk Factors” or incorporated herein by reference.</w:t>
      </w:r>
    </w:p>
    <w:p>
      <w:pPr>
        <w:spacing w:after="0" w:line="173" w:lineRule="exact"/>
        <w:rPr>
          <w:sz w:val="20"/>
          <w:szCs w:val="20"/>
          <w:color w:val="auto"/>
        </w:rPr>
      </w:pPr>
    </w:p>
    <w:p>
      <w:pPr>
        <w:ind w:left="240" w:right="259" w:firstLine="340"/>
        <w:spacing w:after="0" w:line="255" w:lineRule="auto"/>
        <w:rPr>
          <w:sz w:val="20"/>
          <w:szCs w:val="20"/>
          <w:color w:val="auto"/>
        </w:rPr>
      </w:pPr>
      <w:r>
        <w:rPr>
          <w:rFonts w:ascii="Times New Roman" w:cs="Times New Roman" w:eastAsia="Times New Roman" w:hAnsi="Times New Roman"/>
          <w:sz w:val="14"/>
          <w:szCs w:val="14"/>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655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4655185"/>
                    </a:xfrm>
                    <a:prstGeom prst="rect">
                      <a:avLst/>
                    </a:prstGeom>
                    <a:noFill/>
                  </pic:spPr>
                </pic:pic>
              </a:graphicData>
            </a:graphic>
          </wp:anchor>
        </w:drawing>
        <w:t>PROSPECTUS SUMMARY</w:t>
      </w:r>
    </w:p>
    <w:p>
      <w:pPr>
        <w:spacing w:after="0" w:line="173" w:lineRule="exact"/>
        <w:rPr>
          <w:sz w:val="20"/>
          <w:szCs w:val="20"/>
          <w:color w:val="auto"/>
        </w:rPr>
      </w:pPr>
    </w:p>
    <w:p>
      <w:pPr>
        <w:ind w:left="380" w:right="479"/>
        <w:spacing w:after="0" w:line="257"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related to this offering discussed under “Risk Factors” beginning on page 11 of this prospectus, along with the other risk factors, our consolidated financial statements and notes to those consolidated financial statements and the other information incorporated by reference in this prospectus.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PHARVARIS N.V.</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1" w:lineRule="exact"/>
        <w:rPr>
          <w:sz w:val="20"/>
          <w:szCs w:val="20"/>
          <w:color w:val="auto"/>
        </w:rPr>
      </w:pPr>
    </w:p>
    <w:p>
      <w:pPr>
        <w:ind w:left="380" w:right="479" w:firstLine="329"/>
        <w:spacing w:after="0" w:line="276" w:lineRule="auto"/>
        <w:rPr>
          <w:sz w:val="20"/>
          <w:szCs w:val="20"/>
          <w:color w:val="auto"/>
        </w:rPr>
      </w:pPr>
      <w:r>
        <w:rPr>
          <w:rFonts w:ascii="Times New Roman" w:cs="Times New Roman" w:eastAsia="Times New Roman" w:hAnsi="Times New Roman"/>
          <w:sz w:val="13"/>
          <w:szCs w:val="13"/>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is a novel, oral, small-molecule bradykinin B2 receptor antagonist under development for the prevention or treatment of attacks due to bradykinin-mediated angioedema, including hereditary angioedema (HAE) and acquired angioedema due to C1-inhibitor deficiency (AAE-C1INH). Deucrictibant has the potential to address unmet medical need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32" w:lineRule="exact"/>
        <w:rPr>
          <w:sz w:val="20"/>
          <w:szCs w:val="20"/>
          <w:color w:val="auto"/>
        </w:rPr>
      </w:pPr>
    </w:p>
    <w:p>
      <w:pPr>
        <w:ind w:left="380" w:right="419" w:firstLine="329"/>
        <w:spacing w:after="0" w:line="256" w:lineRule="auto"/>
        <w:rPr>
          <w:sz w:val="20"/>
          <w:szCs w:val="20"/>
          <w:color w:val="auto"/>
        </w:rPr>
      </w:pPr>
      <w:r>
        <w:rPr>
          <w:rFonts w:ascii="Times New Roman" w:cs="Times New Roman" w:eastAsia="Times New Roman" w:hAnsi="Times New Roman"/>
          <w:sz w:val="14"/>
          <w:szCs w:val="14"/>
          <w:color w:val="auto"/>
        </w:rPr>
        <w:t>Deucrictibant may address unmet medical needs of people living with HAE by both preventing attacks from occurring, using an extended-release (XR) tablet formulation of deucrictibant, as well as treat the manifestations of HAE attacks, using an immediate-release (IR) capsule formulation of deucrictibant.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43" w:lineRule="exact"/>
        <w:rPr>
          <w:sz w:val="20"/>
          <w:szCs w:val="20"/>
          <w:color w:val="auto"/>
        </w:rPr>
      </w:pPr>
    </w:p>
    <w:p>
      <w:pPr>
        <w:ind w:left="380" w:right="479" w:firstLine="329"/>
        <w:spacing w:after="0" w:line="259" w:lineRule="auto"/>
        <w:rPr>
          <w:sz w:val="20"/>
          <w:szCs w:val="20"/>
          <w:color w:val="auto"/>
        </w:rPr>
      </w:pPr>
      <w:r>
        <w:rPr>
          <w:rFonts w:ascii="Times New Roman" w:cs="Times New Roman" w:eastAsia="Times New Roman" w:hAnsi="Times New Roman"/>
          <w:sz w:val="14"/>
          <w:szCs w:val="14"/>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the other way around). This may be particularly valued by children or adolescents who typically begin therapy with on-demand only and gradually move to prophylaxis as attack frequency increases (commonly after puberty).</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 our Phase 1 clinical trials to-date, we have observed rapid exposure and predictable linear pharmacokinetics (PK) with and without food.</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addition, we observed deucrictibant to be a potent antagonist of the bradykinin B2 receptor, in vitro and in vivo with healthy volunteers.</w:t>
      </w:r>
    </w:p>
    <w:p>
      <w:pPr>
        <w:spacing w:after="0" w:line="158" w:lineRule="exact"/>
        <w:rPr>
          <w:sz w:val="20"/>
          <w:szCs w:val="20"/>
          <w:color w:val="auto"/>
        </w:rPr>
      </w:pPr>
    </w:p>
    <w:p>
      <w:pPr>
        <w:ind w:left="380" w:right="439" w:firstLine="329"/>
        <w:spacing w:after="0" w:line="276" w:lineRule="auto"/>
        <w:rPr>
          <w:sz w:val="20"/>
          <w:szCs w:val="20"/>
          <w:color w:val="auto"/>
        </w:rPr>
      </w:pPr>
      <w:r>
        <w:rPr>
          <w:rFonts w:ascii="Times New Roman" w:cs="Times New Roman" w:eastAsia="Times New Roman" w:hAnsi="Times New Roman"/>
          <w:sz w:val="13"/>
          <w:szCs w:val="13"/>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have enrolled approximately 120 participants. Topline data from RAPIDe-3 is anticipated in the fourth quarter of 2025 and, pending positive data, we expect to submit a New Drug Application with the FDA in the first half of 2026.</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384" w:right="1440" w:bottom="1440" w:gutter="0" w:footer="0" w:header="0"/>
        </w:sectPr>
      </w:pPr>
    </w:p>
    <w:bookmarkStart w:id="11" w:name="page12"/>
    <w:bookmarkEnd w:id="11"/>
    <w:p>
      <w:pPr>
        <w:ind w:left="380" w:right="459" w:firstLine="32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707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4707890"/>
                    </a:xfrm>
                    <a:prstGeom prst="rect">
                      <a:avLst/>
                    </a:prstGeom>
                    <a:noFill/>
                  </pic:spPr>
                </pic:pic>
              </a:graphicData>
            </a:graphic>
          </wp:anchor>
        </w:drawing>
        <w:t>A Phase 2 placebo-controlled trial evaluating the efficacy and the safety and tolerability of deucrictibant for long-term prophylaxis against angioedema attacks in HAE type 1 and 2 (CHAPTER-1) commenced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the intended commercial dosage, or placebo, once daily for 24 weeks. Topline data from CHAPTER-3 is anticipated in the second half of 2026.</w:t>
      </w:r>
    </w:p>
    <w:p>
      <w:pPr>
        <w:spacing w:after="0" w:line="148" w:lineRule="exact"/>
        <w:rPr>
          <w:sz w:val="20"/>
          <w:szCs w:val="20"/>
          <w:color w:val="auto"/>
        </w:rPr>
      </w:pPr>
    </w:p>
    <w:p>
      <w:pPr>
        <w:ind w:left="380" w:right="679" w:firstLine="329"/>
        <w:spacing w:after="0" w:line="280" w:lineRule="auto"/>
        <w:rPr>
          <w:sz w:val="20"/>
          <w:szCs w:val="20"/>
          <w:color w:val="auto"/>
        </w:rPr>
      </w:pPr>
      <w:r>
        <w:rPr>
          <w:rFonts w:ascii="Times New Roman" w:cs="Times New Roman" w:eastAsia="Times New Roman" w:hAnsi="Times New Roman"/>
          <w:sz w:val="14"/>
          <w:szCs w:val="14"/>
          <w:color w:val="auto"/>
        </w:rPr>
        <w:t>In addition, we are also running open-label extension studies in both on-demand and prophylactic settings to collect long-term safety and efficacy data in HAE patients.</w:t>
      </w:r>
    </w:p>
    <w:p>
      <w:pPr>
        <w:spacing w:after="0" w:line="125" w:lineRule="exact"/>
        <w:rPr>
          <w:sz w:val="20"/>
          <w:szCs w:val="20"/>
          <w:color w:val="auto"/>
        </w:rPr>
      </w:pPr>
    </w:p>
    <w:p>
      <w:pPr>
        <w:ind w:left="380" w:right="399" w:firstLine="329"/>
        <w:spacing w:after="0" w:line="254" w:lineRule="auto"/>
        <w:rPr>
          <w:sz w:val="20"/>
          <w:szCs w:val="20"/>
          <w:color w:val="auto"/>
        </w:rPr>
      </w:pPr>
      <w:r>
        <w:rPr>
          <w:rFonts w:ascii="Times New Roman" w:cs="Times New Roman" w:eastAsia="Times New Roman" w:hAnsi="Times New Roman"/>
          <w:sz w:val="14"/>
          <w:szCs w:val="14"/>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43" w:lineRule="exact"/>
        <w:rPr>
          <w:sz w:val="20"/>
          <w:szCs w:val="20"/>
          <w:color w:val="auto"/>
        </w:rPr>
      </w:pPr>
    </w:p>
    <w:p>
      <w:pPr>
        <w:ind w:left="380" w:right="459" w:firstLine="329"/>
        <w:spacing w:after="0" w:line="275" w:lineRule="auto"/>
        <w:rPr>
          <w:sz w:val="20"/>
          <w:szCs w:val="20"/>
          <w:color w:val="auto"/>
        </w:rPr>
      </w:pPr>
      <w:r>
        <w:rPr>
          <w:rFonts w:ascii="Times New Roman" w:cs="Times New Roman" w:eastAsia="Times New Roman" w:hAnsi="Times New Roman"/>
          <w:sz w:val="13"/>
          <w:szCs w:val="13"/>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and changes in regulations and customs, tariffs and trade barriers. We regularly assess each of these risks to minimize any adverse effects on our business as a result of those factors. For a detailed discussion, see Note 17 to our consolidated financial statements included elsewhere in the Annual Report.</w:t>
      </w:r>
    </w:p>
    <w:p>
      <w:pPr>
        <w:spacing w:after="0" w:line="132" w:lineRule="exact"/>
        <w:rPr>
          <w:sz w:val="20"/>
          <w:szCs w:val="20"/>
          <w:color w:val="auto"/>
        </w:rPr>
      </w:pPr>
    </w:p>
    <w:p>
      <w:pPr>
        <w:ind w:left="380" w:right="419" w:firstLine="329"/>
        <w:spacing w:after="0" w:line="254" w:lineRule="auto"/>
        <w:rPr>
          <w:sz w:val="20"/>
          <w:szCs w:val="20"/>
          <w:color w:val="auto"/>
        </w:rPr>
      </w:pPr>
      <w:r>
        <w:rPr>
          <w:rFonts w:ascii="Times New Roman" w:cs="Times New Roman" w:eastAsia="Times New Roman" w:hAnsi="Times New Roman"/>
          <w:sz w:val="14"/>
          <w:szCs w:val="14"/>
          <w:color w:val="auto"/>
        </w:rPr>
        <w:t>In addition, the retaliatory measures that have been taken, or could be taken in the future, by the United States, NATO, and other countries in response to escalating regional conflicts, such as the Russia/Ukraine War, that have created global security concerns and also could adversely affect our ability to conduct ongoing and future clinical trials of our product candidates. For example, our current studies have participants enrolled at sites in approximately 30 countries.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The offices of Pharvaris N.V. are located at Emmy Noetherweg 2, 2333 BK Leiden, The Netherlands. Our telephone number is +31 (0)71 203</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6410. Investors should contact us for any inquiries at the address and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386" w:right="1440" w:bottom="1440" w:gutter="0" w:footer="0" w:header="0"/>
        </w:sectPr>
      </w:pPr>
    </w:p>
    <w:bookmarkStart w:id="12" w:name="page13"/>
    <w:bookmarkEnd w:id="12"/>
    <w:p>
      <w:pPr>
        <w:ind w:left="380" w:right="419"/>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581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581400"/>
                    </a:xfrm>
                    <a:prstGeom prst="rect">
                      <a:avLst/>
                    </a:prstGeom>
                    <a:noFill/>
                  </pic:spPr>
                </pic:pic>
              </a:graphicData>
            </a:graphic>
          </wp:anchor>
        </w:drawing>
        <w:t xml:space="preserve">telephone number of our principal executive office. Our principal website is </w:t>
      </w:r>
      <w:r>
        <w:rPr>
          <w:rFonts w:ascii="Times New Roman" w:cs="Times New Roman" w:eastAsia="Times New Roman" w:hAnsi="Times New Roman"/>
          <w:sz w:val="14"/>
          <w:szCs w:val="14"/>
          <w:i w:val="1"/>
          <w:iCs w:val="1"/>
          <w:color w:val="auto"/>
        </w:rPr>
        <w:t>www.pharvaris.com</w:t>
      </w:r>
      <w:r>
        <w:rPr>
          <w:rFonts w:ascii="Times New Roman" w:cs="Times New Roman" w:eastAsia="Times New Roman" w:hAnsi="Times New Roman"/>
          <w:sz w:val="14"/>
          <w:szCs w:val="14"/>
          <w:color w:val="auto"/>
        </w:rPr>
        <w:t>. The information contained on our website is not a part of this prospectus.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1" w:lineRule="exact"/>
        <w:rPr>
          <w:sz w:val="20"/>
          <w:szCs w:val="20"/>
          <w:color w:val="auto"/>
        </w:rPr>
      </w:pPr>
    </w:p>
    <w:p>
      <w:pPr>
        <w:ind w:left="380" w:right="479" w:firstLine="329"/>
        <w:spacing w:after="0" w:line="264" w:lineRule="auto"/>
        <w:rPr>
          <w:sz w:val="20"/>
          <w:szCs w:val="20"/>
          <w:color w:val="auto"/>
        </w:rPr>
      </w:pPr>
      <w:r>
        <w:rPr>
          <w:rFonts w:ascii="Times New Roman" w:cs="Times New Roman" w:eastAsia="Times New Roman" w:hAnsi="Times New Roman"/>
          <w:sz w:val="14"/>
          <w:szCs w:val="14"/>
          <w:color w:val="auto"/>
        </w:rPr>
        <w:t>We report under the Exchange Act, as a non-U.S. company with foreign private issuer status. As such, we are permitted to follow certain governance practices of the Netherlands instead of those otherwise required under SEC or the Nasdaq Stock Market, or Nasdaq, rules for domestic issuers, including:</w:t>
      </w:r>
    </w:p>
    <w:p>
      <w:pPr>
        <w:spacing w:after="0" w:line="64" w:lineRule="exact"/>
        <w:rPr>
          <w:sz w:val="20"/>
          <w:szCs w:val="20"/>
          <w:color w:val="auto"/>
        </w:rPr>
      </w:pPr>
    </w:p>
    <w:p>
      <w:pPr>
        <w:ind w:left="1100" w:right="459" w:hanging="306"/>
        <w:spacing w:after="0" w:line="280" w:lineRule="auto"/>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filing quarterly reports on Form 10-Q and current reports on Form 8-K disclosing significant events within four days of their occurrence.</w:t>
      </w:r>
    </w:p>
    <w:p>
      <w:pPr>
        <w:spacing w:after="0" w:line="52" w:lineRule="exact"/>
        <w:rPr>
          <w:rFonts w:ascii="Times New Roman" w:cs="Times New Roman" w:eastAsia="Times New Roman" w:hAnsi="Times New Roman"/>
          <w:sz w:val="14"/>
          <w:szCs w:val="14"/>
          <w:color w:val="auto"/>
        </w:rPr>
      </w:pPr>
    </w:p>
    <w:p>
      <w:pPr>
        <w:ind w:left="1100" w:right="699" w:hanging="306"/>
        <w:spacing w:after="0" w:line="280" w:lineRule="auto"/>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Section 16 rules regarding sales of ordinary shares by insiders, which will provide less data in this regard than to shareholders of U.S. companies that are subject to the Exchange Act.</w:t>
      </w:r>
    </w:p>
    <w:p>
      <w:pPr>
        <w:spacing w:after="0" w:line="52" w:lineRule="exact"/>
        <w:rPr>
          <w:rFonts w:ascii="Times New Roman" w:cs="Times New Roman" w:eastAsia="Times New Roman" w:hAnsi="Times New Roman"/>
          <w:sz w:val="14"/>
          <w:szCs w:val="14"/>
          <w:color w:val="auto"/>
        </w:rPr>
      </w:pPr>
    </w:p>
    <w:p>
      <w:pPr>
        <w:ind w:left="1100" w:right="659" w:hanging="306"/>
        <w:spacing w:after="0" w:line="280" w:lineRule="auto"/>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Nasdaq rules applicable to U.S. issuers requiring disclosure within four business days of any determination to grant a waiver of the code of business conduct and ethics to directors and officers.</w:t>
      </w:r>
    </w:p>
    <w:p>
      <w:pPr>
        <w:spacing w:after="0" w:line="52" w:lineRule="exact"/>
        <w:rPr>
          <w:rFonts w:ascii="Times New Roman" w:cs="Times New Roman" w:eastAsia="Times New Roman" w:hAnsi="Times New Roman"/>
          <w:sz w:val="14"/>
          <w:szCs w:val="14"/>
          <w:color w:val="auto"/>
        </w:rPr>
      </w:pPr>
    </w:p>
    <w:p>
      <w:pPr>
        <w:ind w:left="1100" w:right="619" w:hanging="306"/>
        <w:spacing w:after="0" w:line="280" w:lineRule="auto"/>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that we provide in our bylaws for a generally applicable quorum and that such quorum not be less than one-third of the outstanding voting stock.</w:t>
      </w:r>
    </w:p>
    <w:p>
      <w:pPr>
        <w:spacing w:after="0" w:line="52" w:lineRule="exact"/>
        <w:rPr>
          <w:rFonts w:ascii="Times New Roman" w:cs="Times New Roman" w:eastAsia="Times New Roman" w:hAnsi="Times New Roman"/>
          <w:sz w:val="14"/>
          <w:szCs w:val="14"/>
          <w:color w:val="auto"/>
        </w:rPr>
      </w:pPr>
    </w:p>
    <w:p>
      <w:pPr>
        <w:ind w:left="1100" w:right="799" w:hanging="306"/>
        <w:spacing w:after="0" w:line="280" w:lineRule="auto"/>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that we solicit proxies and provide proxy statements for all meetings of Shareholders and shall provide copies of such proxy solicitation to Nasdaq.</w:t>
      </w:r>
    </w:p>
    <w:p>
      <w:pPr>
        <w:spacing w:after="0" w:line="52" w:lineRule="exact"/>
        <w:rPr>
          <w:rFonts w:ascii="Times New Roman" w:cs="Times New Roman" w:eastAsia="Times New Roman" w:hAnsi="Times New Roman"/>
          <w:sz w:val="14"/>
          <w:szCs w:val="14"/>
          <w:color w:val="auto"/>
        </w:rPr>
      </w:pPr>
    </w:p>
    <w:p>
      <w:pPr>
        <w:ind w:left="1100" w:right="539" w:hanging="306"/>
        <w:spacing w:after="0" w:line="264" w:lineRule="auto"/>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7" w:lineRule="exact"/>
        <w:rPr>
          <w:sz w:val="20"/>
          <w:szCs w:val="20"/>
          <w:color w:val="auto"/>
        </w:rPr>
      </w:pPr>
    </w:p>
    <w:p>
      <w:pPr>
        <w:ind w:left="380" w:right="519" w:firstLine="329"/>
        <w:spacing w:after="0" w:line="280" w:lineRule="auto"/>
        <w:rPr>
          <w:sz w:val="20"/>
          <w:szCs w:val="20"/>
          <w:color w:val="auto"/>
        </w:rPr>
      </w:pPr>
      <w:r>
        <w:rPr>
          <w:rFonts w:ascii="Times New Roman" w:cs="Times New Roman" w:eastAsia="Times New Roman" w:hAnsi="Times New Roman"/>
          <w:sz w:val="14"/>
          <w:szCs w:val="14"/>
          <w:color w:val="auto"/>
        </w:rPr>
        <w:t>Nasdaq Rule 5615(a)(3) provides that a foreign private issuer may rely on home country corporate governance practices in lieu of certain of the rules in the Nasdaq Rule 5600 Series, Rule 5250(b)(3) and Rule 5250(d).</w:t>
      </w:r>
    </w:p>
    <w:p>
      <w:pPr>
        <w:spacing w:after="0" w:line="125" w:lineRule="exact"/>
        <w:rPr>
          <w:sz w:val="20"/>
          <w:szCs w:val="20"/>
          <w:color w:val="auto"/>
        </w:rPr>
      </w:pPr>
    </w:p>
    <w:p>
      <w:pPr>
        <w:ind w:left="380" w:right="719" w:firstLine="329"/>
        <w:spacing w:after="0" w:line="264" w:lineRule="auto"/>
        <w:rPr>
          <w:sz w:val="20"/>
          <w:szCs w:val="20"/>
          <w:color w:val="auto"/>
        </w:rPr>
      </w:pPr>
      <w:r>
        <w:rPr>
          <w:rFonts w:ascii="Times New Roman" w:cs="Times New Roman" w:eastAsia="Times New Roman" w:hAnsi="Times New Roman"/>
          <w:sz w:val="14"/>
          <w:szCs w:val="14"/>
          <w:color w:val="auto"/>
        </w:rPr>
        <w:t>Because we are a foreign private issuer, our directors and senior management are not subject to short-swing profit and insider trading reporting obligations under Section 16 of the Exchange Act. They are, however, subject to the obligation to report changes in share ownership under Section 13 of the Exchange Act and related SEC rules.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384" w:right="1440" w:bottom="1440" w:gutter="0" w:footer="0" w:header="0"/>
        </w:sectPr>
      </w:pPr>
    </w:p>
    <w:bookmarkStart w:id="13" w:name="page14"/>
    <w:bookmarkEnd w:id="13"/>
    <w:tbl>
      <w:tblPr>
        <w:tblLayout w:type="fixed"/>
        <w:tblInd w:w="250" w:type="dxa"/>
        <w:tblCellMar>
          <w:top w:w="0" w:type="dxa"/>
          <w:left w:w="0" w:type="dxa"/>
          <w:bottom w:w="0" w:type="dxa"/>
          <w:right w:w="0" w:type="dxa"/>
        </w:tblCellMar>
      </w:tblPr>
      <w:tr>
        <w:trPr>
          <w:trHeight w:val="318"/>
        </w:trPr>
        <w:tc>
          <w:tcPr>
            <w:tcW w:w="3080" w:type="dxa"/>
            <w:vAlign w:val="bottom"/>
            <w:tcBorders>
              <w:top w:val="single" w:sz="8" w:color="auto"/>
              <w:lef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5"/>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Pharvaris N.V.</w:t>
            </w:r>
          </w:p>
        </w:tc>
      </w:tr>
      <w:tr>
        <w:trPr>
          <w:trHeight w:val="348"/>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 that may be offered and sold</w:t>
            </w: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6,045,155 Ordinary Shares.</w:t>
            </w:r>
          </w:p>
        </w:tc>
      </w:tr>
      <w:tr>
        <w:trPr>
          <w:trHeight w:val="184"/>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from time to time by the selling securityholder</w:t>
            </w:r>
          </w:p>
        </w:tc>
        <w:tc>
          <w:tcPr>
            <w:tcW w:w="5460" w:type="dxa"/>
            <w:vAlign w:val="bottom"/>
            <w:tcBorders>
              <w:right w:val="single" w:sz="8" w:color="auto"/>
            </w:tcBorders>
          </w:tcPr>
          <w:p>
            <w:pPr>
              <w:spacing w:after="0"/>
              <w:rPr>
                <w:sz w:val="15"/>
                <w:szCs w:val="15"/>
                <w:color w:val="auto"/>
              </w:rPr>
            </w:pPr>
          </w:p>
        </w:tc>
      </w:tr>
      <w:tr>
        <w:trPr>
          <w:trHeight w:val="350"/>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All of the Ordinary Shares offered by the selling securityholder pursuant to this prospectus</w:t>
            </w:r>
          </w:p>
        </w:tc>
      </w:tr>
      <w:tr>
        <w:trPr>
          <w:trHeight w:val="167"/>
        </w:trPr>
        <w:tc>
          <w:tcPr>
            <w:tcW w:w="308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will be sold by the selling securityholder for its account. We will not receive any of the</w:t>
            </w:r>
          </w:p>
        </w:tc>
      </w:tr>
      <w:tr>
        <w:trPr>
          <w:trHeight w:val="182"/>
        </w:trPr>
        <w:tc>
          <w:tcPr>
            <w:tcW w:w="3080" w:type="dxa"/>
            <w:vAlign w:val="bottom"/>
            <w:tcBorders>
              <w:left w:val="single" w:sz="8" w:color="auto"/>
            </w:tcBorders>
          </w:tcPr>
          <w:p>
            <w:pPr>
              <w:spacing w:after="0"/>
              <w:rPr>
                <w:sz w:val="15"/>
                <w:szCs w:val="15"/>
                <w:color w:val="auto"/>
              </w:rPr>
            </w:pP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proceeds from such sales.</w:t>
            </w:r>
          </w:p>
        </w:tc>
      </w:tr>
      <w:tr>
        <w:trPr>
          <w:trHeight w:val="340"/>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You should read the “Risk Factors” section of this prospectus, as well as those risks and</w:t>
            </w:r>
          </w:p>
        </w:tc>
      </w:tr>
      <w:tr>
        <w:trPr>
          <w:trHeight w:val="167"/>
        </w:trPr>
        <w:tc>
          <w:tcPr>
            <w:tcW w:w="308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uncertainties identified in the documents incorporated by reference herein, including our</w:t>
            </w:r>
          </w:p>
        </w:tc>
      </w:tr>
      <w:tr>
        <w:trPr>
          <w:trHeight w:val="167"/>
        </w:trPr>
        <w:tc>
          <w:tcPr>
            <w:tcW w:w="3080" w:type="dxa"/>
            <w:vAlign w:val="bottom"/>
            <w:tcBorders>
              <w:left w:val="single" w:sz="8" w:color="auto"/>
            </w:tcBorders>
          </w:tcPr>
          <w:p>
            <w:pPr>
              <w:spacing w:after="0"/>
              <w:rPr>
                <w:sz w:val="14"/>
                <w:szCs w:val="14"/>
                <w:color w:val="auto"/>
              </w:rPr>
            </w:pP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most recent Annual Report on Form 20-F, for a discussion of factors to consider carefully</w:t>
            </w:r>
          </w:p>
        </w:tc>
      </w:tr>
      <w:tr>
        <w:trPr>
          <w:trHeight w:val="182"/>
        </w:trPr>
        <w:tc>
          <w:tcPr>
            <w:tcW w:w="3080" w:type="dxa"/>
            <w:vAlign w:val="bottom"/>
            <w:tcBorders>
              <w:left w:val="single" w:sz="8" w:color="auto"/>
            </w:tcBorders>
          </w:tcPr>
          <w:p>
            <w:pPr>
              <w:spacing w:after="0"/>
              <w:rPr>
                <w:sz w:val="15"/>
                <w:szCs w:val="15"/>
                <w:color w:val="auto"/>
              </w:rPr>
            </w:pP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before deciding to purchase our Ordinary Shares.</w:t>
            </w:r>
          </w:p>
        </w:tc>
      </w:tr>
      <w:tr>
        <w:trPr>
          <w:trHeight w:val="355"/>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The Nasdaq Global Select Market Symbol</w:t>
            </w:r>
          </w:p>
        </w:tc>
        <w:tc>
          <w:tcPr>
            <w:tcW w:w="54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“PHVS.”</w:t>
            </w:r>
          </w:p>
        </w:tc>
      </w:tr>
      <w:tr>
        <w:trPr>
          <w:trHeight w:val="131"/>
        </w:trPr>
        <w:tc>
          <w:tcPr>
            <w:tcW w:w="3080" w:type="dxa"/>
            <w:vAlign w:val="bottom"/>
            <w:tcBorders>
              <w:left w:val="single" w:sz="8" w:color="auto"/>
              <w:bottom w:val="single" w:sz="8" w:color="auto"/>
            </w:tcBorders>
          </w:tcPr>
          <w:p>
            <w:pPr>
              <w:spacing w:after="0"/>
              <w:rPr>
                <w:sz w:val="11"/>
                <w:szCs w:val="11"/>
                <w:color w:val="auto"/>
              </w:rPr>
            </w:pPr>
          </w:p>
        </w:tc>
        <w:tc>
          <w:tcPr>
            <w:tcW w:w="5460" w:type="dxa"/>
            <w:vAlign w:val="bottom"/>
            <w:tcBorders>
              <w:bottom w:val="single" w:sz="8" w:color="auto"/>
              <w:right w:val="single" w:sz="8" w:color="auto"/>
            </w:tcBorders>
          </w:tcPr>
          <w:p>
            <w:pPr>
              <w:spacing w:after="0"/>
              <w:rPr>
                <w:sz w:val="11"/>
                <w:szCs w:val="11"/>
                <w:color w:val="auto"/>
              </w:rPr>
            </w:pPr>
          </w:p>
        </w:tc>
      </w:tr>
      <w:tr>
        <w:trPr>
          <w:trHeight w:val="277"/>
        </w:trPr>
        <w:tc>
          <w:tcPr>
            <w:tcW w:w="3080" w:type="dxa"/>
            <w:vAlign w:val="bottom"/>
          </w:tcPr>
          <w:p>
            <w:pPr>
              <w:spacing w:after="0"/>
              <w:rPr>
                <w:sz w:val="24"/>
                <w:szCs w:val="24"/>
                <w:color w:val="auto"/>
              </w:rPr>
            </w:pPr>
          </w:p>
        </w:tc>
        <w:tc>
          <w:tcPr>
            <w:tcW w:w="546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10</w:t>
            </w:r>
          </w:p>
        </w:tc>
      </w:tr>
    </w:tbl>
    <w:p>
      <w:pPr>
        <w:ind w:left="112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RISK FACTORS</w:t>
      </w:r>
    </w:p>
    <w:p>
      <w:pPr>
        <w:spacing w:after="0" w:line="175" w:lineRule="exact"/>
        <w:rPr>
          <w:sz w:val="20"/>
          <w:szCs w:val="20"/>
          <w:color w:val="auto"/>
        </w:rPr>
      </w:pPr>
    </w:p>
    <w:p>
      <w:pPr>
        <w:ind w:left="240" w:right="419" w:firstLine="340"/>
        <w:spacing w:after="0" w:line="256" w:lineRule="auto"/>
        <w:rPr>
          <w:sz w:val="20"/>
          <w:szCs w:val="20"/>
          <w:color w:val="auto"/>
        </w:rPr>
      </w:pPr>
      <w:r>
        <w:rPr>
          <w:rFonts w:ascii="Times New Roman" w:cs="Times New Roman" w:eastAsia="Times New Roman" w:hAnsi="Times New Roman"/>
          <w:sz w:val="14"/>
          <w:szCs w:val="14"/>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PROCEEDS</w:t>
      </w:r>
    </w:p>
    <w:p>
      <w:pPr>
        <w:spacing w:after="0" w:line="175" w:lineRule="exact"/>
        <w:rPr>
          <w:sz w:val="20"/>
          <w:szCs w:val="20"/>
          <w:color w:val="auto"/>
        </w:rPr>
      </w:pPr>
    </w:p>
    <w:p>
      <w:pPr>
        <w:ind w:left="240" w:right="339" w:firstLine="340"/>
        <w:spacing w:after="0" w:line="259" w:lineRule="auto"/>
        <w:rPr>
          <w:sz w:val="20"/>
          <w:szCs w:val="20"/>
          <w:color w:val="auto"/>
        </w:rPr>
      </w:pPr>
      <w:r>
        <w:rPr>
          <w:rFonts w:ascii="Times New Roman" w:cs="Times New Roman" w:eastAsia="Times New Roman" w:hAnsi="Times New Roman"/>
          <w:sz w:val="14"/>
          <w:szCs w:val="14"/>
          <w:color w:val="auto"/>
        </w:rPr>
        <w:t>All of the Ordinary Shares offered by the selling securityholder pursuant to this prospectus will be sold by the selling securityholder for its account. We will not receive any of the proceeds from such sales. We will pay certain expenses associated with the registration of the securities covered by this prospectus, as described in the section “Plan of Distribution.” The selling securityholder will bear all commissions and discounts, if any, attributable to its sales of Ordinary Shares.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SELLING SECURITYHOLDER</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This prospectus relates to the possible offer and sale from time to time of up to 6,045,155 Ordinary Shares held by the selling securityholder.</w:t>
      </w:r>
    </w:p>
    <w:p>
      <w:pPr>
        <w:spacing w:after="0" w:line="173" w:lineRule="exact"/>
        <w:rPr>
          <w:sz w:val="20"/>
          <w:szCs w:val="20"/>
          <w:color w:val="auto"/>
        </w:rPr>
      </w:pPr>
    </w:p>
    <w:p>
      <w:pPr>
        <w:ind w:left="240" w:right="279" w:firstLine="340"/>
        <w:spacing w:after="0" w:line="259" w:lineRule="auto"/>
        <w:rPr>
          <w:sz w:val="20"/>
          <w:szCs w:val="20"/>
          <w:color w:val="auto"/>
        </w:rPr>
      </w:pPr>
      <w:r>
        <w:rPr>
          <w:rFonts w:ascii="Times New Roman" w:cs="Times New Roman" w:eastAsia="Times New Roman" w:hAnsi="Times New Roman"/>
          <w:sz w:val="14"/>
          <w:szCs w:val="14"/>
          <w:color w:val="auto"/>
        </w:rPr>
        <w:t>The selling securityholder may from time to time offer and sell any or all of the Ordinary Shares set forth below pursuant to this prospectus. When we refer to the “selling securityholder” in this prospectus, we mean the entity listed in the table below, and the permitted transferees of such entity who later come to hold the selling securityholder’s interest in our securities after the date of this prospectus in accordance with the terms of the Registration Rights Agreement.</w:t>
      </w:r>
    </w:p>
    <w:p>
      <w:pPr>
        <w:spacing w:after="0" w:line="140" w:lineRule="exact"/>
        <w:rPr>
          <w:sz w:val="20"/>
          <w:szCs w:val="20"/>
          <w:color w:val="auto"/>
        </w:rPr>
      </w:pPr>
    </w:p>
    <w:p>
      <w:pPr>
        <w:ind w:left="240" w:right="339" w:firstLine="340"/>
        <w:spacing w:after="0" w:line="259" w:lineRule="auto"/>
        <w:rPr>
          <w:sz w:val="20"/>
          <w:szCs w:val="20"/>
          <w:color w:val="auto"/>
        </w:rPr>
      </w:pPr>
      <w:r>
        <w:rPr>
          <w:rFonts w:ascii="Times New Roman" w:cs="Times New Roman" w:eastAsia="Times New Roman" w:hAnsi="Times New Roman"/>
          <w:sz w:val="14"/>
          <w:szCs w:val="14"/>
          <w:color w:val="auto"/>
        </w:rPr>
        <w:t>The following table is prepared based on information provided to us by the selling securityholder. It sets forth the name and address of the selling securityholder, the aggregate number of Ordinary Shares that the selling securityholder may offer pursuant to this prospectus, and the beneficial ownership of the selling securityholder both before and after the offering. We have based percentage ownership in the following table on 64,954,646 of the Company’s Ordinary Shares outstanding as of September 18, 2025.</w:t>
      </w:r>
    </w:p>
    <w:p>
      <w:pPr>
        <w:spacing w:after="0" w:line="140" w:lineRule="exact"/>
        <w:rPr>
          <w:sz w:val="20"/>
          <w:szCs w:val="20"/>
          <w:color w:val="auto"/>
        </w:rPr>
      </w:pPr>
    </w:p>
    <w:p>
      <w:pPr>
        <w:ind w:left="240" w:right="259" w:firstLine="340"/>
        <w:spacing w:after="0" w:line="255" w:lineRule="auto"/>
        <w:rPr>
          <w:sz w:val="20"/>
          <w:szCs w:val="20"/>
          <w:color w:val="auto"/>
        </w:rPr>
      </w:pPr>
      <w:r>
        <w:rPr>
          <w:rFonts w:ascii="Times New Roman" w:cs="Times New Roman" w:eastAsia="Times New Roman" w:hAnsi="Times New Roman"/>
          <w:sz w:val="14"/>
          <w:szCs w:val="14"/>
          <w:color w:val="auto"/>
        </w:rPr>
        <w:t>The entity listed below has beneficial ownership over its respective securities. The number of Ordinary Shares beneficially owned by the entity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September 18, 2025 through the exercise of any option, warrant or other right. Except as otherwise indicated, and subject to applicable community property laws, the person named in the table has sole voting and investment power with respect to all Ordinary Shares held by that person.</w:t>
      </w:r>
    </w:p>
    <w:p>
      <w:pPr>
        <w:spacing w:after="0" w:line="143" w:lineRule="exact"/>
        <w:rPr>
          <w:sz w:val="20"/>
          <w:szCs w:val="20"/>
          <w:color w:val="auto"/>
        </w:rPr>
      </w:pPr>
    </w:p>
    <w:p>
      <w:pPr>
        <w:ind w:left="240" w:right="739" w:firstLine="340"/>
        <w:spacing w:after="0" w:line="264" w:lineRule="auto"/>
        <w:rPr>
          <w:sz w:val="20"/>
          <w:szCs w:val="20"/>
          <w:color w:val="auto"/>
        </w:rPr>
      </w:pPr>
      <w:r>
        <w:rPr>
          <w:rFonts w:ascii="Times New Roman" w:cs="Times New Roman" w:eastAsia="Times New Roman" w:hAnsi="Times New Roman"/>
          <w:sz w:val="14"/>
          <w:szCs w:val="14"/>
          <w:color w:val="auto"/>
        </w:rPr>
        <w:t>We cannot advise you as to whether the selling securityholder will in fact sell any or all of such Ordinary Shares. In addition, the selling securityholder may sell, transfer or otherwise dispose of, at any time and from time to time, the Ordinary Shares in transactions exempt from the registration requirements of the Securities Act after the date of this prospectus, subject to applicable law.</w:t>
      </w:r>
    </w:p>
    <w:p>
      <w:pPr>
        <w:spacing w:after="0" w:line="137" w:lineRule="exact"/>
        <w:rPr>
          <w:sz w:val="20"/>
          <w:szCs w:val="20"/>
          <w:color w:val="auto"/>
        </w:rPr>
      </w:pPr>
    </w:p>
    <w:p>
      <w:pPr>
        <w:ind w:left="240" w:right="259" w:firstLine="340"/>
        <w:spacing w:after="0" w:line="256" w:lineRule="auto"/>
        <w:rPr>
          <w:sz w:val="20"/>
          <w:szCs w:val="20"/>
          <w:color w:val="auto"/>
        </w:rPr>
      </w:pPr>
      <w:r>
        <w:rPr>
          <w:rFonts w:ascii="Times New Roman" w:cs="Times New Roman" w:eastAsia="Times New Roman" w:hAnsi="Times New Roman"/>
          <w:sz w:val="14"/>
          <w:szCs w:val="14"/>
          <w:color w:val="auto"/>
        </w:rPr>
        <w:t>Selling securityholder information for each additional selling securityholder, if any, will be set forth by prospectus supplement to the extent required prior to the time of any offer or sale of the selling securityholder’s securities pursuant to this prospectus. Any prospectus supplement may add, update, substitute, or change the information contained in this prospectus, including the identity of the selling securityholder and the number of Ordinary Shares registered on its behalf. The selling securityholder may sell all, some or none of such securities in this offering. See the section titled “Plan of Distribution.”</w:t>
      </w:r>
    </w:p>
    <w:p>
      <w:pPr>
        <w:spacing w:after="0" w:line="157"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20" w:type="dxa"/>
            <w:vAlign w:val="bottom"/>
            <w:gridSpan w:val="2"/>
          </w:tcPr>
          <w:p>
            <w:pPr>
              <w:jc w:val="center"/>
              <w:ind w:left="764"/>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36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As a % of</w:t>
            </w:r>
          </w:p>
        </w:tc>
        <w:tc>
          <w:tcPr>
            <w:tcW w:w="180" w:type="dxa"/>
            <w:vAlign w:val="bottom"/>
          </w:tcPr>
          <w:p>
            <w:pPr>
              <w:spacing w:after="0"/>
              <w:rPr>
                <w:sz w:val="11"/>
                <w:szCs w:val="11"/>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76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3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760" w:type="dxa"/>
            <w:vAlign w:val="bottom"/>
            <w:gridSpan w:val="4"/>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Beneficially Owned After the</w:t>
            </w:r>
          </w:p>
        </w:tc>
        <w:tc>
          <w:tcPr>
            <w:tcW w:w="0" w:type="dxa"/>
            <w:vAlign w:val="bottom"/>
          </w:tcPr>
          <w:p>
            <w:pPr>
              <w:spacing w:after="0"/>
              <w:rPr>
                <w:sz w:val="1"/>
                <w:szCs w:val="1"/>
                <w:color w:val="auto"/>
              </w:rPr>
            </w:pPr>
          </w:p>
        </w:tc>
      </w:tr>
      <w:tr>
        <w:trPr>
          <w:trHeight w:val="125"/>
        </w:trPr>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Securityholder</w:t>
            </w:r>
          </w:p>
        </w:tc>
        <w:tc>
          <w:tcPr>
            <w:tcW w:w="82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Owned Prior to</w:t>
            </w:r>
          </w:p>
        </w:tc>
        <w:tc>
          <w:tcPr>
            <w:tcW w:w="1440" w:type="dxa"/>
            <w:vAlign w:val="bottom"/>
            <w:gridSpan w:val="3"/>
          </w:tcPr>
          <w:p>
            <w:pPr>
              <w:jc w:val="center"/>
              <w:ind w:left="24"/>
              <w:spacing w:after="0" w:line="125"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134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1760" w:type="dxa"/>
            <w:vAlign w:val="bottom"/>
            <w:gridSpan w:val="4"/>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Ordinary Shares are Sold</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95"/>
        </w:trPr>
        <w:tc>
          <w:tcPr>
            <w:tcW w:w="23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the Offering</w:t>
            </w:r>
          </w:p>
        </w:tc>
        <w:tc>
          <w:tcPr>
            <w:tcW w:w="360" w:type="dxa"/>
            <w:vAlign w:val="bottom"/>
          </w:tcPr>
          <w:p>
            <w:pPr>
              <w:spacing w:after="0"/>
              <w:rPr>
                <w:sz w:val="8"/>
                <w:szCs w:val="8"/>
                <w:color w:val="auto"/>
              </w:rPr>
            </w:pPr>
          </w:p>
        </w:tc>
        <w:tc>
          <w:tcPr>
            <w:tcW w:w="108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80" w:type="dxa"/>
            <w:vAlign w:val="bottom"/>
          </w:tcPr>
          <w:p>
            <w:pPr>
              <w:spacing w:after="0"/>
              <w:rPr>
                <w:sz w:val="8"/>
                <w:szCs w:val="8"/>
                <w:color w:val="auto"/>
              </w:rPr>
            </w:pPr>
          </w:p>
        </w:tc>
        <w:tc>
          <w:tcPr>
            <w:tcW w:w="1160" w:type="dxa"/>
            <w:vAlign w:val="bottom"/>
            <w:gridSpan w:val="2"/>
          </w:tcPr>
          <w:p>
            <w:pPr>
              <w:jc w:val="center"/>
              <w:ind w:right="360"/>
              <w:spacing w:after="0" w:line="95" w:lineRule="exact"/>
              <w:rPr>
                <w:sz w:val="20"/>
                <w:szCs w:val="20"/>
                <w:color w:val="auto"/>
              </w:rPr>
            </w:pPr>
            <w:r>
              <w:rPr>
                <w:rFonts w:ascii="Times New Roman" w:cs="Times New Roman" w:eastAsia="Times New Roman" w:hAnsi="Times New Roman"/>
                <w:sz w:val="10"/>
                <w:szCs w:val="10"/>
                <w:b w:val="1"/>
                <w:bCs w:val="1"/>
                <w:color w:val="auto"/>
              </w:rPr>
              <w:t>Being Offered</w:t>
            </w:r>
            <w:r>
              <w:rPr>
                <w:rFonts w:ascii="Times New Roman" w:cs="Times New Roman" w:eastAsia="Times New Roman" w:hAnsi="Times New Roman"/>
                <w:sz w:val="7"/>
                <w:szCs w:val="7"/>
                <w:b w:val="1"/>
                <w:bCs w:val="1"/>
                <w:color w:val="auto"/>
              </w:rPr>
              <w:t>(2)</w:t>
            </w:r>
          </w:p>
        </w:tc>
        <w:tc>
          <w:tcPr>
            <w:tcW w:w="1140" w:type="dxa"/>
            <w:vAlign w:val="bottom"/>
            <w:tcBorders>
              <w:top w:val="single" w:sz="8" w:color="auto"/>
            </w:tcBorders>
            <w:gridSpan w:val="2"/>
          </w:tcPr>
          <w:p>
            <w:pPr>
              <w:ind w:left="220"/>
              <w:spacing w:after="0" w:line="95" w:lineRule="exact"/>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tcBorders>
              <w:top w:val="single" w:sz="8" w:color="auto"/>
            </w:tcBorders>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Percent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2"/>
                <w:szCs w:val="12"/>
                <w:color w:val="auto"/>
              </w:rPr>
              <w:t>General Atlantic PH B.V.</w:t>
            </w:r>
            <w:r>
              <w:rPr>
                <w:rFonts w:ascii="Times New Roman" w:cs="Times New Roman" w:eastAsia="Times New Roman" w:hAnsi="Times New Roman"/>
                <w:sz w:val="17"/>
                <w:szCs w:val="17"/>
                <w:color w:val="auto"/>
                <w:vertAlign w:val="superscript"/>
              </w:rPr>
              <w:t>(1)</w:t>
            </w: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8,031,252</w:t>
            </w:r>
          </w:p>
        </w:tc>
        <w:tc>
          <w:tcPr>
            <w:tcW w:w="3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12.36%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6,045,155</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ind w:left="200"/>
              <w:spacing w:after="0" w:line="148" w:lineRule="exact"/>
              <w:rPr>
                <w:sz w:val="20"/>
                <w:szCs w:val="20"/>
                <w:color w:val="auto"/>
              </w:rPr>
            </w:pPr>
            <w:r>
              <w:rPr>
                <w:rFonts w:ascii="Times New Roman" w:cs="Times New Roman" w:eastAsia="Times New Roman" w:hAnsi="Times New Roman"/>
                <w:sz w:val="14"/>
                <w:szCs w:val="14"/>
                <w:color w:val="auto"/>
                <w:w w:val="96"/>
              </w:rPr>
              <w:t>1,986,097</w:t>
            </w:r>
          </w:p>
        </w:tc>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73025</wp:posOffset>
            </wp:positionV>
            <wp:extent cx="58991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915" cy="6350"/>
                    </a:xfrm>
                    <a:prstGeom prst="rect">
                      <a:avLst/>
                    </a:prstGeom>
                    <a:noFill/>
                  </pic:spPr>
                </pic:pic>
              </a:graphicData>
            </a:graphic>
          </wp:anchor>
        </w:drawing>
      </w:r>
    </w:p>
    <w:p>
      <w:pPr>
        <w:spacing w:after="0" w:line="111" w:lineRule="exact"/>
        <w:rPr>
          <w:sz w:val="20"/>
          <w:szCs w:val="20"/>
          <w:color w:val="auto"/>
        </w:rPr>
      </w:pPr>
    </w:p>
    <w:p>
      <w:pPr>
        <w:ind w:left="580" w:right="299" w:hanging="334"/>
        <w:spacing w:after="0" w:line="254" w:lineRule="auto"/>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8,031,252 Ordinary Shares held by General Atlantic PH B.V.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General Atlantic Cooperatief, L.P. (“GA Coop LP”), GAP Coinvestments III, LLC (“GAPCO III”), GAP Coinvestments IV, LLC (“GAPCO IV”), GAP Coinvestments V, LLC (“GAPCO V”), and GAP Coinvestments CDA, L.P. (“GAPCO CDA”). The general partner of GAP Lux is General Atlantic GenPar, (Lux) SCSp (“GA GenPar Lux”), and the general partner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8" w:right="1440" w:bottom="1440" w:gutter="0" w:footer="0" w:header="0"/>
        </w:sectPr>
      </w:pPr>
    </w:p>
    <w:bookmarkStart w:id="17" w:name="page18"/>
    <w:bookmarkEnd w:id="17"/>
    <w:p>
      <w:pPr>
        <w:ind w:left="580" w:right="3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GA GenPar Lux is General Atlantic (Lux) S.à r.l. (“GA Lux”). The general partner of GAP Bermuda IV and GAP Bermuda EU and the sole shareholder of GA Lux is General Atlantic GenPar (Bermuda), L.P. (“GenPar Bermuda”). GAP (Bermuda) L.P. (“GAP (Bermuda)”), which is ultimately controlled by the Partnership Committee of GASC MGP, LLC (the “GA Partnership Committee”), is the general partner of GenPar Bermuda and GA Coop LP. GA LP, which is also controlled by the GA Partnership Committee, is the managing member of GAPCO III, GAPCO IV and GAPCO V and the general partner of GAPCO CDA.GAP (Bermuda), GA LP,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1017 JZ, Amsterdam, The Netherlands. The address of GAP Lux, GA GenPar Lux and GA Lux is 412F, Route d’Esch, L-1471 Luxembourg. The address of GA LP, GAPCO III, GAPCO IV, GAPCO V, and GAPCO CDA is c/o General Atlantic Service Company, L.P., 55 East 52nd Street, 33rd Floor, New York, NY 10055. Each of the members of the GA Partnership Committee disclaims ownership of the shares except to the extent that he has a pecuniary interest therein.</w:t>
      </w:r>
    </w:p>
    <w:p>
      <w:pPr>
        <w:spacing w:after="0" w:line="7" w:lineRule="exact"/>
        <w:rPr>
          <w:sz w:val="20"/>
          <w:szCs w:val="20"/>
          <w:color w:val="auto"/>
        </w:rPr>
      </w:pPr>
    </w:p>
    <w:p>
      <w:pPr>
        <w:ind w:left="580" w:right="399" w:hanging="334"/>
        <w:spacing w:after="0" w:line="248"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in the column “Number of Ordinary Shares Being Offered” represents all of the Ordinary Shares that the selling securityholder may offer and sell from time to time under this prospectus.</w:t>
      </w:r>
    </w:p>
    <w:p>
      <w:pPr>
        <w:spacing w:after="0" w:line="1" w:lineRule="exact"/>
        <w:rPr>
          <w:rFonts w:ascii="Times New Roman" w:cs="Times New Roman" w:eastAsia="Times New Roman" w:hAnsi="Times New Roman"/>
          <w:sz w:val="14"/>
          <w:szCs w:val="14"/>
          <w:color w:val="auto"/>
        </w:rPr>
      </w:pPr>
    </w:p>
    <w:p>
      <w:pPr>
        <w:ind w:left="580" w:right="279" w:hanging="334"/>
        <w:spacing w:after="0" w:line="250"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when or in what amounts the selling securityholder may offer shares for sale. The selling securityholder might not sell any or might sell all of the shares offered by this prospectus. Because the selling securityholder may offer all or some of the shares pursuant to this prospectus, and because there are currently no agreements, arrangements or understandings with respect to the sale of any of the shares, we cannot estimate the number of the shares that will be held by the selling securityholder after completion of the offering. However, for purposes of this table, we have assumed that, after completion of the offering, none of the shares covered by this prospectus will be held by the selling securityholder.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MATERIAL UNITED STATES FEDERAL INCOME TAX AND DUTCH TAX CONSIDERATIONS</w:t>
      </w:r>
    </w:p>
    <w:p>
      <w:pPr>
        <w:spacing w:after="0" w:line="175" w:lineRule="exact"/>
        <w:rPr>
          <w:sz w:val="20"/>
          <w:szCs w:val="20"/>
          <w:color w:val="auto"/>
        </w:rPr>
      </w:pPr>
    </w:p>
    <w:p>
      <w:pPr>
        <w:ind w:left="240" w:right="359" w:firstLine="340"/>
        <w:spacing w:after="0" w:line="259" w:lineRule="auto"/>
        <w:rPr>
          <w:sz w:val="20"/>
          <w:szCs w:val="20"/>
          <w:color w:val="auto"/>
        </w:rPr>
      </w:pPr>
      <w:r>
        <w:rPr>
          <w:rFonts w:ascii="Times New Roman" w:cs="Times New Roman" w:eastAsia="Times New Roman" w:hAnsi="Times New Roman"/>
          <w:sz w:val="14"/>
          <w:szCs w:val="14"/>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40" w:lineRule="exact"/>
        <w:rPr>
          <w:sz w:val="20"/>
          <w:szCs w:val="20"/>
          <w:color w:val="auto"/>
        </w:rPr>
      </w:pPr>
    </w:p>
    <w:p>
      <w:pPr>
        <w:ind w:left="240" w:right="439" w:firstLine="340"/>
        <w:spacing w:after="0" w:line="280" w:lineRule="auto"/>
        <w:rPr>
          <w:sz w:val="20"/>
          <w:szCs w:val="20"/>
          <w:color w:val="auto"/>
        </w:rPr>
      </w:pPr>
      <w:r>
        <w:rPr>
          <w:rFonts w:ascii="Times New Roman" w:cs="Times New Roman" w:eastAsia="Times New Roman" w:hAnsi="Times New Roman"/>
          <w:sz w:val="14"/>
          <w:szCs w:val="14"/>
          <w:color w:val="auto"/>
        </w:rPr>
        <w:t>You should consult your own tax adviser regarding the applicable tax consequences to you of investing in our ordinary shares under the laws of the United States (federal, state and local), the Netherlands, and any other applicable jurisdiction.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to U.S. Holders</w:t>
      </w:r>
    </w:p>
    <w:p>
      <w:pPr>
        <w:spacing w:after="0" w:line="91" w:lineRule="exact"/>
        <w:rPr>
          <w:sz w:val="20"/>
          <w:szCs w:val="20"/>
          <w:color w:val="auto"/>
        </w:rPr>
      </w:pPr>
    </w:p>
    <w:p>
      <w:pPr>
        <w:ind w:left="240" w:right="339" w:firstLine="340"/>
        <w:spacing w:after="0" w:line="254" w:lineRule="auto"/>
        <w:rPr>
          <w:sz w:val="20"/>
          <w:szCs w:val="20"/>
          <w:color w:val="auto"/>
        </w:rPr>
      </w:pPr>
      <w:r>
        <w:rPr>
          <w:rFonts w:ascii="Times New Roman" w:cs="Times New Roman" w:eastAsia="Times New Roman" w:hAnsi="Times New Roman"/>
          <w:sz w:val="14"/>
          <w:szCs w:val="14"/>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70" w:lineRule="exact"/>
        <w:rPr>
          <w:sz w:val="20"/>
          <w:szCs w:val="20"/>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financial institutions;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 or expatriated entities subject to Section 7874 of the Code;</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traders in securities who use a mark-to-market method of tax accounting;</w:t>
      </w:r>
    </w:p>
    <w:p>
      <w:pPr>
        <w:spacing w:after="0" w:line="99" w:lineRule="exact"/>
        <w:rPr>
          <w:rFonts w:ascii="Times New Roman" w:cs="Times New Roman" w:eastAsia="Times New Roman" w:hAnsi="Times New Roman"/>
          <w:sz w:val="14"/>
          <w:szCs w:val="14"/>
          <w:color w:val="auto"/>
        </w:rPr>
      </w:pPr>
    </w:p>
    <w:p>
      <w:pPr>
        <w:ind w:left="1000" w:right="319" w:hanging="336"/>
        <w:spacing w:after="0" w:line="280"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for U.S. federal income tax purposes is not the U.S. dollar;</w:t>
      </w:r>
    </w:p>
    <w:p>
      <w:pPr>
        <w:spacing w:after="0" w:line="99" w:lineRule="exact"/>
        <w:rPr>
          <w:rFonts w:ascii="Times New Roman" w:cs="Times New Roman" w:eastAsia="Times New Roman" w:hAnsi="Times New Roman"/>
          <w:sz w:val="14"/>
          <w:szCs w:val="14"/>
          <w:color w:val="auto"/>
        </w:rPr>
      </w:pPr>
    </w:p>
    <w:p>
      <w:pPr>
        <w:ind w:left="1000" w:right="499" w:hanging="336"/>
        <w:spacing w:after="0" w:line="280"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S corporations or other pass-through entities for U.S. federal income tax purposes or investors in such entities or arrangements;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retirement accounts” or “Roth IRAs” or other tax-deferred accounts;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persons that acquire ordinary shares directly or indirectly in connection with the performance of services;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subject to Section 451(b) of the Code;</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ten percent or more of our shares (by vote or value);</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real estate investment trusts, real estate mortgage investment conduits; or</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in connection with a trade or business conducted outside of the United States.</w:t>
      </w:r>
    </w:p>
    <w:p>
      <w:pPr>
        <w:spacing w:after="0" w:line="173" w:lineRule="exact"/>
        <w:rPr>
          <w:sz w:val="20"/>
          <w:szCs w:val="20"/>
          <w:color w:val="auto"/>
        </w:rPr>
      </w:pPr>
    </w:p>
    <w:p>
      <w:pPr>
        <w:ind w:left="240" w:right="279" w:firstLine="340"/>
        <w:spacing w:after="0" w:line="264" w:lineRule="auto"/>
        <w:rPr>
          <w:sz w:val="20"/>
          <w:szCs w:val="20"/>
          <w:color w:val="auto"/>
        </w:rPr>
      </w:pPr>
      <w:r>
        <w:rPr>
          <w:rFonts w:ascii="Times New Roman" w:cs="Times New Roman" w:eastAsia="Times New Roman" w:hAnsi="Times New Roman"/>
          <w:sz w:val="14"/>
          <w:szCs w:val="14"/>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(or other entity or arrangement that is classified as partnership for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19" w:name="page20"/>
    <w:bookmarkEnd w:id="19"/>
    <w:p>
      <w:pPr>
        <w:ind w:left="240" w:right="519"/>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 federal income tax purposes) holding ordinary shares and partners in such partnerships or other entity should consult their tax advisers as to the particular U.S. federal income tax consequences of owning and disposing of ordinary shares.</w:t>
      </w:r>
    </w:p>
    <w:p>
      <w:pPr>
        <w:spacing w:after="0" w:line="125" w:lineRule="exact"/>
        <w:rPr>
          <w:sz w:val="20"/>
          <w:szCs w:val="20"/>
          <w:color w:val="auto"/>
        </w:rPr>
      </w:pPr>
    </w:p>
    <w:p>
      <w:pPr>
        <w:ind w:left="240" w:right="339" w:firstLine="340"/>
        <w:spacing w:after="0" w:line="255" w:lineRule="auto"/>
        <w:rPr>
          <w:sz w:val="20"/>
          <w:szCs w:val="20"/>
          <w:color w:val="auto"/>
        </w:rPr>
      </w:pPr>
      <w:r>
        <w:rPr>
          <w:rFonts w:ascii="Times New Roman" w:cs="Times New Roman" w:eastAsia="Times New Roman" w:hAnsi="Times New Roman"/>
          <w:sz w:val="14"/>
          <w:szCs w:val="14"/>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3" w:lineRule="exact"/>
        <w:rPr>
          <w:sz w:val="20"/>
          <w:szCs w:val="20"/>
          <w:color w:val="auto"/>
        </w:rPr>
      </w:pPr>
    </w:p>
    <w:p>
      <w:pPr>
        <w:ind w:left="240" w:right="319" w:firstLine="340"/>
        <w:spacing w:after="0" w:line="280" w:lineRule="auto"/>
        <w:rPr>
          <w:sz w:val="20"/>
          <w:szCs w:val="20"/>
          <w:color w:val="auto"/>
        </w:rPr>
      </w:pPr>
      <w:r>
        <w:rPr>
          <w:rFonts w:ascii="Times New Roman" w:cs="Times New Roman" w:eastAsia="Times New Roman" w:hAnsi="Times New Roman"/>
          <w:sz w:val="14"/>
          <w:szCs w:val="14"/>
          <w:color w:val="auto"/>
        </w:rPr>
        <w:t>A “U.S. Holder” is a holder who, for U.S. federal income tax purposes, is a beneficial owner of ordinary shares, who is eligible for the benefits of the Treaty and who is:</w:t>
      </w:r>
    </w:p>
    <w:p>
      <w:pPr>
        <w:spacing w:after="0" w:line="52" w:lineRule="exact"/>
        <w:rPr>
          <w:sz w:val="20"/>
          <w:szCs w:val="20"/>
          <w:color w:val="auto"/>
        </w:rPr>
      </w:pPr>
    </w:p>
    <w:p>
      <w:pPr>
        <w:ind w:left="1000" w:hanging="33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in the U.S.;</w:t>
      </w:r>
    </w:p>
    <w:p>
      <w:pPr>
        <w:spacing w:after="0" w:line="99" w:lineRule="exact"/>
        <w:rPr>
          <w:rFonts w:ascii="Times New Roman" w:cs="Times New Roman" w:eastAsia="Times New Roman" w:hAnsi="Times New Roman"/>
          <w:sz w:val="14"/>
          <w:szCs w:val="14"/>
          <w:color w:val="auto"/>
        </w:rPr>
      </w:pPr>
    </w:p>
    <w:p>
      <w:pPr>
        <w:ind w:left="1000" w:right="319" w:hanging="336"/>
        <w:spacing w:after="0" w:line="280"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in or under the laws of the United States, any state therein or the District of Columbia;</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9" w:lineRule="exact"/>
        <w:rPr>
          <w:rFonts w:ascii="Times New Roman" w:cs="Times New Roman" w:eastAsia="Times New Roman" w:hAnsi="Times New Roman"/>
          <w:sz w:val="14"/>
          <w:szCs w:val="14"/>
          <w:color w:val="auto"/>
        </w:rPr>
      </w:pPr>
    </w:p>
    <w:p>
      <w:pPr>
        <w:ind w:left="1000" w:right="359" w:hanging="336"/>
        <w:spacing w:after="0" w:line="264"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7" w:lineRule="exact"/>
        <w:rPr>
          <w:sz w:val="20"/>
          <w:szCs w:val="20"/>
          <w:color w:val="auto"/>
        </w:rPr>
      </w:pPr>
    </w:p>
    <w:p>
      <w:pPr>
        <w:ind w:left="240" w:right="539" w:firstLine="340"/>
        <w:spacing w:after="0" w:line="256" w:lineRule="auto"/>
        <w:rPr>
          <w:sz w:val="20"/>
          <w:szCs w:val="20"/>
          <w:color w:val="auto"/>
        </w:rPr>
      </w:pPr>
      <w:r>
        <w:rPr>
          <w:rFonts w:ascii="Times New Roman" w:cs="Times New Roman" w:eastAsia="Times New Roman" w:hAnsi="Times New Roman"/>
          <w:sz w:val="14"/>
          <w:szCs w:val="14"/>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Taxation of Distributions</w:t>
      </w:r>
    </w:p>
    <w:p>
      <w:pPr>
        <w:spacing w:after="0" w:line="91" w:lineRule="exact"/>
        <w:rPr>
          <w:sz w:val="20"/>
          <w:szCs w:val="20"/>
          <w:color w:val="auto"/>
        </w:rPr>
      </w:pPr>
    </w:p>
    <w:p>
      <w:pPr>
        <w:ind w:left="240" w:right="299" w:firstLine="340"/>
        <w:spacing w:after="0" w:line="251" w:lineRule="auto"/>
        <w:rPr>
          <w:sz w:val="20"/>
          <w:szCs w:val="20"/>
          <w:color w:val="auto"/>
        </w:rPr>
      </w:pPr>
      <w:r>
        <w:rPr>
          <w:rFonts w:ascii="Times New Roman" w:cs="Times New Roman" w:eastAsia="Times New Roman" w:hAnsi="Times New Roman"/>
          <w:sz w:val="14"/>
          <w:szCs w:val="14"/>
          <w:color w:val="auto"/>
        </w:rPr>
        <w:t>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20" w:name="page21"/>
    <w:bookmarkEnd w:id="20"/>
    <w:p>
      <w:pPr>
        <w:ind w:left="240" w:right="379" w:firstLine="340"/>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43" w:lineRule="exact"/>
        <w:rPr>
          <w:sz w:val="20"/>
          <w:szCs w:val="20"/>
          <w:color w:val="auto"/>
        </w:rPr>
      </w:pPr>
    </w:p>
    <w:p>
      <w:pPr>
        <w:ind w:left="240" w:right="319" w:firstLine="340"/>
        <w:spacing w:after="0" w:line="254" w:lineRule="auto"/>
        <w:rPr>
          <w:sz w:val="20"/>
          <w:szCs w:val="20"/>
          <w:color w:val="auto"/>
        </w:rPr>
      </w:pPr>
      <w:r>
        <w:rPr>
          <w:rFonts w:ascii="Times New Roman" w:cs="Times New Roman" w:eastAsia="Times New Roman" w:hAnsi="Times New Roman"/>
          <w:sz w:val="14"/>
          <w:szCs w:val="14"/>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Sale or Other Disposition of Ordinary Shares</w:t>
      </w:r>
    </w:p>
    <w:p>
      <w:pPr>
        <w:spacing w:after="0" w:line="91" w:lineRule="exact"/>
        <w:rPr>
          <w:sz w:val="20"/>
          <w:szCs w:val="20"/>
          <w:color w:val="auto"/>
        </w:rPr>
      </w:pPr>
    </w:p>
    <w:p>
      <w:pPr>
        <w:ind w:left="240" w:right="299" w:firstLine="340"/>
        <w:spacing w:after="0" w:line="255" w:lineRule="auto"/>
        <w:rPr>
          <w:sz w:val="20"/>
          <w:szCs w:val="20"/>
          <w:color w:val="auto"/>
        </w:rPr>
      </w:pPr>
      <w:r>
        <w:rPr>
          <w:rFonts w:ascii="Times New Roman" w:cs="Times New Roman" w:eastAsia="Times New Roman" w:hAnsi="Times New Roman"/>
          <w:sz w:val="14"/>
          <w:szCs w:val="14"/>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Rules</w:t>
      </w:r>
    </w:p>
    <w:p>
      <w:pPr>
        <w:spacing w:after="0" w:line="91" w:lineRule="exact"/>
        <w:rPr>
          <w:sz w:val="20"/>
          <w:szCs w:val="20"/>
          <w:color w:val="auto"/>
        </w:rPr>
      </w:pPr>
    </w:p>
    <w:p>
      <w:pPr>
        <w:ind w:left="240" w:right="259" w:firstLine="340"/>
        <w:spacing w:after="0" w:line="253" w:lineRule="auto"/>
        <w:rPr>
          <w:sz w:val="20"/>
          <w:szCs w:val="20"/>
          <w:color w:val="auto"/>
        </w:rPr>
      </w:pPr>
      <w:r>
        <w:rPr>
          <w:rFonts w:ascii="Times New Roman" w:cs="Times New Roman" w:eastAsia="Times New Roman" w:hAnsi="Times New Roman"/>
          <w:sz w:val="14"/>
          <w:szCs w:val="14"/>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w:t>
      </w:r>
    </w:p>
    <w:p>
      <w:pPr>
        <w:spacing w:after="0" w:line="1" w:lineRule="exact"/>
        <w:rPr>
          <w:sz w:val="20"/>
          <w:szCs w:val="20"/>
          <w:color w:val="auto"/>
        </w:rPr>
      </w:pPr>
    </w:p>
    <w:p>
      <w:pPr>
        <w:ind w:left="240" w:right="259"/>
        <w:spacing w:after="0" w:line="249" w:lineRule="auto"/>
        <w:rPr>
          <w:sz w:val="20"/>
          <w:szCs w:val="20"/>
          <w:color w:val="auto"/>
        </w:rPr>
      </w:pPr>
      <w:r>
        <w:rPr>
          <w:rFonts w:ascii="Times New Roman" w:cs="Times New Roman" w:eastAsia="Times New Roman" w:hAnsi="Times New Roman"/>
          <w:sz w:val="14"/>
          <w:szCs w:val="14"/>
          <w:color w:val="auto"/>
        </w:rPr>
        <w:t>certain non-active royalties and capital gains. Based on the nature of our business, our financial statements, and our expectations about the nature and amount of our income, assets and activities we do not believe we were a PFIC in 2024 and we do not expect to be a PFIC in 2025 or in the foreseeable future. In addition, we may, directly or indirectly, hold equity interests in other PFICs, or lower-tier PFICs. Whether we or any of our subsidiaries will be a PFIC in 2025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2025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21" w:name="page22"/>
    <w:bookmarkEnd w:id="21"/>
    <w:p>
      <w:pPr>
        <w:ind w:left="240" w:right="579"/>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threshold requirements for PFIC status, unless under certain circumstances the U.S. Holder makes a valid deemed sale or deemed dividend election under the applicable Treasury regulations with respect to its ordinary shares.</w:t>
      </w:r>
    </w:p>
    <w:p>
      <w:pPr>
        <w:spacing w:after="0" w:line="125" w:lineRule="exact"/>
        <w:rPr>
          <w:sz w:val="20"/>
          <w:szCs w:val="20"/>
          <w:color w:val="auto"/>
        </w:rPr>
      </w:pPr>
    </w:p>
    <w:p>
      <w:pPr>
        <w:ind w:left="240" w:right="439" w:firstLine="340"/>
        <w:spacing w:after="0" w:line="259" w:lineRule="auto"/>
        <w:rPr>
          <w:sz w:val="20"/>
          <w:szCs w:val="20"/>
          <w:color w:val="auto"/>
        </w:rPr>
      </w:pPr>
      <w:r>
        <w:rPr>
          <w:rFonts w:ascii="Times New Roman" w:cs="Times New Roman" w:eastAsia="Times New Roman" w:hAnsi="Times New Roman"/>
          <w:sz w:val="14"/>
          <w:szCs w:val="14"/>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40" w:lineRule="exact"/>
        <w:rPr>
          <w:sz w:val="20"/>
          <w:szCs w:val="20"/>
          <w:color w:val="auto"/>
        </w:rPr>
      </w:pPr>
    </w:p>
    <w:p>
      <w:pPr>
        <w:ind w:left="240" w:right="279" w:firstLine="340"/>
        <w:spacing w:after="0" w:line="252" w:lineRule="auto"/>
        <w:rPr>
          <w:sz w:val="20"/>
          <w:szCs w:val="20"/>
          <w:color w:val="auto"/>
        </w:rPr>
      </w:pPr>
      <w:r>
        <w:rPr>
          <w:rFonts w:ascii="Times New Roman" w:cs="Times New Roman" w:eastAsia="Times New Roman" w:hAnsi="Times New Roman"/>
          <w:sz w:val="14"/>
          <w:szCs w:val="14"/>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48" w:lineRule="exact"/>
        <w:rPr>
          <w:sz w:val="20"/>
          <w:szCs w:val="20"/>
          <w:color w:val="auto"/>
        </w:rPr>
      </w:pPr>
    </w:p>
    <w:p>
      <w:pPr>
        <w:ind w:left="240" w:right="259" w:firstLine="340"/>
        <w:spacing w:after="0" w:line="251" w:lineRule="auto"/>
        <w:rPr>
          <w:sz w:val="20"/>
          <w:szCs w:val="20"/>
          <w:color w:val="auto"/>
        </w:rPr>
      </w:pPr>
      <w:r>
        <w:rPr>
          <w:rFonts w:ascii="Times New Roman" w:cs="Times New Roman" w:eastAsia="Times New Roman" w:hAnsi="Times New Roman"/>
          <w:sz w:val="14"/>
          <w:szCs w:val="14"/>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w:t>
      </w:r>
    </w:p>
    <w:p>
      <w:pPr>
        <w:spacing w:after="0" w:line="2" w:lineRule="exact"/>
        <w:rPr>
          <w:sz w:val="20"/>
          <w:szCs w:val="20"/>
          <w:color w:val="auto"/>
        </w:rPr>
      </w:pPr>
    </w:p>
    <w:p>
      <w:pPr>
        <w:ind w:left="240" w:right="339"/>
        <w:spacing w:after="0" w:line="251" w:lineRule="auto"/>
        <w:rPr>
          <w:sz w:val="20"/>
          <w:szCs w:val="20"/>
          <w:color w:val="auto"/>
        </w:rPr>
      </w:pPr>
      <w:r>
        <w:rPr>
          <w:rFonts w:ascii="Times New Roman" w:cs="Times New Roman" w:eastAsia="Times New Roman" w:hAnsi="Times New Roman"/>
          <w:sz w:val="14"/>
          <w:szCs w:val="14"/>
          <w:color w:val="auto"/>
        </w:rPr>
        <w:t>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45" w:lineRule="exact"/>
        <w:rPr>
          <w:sz w:val="20"/>
          <w:szCs w:val="20"/>
          <w:color w:val="auto"/>
        </w:rPr>
      </w:pPr>
    </w:p>
    <w:p>
      <w:pPr>
        <w:ind w:left="240" w:right="359" w:firstLine="340"/>
        <w:spacing w:after="0" w:line="253" w:lineRule="auto"/>
        <w:rPr>
          <w:sz w:val="20"/>
          <w:szCs w:val="20"/>
          <w:color w:val="auto"/>
        </w:rPr>
      </w:pPr>
      <w:r>
        <w:rPr>
          <w:rFonts w:ascii="Times New Roman" w:cs="Times New Roman" w:eastAsia="Times New Roman" w:hAnsi="Times New Roman"/>
          <w:sz w:val="14"/>
          <w:szCs w:val="14"/>
          <w:color w:val="auto"/>
        </w:rPr>
        <w:t>In addition, in order to avoid the application of the foregoing rules, a U.S.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 charge. If a U.S. person makes a QEF Election with respect to a PFIC, the U.S. person will be currently taxable on its pro rata share of the PFIC’s ordinary earnings and net capital gain (at ordinary income and capital gain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22" w:name="page23"/>
    <w:bookmarkEnd w:id="22"/>
    <w:p>
      <w:pPr>
        <w:ind w:left="240" w:right="2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50" w:lineRule="exact"/>
        <w:rPr>
          <w:sz w:val="20"/>
          <w:szCs w:val="20"/>
          <w:color w:val="auto"/>
        </w:rPr>
      </w:pPr>
    </w:p>
    <w:p>
      <w:pPr>
        <w:jc w:val="both"/>
        <w:ind w:left="240" w:right="299" w:firstLine="340"/>
        <w:spacing w:after="0" w:line="264" w:lineRule="auto"/>
        <w:rPr>
          <w:sz w:val="20"/>
          <w:szCs w:val="20"/>
          <w:color w:val="auto"/>
        </w:rPr>
      </w:pPr>
      <w:r>
        <w:rPr>
          <w:rFonts w:ascii="Times New Roman" w:cs="Times New Roman" w:eastAsia="Times New Roman" w:hAnsi="Times New Roman"/>
          <w:sz w:val="14"/>
          <w:szCs w:val="14"/>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7" w:lineRule="exact"/>
        <w:rPr>
          <w:sz w:val="20"/>
          <w:szCs w:val="20"/>
          <w:color w:val="auto"/>
        </w:rPr>
      </w:pPr>
    </w:p>
    <w:p>
      <w:pPr>
        <w:ind w:left="240" w:right="279" w:firstLine="340"/>
        <w:spacing w:after="0" w:line="264" w:lineRule="auto"/>
        <w:rPr>
          <w:sz w:val="20"/>
          <w:szCs w:val="20"/>
          <w:color w:val="auto"/>
        </w:rPr>
      </w:pPr>
      <w:r>
        <w:rPr>
          <w:rFonts w:ascii="Times New Roman" w:cs="Times New Roman" w:eastAsia="Times New Roman" w:hAnsi="Times New Roman"/>
          <w:sz w:val="14"/>
          <w:szCs w:val="14"/>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7" w:lineRule="exact"/>
        <w:rPr>
          <w:sz w:val="20"/>
          <w:szCs w:val="20"/>
          <w:color w:val="auto"/>
        </w:rPr>
      </w:pPr>
    </w:p>
    <w:p>
      <w:pPr>
        <w:ind w:left="240" w:right="339" w:firstLine="340"/>
        <w:spacing w:after="0" w:line="256" w:lineRule="auto"/>
        <w:rPr>
          <w:sz w:val="20"/>
          <w:szCs w:val="20"/>
          <w:color w:val="auto"/>
        </w:rPr>
      </w:pPr>
      <w:r>
        <w:rPr>
          <w:rFonts w:ascii="Times New Roman" w:cs="Times New Roman" w:eastAsia="Times New Roman" w:hAnsi="Times New Roman"/>
          <w:sz w:val="14"/>
          <w:szCs w:val="14"/>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With respect to Foreign Financial Assets</w:t>
      </w:r>
    </w:p>
    <w:p>
      <w:pPr>
        <w:spacing w:after="0" w:line="91" w:lineRule="exact"/>
        <w:rPr>
          <w:sz w:val="20"/>
          <w:szCs w:val="20"/>
          <w:color w:val="auto"/>
        </w:rPr>
      </w:pPr>
    </w:p>
    <w:p>
      <w:pPr>
        <w:ind w:left="240" w:right="299" w:firstLine="340"/>
        <w:spacing w:after="0" w:line="280" w:lineRule="auto"/>
        <w:rPr>
          <w:sz w:val="20"/>
          <w:szCs w:val="20"/>
          <w:color w:val="auto"/>
        </w:rPr>
      </w:pPr>
      <w:r>
        <w:rPr>
          <w:rFonts w:ascii="Times New Roman" w:cs="Times New Roman" w:eastAsia="Times New Roman" w:hAnsi="Times New Roman"/>
          <w:sz w:val="13"/>
          <w:szCs w:val="13"/>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240" w:right="539" w:firstLine="6"/>
        <w:spacing w:after="0" w:line="257" w:lineRule="auto"/>
        <w:tabs>
          <w:tab w:leader="none" w:pos="44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backup withholding, the U.S. Holder provides a correct taxpayer identification number and certifies that it is not subject to backup withholding.</w:t>
      </w:r>
    </w:p>
    <w:p>
      <w:pPr>
        <w:spacing w:after="0" w:line="141" w:lineRule="exact"/>
        <w:rPr>
          <w:sz w:val="20"/>
          <w:szCs w:val="20"/>
          <w:color w:val="auto"/>
        </w:rPr>
      </w:pPr>
    </w:p>
    <w:p>
      <w:pPr>
        <w:ind w:left="240" w:right="299" w:firstLine="340"/>
        <w:spacing w:after="0" w:line="280" w:lineRule="auto"/>
        <w:rPr>
          <w:sz w:val="20"/>
          <w:szCs w:val="20"/>
          <w:color w:val="auto"/>
        </w:rPr>
      </w:pPr>
      <w:r>
        <w:rPr>
          <w:rFonts w:ascii="Times New Roman" w:cs="Times New Roman" w:eastAsia="Times New Roman" w:hAnsi="Times New Roman"/>
          <w:sz w:val="14"/>
          <w:szCs w:val="14"/>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240" w:right="279" w:firstLine="340"/>
        <w:spacing w:after="0" w:line="259" w:lineRule="auto"/>
        <w:rPr>
          <w:sz w:val="20"/>
          <w:szCs w:val="20"/>
          <w:color w:val="auto"/>
        </w:rPr>
      </w:pPr>
      <w:r>
        <w:rPr>
          <w:rFonts w:ascii="Times New Roman" w:cs="Times New Roman" w:eastAsia="Times New Roman" w:hAnsi="Times New Roman"/>
          <w:sz w:val="14"/>
          <w:szCs w:val="14"/>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Material Dutch Tax Considerations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Scope of Discussion</w:t>
      </w:r>
    </w:p>
    <w:p>
      <w:pPr>
        <w:spacing w:after="0" w:line="91" w:lineRule="exact"/>
        <w:rPr>
          <w:sz w:val="20"/>
          <w:szCs w:val="20"/>
          <w:color w:val="auto"/>
        </w:rPr>
      </w:pPr>
    </w:p>
    <w:p>
      <w:pPr>
        <w:ind w:left="240" w:right="299" w:firstLine="340"/>
        <w:spacing w:after="0" w:line="259" w:lineRule="auto"/>
        <w:rPr>
          <w:sz w:val="20"/>
          <w:szCs w:val="20"/>
          <w:color w:val="auto"/>
        </w:rPr>
      </w:pPr>
      <w:r>
        <w:rPr>
          <w:rFonts w:ascii="Times New Roman" w:cs="Times New Roman" w:eastAsia="Times New Roman" w:hAnsi="Times New Roman"/>
          <w:sz w:val="14"/>
          <w:szCs w:val="14"/>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40" w:lineRule="exact"/>
        <w:rPr>
          <w:sz w:val="20"/>
          <w:szCs w:val="20"/>
          <w:color w:val="auto"/>
        </w:rPr>
      </w:pPr>
    </w:p>
    <w:p>
      <w:pPr>
        <w:ind w:left="240" w:right="279" w:firstLine="340"/>
        <w:spacing w:after="0" w:line="259" w:lineRule="auto"/>
        <w:rPr>
          <w:sz w:val="20"/>
          <w:szCs w:val="20"/>
          <w:color w:val="auto"/>
        </w:rPr>
      </w:pPr>
      <w:r>
        <w:rPr>
          <w:rFonts w:ascii="Times New Roman" w:cs="Times New Roman" w:eastAsia="Times New Roman" w:hAnsi="Times New Roman"/>
          <w:sz w:val="14"/>
          <w:szCs w:val="14"/>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40" w:lineRule="exact"/>
        <w:rPr>
          <w:sz w:val="20"/>
          <w:szCs w:val="20"/>
          <w:color w:val="auto"/>
        </w:rPr>
      </w:pPr>
    </w:p>
    <w:p>
      <w:pPr>
        <w:ind w:left="240" w:right="559" w:firstLine="340"/>
        <w:spacing w:after="0" w:line="256" w:lineRule="auto"/>
        <w:rPr>
          <w:sz w:val="20"/>
          <w:szCs w:val="20"/>
          <w:color w:val="auto"/>
        </w:rPr>
      </w:pPr>
      <w:r>
        <w:rPr>
          <w:rFonts w:ascii="Times New Roman" w:cs="Times New Roman" w:eastAsia="Times New Roman" w:hAnsi="Times New Roman"/>
          <w:sz w:val="14"/>
          <w:szCs w:val="14"/>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41" w:lineRule="exact"/>
        <w:rPr>
          <w:sz w:val="20"/>
          <w:szCs w:val="20"/>
          <w:color w:val="auto"/>
        </w:rPr>
      </w:pPr>
    </w:p>
    <w:p>
      <w:pPr>
        <w:ind w:left="240" w:right="339" w:firstLine="340"/>
        <w:spacing w:after="0" w:line="266" w:lineRule="auto"/>
        <w:rPr>
          <w:sz w:val="20"/>
          <w:szCs w:val="20"/>
          <w:color w:val="auto"/>
        </w:rPr>
      </w:pPr>
      <w:r>
        <w:rPr>
          <w:rFonts w:ascii="Times New Roman" w:cs="Times New Roman" w:eastAsia="Times New Roman" w:hAnsi="Times New Roman"/>
          <w:sz w:val="14"/>
          <w:szCs w:val="14"/>
          <w:color w:val="auto"/>
        </w:rPr>
        <w:t>This section does not describe any Dutch tax considerations or consequences arising from the Dutch Minimum Tax Act 2024 (</w:t>
      </w:r>
      <w:r>
        <w:rPr>
          <w:rFonts w:ascii="Times New Roman" w:cs="Times New Roman" w:eastAsia="Times New Roman" w:hAnsi="Times New Roman"/>
          <w:sz w:val="14"/>
          <w:szCs w:val="14"/>
          <w:i w:val="1"/>
          <w:iCs w:val="1"/>
          <w:color w:val="auto"/>
        </w:rPr>
        <w:t>Wet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minimumbelasting 2024</w:t>
      </w:r>
      <w:r>
        <w:rPr>
          <w:rFonts w:ascii="Times New Roman" w:cs="Times New Roman" w:eastAsia="Times New Roman" w:hAnsi="Times New Roman"/>
          <w:sz w:val="14"/>
          <w:szCs w:val="14"/>
          <w:color w:val="auto"/>
        </w:rPr>
        <w:t>; the Dutch implementation of Directive (EU) 2022/2523 of 14 December 2022 on ensuring a global minimum level of taxation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multinational enterprise groups and large-scale domestic groups in the European Union) which may be relevant for a particular holder.</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Please note that this section does not describe the Dutch tax consequences for:</w:t>
      </w:r>
    </w:p>
    <w:p>
      <w:pPr>
        <w:spacing w:after="0" w:line="98" w:lineRule="exact"/>
        <w:rPr>
          <w:sz w:val="20"/>
          <w:szCs w:val="20"/>
          <w:color w:val="auto"/>
        </w:rPr>
      </w:pPr>
    </w:p>
    <w:p>
      <w:pPr>
        <w:ind w:left="1000" w:right="259" w:hanging="420"/>
        <w:spacing w:after="0" w:line="253"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if such holder has a substantial interest (</w:t>
      </w:r>
      <w:r>
        <w:rPr>
          <w:rFonts w:ascii="Times New Roman" w:cs="Times New Roman" w:eastAsia="Times New Roman" w:hAnsi="Times New Roman"/>
          <w:sz w:val="14"/>
          <w:szCs w:val="14"/>
          <w:i w:val="1"/>
          <w:iCs w:val="1"/>
          <w:color w:val="auto"/>
        </w:rPr>
        <w:t>aanmerkelijk belang</w:t>
      </w:r>
      <w:r>
        <w:rPr>
          <w:rFonts w:ascii="Times New Roman" w:cs="Times New Roman" w:eastAsia="Times New Roman" w:hAnsi="Times New Roman"/>
          <w:sz w:val="14"/>
          <w:szCs w:val="14"/>
          <w:color w:val="auto"/>
        </w:rPr>
        <w:t>) or deemed substantial interest (</w:t>
      </w:r>
      <w:r>
        <w:rPr>
          <w:rFonts w:ascii="Times New Roman" w:cs="Times New Roman" w:eastAsia="Times New Roman" w:hAnsi="Times New Roman"/>
          <w:sz w:val="14"/>
          <w:szCs w:val="14"/>
          <w:i w:val="1"/>
          <w:iCs w:val="1"/>
          <w:color w:val="auto"/>
        </w:rPr>
        <w:t>fictief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aanmerkelijk belang</w:t>
      </w:r>
      <w:r>
        <w:rPr>
          <w:rFonts w:ascii="Times New Roman" w:cs="Times New Roman" w:eastAsia="Times New Roman" w:hAnsi="Times New Roman"/>
          <w:sz w:val="14"/>
          <w:szCs w:val="14"/>
          <w:color w:val="auto"/>
        </w:rPr>
        <w:t>) in us under the Dutch Income Tax Act 2001 (</w:t>
      </w:r>
      <w:r>
        <w:rPr>
          <w:rFonts w:ascii="Times New Roman" w:cs="Times New Roman" w:eastAsia="Times New Roman" w:hAnsi="Times New Roman"/>
          <w:sz w:val="14"/>
          <w:szCs w:val="14"/>
          <w:i w:val="1"/>
          <w:iCs w:val="1"/>
          <w:color w:val="auto"/>
        </w:rPr>
        <w:t>Wet inkomstenbelasting 2001</w:t>
      </w:r>
      <w:r>
        <w:rPr>
          <w:rFonts w:ascii="Times New Roman" w:cs="Times New Roman" w:eastAsia="Times New Roman" w:hAnsi="Times New Roman"/>
          <w:sz w:val="14"/>
          <w:szCs w:val="14"/>
          <w:color w:val="auto"/>
        </w:rPr>
        <w:t>). Generally, a holder of securities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69" w:lineRule="exact"/>
        <w:rPr>
          <w:rFonts w:ascii="Times New Roman" w:cs="Times New Roman" w:eastAsia="Times New Roman" w:hAnsi="Times New Roman"/>
          <w:sz w:val="14"/>
          <w:szCs w:val="14"/>
          <w:color w:val="auto"/>
        </w:rPr>
      </w:pPr>
    </w:p>
    <w:p>
      <w:pPr>
        <w:ind w:left="1000" w:right="299" w:hanging="420"/>
        <w:spacing w:after="0" w:line="257"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if the ordinary shares held by such holder qualify or qualified as a participation (</w:t>
      </w:r>
      <w:r>
        <w:rPr>
          <w:rFonts w:ascii="Times New Roman" w:cs="Times New Roman" w:eastAsia="Times New Roman" w:hAnsi="Times New Roman"/>
          <w:sz w:val="14"/>
          <w:szCs w:val="14"/>
          <w:i w:val="1"/>
          <w:iCs w:val="1"/>
          <w:color w:val="auto"/>
        </w:rPr>
        <w:t>deelneming</w:t>
      </w:r>
      <w:r>
        <w:rPr>
          <w:rFonts w:ascii="Times New Roman" w:cs="Times New Roman" w:eastAsia="Times New Roman" w:hAnsi="Times New Roman"/>
          <w:sz w:val="14"/>
          <w:szCs w:val="14"/>
          <w:color w:val="auto"/>
        </w:rPr>
        <w:t>) for purposes of the Dutch Corporate Income Tax Act 1969 (</w:t>
      </w:r>
      <w:r>
        <w:rPr>
          <w:rFonts w:ascii="Times New Roman" w:cs="Times New Roman" w:eastAsia="Times New Roman" w:hAnsi="Times New Roman"/>
          <w:sz w:val="14"/>
          <w:szCs w:val="14"/>
          <w:i w:val="1"/>
          <w:iCs w:val="1"/>
          <w:color w:val="auto"/>
        </w:rPr>
        <w:t>Wet op de vennootschapsbelasting 1969</w:t>
      </w:r>
      <w:r>
        <w:rPr>
          <w:rFonts w:ascii="Times New Roman" w:cs="Times New Roman" w:eastAsia="Times New Roman" w:hAnsi="Times New Roman"/>
          <w:sz w:val="14"/>
          <w:szCs w:val="14"/>
          <w:color w:val="auto"/>
        </w:rPr>
        <w:t>). Generally, a holder’s shareholding of, or right to acquire, 5% or more in a company’s nominal paid-in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24" w:name="page25"/>
    <w:bookmarkEnd w:id="24"/>
    <w:p>
      <w:pPr>
        <w:ind w:left="1000" w:hanging="420"/>
        <w:spacing w:after="0"/>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 holder of our ordinary shares which is or who is entitled to or required to apply the dividend withholding tax exemption</w:t>
      </w:r>
    </w:p>
    <w:p>
      <w:pPr>
        <w:spacing w:after="0" w:line="20" w:lineRule="exact"/>
        <w:rPr>
          <w:rFonts w:ascii="Times New Roman" w:cs="Times New Roman" w:eastAsia="Times New Roman" w:hAnsi="Times New Roman"/>
          <w:sz w:val="14"/>
          <w:szCs w:val="14"/>
          <w:color w:val="auto"/>
        </w:rPr>
      </w:pPr>
    </w:p>
    <w:p>
      <w:pPr>
        <w:ind w:left="1000" w:right="2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inhoudingsvrijstelling</w:t>
      </w:r>
      <w:r>
        <w:rPr>
          <w:rFonts w:ascii="Times New Roman" w:cs="Times New Roman" w:eastAsia="Times New Roman" w:hAnsi="Times New Roman"/>
          <w:sz w:val="14"/>
          <w:szCs w:val="14"/>
          <w:color w:val="auto"/>
        </w:rPr>
        <w:t>) with respect to any income (</w:t>
      </w:r>
      <w:r>
        <w:rPr>
          <w:rFonts w:ascii="Times New Roman" w:cs="Times New Roman" w:eastAsia="Times New Roman" w:hAnsi="Times New Roman"/>
          <w:sz w:val="14"/>
          <w:szCs w:val="14"/>
          <w:i w:val="1"/>
          <w:iCs w:val="1"/>
          <w:color w:val="auto"/>
        </w:rPr>
        <w:t>opbrengst</w:t>
      </w:r>
      <w:r>
        <w:rPr>
          <w:rFonts w:ascii="Times New Roman" w:cs="Times New Roman" w:eastAsia="Times New Roman" w:hAnsi="Times New Roman"/>
          <w:sz w:val="14"/>
          <w:szCs w:val="14"/>
          <w:color w:val="auto"/>
        </w:rPr>
        <w:t>) derived from the ordinary shares (as defined in Article 4 of the Dutch Dividend Withholding Tax Act 1965 (</w:t>
      </w:r>
      <w:r>
        <w:rPr>
          <w:rFonts w:ascii="Times New Roman" w:cs="Times New Roman" w:eastAsia="Times New Roman" w:hAnsi="Times New Roman"/>
          <w:sz w:val="14"/>
          <w:szCs w:val="14"/>
          <w:i w:val="1"/>
          <w:iCs w:val="1"/>
          <w:color w:val="auto"/>
        </w:rPr>
        <w:t>Wet op de dividendbelasting</w:t>
      </w:r>
      <w:r>
        <w:rPr>
          <w:rFonts w:ascii="Times New Roman" w:cs="Times New Roman" w:eastAsia="Times New Roman" w:hAnsi="Times New Roman"/>
          <w:sz w:val="14"/>
          <w:szCs w:val="14"/>
          <w:color w:val="auto"/>
        </w:rPr>
        <w:t>)). Generally, a holder of our ordinary shares may be entitled or required to apply, subject to certain other requirements, the dividend withholding tax exemption if it is an entity and holds an interest of 5% or more in our nominal paid-in share capital;</w:t>
      </w:r>
    </w:p>
    <w:p>
      <w:pPr>
        <w:spacing w:after="0" w:line="71" w:lineRule="exact"/>
        <w:rPr>
          <w:rFonts w:ascii="Times New Roman" w:cs="Times New Roman" w:eastAsia="Times New Roman" w:hAnsi="Times New Roman"/>
          <w:sz w:val="14"/>
          <w:szCs w:val="14"/>
          <w:color w:val="auto"/>
        </w:rPr>
      </w:pPr>
    </w:p>
    <w:p>
      <w:pPr>
        <w:ind w:left="1000" w:right="259" w:hanging="420"/>
        <w:spacing w:after="0" w:line="255"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funds, investment institutions (</w:t>
      </w:r>
      <w:r>
        <w:rPr>
          <w:rFonts w:ascii="Times New Roman" w:cs="Times New Roman" w:eastAsia="Times New Roman" w:hAnsi="Times New Roman"/>
          <w:sz w:val="14"/>
          <w:szCs w:val="14"/>
          <w:i w:val="1"/>
          <w:iCs w:val="1"/>
          <w:color w:val="auto"/>
        </w:rPr>
        <w:t>fiscale beleggingsinstellingen</w:t>
      </w:r>
      <w:r>
        <w:rPr>
          <w:rFonts w:ascii="Times New Roman" w:cs="Times New Roman" w:eastAsia="Times New Roman" w:hAnsi="Times New Roman"/>
          <w:sz w:val="14"/>
          <w:szCs w:val="14"/>
          <w:color w:val="auto"/>
        </w:rPr>
        <w:t>), tax exempt investment institutions (</w:t>
      </w:r>
      <w:r>
        <w:rPr>
          <w:rFonts w:ascii="Times New Roman" w:cs="Times New Roman" w:eastAsia="Times New Roman" w:hAnsi="Times New Roman"/>
          <w:sz w:val="14"/>
          <w:szCs w:val="14"/>
          <w:i w:val="1"/>
          <w:iCs w:val="1"/>
          <w:color w:val="auto"/>
        </w:rPr>
        <w:t>vrijgestelde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beleggingsinstellingen</w:t>
      </w:r>
      <w:r>
        <w:rPr>
          <w:rFonts w:ascii="Times New Roman" w:cs="Times New Roman" w:eastAsia="Times New Roman" w:hAnsi="Times New Roman"/>
          <w:sz w:val="14"/>
          <w:szCs w:val="14"/>
          <w:color w:val="auto"/>
        </w:rPr>
        <w:t>) (each as defined in the Dutch Corporate Income Tax Act 1969) and other entities that are, in whole or in part,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71" w:lineRule="exact"/>
        <w:rPr>
          <w:rFonts w:ascii="Times New Roman" w:cs="Times New Roman" w:eastAsia="Times New Roman" w:hAnsi="Times New Roman"/>
          <w:sz w:val="14"/>
          <w:szCs w:val="14"/>
          <w:color w:val="auto"/>
        </w:rPr>
      </w:pPr>
    </w:p>
    <w:p>
      <w:pPr>
        <w:ind w:left="1000" w:right="279" w:hanging="420"/>
        <w:spacing w:after="0" w:line="264"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if such holder is an individual for whom the ordinary shares or any benefit derived from the ordinary shares is a remuneration or deemed to be a remuneration for (employment) activities performed by such holder or certain individuals related to such holders (as defined in the Dutch Income Tax Act 2001);</w:t>
      </w:r>
    </w:p>
    <w:p>
      <w:pPr>
        <w:spacing w:after="0" w:line="63"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outstanding options, restricted stock units or pre-funded warrants; and</w:t>
      </w:r>
    </w:p>
    <w:p>
      <w:pPr>
        <w:spacing w:after="0" w:line="99" w:lineRule="exact"/>
        <w:rPr>
          <w:rFonts w:ascii="Times New Roman" w:cs="Times New Roman" w:eastAsia="Times New Roman" w:hAnsi="Times New Roman"/>
          <w:sz w:val="14"/>
          <w:szCs w:val="14"/>
          <w:color w:val="auto"/>
        </w:rPr>
      </w:pPr>
    </w:p>
    <w:p>
      <w:pPr>
        <w:ind w:left="1000" w:right="459" w:hanging="420"/>
        <w:spacing w:after="0" w:line="264"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our ordinary shares that are entities resident in Aruba, Curaçao, or Sint Maarten, conducting a business through a permanent establishment (</w:t>
      </w:r>
      <w:r>
        <w:rPr>
          <w:rFonts w:ascii="Times New Roman" w:cs="Times New Roman" w:eastAsia="Times New Roman" w:hAnsi="Times New Roman"/>
          <w:sz w:val="14"/>
          <w:szCs w:val="14"/>
          <w:i w:val="1"/>
          <w:iCs w:val="1"/>
          <w:color w:val="auto"/>
        </w:rPr>
        <w:t>vaste inrichting</w:t>
      </w:r>
      <w:r>
        <w:rPr>
          <w:rFonts w:ascii="Times New Roman" w:cs="Times New Roman" w:eastAsia="Times New Roman" w:hAnsi="Times New Roman"/>
          <w:sz w:val="14"/>
          <w:szCs w:val="14"/>
          <w:color w:val="auto"/>
        </w:rPr>
        <w:t>) or permanent representative (</w:t>
      </w:r>
      <w:r>
        <w:rPr>
          <w:rFonts w:ascii="Times New Roman" w:cs="Times New Roman" w:eastAsia="Times New Roman" w:hAnsi="Times New Roman"/>
          <w:sz w:val="14"/>
          <w:szCs w:val="14"/>
          <w:i w:val="1"/>
          <w:iCs w:val="1"/>
          <w:color w:val="auto"/>
        </w:rPr>
        <w:t>vaste vertegenwoordiger</w:t>
      </w:r>
      <w:r>
        <w:rPr>
          <w:rFonts w:ascii="Times New Roman" w:cs="Times New Roman" w:eastAsia="Times New Roman" w:hAnsi="Times New Roman"/>
          <w:sz w:val="14"/>
          <w:szCs w:val="14"/>
          <w:color w:val="auto"/>
        </w:rPr>
        <w:t>) in Bonaire, Sint Eustatius, or Saba, to which our ordinary shares are attributable.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Withholding Tax on Dividends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Regular Dutch Dividend Withholding Tax</w:t>
      </w:r>
    </w:p>
    <w:p>
      <w:pPr>
        <w:spacing w:after="0" w:line="91" w:lineRule="exact"/>
        <w:rPr>
          <w:sz w:val="20"/>
          <w:szCs w:val="20"/>
          <w:color w:val="auto"/>
        </w:rPr>
      </w:pPr>
    </w:p>
    <w:p>
      <w:pPr>
        <w:ind w:left="240" w:right="599" w:firstLine="340"/>
        <w:spacing w:after="0" w:line="320" w:lineRule="auto"/>
        <w:rPr>
          <w:sz w:val="20"/>
          <w:szCs w:val="20"/>
          <w:color w:val="auto"/>
        </w:rPr>
      </w:pPr>
      <w:r>
        <w:rPr>
          <w:rFonts w:ascii="Times New Roman" w:cs="Times New Roman" w:eastAsia="Times New Roman" w:hAnsi="Times New Roman"/>
          <w:sz w:val="13"/>
          <w:szCs w:val="13"/>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expression “dividends distributed” includes, among other things:</w:t>
      </w:r>
    </w:p>
    <w:p>
      <w:pPr>
        <w:spacing w:after="0" w:line="100" w:lineRule="exact"/>
        <w:rPr>
          <w:sz w:val="20"/>
          <w:szCs w:val="20"/>
          <w:color w:val="auto"/>
        </w:rPr>
      </w:pPr>
    </w:p>
    <w:p>
      <w:pPr>
        <w:ind w:left="1000" w:right="299" w:hanging="336"/>
        <w:spacing w:after="0" w:line="280" w:lineRule="auto"/>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in cash or in kind, deemed and constructive distributions and repayments of paid-in capital not recognized for Dutch dividend withholding tax purposes;</w:t>
      </w:r>
    </w:p>
    <w:p>
      <w:pPr>
        <w:spacing w:after="0" w:line="52" w:lineRule="exact"/>
        <w:rPr>
          <w:rFonts w:ascii="Times New Roman" w:cs="Times New Roman" w:eastAsia="Times New Roman" w:hAnsi="Times New Roman"/>
          <w:sz w:val="14"/>
          <w:szCs w:val="14"/>
          <w:color w:val="auto"/>
        </w:rPr>
      </w:pPr>
    </w:p>
    <w:p>
      <w:pPr>
        <w:ind w:left="1000" w:right="399" w:hanging="336"/>
        <w:spacing w:after="0" w:line="294" w:lineRule="auto"/>
        <w:tabs>
          <w:tab w:leader="none" w:pos="10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liquidation proceeds, proceeds of redemption of our ordinary shares, or proceeds of the repurchase of ordinary shares (other than as temporary portfolio investment; </w:t>
      </w:r>
      <w:r>
        <w:rPr>
          <w:rFonts w:ascii="Times New Roman" w:cs="Times New Roman" w:eastAsia="Times New Roman" w:hAnsi="Times New Roman"/>
          <w:sz w:val="13"/>
          <w:szCs w:val="13"/>
          <w:i w:val="1"/>
          <w:iCs w:val="1"/>
          <w:color w:val="auto"/>
        </w:rPr>
        <w:t>tijdelijke belegging</w:t>
      </w:r>
      <w:r>
        <w:rPr>
          <w:rFonts w:ascii="Times New Roman" w:cs="Times New Roman" w:eastAsia="Times New Roman" w:hAnsi="Times New Roman"/>
          <w:sz w:val="13"/>
          <w:szCs w:val="13"/>
          <w:color w:val="auto"/>
        </w:rPr>
        <w:t>) by us or one of our subsidiaries or other affiliated entities, in each case to the extent such proceeds exceed the average paid-in capital of those ordinary shares as recognized for Dutch dividend withholding tax purposes;</w:t>
      </w:r>
    </w:p>
    <w:p>
      <w:pPr>
        <w:spacing w:after="0" w:line="45" w:lineRule="exact"/>
        <w:rPr>
          <w:rFonts w:ascii="Times New Roman" w:cs="Times New Roman" w:eastAsia="Times New Roman" w:hAnsi="Times New Roman"/>
          <w:sz w:val="13"/>
          <w:szCs w:val="13"/>
          <w:color w:val="auto"/>
        </w:rPr>
      </w:pPr>
    </w:p>
    <w:p>
      <w:pPr>
        <w:ind w:left="1000" w:right="639" w:hanging="336"/>
        <w:spacing w:after="0" w:line="280" w:lineRule="auto"/>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par value of our ordinary shares issued or an increase of the par value of ordinary shares, to the extent that no related contribution, recognized for Dutch dividend withholding tax purposes, has been made or will be made; and</w:t>
      </w:r>
    </w:p>
    <w:p>
      <w:pPr>
        <w:spacing w:after="0" w:line="52" w:lineRule="exact"/>
        <w:rPr>
          <w:rFonts w:ascii="Times New Roman" w:cs="Times New Roman" w:eastAsia="Times New Roman" w:hAnsi="Times New Roman"/>
          <w:sz w:val="14"/>
          <w:szCs w:val="14"/>
          <w:color w:val="auto"/>
        </w:rPr>
      </w:pPr>
    </w:p>
    <w:p>
      <w:pPr>
        <w:ind w:left="1000" w:right="279" w:hanging="336"/>
        <w:spacing w:after="0" w:line="259" w:lineRule="auto"/>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4"/>
          <w:szCs w:val="14"/>
          <w:i w:val="1"/>
          <w:iCs w:val="1"/>
          <w:color w:val="auto"/>
        </w:rPr>
        <w:t>zuivere winst</w:t>
      </w:r>
      <w:r>
        <w:rPr>
          <w:rFonts w:ascii="Times New Roman" w:cs="Times New Roman" w:eastAsia="Times New Roman" w:hAnsi="Times New Roman"/>
          <w:sz w:val="14"/>
          <w:szCs w:val="14"/>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40" w:lineRule="exact"/>
        <w:rPr>
          <w:sz w:val="20"/>
          <w:szCs w:val="20"/>
          <w:color w:val="auto"/>
        </w:rPr>
      </w:pPr>
    </w:p>
    <w:p>
      <w:pPr>
        <w:ind w:left="240" w:right="439" w:firstLine="340"/>
        <w:spacing w:after="0" w:line="280" w:lineRule="auto"/>
        <w:rPr>
          <w:sz w:val="20"/>
          <w:szCs w:val="20"/>
          <w:color w:val="auto"/>
        </w:rPr>
      </w:pPr>
      <w:r>
        <w:rPr>
          <w:rFonts w:ascii="Times New Roman" w:cs="Times New Roman" w:eastAsia="Times New Roman" w:hAnsi="Times New Roman"/>
          <w:sz w:val="14"/>
          <w:szCs w:val="14"/>
          <w:color w:val="auto"/>
        </w:rPr>
        <w:t>Corporate legal entities that are resident or deemed to be resident of the Netherlands for Dutch corporate income tax purposes (“Dutch Resident Entities”) generally are entitled to an exemption from, or a credit for, any</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25" w:name="page26"/>
    <w:bookmarkEnd w:id="25"/>
    <w:p>
      <w:pPr>
        <w:ind w:left="24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Netherlands (“Non-Resident Holders”) if the ordinary shares are attributable to a Dutch permanent establishment of such Non-Resident Holder.</w:t>
      </w:r>
    </w:p>
    <w:p>
      <w:pPr>
        <w:spacing w:after="0" w:line="158" w:lineRule="exact"/>
        <w:rPr>
          <w:sz w:val="20"/>
          <w:szCs w:val="20"/>
          <w:color w:val="auto"/>
        </w:rPr>
      </w:pPr>
    </w:p>
    <w:p>
      <w:pPr>
        <w:ind w:left="240" w:right="399" w:firstLine="340"/>
        <w:spacing w:after="0" w:line="264" w:lineRule="auto"/>
        <w:rPr>
          <w:sz w:val="20"/>
          <w:szCs w:val="20"/>
          <w:color w:val="auto"/>
        </w:rPr>
      </w:pPr>
      <w:r>
        <w:rPr>
          <w:rFonts w:ascii="Times New Roman" w:cs="Times New Roman" w:eastAsia="Times New Roman" w:hAnsi="Times New Roman"/>
          <w:sz w:val="14"/>
          <w:szCs w:val="14"/>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European Union law, or treaties for the avoidance of double taxation in effect between the Netherlands and such other country.</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Dividend stripping</w:t>
      </w:r>
    </w:p>
    <w:p>
      <w:pPr>
        <w:spacing w:after="0" w:line="91" w:lineRule="exact"/>
        <w:rPr>
          <w:sz w:val="20"/>
          <w:szCs w:val="20"/>
          <w:color w:val="auto"/>
        </w:rPr>
      </w:pPr>
    </w:p>
    <w:p>
      <w:pPr>
        <w:ind w:left="240" w:right="299" w:firstLine="340"/>
        <w:spacing w:after="0" w:line="252" w:lineRule="auto"/>
        <w:rPr>
          <w:sz w:val="20"/>
          <w:szCs w:val="20"/>
          <w:color w:val="auto"/>
        </w:rPr>
      </w:pPr>
      <w:r>
        <w:rPr>
          <w:rFonts w:ascii="Times New Roman" w:cs="Times New Roman" w:eastAsia="Times New Roman" w:hAnsi="Times New Roman"/>
          <w:sz w:val="14"/>
          <w:szCs w:val="14"/>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4"/>
          <w:szCs w:val="14"/>
          <w:i w:val="1"/>
          <w:iCs w:val="1"/>
          <w:color w:val="auto"/>
        </w:rPr>
        <w:t>uiteindelijk gerechtigde</w:t>
      </w:r>
      <w:r>
        <w:rPr>
          <w:rFonts w:ascii="Times New Roman" w:cs="Times New Roman" w:eastAsia="Times New Roman" w:hAnsi="Times New Roman"/>
          <w:sz w:val="14"/>
          <w:szCs w:val="14"/>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our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our ordinary shares, it has been codified that the record date is used when determining the person who is entitled to the dividend.</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Conditional Withholding Tax on Dividends</w:t>
      </w:r>
    </w:p>
    <w:p>
      <w:pPr>
        <w:spacing w:after="0" w:line="91" w:lineRule="exact"/>
        <w:rPr>
          <w:sz w:val="20"/>
          <w:szCs w:val="20"/>
          <w:color w:val="auto"/>
        </w:rPr>
      </w:pPr>
    </w:p>
    <w:p>
      <w:pPr>
        <w:ind w:left="240" w:right="399" w:firstLine="340"/>
        <w:spacing w:after="0" w:line="280" w:lineRule="auto"/>
        <w:rPr>
          <w:sz w:val="20"/>
          <w:szCs w:val="20"/>
          <w:color w:val="auto"/>
        </w:rPr>
      </w:pPr>
      <w:r>
        <w:rPr>
          <w:rFonts w:ascii="Times New Roman" w:cs="Times New Roman" w:eastAsia="Times New Roman" w:hAnsi="Times New Roman"/>
          <w:sz w:val="14"/>
          <w:szCs w:val="14"/>
          <w:color w:val="auto"/>
        </w:rPr>
        <w:t>In addition to the regular Dutch dividend withholding tax as described above, a Dutch conditional withholding tax will be imposed on dividends distributed by us to a Related Entity (as defined below), if such Related Entity:</w:t>
      </w:r>
    </w:p>
    <w:p>
      <w:pPr>
        <w:spacing w:after="0" w:line="50" w:lineRule="exact"/>
        <w:rPr>
          <w:sz w:val="20"/>
          <w:szCs w:val="20"/>
          <w:color w:val="auto"/>
        </w:rPr>
      </w:pPr>
    </w:p>
    <w:p>
      <w:pPr>
        <w:ind w:left="1000" w:right="619" w:hanging="420"/>
        <w:spacing w:after="0" w:line="266" w:lineRule="auto"/>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considered to be resident (</w:t>
      </w:r>
      <w:r>
        <w:rPr>
          <w:rFonts w:ascii="Times New Roman" w:cs="Times New Roman" w:eastAsia="Times New Roman" w:hAnsi="Times New Roman"/>
          <w:sz w:val="14"/>
          <w:szCs w:val="14"/>
          <w:i w:val="1"/>
          <w:iCs w:val="1"/>
          <w:color w:val="auto"/>
        </w:rPr>
        <w:t>gevestigd</w:t>
      </w:r>
      <w:r>
        <w:rPr>
          <w:rFonts w:ascii="Times New Roman" w:cs="Times New Roman" w:eastAsia="Times New Roman" w:hAnsi="Times New Roman"/>
          <w:sz w:val="14"/>
          <w:szCs w:val="14"/>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4"/>
          <w:szCs w:val="14"/>
          <w:i w:val="1"/>
          <w:iCs w:val="1"/>
          <w:color w:val="auto"/>
        </w:rPr>
        <w:t>Regeling laagbelastende staten en niet-coöperatieve rechtsgebieden voor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belastingdoeleinden</w:t>
      </w:r>
      <w:r>
        <w:rPr>
          <w:rFonts w:ascii="Times New Roman" w:cs="Times New Roman" w:eastAsia="Times New Roman" w:hAnsi="Times New Roman"/>
          <w:sz w:val="14"/>
          <w:szCs w:val="14"/>
          <w:color w:val="auto"/>
        </w:rPr>
        <w:t>) (a “Listed Jurisdiction”); or</w:t>
      </w:r>
    </w:p>
    <w:p>
      <w:pPr>
        <w:spacing w:after="0" w:line="61"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permanent establishment located in a Listed Jurisdiction to which the ordinary shares are attributable; or</w:t>
      </w:r>
    </w:p>
    <w:p>
      <w:pPr>
        <w:spacing w:after="0" w:line="99" w:lineRule="exact"/>
        <w:rPr>
          <w:rFonts w:ascii="Times New Roman" w:cs="Times New Roman" w:eastAsia="Times New Roman" w:hAnsi="Times New Roman"/>
          <w:sz w:val="14"/>
          <w:szCs w:val="14"/>
          <w:color w:val="auto"/>
        </w:rPr>
      </w:pPr>
    </w:p>
    <w:p>
      <w:pPr>
        <w:ind w:left="1000" w:right="379" w:hanging="420"/>
        <w:spacing w:after="0" w:line="280" w:lineRule="auto"/>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52" w:lineRule="exact"/>
        <w:rPr>
          <w:rFonts w:ascii="Times New Roman" w:cs="Times New Roman" w:eastAsia="Times New Roman" w:hAnsi="Times New Roman"/>
          <w:sz w:val="14"/>
          <w:szCs w:val="14"/>
          <w:color w:val="auto"/>
        </w:rPr>
      </w:pPr>
    </w:p>
    <w:p>
      <w:pPr>
        <w:ind w:left="1000" w:right="439" w:hanging="420"/>
        <w:spacing w:after="0" w:line="280" w:lineRule="auto"/>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considered to be the beneficial owner of the ordinary shares in its jurisdiction of residence because such jurisdiction treats another entity as the beneficial owner of the ordinary shares (a hybrid mismatch); or</w:t>
      </w:r>
    </w:p>
    <w:p>
      <w:pPr>
        <w:spacing w:after="0" w:line="52"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resident in any jurisdiction (also a hybrid mismatch);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26" w:name="page27"/>
    <w:bookmarkEnd w:id="26"/>
    <w:p>
      <w:pPr>
        <w:ind w:left="1000" w:right="399" w:hanging="420"/>
        <w:spacing w:after="0" w:line="256"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is a reverse hybrid (within the meaning of Article 2(11) of the Dutch Corporate Income Tax Act 1969), if and to the extent (x) there is a participant in the reverse hybrid holding a Qualifying Interest in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 (</w:t>
      </w:r>
      <w:r>
        <w:rPr>
          <w:rFonts w:ascii="Times New Roman" w:cs="Times New Roman" w:eastAsia="Times New Roman" w:hAnsi="Times New Roman"/>
          <w:sz w:val="14"/>
          <w:szCs w:val="14"/>
          <w:i w:val="1"/>
          <w:iCs w:val="1"/>
          <w:color w:val="auto"/>
        </w:rPr>
        <w:t>Wet bronbelasting 2021</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For purposes of this section:</w:t>
      </w:r>
    </w:p>
    <w:p>
      <w:pPr>
        <w:spacing w:after="0" w:line="100" w:lineRule="exact"/>
        <w:rPr>
          <w:sz w:val="20"/>
          <w:szCs w:val="20"/>
          <w:color w:val="auto"/>
        </w:rPr>
      </w:pPr>
    </w:p>
    <w:p>
      <w:pPr>
        <w:ind w:left="1000" w:right="379" w:hanging="336"/>
        <w:spacing w:after="0" w:line="280"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Entity” means an entity (i) that has a Qualifying Interest in us or (ii) in which a third party has a Qualifying Interest if such third party also has a Qualifying Interest in us.</w:t>
      </w:r>
    </w:p>
    <w:p>
      <w:pPr>
        <w:spacing w:after="0" w:line="52" w:lineRule="exact"/>
        <w:rPr>
          <w:rFonts w:ascii="Times New Roman" w:cs="Times New Roman" w:eastAsia="Times New Roman" w:hAnsi="Times New Roman"/>
          <w:sz w:val="14"/>
          <w:szCs w:val="14"/>
          <w:color w:val="auto"/>
        </w:rPr>
      </w:pPr>
    </w:p>
    <w:p>
      <w:pPr>
        <w:ind w:left="1000" w:right="259" w:hanging="336"/>
        <w:spacing w:after="0" w:line="259"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Interest” means a direct or indirectly held interest—either by an entity individually or, if an entity is part of a Qualifying Unity, jointly—that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cs="Times New Roman" w:eastAsia="Times New Roman" w:hAnsi="Times New Roman"/>
          <w:sz w:val="14"/>
          <w:szCs w:val="14"/>
          <w:i w:val="1"/>
          <w:iCs w:val="1"/>
          <w:color w:val="auto"/>
        </w:rPr>
        <w:t>vrijheid van vestiging</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1000" w:right="679" w:hanging="336"/>
        <w:spacing w:after="0" w:line="280"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Unity” means entities acting together with the main purpose or one of the main purposes of avoiding Dutch conditional withholding tax at the level of any of those entities (</w:t>
      </w:r>
      <w:r>
        <w:rPr>
          <w:rFonts w:ascii="Times New Roman" w:cs="Times New Roman" w:eastAsia="Times New Roman" w:hAnsi="Times New Roman"/>
          <w:sz w:val="14"/>
          <w:szCs w:val="14"/>
          <w:i w:val="1"/>
          <w:iCs w:val="1"/>
          <w:color w:val="auto"/>
        </w:rPr>
        <w:t>kwalificerende eenheid</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40" w:right="439" w:firstLine="340"/>
        <w:spacing w:after="0" w:line="256" w:lineRule="auto"/>
        <w:rPr>
          <w:sz w:val="20"/>
          <w:szCs w:val="20"/>
          <w:color w:val="auto"/>
        </w:rPr>
      </w:pPr>
      <w:r>
        <w:rPr>
          <w:rFonts w:ascii="Times New Roman" w:cs="Times New Roman" w:eastAsia="Times New Roman" w:hAnsi="Times New Roman"/>
          <w:sz w:val="14"/>
          <w:szCs w:val="14"/>
          <w:color w:val="auto"/>
        </w:rPr>
        <w:t>The Dutch conditional withholding tax on dividends will be imposed at the highest Dutch corporate income tax rate in effect at the time of the distribution (2025: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(2025: 25.8%).</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Taxes on Income and Capital Gains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Dutch Resident Entities</w:t>
      </w:r>
    </w:p>
    <w:p>
      <w:pPr>
        <w:spacing w:after="0" w:line="91" w:lineRule="exact"/>
        <w:rPr>
          <w:sz w:val="20"/>
          <w:szCs w:val="20"/>
          <w:color w:val="auto"/>
        </w:rPr>
      </w:pPr>
    </w:p>
    <w:p>
      <w:pPr>
        <w:jc w:val="both"/>
        <w:ind w:left="240" w:right="359" w:firstLine="340"/>
        <w:spacing w:after="0" w:line="259" w:lineRule="auto"/>
        <w:rPr>
          <w:sz w:val="20"/>
          <w:szCs w:val="20"/>
          <w:color w:val="auto"/>
        </w:rPr>
      </w:pPr>
      <w:r>
        <w:rPr>
          <w:rFonts w:ascii="Times New Roman" w:cs="Times New Roman" w:eastAsia="Times New Roman" w:hAnsi="Times New Roman"/>
          <w:sz w:val="14"/>
          <w:szCs w:val="14"/>
          <w:color w:val="auto"/>
        </w:rPr>
        <w:t>Generally, if the holder of ordinary shares is a Dutch Resident Entity, any income derived or deemed to be derived from the ordinary shares a or any capital gains realized on the disposal or exercise, as applicable, or deemed disposal of the ordinary shares is subject to Dutch corporate income tax at a rate of 19% with respect to taxable profits up to €200,000 and 25.8% with respect to taxable profits in excess of that amount (rates and brackets for 2025).</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Dutch Resident Individuals</w:t>
      </w:r>
    </w:p>
    <w:p>
      <w:pPr>
        <w:spacing w:after="0" w:line="91" w:lineRule="exact"/>
        <w:rPr>
          <w:sz w:val="20"/>
          <w:szCs w:val="20"/>
          <w:color w:val="auto"/>
        </w:rPr>
      </w:pPr>
    </w:p>
    <w:p>
      <w:pPr>
        <w:ind w:left="240" w:right="339" w:firstLine="340"/>
        <w:spacing w:after="0" w:line="264" w:lineRule="auto"/>
        <w:rPr>
          <w:sz w:val="20"/>
          <w:szCs w:val="20"/>
          <w:color w:val="auto"/>
        </w:rPr>
      </w:pPr>
      <w:r>
        <w:rPr>
          <w:rFonts w:ascii="Times New Roman" w:cs="Times New Roman" w:eastAsia="Times New Roman" w:hAnsi="Times New Roman"/>
          <w:sz w:val="14"/>
          <w:szCs w:val="14"/>
          <w:color w:val="auto"/>
        </w:rPr>
        <w:t>If the holder of our ordinary shares is a Dutch Resident Individual, any income derived or deemed to be derived from the ordinary shares or any capital gains realized on the disposal or deemed disposal or exercise, as applicable, of the ordinary shares is subject to Dutch personal income tax at the progressive rates (with a maximum of 49.50% in 2025), if:</w:t>
      </w:r>
    </w:p>
    <w:p>
      <w:pPr>
        <w:spacing w:after="0" w:line="64" w:lineRule="exact"/>
        <w:rPr>
          <w:sz w:val="20"/>
          <w:szCs w:val="20"/>
          <w:color w:val="auto"/>
        </w:rPr>
      </w:pPr>
    </w:p>
    <w:p>
      <w:pPr>
        <w:ind w:left="1000" w:right="379" w:hanging="420"/>
        <w:spacing w:after="0" w:line="264"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attributable to an enterprise from which the holder of ordinary shares derives a share of the profit, whether as an entrepreneur (</w:t>
      </w:r>
      <w:r>
        <w:rPr>
          <w:rFonts w:ascii="Times New Roman" w:cs="Times New Roman" w:eastAsia="Times New Roman" w:hAnsi="Times New Roman"/>
          <w:sz w:val="14"/>
          <w:szCs w:val="14"/>
          <w:i w:val="1"/>
          <w:iCs w:val="1"/>
          <w:color w:val="auto"/>
        </w:rPr>
        <w:t>ondernemer</w:t>
      </w:r>
      <w:r>
        <w:rPr>
          <w:rFonts w:ascii="Times New Roman" w:cs="Times New Roman" w:eastAsia="Times New Roman" w:hAnsi="Times New Roman"/>
          <w:sz w:val="14"/>
          <w:szCs w:val="14"/>
          <w:color w:val="auto"/>
        </w:rPr>
        <w:t>) or as a person who has a co-entitlement to the net worth (</w:t>
      </w:r>
      <w:r>
        <w:rPr>
          <w:rFonts w:ascii="Times New Roman" w:cs="Times New Roman" w:eastAsia="Times New Roman" w:hAnsi="Times New Roman"/>
          <w:sz w:val="14"/>
          <w:szCs w:val="14"/>
          <w:i w:val="1"/>
          <w:iCs w:val="1"/>
          <w:color w:val="auto"/>
        </w:rPr>
        <w:t>medegerechtigd tot het vermogen</w:t>
      </w:r>
      <w:r>
        <w:rPr>
          <w:rFonts w:ascii="Times New Roman" w:cs="Times New Roman" w:eastAsia="Times New Roman" w:hAnsi="Times New Roman"/>
          <w:sz w:val="14"/>
          <w:szCs w:val="14"/>
          <w:color w:val="auto"/>
        </w:rPr>
        <w:t>) of such enterprise without being a shareholder (as defined in the Dutch Income Tax Act 2001); or</w:t>
      </w:r>
    </w:p>
    <w:p>
      <w:pPr>
        <w:spacing w:after="0" w:line="63" w:lineRule="exact"/>
        <w:rPr>
          <w:rFonts w:ascii="Times New Roman" w:cs="Times New Roman" w:eastAsia="Times New Roman" w:hAnsi="Times New Roman"/>
          <w:sz w:val="14"/>
          <w:szCs w:val="14"/>
          <w:color w:val="auto"/>
        </w:rPr>
      </w:pPr>
    </w:p>
    <w:p>
      <w:pPr>
        <w:ind w:left="1000" w:right="459" w:hanging="420"/>
        <w:spacing w:after="0" w:line="264"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ordinary shares is considered to perform activities with respect to the ordinary shares that go beyond ordinary asset management (</w:t>
      </w:r>
      <w:r>
        <w:rPr>
          <w:rFonts w:ascii="Times New Roman" w:cs="Times New Roman" w:eastAsia="Times New Roman" w:hAnsi="Times New Roman"/>
          <w:sz w:val="14"/>
          <w:szCs w:val="14"/>
          <w:i w:val="1"/>
          <w:iCs w:val="1"/>
          <w:color w:val="auto"/>
        </w:rPr>
        <w:t>normaal, actief vermogensbeheer</w:t>
      </w:r>
      <w:r>
        <w:rPr>
          <w:rFonts w:ascii="Times New Roman" w:cs="Times New Roman" w:eastAsia="Times New Roman" w:hAnsi="Times New Roman"/>
          <w:sz w:val="14"/>
          <w:szCs w:val="14"/>
          <w:color w:val="auto"/>
        </w:rPr>
        <w:t>) or otherwise derives benefits from the ordinary shares that are taxable as benefits from miscellaneous activities (</w:t>
      </w:r>
      <w:r>
        <w:rPr>
          <w:rFonts w:ascii="Times New Roman" w:cs="Times New Roman" w:eastAsia="Times New Roman" w:hAnsi="Times New Roman"/>
          <w:sz w:val="14"/>
          <w:szCs w:val="14"/>
          <w:i w:val="1"/>
          <w:iCs w:val="1"/>
          <w:color w:val="auto"/>
        </w:rPr>
        <w:t>resultaat uit overige werkzaamheden</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27" w:name="page28"/>
    <w:bookmarkEnd w:id="27"/>
    <w:p>
      <w:pPr>
        <w:ind w:left="24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Taxation of savings and investments</w:t>
      </w:r>
    </w:p>
    <w:p>
      <w:pPr>
        <w:spacing w:after="0" w:line="91" w:lineRule="exact"/>
        <w:rPr>
          <w:sz w:val="20"/>
          <w:szCs w:val="20"/>
          <w:color w:val="auto"/>
        </w:rPr>
      </w:pPr>
    </w:p>
    <w:p>
      <w:pPr>
        <w:ind w:left="240" w:right="279" w:firstLine="340"/>
        <w:spacing w:after="0" w:line="256" w:lineRule="auto"/>
        <w:rPr>
          <w:sz w:val="20"/>
          <w:szCs w:val="20"/>
          <w:color w:val="auto"/>
        </w:rPr>
      </w:pPr>
      <w:r>
        <w:rPr>
          <w:rFonts w:ascii="Times New Roman" w:cs="Times New Roman" w:eastAsia="Times New Roman" w:hAnsi="Times New Roman"/>
          <w:sz w:val="14"/>
          <w:szCs w:val="14"/>
          <w:color w:val="auto"/>
        </w:rPr>
        <w:t>If the above-mentioned conditions (i) and (ii) do not apply to the Dutch Resident Individual, the ordinary shares will be subject to an annual Dutch income tax under the regime for savings and investments (</w:t>
      </w:r>
      <w:r>
        <w:rPr>
          <w:rFonts w:ascii="Times New Roman" w:cs="Times New Roman" w:eastAsia="Times New Roman" w:hAnsi="Times New Roman"/>
          <w:sz w:val="14"/>
          <w:szCs w:val="14"/>
          <w:i w:val="1"/>
          <w:iCs w:val="1"/>
          <w:color w:val="auto"/>
        </w:rPr>
        <w:t>inkomen uit sparen en beleggen</w:t>
      </w:r>
      <w:r>
        <w:rPr>
          <w:rFonts w:ascii="Times New Roman" w:cs="Times New Roman" w:eastAsia="Times New Roman" w:hAnsi="Times New Roman"/>
          <w:sz w:val="14"/>
          <w:szCs w:val="14"/>
          <w:color w:val="auto"/>
        </w:rPr>
        <w:t>). Taxation only occurs insofar the Dutch Resident Individual’s net investment assets for the year exceed a statutory threshold (</w:t>
      </w:r>
      <w:r>
        <w:rPr>
          <w:rFonts w:ascii="Times New Roman" w:cs="Times New Roman" w:eastAsia="Times New Roman" w:hAnsi="Times New Roman"/>
          <w:sz w:val="14"/>
          <w:szCs w:val="14"/>
          <w:i w:val="1"/>
          <w:iCs w:val="1"/>
          <w:color w:val="auto"/>
        </w:rPr>
        <w:t>heffingvrij vermogen</w:t>
      </w:r>
      <w:r>
        <w:rPr>
          <w:rFonts w:ascii="Times New Roman" w:cs="Times New Roman" w:eastAsia="Times New Roman" w:hAnsi="Times New Roman"/>
          <w:sz w:val="14"/>
          <w:szCs w:val="14"/>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4"/>
          <w:szCs w:val="14"/>
          <w:i w:val="1"/>
          <w:iCs w:val="1"/>
          <w:color w:val="auto"/>
        </w:rPr>
        <w:t>peildatum</w:t>
      </w:r>
      <w:r>
        <w:rPr>
          <w:rFonts w:ascii="Times New Roman" w:cs="Times New Roman" w:eastAsia="Times New Roman" w:hAnsi="Times New Roman"/>
          <w:sz w:val="14"/>
          <w:szCs w:val="14"/>
          <w:color w:val="auto"/>
        </w:rPr>
        <w:t>). Actual income or capital gains realized in respect of the ordinary shares are in principle not subject to Dutch income tax.</w:t>
      </w:r>
    </w:p>
    <w:p>
      <w:pPr>
        <w:spacing w:after="0" w:line="143" w:lineRule="exact"/>
        <w:rPr>
          <w:sz w:val="20"/>
          <w:szCs w:val="20"/>
          <w:color w:val="auto"/>
        </w:rPr>
      </w:pPr>
    </w:p>
    <w:p>
      <w:pPr>
        <w:ind w:left="240" w:right="259" w:firstLine="340"/>
        <w:spacing w:after="0" w:line="256" w:lineRule="auto"/>
        <w:rPr>
          <w:sz w:val="20"/>
          <w:szCs w:val="20"/>
          <w:color w:val="auto"/>
        </w:rPr>
      </w:pPr>
      <w:r>
        <w:rPr>
          <w:rFonts w:ascii="Times New Roman" w:cs="Times New Roman" w:eastAsia="Times New Roman" w:hAnsi="Times New Roman"/>
          <w:sz w:val="14"/>
          <w:szCs w:val="14"/>
          <w:color w:val="auto"/>
        </w:rPr>
        <w:t>The Dutch Resident Individual’s assets and liabilities taxed under this regime, including the ordinary shares, are allocated over the following three categories: (a) bank savings (</w:t>
      </w:r>
      <w:r>
        <w:rPr>
          <w:rFonts w:ascii="Times New Roman" w:cs="Times New Roman" w:eastAsia="Times New Roman" w:hAnsi="Times New Roman"/>
          <w:sz w:val="14"/>
          <w:szCs w:val="14"/>
          <w:i w:val="1"/>
          <w:iCs w:val="1"/>
          <w:color w:val="auto"/>
        </w:rPr>
        <w:t>banktegoeden</w:t>
      </w:r>
      <w:r>
        <w:rPr>
          <w:rFonts w:ascii="Times New Roman" w:cs="Times New Roman" w:eastAsia="Times New Roman" w:hAnsi="Times New Roman"/>
          <w:sz w:val="14"/>
          <w:szCs w:val="14"/>
          <w:color w:val="auto"/>
        </w:rPr>
        <w:t>), (b) other investments (</w:t>
      </w:r>
      <w:r>
        <w:rPr>
          <w:rFonts w:ascii="Times New Roman" w:cs="Times New Roman" w:eastAsia="Times New Roman" w:hAnsi="Times New Roman"/>
          <w:sz w:val="14"/>
          <w:szCs w:val="14"/>
          <w:i w:val="1"/>
          <w:iCs w:val="1"/>
          <w:color w:val="auto"/>
        </w:rPr>
        <w:t>overige bezittingen</w:t>
      </w:r>
      <w:r>
        <w:rPr>
          <w:rFonts w:ascii="Times New Roman" w:cs="Times New Roman" w:eastAsia="Times New Roman" w:hAnsi="Times New Roman"/>
          <w:sz w:val="14"/>
          <w:szCs w:val="14"/>
          <w:color w:val="auto"/>
        </w:rPr>
        <w:t>), including the ordinary shares, and (c) liabilities (</w:t>
      </w:r>
      <w:r>
        <w:rPr>
          <w:rFonts w:ascii="Times New Roman" w:cs="Times New Roman" w:eastAsia="Times New Roman" w:hAnsi="Times New Roman"/>
          <w:sz w:val="14"/>
          <w:szCs w:val="14"/>
          <w:i w:val="1"/>
          <w:iCs w:val="1"/>
          <w:color w:val="auto"/>
        </w:rPr>
        <w:t>schulden</w:t>
      </w:r>
      <w:r>
        <w:rPr>
          <w:rFonts w:ascii="Times New Roman" w:cs="Times New Roman" w:eastAsia="Times New Roman" w:hAnsi="Times New Roman"/>
          <w:sz w:val="14"/>
          <w:szCs w:val="14"/>
          <w:color w:val="auto"/>
        </w:rPr>
        <w:t>). The taxable benefit for the year (</w:t>
      </w:r>
      <w:r>
        <w:rPr>
          <w:rFonts w:ascii="Times New Roman" w:cs="Times New Roman" w:eastAsia="Times New Roman" w:hAnsi="Times New Roman"/>
          <w:sz w:val="14"/>
          <w:szCs w:val="14"/>
          <w:i w:val="1"/>
          <w:iCs w:val="1"/>
          <w:color w:val="auto"/>
        </w:rPr>
        <w:t>voordeel uit sparen en beleggen</w:t>
      </w:r>
      <w:r>
        <w:rPr>
          <w:rFonts w:ascii="Times New Roman" w:cs="Times New Roman" w:eastAsia="Times New Roman" w:hAnsi="Times New Roman"/>
          <w:sz w:val="14"/>
          <w:szCs w:val="14"/>
          <w:color w:val="auto"/>
        </w:rPr>
        <w:t>) is equal to the product of (x) the total deemed return divided by the sum of bank savings, other investments and liabilities and (y) the sum of bank savings, other investments and liabilities minus the statutory threshold, and is taxed at a flat rate of 36% (rate for 2025).</w:t>
      </w:r>
    </w:p>
    <w:p>
      <w:pPr>
        <w:spacing w:after="0" w:line="143" w:lineRule="exact"/>
        <w:rPr>
          <w:sz w:val="20"/>
          <w:szCs w:val="20"/>
          <w:color w:val="auto"/>
        </w:rPr>
      </w:pPr>
    </w:p>
    <w:p>
      <w:pPr>
        <w:jc w:val="both"/>
        <w:ind w:left="240" w:right="299" w:firstLine="340"/>
        <w:spacing w:after="0" w:line="259" w:lineRule="auto"/>
        <w:rPr>
          <w:sz w:val="20"/>
          <w:szCs w:val="20"/>
          <w:color w:val="auto"/>
        </w:rPr>
      </w:pPr>
      <w:r>
        <w:rPr>
          <w:rFonts w:ascii="Times New Roman" w:cs="Times New Roman" w:eastAsia="Times New Roman" w:hAnsi="Times New Roman"/>
          <w:sz w:val="14"/>
          <w:szCs w:val="14"/>
          <w:color w:val="auto"/>
        </w:rPr>
        <w:t>The deemed return applicable to other investments, including the ordinary shares, is set at 5.88% for the calendar year 2025. Transactions in the three-month period before and after January 1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38" w:lineRule="exact"/>
        <w:rPr>
          <w:sz w:val="20"/>
          <w:szCs w:val="20"/>
          <w:color w:val="auto"/>
        </w:rPr>
      </w:pPr>
    </w:p>
    <w:p>
      <w:pPr>
        <w:ind w:left="240" w:right="259" w:firstLine="340"/>
        <w:spacing w:after="0" w:line="252" w:lineRule="auto"/>
        <w:rPr>
          <w:sz w:val="20"/>
          <w:szCs w:val="20"/>
          <w:color w:val="auto"/>
        </w:rPr>
      </w:pPr>
      <w:r>
        <w:rPr>
          <w:rFonts w:ascii="Times New Roman" w:cs="Times New Roman" w:eastAsia="Times New Roman" w:hAnsi="Times New Roman"/>
          <w:sz w:val="14"/>
          <w:szCs w:val="14"/>
          <w:color w:val="auto"/>
        </w:rPr>
        <w:t>On June 6 and 14, 2024, the Dutch Supreme Court (</w:t>
      </w:r>
      <w:r>
        <w:rPr>
          <w:rFonts w:ascii="Times New Roman" w:cs="Times New Roman" w:eastAsia="Times New Roman" w:hAnsi="Times New Roman"/>
          <w:sz w:val="14"/>
          <w:szCs w:val="14"/>
          <w:i w:val="1"/>
          <w:iCs w:val="1"/>
          <w:color w:val="auto"/>
        </w:rPr>
        <w:t>Hoge Raad</w:t>
      </w:r>
      <w:r>
        <w:rPr>
          <w:rFonts w:ascii="Times New Roman" w:cs="Times New Roman" w:eastAsia="Times New Roman" w:hAnsi="Times New Roman"/>
          <w:sz w:val="14"/>
          <w:szCs w:val="14"/>
          <w:color w:val="auto"/>
        </w:rPr>
        <w:t>) ruled that the Dutch income tax regime for savings and investments as described above (the “Box 3 Regime”) in certain specific circumstances contravenes with Section 1 of the First Protocol to the European Convention on Human Rights in combination with Section 14 of the European Convention on Human Rights (the “Rulings”). In the Rulings, the Dutch Supreme Court introduced a rebuttal provision (</w:t>
      </w:r>
      <w:r>
        <w:rPr>
          <w:rFonts w:ascii="Times New Roman" w:cs="Times New Roman" w:eastAsia="Times New Roman" w:hAnsi="Times New Roman"/>
          <w:sz w:val="14"/>
          <w:szCs w:val="14"/>
          <w:i w:val="1"/>
          <w:iCs w:val="1"/>
          <w:color w:val="auto"/>
        </w:rPr>
        <w:t>tegenbewijsregeling</w:t>
      </w:r>
      <w:r>
        <w:rPr>
          <w:rFonts w:ascii="Times New Roman" w:cs="Times New Roman" w:eastAsia="Times New Roman" w:hAnsi="Times New Roman"/>
          <w:sz w:val="14"/>
          <w:szCs w:val="14"/>
          <w:color w:val="auto"/>
        </w:rPr>
        <w:t>) pursuant to which taxpayers have the possibility to demonstrate that the actual return realized by the taxpayer in respect of their investments assets (as calculated in line with the rules as set out in the Rulings), is less than the deemed return realized by the taxpayer in respect of those assets (as calculated in accordance with the rules of the Box 3 Regime). The rebuttal provision introduced by the Dutch Supreme Court as well as the rules set out in the Rulings have been implemented in Dutch tax law pursuant to the Dutch Box 3 Rebuttal Scheme Act (</w:t>
      </w:r>
      <w:r>
        <w:rPr>
          <w:rFonts w:ascii="Times New Roman" w:cs="Times New Roman" w:eastAsia="Times New Roman" w:hAnsi="Times New Roman"/>
          <w:sz w:val="14"/>
          <w:szCs w:val="14"/>
          <w:i w:val="1"/>
          <w:iCs w:val="1"/>
          <w:color w:val="auto"/>
        </w:rPr>
        <w:t>Wet tegenbewijsregeling box 3</w:t>
      </w:r>
      <w:r>
        <w:rPr>
          <w:rFonts w:ascii="Times New Roman" w:cs="Times New Roman" w:eastAsia="Times New Roman" w:hAnsi="Times New Roman"/>
          <w:sz w:val="14"/>
          <w:szCs w:val="14"/>
          <w:color w:val="auto"/>
        </w:rPr>
        <w:t>). If the taxpayer successfully demonstrates that the actual return is less than the deemed return (using a standardized form), the taxpayer will be taxed on the actual return instead of the deemed return. The Dutch Box 3 Rebuttal Scheme Act offers a temporary solution until a new Box 3 regime is introduced, which is expected as of January 1, 2028 at the earliest.</w:t>
      </w: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Non-residents of the Netherlands</w:t>
      </w:r>
    </w:p>
    <w:p>
      <w:pPr>
        <w:spacing w:after="0" w:line="91" w:lineRule="exact"/>
        <w:rPr>
          <w:sz w:val="20"/>
          <w:szCs w:val="20"/>
          <w:color w:val="auto"/>
        </w:rPr>
      </w:pPr>
    </w:p>
    <w:p>
      <w:pPr>
        <w:jc w:val="both"/>
        <w:ind w:left="240" w:right="339" w:firstLine="340"/>
        <w:spacing w:after="0" w:line="264" w:lineRule="auto"/>
        <w:rPr>
          <w:sz w:val="20"/>
          <w:szCs w:val="20"/>
          <w:color w:val="auto"/>
        </w:rPr>
      </w:pPr>
      <w:r>
        <w:rPr>
          <w:rFonts w:ascii="Times New Roman" w:cs="Times New Roman" w:eastAsia="Times New Roman" w:hAnsi="Times New Roman"/>
          <w:sz w:val="14"/>
          <w:szCs w:val="14"/>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or exercise, as applicable, of the ordinary shares, provided that:</w:t>
      </w:r>
    </w:p>
    <w:p>
      <w:pPr>
        <w:spacing w:after="0" w:line="64" w:lineRule="exact"/>
        <w:rPr>
          <w:sz w:val="20"/>
          <w:szCs w:val="20"/>
          <w:color w:val="auto"/>
        </w:rPr>
      </w:pPr>
    </w:p>
    <w:p>
      <w:pPr>
        <w:ind w:left="1000" w:right="439" w:hanging="420"/>
        <w:spacing w:after="0" w:line="259"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66" w:lineRule="exact"/>
        <w:rPr>
          <w:rFonts w:ascii="Times New Roman" w:cs="Times New Roman" w:eastAsia="Times New Roman" w:hAnsi="Times New Roman"/>
          <w:sz w:val="14"/>
          <w:szCs w:val="14"/>
          <w:color w:val="auto"/>
        </w:rPr>
      </w:pPr>
    </w:p>
    <w:p>
      <w:pPr>
        <w:ind w:left="1000" w:right="359" w:hanging="420"/>
        <w:spacing w:after="0" w:line="264"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28" w:name="page29"/>
    <w:bookmarkEnd w:id="28"/>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Gift and Inheritance Taxes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Residents of the Netherlands</w:t>
      </w:r>
    </w:p>
    <w:p>
      <w:pPr>
        <w:spacing w:after="0" w:line="91" w:lineRule="exact"/>
        <w:rPr>
          <w:sz w:val="20"/>
          <w:szCs w:val="20"/>
          <w:color w:val="auto"/>
        </w:rPr>
      </w:pPr>
    </w:p>
    <w:p>
      <w:pPr>
        <w:ind w:left="240" w:right="379" w:firstLine="340"/>
        <w:spacing w:after="0" w:line="280" w:lineRule="auto"/>
        <w:rPr>
          <w:sz w:val="20"/>
          <w:szCs w:val="20"/>
          <w:color w:val="auto"/>
        </w:rPr>
      </w:pPr>
      <w:r>
        <w:rPr>
          <w:rFonts w:ascii="Times New Roman" w:cs="Times New Roman" w:eastAsia="Times New Roman" w:hAnsi="Times New Roman"/>
          <w:sz w:val="14"/>
          <w:szCs w:val="14"/>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 death.</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Non-residents of the Netherlands</w:t>
      </w:r>
    </w:p>
    <w:p>
      <w:pPr>
        <w:spacing w:after="0" w:line="91" w:lineRule="exact"/>
        <w:rPr>
          <w:sz w:val="20"/>
          <w:szCs w:val="20"/>
          <w:color w:val="auto"/>
        </w:rPr>
      </w:pPr>
    </w:p>
    <w:p>
      <w:pPr>
        <w:ind w:left="240" w:right="479" w:firstLine="340"/>
        <w:spacing w:after="0" w:line="280" w:lineRule="auto"/>
        <w:rPr>
          <w:sz w:val="20"/>
          <w:szCs w:val="20"/>
          <w:color w:val="auto"/>
        </w:rPr>
      </w:pPr>
      <w:r>
        <w:rPr>
          <w:rFonts w:ascii="Times New Roman" w:cs="Times New Roman" w:eastAsia="Times New Roman" w:hAnsi="Times New Roman"/>
          <w:sz w:val="14"/>
          <w:szCs w:val="14"/>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52" w:lineRule="exact"/>
        <w:rPr>
          <w:sz w:val="20"/>
          <w:szCs w:val="20"/>
          <w:color w:val="auto"/>
        </w:rPr>
      </w:pPr>
    </w:p>
    <w:p>
      <w:pPr>
        <w:ind w:left="1000" w:right="319" w:hanging="420"/>
        <w:spacing w:after="0" w:line="264" w:lineRule="auto"/>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63" w:lineRule="exact"/>
        <w:rPr>
          <w:rFonts w:ascii="Times New Roman" w:cs="Times New Roman" w:eastAsia="Times New Roman" w:hAnsi="Times New Roman"/>
          <w:sz w:val="14"/>
          <w:szCs w:val="14"/>
          <w:color w:val="auto"/>
        </w:rPr>
      </w:pPr>
    </w:p>
    <w:p>
      <w:pPr>
        <w:ind w:left="1000" w:right="579" w:hanging="420"/>
        <w:spacing w:after="0" w:line="280" w:lineRule="auto"/>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gift of our ordinary shares made under a condition precedent, the holder of ordinary shares is resident or deemed to be resident of the Netherlands at the time the condition is fulfilled; or</w:t>
      </w:r>
    </w:p>
    <w:p>
      <w:pPr>
        <w:spacing w:after="0" w:line="52" w:lineRule="exact"/>
        <w:rPr>
          <w:rFonts w:ascii="Times New Roman" w:cs="Times New Roman" w:eastAsia="Times New Roman" w:hAnsi="Times New Roman"/>
          <w:sz w:val="14"/>
          <w:szCs w:val="14"/>
          <w:color w:val="auto"/>
        </w:rPr>
      </w:pPr>
    </w:p>
    <w:p>
      <w:pPr>
        <w:ind w:left="1000" w:right="459" w:hanging="420"/>
        <w:spacing w:after="0" w:line="280" w:lineRule="auto"/>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is otherwise construed as a gift or inheritance made by, or on behalf of, a person who, at the time of the gift or death, is or is deemed to be resident of the Netherlands.</w:t>
      </w:r>
    </w:p>
    <w:p>
      <w:pPr>
        <w:spacing w:after="0" w:line="125" w:lineRule="exact"/>
        <w:rPr>
          <w:sz w:val="20"/>
          <w:szCs w:val="20"/>
          <w:color w:val="auto"/>
        </w:rPr>
      </w:pPr>
    </w:p>
    <w:p>
      <w:pPr>
        <w:ind w:left="240" w:right="299" w:firstLine="340"/>
        <w:spacing w:after="0" w:line="256" w:lineRule="auto"/>
        <w:rPr>
          <w:sz w:val="20"/>
          <w:szCs w:val="20"/>
          <w:color w:val="auto"/>
        </w:rPr>
      </w:pPr>
      <w:r>
        <w:rPr>
          <w:rFonts w:ascii="Times New Roman" w:cs="Times New Roman" w:eastAsia="Times New Roman" w:hAnsi="Times New Roman"/>
          <w:sz w:val="14"/>
          <w:szCs w:val="14"/>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Value Added Tax (“VAT”)</w:t>
      </w:r>
    </w:p>
    <w:p>
      <w:pPr>
        <w:spacing w:after="0" w:line="91" w:lineRule="exact"/>
        <w:rPr>
          <w:sz w:val="20"/>
          <w:szCs w:val="20"/>
          <w:color w:val="auto"/>
        </w:rPr>
      </w:pPr>
    </w:p>
    <w:p>
      <w:pPr>
        <w:ind w:left="240" w:right="739" w:firstLine="340"/>
        <w:spacing w:after="0" w:line="280" w:lineRule="auto"/>
        <w:rPr>
          <w:sz w:val="20"/>
          <w:szCs w:val="20"/>
          <w:color w:val="auto"/>
        </w:rPr>
      </w:pPr>
      <w:r>
        <w:rPr>
          <w:rFonts w:ascii="Times New Roman" w:cs="Times New Roman" w:eastAsia="Times New Roman" w:hAnsi="Times New Roman"/>
          <w:sz w:val="14"/>
          <w:szCs w:val="14"/>
          <w:color w:val="auto"/>
        </w:rPr>
        <w:t>No Dutch VAT will be payable by a holder of our ordinary shares in respect of any payment in consideration for the holding or disposal or exercise, as applicable, of our ordinary shares.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Other Taxes and Duties</w:t>
      </w:r>
    </w:p>
    <w:p>
      <w:pPr>
        <w:spacing w:after="0" w:line="91" w:lineRule="exact"/>
        <w:rPr>
          <w:sz w:val="20"/>
          <w:szCs w:val="20"/>
          <w:color w:val="auto"/>
        </w:rPr>
      </w:pPr>
    </w:p>
    <w:p>
      <w:pPr>
        <w:ind w:left="240" w:right="719" w:firstLine="340"/>
        <w:spacing w:after="0" w:line="280" w:lineRule="auto"/>
        <w:rPr>
          <w:sz w:val="20"/>
          <w:szCs w:val="20"/>
          <w:color w:val="auto"/>
        </w:rPr>
      </w:pPr>
      <w:r>
        <w:rPr>
          <w:rFonts w:ascii="Times New Roman" w:cs="Times New Roman" w:eastAsia="Times New Roman" w:hAnsi="Times New Roman"/>
          <w:sz w:val="14"/>
          <w:szCs w:val="14"/>
          <w:color w:val="auto"/>
        </w:rPr>
        <w:t>No Dutch documentation taxes (commonly referred to as stamp duties) will be payable by a holder of our ordinary shares in respect of any payment in consideration for the holding or disposal or exercise, as applicable, of our ordinary shares.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PLAN OF DISTRIBUTION</w:t>
      </w:r>
    </w:p>
    <w:p>
      <w:pPr>
        <w:spacing w:after="0" w:line="175" w:lineRule="exact"/>
        <w:rPr>
          <w:sz w:val="20"/>
          <w:szCs w:val="20"/>
          <w:color w:val="auto"/>
        </w:rPr>
      </w:pPr>
    </w:p>
    <w:p>
      <w:pPr>
        <w:ind w:left="240" w:right="299" w:firstLine="340"/>
        <w:spacing w:after="0" w:line="281" w:lineRule="auto"/>
        <w:rPr>
          <w:sz w:val="20"/>
          <w:szCs w:val="20"/>
          <w:color w:val="auto"/>
        </w:rPr>
      </w:pPr>
      <w:r>
        <w:rPr>
          <w:rFonts w:ascii="Times New Roman" w:cs="Times New Roman" w:eastAsia="Times New Roman" w:hAnsi="Times New Roman"/>
          <w:sz w:val="13"/>
          <w:szCs w:val="13"/>
          <w:color w:val="auto"/>
        </w:rPr>
        <w:t>This prospectus relates to the offer and sale from time to time by the selling securityholder or its permitted transferees of an aggregate of up to 6,045,155 Ordinary Shares pursuant to the Registration Rights Agreement. This prospectus also covers any additional securities that may become issuable by reason of share splits, share dividends or other similar transactions. All of the Ordinary Shares offered by the selling securityholder pursuant to this prospectus will be sold by the selling securityholder for its account. The aggregate proceeds to the selling securityholder from the sale of the Ordinary Shares offered by it will be the purchase price less discounts or commissions, if any. We will not receive any of the proceeds from such sales.</w:t>
      </w:r>
    </w:p>
    <w:p>
      <w:pPr>
        <w:spacing w:after="0" w:line="127" w:lineRule="exact"/>
        <w:rPr>
          <w:sz w:val="20"/>
          <w:szCs w:val="20"/>
          <w:color w:val="auto"/>
        </w:rPr>
      </w:pPr>
    </w:p>
    <w:p>
      <w:pPr>
        <w:ind w:left="240" w:right="319" w:firstLine="340"/>
        <w:spacing w:after="0" w:line="256" w:lineRule="auto"/>
        <w:rPr>
          <w:sz w:val="20"/>
          <w:szCs w:val="20"/>
          <w:color w:val="auto"/>
        </w:rPr>
      </w:pPr>
      <w:r>
        <w:rPr>
          <w:rFonts w:ascii="Times New Roman" w:cs="Times New Roman" w:eastAsia="Times New Roman" w:hAnsi="Times New Roman"/>
          <w:sz w:val="14"/>
          <w:szCs w:val="14"/>
          <w:color w:val="auto"/>
        </w:rPr>
        <w:t>The selling securityholder will pay any discounts and commissions and expenses incurred by the selling securityholder for brokerage, accounting, tax or legal services or any other expenses incurred by the selling securityholder in disposing of the securities. Except as provided otherwise in the Registration Rights Agreement,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43" w:lineRule="exact"/>
        <w:rPr>
          <w:sz w:val="20"/>
          <w:szCs w:val="20"/>
          <w:color w:val="auto"/>
        </w:rPr>
      </w:pPr>
    </w:p>
    <w:p>
      <w:pPr>
        <w:ind w:left="240" w:right="259" w:firstLine="340"/>
        <w:spacing w:after="0" w:line="252" w:lineRule="auto"/>
        <w:rPr>
          <w:sz w:val="20"/>
          <w:szCs w:val="20"/>
          <w:color w:val="auto"/>
        </w:rPr>
      </w:pPr>
      <w:r>
        <w:rPr>
          <w:rFonts w:ascii="Times New Roman" w:cs="Times New Roman" w:eastAsia="Times New Roman" w:hAnsi="Times New Roman"/>
          <w:sz w:val="14"/>
          <w:szCs w:val="14"/>
          <w:color w:val="auto"/>
        </w:rPr>
        <w:t>The securities beneficially owned by the selling securityholder covered by this prospectus may be offered and sold from time to time by the selling securityholder. The selling securityholder may also transfer their Ordinary Shares in accordance with the provisions of the Registration Rights Agreement, in which case such transferees or other successors in interest will be the selling beneficial owners for purposes of this prospectus and may sell the Ordinary Shares from time to time under this prospectus after we have filed an update to this prospectus under Rule 424(b) or other applicable provision of the Securities Act amending the list of selling securityholders to include the permitted transferee or other successors in interest as a “selling security shareholder” under this prospectus. The term “selling securityholder” includes the permitted transferees. The selling securityholder will act independently of us in making decisions with respect to the timing, manner and size of each sale. Such sales may be made on one or more exchanges or in the over-the-counter market or otherwise, at prices and under terms then prevailing or at prices related to our then current market price or in negotiated transactions. The selling securityholder reserves the right to accept and, together with its agents, to reject, any proposed purchase of securities to be made directly or through agents. The selling securityholder and any of its permitted transferees may sell their securities offered by this prospectus on any stock exchange, market or trading facility on which the securities are traded or in private transactions.</w:t>
      </w:r>
    </w:p>
    <w:p>
      <w:pPr>
        <w:spacing w:after="0" w:line="144" w:lineRule="exact"/>
        <w:rPr>
          <w:sz w:val="20"/>
          <w:szCs w:val="20"/>
          <w:color w:val="auto"/>
        </w:rPr>
      </w:pPr>
    </w:p>
    <w:p>
      <w:pPr>
        <w:ind w:left="240" w:right="579" w:firstLine="340"/>
        <w:spacing w:after="0" w:line="280" w:lineRule="auto"/>
        <w:rPr>
          <w:sz w:val="20"/>
          <w:szCs w:val="20"/>
          <w:color w:val="auto"/>
        </w:rPr>
      </w:pPr>
      <w:r>
        <w:rPr>
          <w:rFonts w:ascii="Times New Roman" w:cs="Times New Roman" w:eastAsia="Times New Roman" w:hAnsi="Times New Roman"/>
          <w:sz w:val="14"/>
          <w:szCs w:val="14"/>
          <w:color w:val="auto"/>
        </w:rPr>
        <w:t>Subject to the limitations set forth in the Registration Rights Agreement, the selling securityholder may use any one or more of the following methods when selling the securities offered by this prospectus:</w:t>
      </w:r>
    </w:p>
    <w:p>
      <w:pPr>
        <w:spacing w:after="0" w:line="52" w:lineRule="exact"/>
        <w:rPr>
          <w:sz w:val="20"/>
          <w:szCs w:val="20"/>
          <w:color w:val="auto"/>
        </w:rPr>
      </w:pPr>
    </w:p>
    <w:p>
      <w:pPr>
        <w:ind w:left="1000" w:hanging="336"/>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brokers or dealers;</w:t>
      </w:r>
    </w:p>
    <w:p>
      <w:pPr>
        <w:spacing w:after="0" w:line="99" w:lineRule="exact"/>
        <w:rPr>
          <w:rFonts w:ascii="Times New Roman" w:cs="Times New Roman" w:eastAsia="Times New Roman" w:hAnsi="Times New Roman"/>
          <w:sz w:val="14"/>
          <w:szCs w:val="14"/>
          <w:color w:val="auto"/>
        </w:rPr>
      </w:pPr>
    </w:p>
    <w:p>
      <w:pPr>
        <w:ind w:left="1000" w:right="739" w:hanging="336"/>
        <w:spacing w:after="0" w:line="280"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over-the-counter distribution in accordance with the rules of Nasdaq;</w:t>
      </w:r>
    </w:p>
    <w:p>
      <w:pPr>
        <w:spacing w:after="0" w:line="99" w:lineRule="exact"/>
        <w:rPr>
          <w:rFonts w:ascii="Times New Roman" w:cs="Times New Roman" w:eastAsia="Times New Roman" w:hAnsi="Times New Roman"/>
          <w:sz w:val="14"/>
          <w:szCs w:val="14"/>
          <w:color w:val="auto"/>
        </w:rPr>
      </w:pPr>
    </w:p>
    <w:p>
      <w:pPr>
        <w:ind w:left="1000" w:right="339" w:hanging="336"/>
        <w:spacing w:after="0" w:line="280"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a selling securityholder pursuant to Rule 10b5-1 under the Exchange Act that are in place at the time of an offering pursuant to this prospectus;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of the registration statement of which this prospectus is a part is declared effective by the SEC;</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delivery arrangement;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30" w:name="page31"/>
    <w:bookmarkEnd w:id="30"/>
    <w:p>
      <w:pPr>
        <w:ind w:left="1000" w:right="599" w:hanging="336"/>
        <w:spacing w:after="0" w:line="320" w:lineRule="auto"/>
        <w:tabs>
          <w:tab w:leader="none" w:pos="10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29" w:lineRule="exact"/>
        <w:rPr>
          <w:rFonts w:ascii="Times New Roman" w:cs="Times New Roman" w:eastAsia="Times New Roman" w:hAnsi="Times New Roman"/>
          <w:sz w:val="13"/>
          <w:szCs w:val="13"/>
          <w:color w:val="auto"/>
        </w:rPr>
      </w:pPr>
    </w:p>
    <w:p>
      <w:pPr>
        <w:ind w:left="1000" w:hanging="336"/>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options transactions; or through a combination of any of the above methods of sale.</w:t>
      </w:r>
    </w:p>
    <w:p>
      <w:pPr>
        <w:spacing w:after="0" w:line="173" w:lineRule="exact"/>
        <w:rPr>
          <w:sz w:val="20"/>
          <w:szCs w:val="20"/>
          <w:color w:val="auto"/>
        </w:rPr>
      </w:pPr>
    </w:p>
    <w:p>
      <w:pPr>
        <w:ind w:left="240" w:right="259" w:firstLine="340"/>
        <w:spacing w:after="0" w:line="259" w:lineRule="auto"/>
        <w:rPr>
          <w:sz w:val="20"/>
          <w:szCs w:val="20"/>
          <w:color w:val="auto"/>
        </w:rPr>
      </w:pPr>
      <w:r>
        <w:rPr>
          <w:rFonts w:ascii="Times New Roman" w:cs="Times New Roman" w:eastAsia="Times New Roman" w:hAnsi="Times New Roman"/>
          <w:sz w:val="14"/>
          <w:szCs w:val="14"/>
          <w:color w:val="auto"/>
        </w:rPr>
        <w:t>There can be no assurance that the selling securityholder will sell all or any of the securities offered by this prospectus. In addition, the selling securityholder may also sell securities under Rule 144 under the Securities Act, if available, or in other transactions exempt from registration, rather than under this prospectus. The selling securityholder has the sole and absolute discretion not to accept any purchase offer or make any sale of securities if it deems the purchase price to be unsatisfactory at any particular time.</w:t>
      </w:r>
    </w:p>
    <w:p>
      <w:pPr>
        <w:spacing w:after="0" w:line="140" w:lineRule="exact"/>
        <w:rPr>
          <w:sz w:val="20"/>
          <w:szCs w:val="20"/>
          <w:color w:val="auto"/>
        </w:rPr>
      </w:pPr>
    </w:p>
    <w:p>
      <w:pPr>
        <w:ind w:left="240" w:right="299" w:firstLine="340"/>
        <w:spacing w:after="0" w:line="259" w:lineRule="auto"/>
        <w:rPr>
          <w:sz w:val="20"/>
          <w:szCs w:val="20"/>
          <w:color w:val="auto"/>
        </w:rPr>
      </w:pPr>
      <w:r>
        <w:rPr>
          <w:rFonts w:ascii="Times New Roman" w:cs="Times New Roman" w:eastAsia="Times New Roman" w:hAnsi="Times New Roman"/>
          <w:sz w:val="14"/>
          <w:szCs w:val="14"/>
          <w:color w:val="auto"/>
        </w:rPr>
        <w:t>The selling securityholder may also transfer the securities in other circumstances, including in connection with distributions to members, partners, shareholders or other equityholders of the selling securityholder, in which case the permitted transferees will be the selling beneficial owners for purposes of this prospectus. Upon being notified by the selling securityholder that a permitted transferee intends to sell our securities, we will, to the extent required, promptly file a supplement to this prospectus to name specifically such person as a selling securityholder.</w:t>
      </w:r>
    </w:p>
    <w:p>
      <w:pPr>
        <w:spacing w:after="0" w:line="140" w:lineRule="exact"/>
        <w:rPr>
          <w:sz w:val="20"/>
          <w:szCs w:val="20"/>
          <w:color w:val="auto"/>
        </w:rPr>
      </w:pPr>
    </w:p>
    <w:p>
      <w:pPr>
        <w:ind w:left="240" w:right="279" w:firstLine="340"/>
        <w:spacing w:after="0" w:line="252" w:lineRule="auto"/>
        <w:rPr>
          <w:sz w:val="20"/>
          <w:szCs w:val="20"/>
          <w:color w:val="auto"/>
        </w:rPr>
      </w:pPr>
      <w:r>
        <w:rPr>
          <w:rFonts w:ascii="Times New Roman" w:cs="Times New Roman" w:eastAsia="Times New Roman" w:hAnsi="Times New Roman"/>
          <w:sz w:val="14"/>
          <w:szCs w:val="14"/>
          <w:color w:val="auto"/>
        </w:rPr>
        <w:t>The selling securityholder may enter into hedging transactions with underwriters, broker-dealers or other financial institutions. In connection with such transactions, underwriters, broker-dealers or other financial institutions may engage in short sales of the securities in the course of hedging the positions they assume with the selling securityholder. The selling securityholder may also sell the securities short and redeliver the securities to close out such short positions. The selling securityholder may also enter into option or other transactions with underwriters, broker-dealers or other financial institutions which require the delivery to such underwriter, broker-dealer or other financial institution of securities offered by this prospectus, which securities such underwriter, broker-dealer or other financial institution may resell pursuant to this prospectus (as supplemented or amended to reflect such transaction). The selling securityholder may also pledge securities to an underwriter, broker-dealer or other financial institution, and, upon a default, such underwriter, broker-dealer or other financial institution, may effect sales of the pledged securities pursuant to this prospectus (as supplemented or amended to reflect such transaction).</w:t>
      </w:r>
    </w:p>
    <w:p>
      <w:pPr>
        <w:spacing w:after="0" w:line="148" w:lineRule="exact"/>
        <w:rPr>
          <w:sz w:val="20"/>
          <w:szCs w:val="20"/>
          <w:color w:val="auto"/>
        </w:rPr>
      </w:pPr>
    </w:p>
    <w:p>
      <w:pPr>
        <w:ind w:left="240" w:right="319" w:firstLine="340"/>
        <w:spacing w:after="0" w:line="264" w:lineRule="auto"/>
        <w:rPr>
          <w:sz w:val="20"/>
          <w:szCs w:val="20"/>
          <w:color w:val="auto"/>
        </w:rPr>
      </w:pPr>
      <w:r>
        <w:rPr>
          <w:rFonts w:ascii="Times New Roman" w:cs="Times New Roman" w:eastAsia="Times New Roman" w:hAnsi="Times New Roman"/>
          <w:sz w:val="14"/>
          <w:szCs w:val="14"/>
          <w:color w:val="auto"/>
        </w:rPr>
        <w:t>To the extent required, our Ordinary Shares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37" w:lineRule="exact"/>
        <w:rPr>
          <w:sz w:val="20"/>
          <w:szCs w:val="20"/>
          <w:color w:val="auto"/>
        </w:rPr>
      </w:pPr>
    </w:p>
    <w:p>
      <w:pPr>
        <w:ind w:left="240" w:right="359" w:firstLine="340"/>
        <w:spacing w:after="0" w:line="256" w:lineRule="auto"/>
        <w:rPr>
          <w:sz w:val="20"/>
          <w:szCs w:val="20"/>
          <w:color w:val="auto"/>
        </w:rPr>
      </w:pPr>
      <w:r>
        <w:rPr>
          <w:rFonts w:ascii="Times New Roman" w:cs="Times New Roman" w:eastAsia="Times New Roman" w:hAnsi="Times New Roman"/>
          <w:sz w:val="14"/>
          <w:szCs w:val="14"/>
          <w:color w:val="auto"/>
        </w:rPr>
        <w:t>In order to facilitate the offering of the securities, any agents involved in the offering of such securities may engage in transactions that stabilize, maintain or otherwise affect the price of our securities. Specifically, the agents, as the case may be, may overallot in connection with the offering, creating a short position in our securities for their own account. In addition, to cover overallotments or to stabilize the price of our securities, the agents may bid for, and purchase, such securities in the open market. The agents are not required to engage in these activities, and may end any of these activities at any time.</w:t>
      </w:r>
    </w:p>
    <w:p>
      <w:pPr>
        <w:spacing w:after="0" w:line="143" w:lineRule="exact"/>
        <w:rPr>
          <w:sz w:val="20"/>
          <w:szCs w:val="20"/>
          <w:color w:val="auto"/>
        </w:rPr>
      </w:pPr>
    </w:p>
    <w:p>
      <w:pPr>
        <w:ind w:left="240" w:right="399" w:firstLine="340"/>
        <w:spacing w:after="0" w:line="264" w:lineRule="auto"/>
        <w:rPr>
          <w:sz w:val="20"/>
          <w:szCs w:val="20"/>
          <w:color w:val="auto"/>
        </w:rPr>
      </w:pPr>
      <w:r>
        <w:rPr>
          <w:rFonts w:ascii="Times New Roman" w:cs="Times New Roman" w:eastAsia="Times New Roman" w:hAnsi="Times New Roman"/>
          <w:sz w:val="14"/>
          <w:szCs w:val="14"/>
          <w:color w:val="auto"/>
        </w:rPr>
        <w:t>The selling securityholder may solicit offers to purchase the securities directly from, and they may sell such securities directly to, institutional investors or others. In this case, no agents would be involved. The terms of any of those sales, including the terms of any bidding or auction process, if utilized, will be described in the applicable prospectus supplement.</w:t>
      </w:r>
    </w:p>
    <w:p>
      <w:pPr>
        <w:spacing w:after="0" w:line="137" w:lineRule="exact"/>
        <w:rPr>
          <w:sz w:val="20"/>
          <w:szCs w:val="20"/>
          <w:color w:val="auto"/>
        </w:rPr>
      </w:pPr>
    </w:p>
    <w:p>
      <w:pPr>
        <w:ind w:left="240" w:right="619" w:firstLine="340"/>
        <w:spacing w:after="0" w:line="280" w:lineRule="auto"/>
        <w:rPr>
          <w:sz w:val="20"/>
          <w:szCs w:val="20"/>
          <w:color w:val="auto"/>
        </w:rPr>
      </w:pPr>
      <w:r>
        <w:rPr>
          <w:rFonts w:ascii="Times New Roman" w:cs="Times New Roman" w:eastAsia="Times New Roman" w:hAnsi="Times New Roman"/>
          <w:sz w:val="14"/>
          <w:szCs w:val="14"/>
          <w:color w:val="auto"/>
        </w:rPr>
        <w:t>We cannot give any assurance as to the liquidity of the trading market for our securities. Our Ordinary Shares are listed on Nasdaq under the symbol “PHVS.”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31" w:name="page32"/>
    <w:bookmarkEnd w:id="31"/>
    <w:p>
      <w:pPr>
        <w:ind w:left="240" w:right="339" w:firstLine="340"/>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selling securityholder may be deemed to be an “underwriter” within the meaning of the Securities Act with respect to the shares it is offering for resale.</w:t>
      </w:r>
    </w:p>
    <w:p>
      <w:pPr>
        <w:spacing w:after="0" w:line="125" w:lineRule="exact"/>
        <w:rPr>
          <w:sz w:val="20"/>
          <w:szCs w:val="20"/>
          <w:color w:val="auto"/>
        </w:rPr>
      </w:pPr>
    </w:p>
    <w:p>
      <w:pPr>
        <w:jc w:val="both"/>
        <w:ind w:left="240" w:right="599" w:firstLine="340"/>
        <w:spacing w:after="0" w:line="264" w:lineRule="auto"/>
        <w:rPr>
          <w:sz w:val="20"/>
          <w:szCs w:val="20"/>
          <w:color w:val="auto"/>
        </w:rPr>
      </w:pPr>
      <w:r>
        <w:rPr>
          <w:rFonts w:ascii="Times New Roman" w:cs="Times New Roman" w:eastAsia="Times New Roman" w:hAnsi="Times New Roman"/>
          <w:sz w:val="14"/>
          <w:szCs w:val="14"/>
          <w:color w:val="auto"/>
        </w:rPr>
        <w:t>In effecting sales, underwriters, broker-dealers or agents engaged by the selling securityholder may arrange for other underwriters or broker-dealers to participate. Underwriters, broker-dealers or agents may receive commissions, discounts or concessions from the selling securityholder in amounts to be negotiated immediately prior to the sale.</w:t>
      </w:r>
    </w:p>
    <w:p>
      <w:pPr>
        <w:spacing w:after="0" w:line="137" w:lineRule="exact"/>
        <w:rPr>
          <w:sz w:val="20"/>
          <w:szCs w:val="20"/>
          <w:color w:val="auto"/>
        </w:rPr>
      </w:pPr>
    </w:p>
    <w:p>
      <w:pPr>
        <w:ind w:left="240" w:right="699" w:firstLine="340"/>
        <w:spacing w:after="0" w:line="259" w:lineRule="auto"/>
        <w:rPr>
          <w:sz w:val="20"/>
          <w:szCs w:val="20"/>
          <w:color w:val="auto"/>
        </w:rPr>
      </w:pPr>
      <w:r>
        <w:rPr>
          <w:rFonts w:ascii="Times New Roman" w:cs="Times New Roman" w:eastAsia="Times New Roman" w:hAnsi="Times New Roman"/>
          <w:sz w:val="14"/>
          <w:szCs w:val="14"/>
          <w:color w:val="auto"/>
        </w:rPr>
        <w:t>We have agreed to indemnify the selling securityholder against certain liabilities, including certain liabilities under the Securities Act, the Exchange Act or other federal or state law.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40" w:lineRule="exact"/>
        <w:rPr>
          <w:sz w:val="20"/>
          <w:szCs w:val="20"/>
          <w:color w:val="auto"/>
        </w:rPr>
      </w:pPr>
    </w:p>
    <w:p>
      <w:pPr>
        <w:ind w:left="240" w:right="339" w:firstLine="340"/>
        <w:spacing w:after="0" w:line="255" w:lineRule="auto"/>
        <w:rPr>
          <w:sz w:val="20"/>
          <w:szCs w:val="20"/>
          <w:color w:val="auto"/>
        </w:rPr>
      </w:pPr>
      <w:r>
        <w:rPr>
          <w:rFonts w:ascii="Times New Roman" w:cs="Times New Roman" w:eastAsia="Times New Roman" w:hAnsi="Times New Roman"/>
          <w:sz w:val="14"/>
          <w:szCs w:val="14"/>
          <w:color w:val="auto"/>
        </w:rPr>
        <w:t>We have agreed with the selling securityholder pursuant to the Registration Rights Agreement to keep the registration statement of which this prospectus constitutes a part effective until the earlier of the following: (i) the date on which the Ordinary Shares subscribed for by the selling securityholder pursuant to the Registration Rights Agreement may be resold without volume or manner of sale limitations, and without the requirement that the Company be current in its public reporting, in each case pursuant to Rule 144 promulgated under the Securities Act, (ii) the date on which all Ordinary Shares subscribed for by the selling securityholder pursuant to the Registration Rights Agreement have actually been sold and (iii) the date which is three (3) years after this registration statement is declared effective.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SHARE CAPITAL</w:t>
      </w:r>
    </w:p>
    <w:p>
      <w:pPr>
        <w:spacing w:after="0" w:line="173" w:lineRule="exact"/>
        <w:rPr>
          <w:sz w:val="20"/>
          <w:szCs w:val="20"/>
          <w:color w:val="auto"/>
        </w:rPr>
      </w:pPr>
    </w:p>
    <w:p>
      <w:pPr>
        <w:ind w:left="240" w:right="259"/>
        <w:spacing w:after="0" w:line="260" w:lineRule="auto"/>
        <w:rPr>
          <w:sz w:val="20"/>
          <w:szCs w:val="20"/>
          <w:color w:val="auto"/>
        </w:rPr>
      </w:pPr>
      <w:r>
        <w:rPr>
          <w:rFonts w:ascii="Times New Roman" w:cs="Times New Roman" w:eastAsia="Times New Roman" w:hAnsi="Times New Roman"/>
          <w:sz w:val="14"/>
          <w:szCs w:val="14"/>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which are included as an exhibit to this registration statement. We urge you to read the full text of Pharvaris’ articles of association.</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Ordinary Shares of the Registrant</w:t>
      </w:r>
    </w:p>
    <w:p>
      <w:pPr>
        <w:spacing w:after="0" w:line="91" w:lineRule="exact"/>
        <w:rPr>
          <w:sz w:val="20"/>
          <w:szCs w:val="20"/>
          <w:color w:val="auto"/>
        </w:rPr>
      </w:pPr>
    </w:p>
    <w:p>
      <w:pPr>
        <w:ind w:left="240" w:right="619" w:firstLine="340"/>
        <w:spacing w:after="0" w:line="280" w:lineRule="auto"/>
        <w:rPr>
          <w:sz w:val="20"/>
          <w:szCs w:val="20"/>
          <w:color w:val="auto"/>
        </w:rPr>
      </w:pPr>
      <w:r>
        <w:rPr>
          <w:rFonts w:ascii="Times New Roman" w:cs="Times New Roman" w:eastAsia="Times New Roman" w:hAnsi="Times New Roman"/>
          <w:sz w:val="14"/>
          <w:szCs w:val="14"/>
          <w:color w:val="auto"/>
        </w:rPr>
        <w:t>As of the date of this prospectus, we have only one class of securities registered under Section 12 of the Securities Exchange Act of 1934, as amended; our registered ordinary shares.</w:t>
      </w:r>
    </w:p>
    <w:p>
      <w:pPr>
        <w:spacing w:after="0" w:line="123" w:lineRule="exact"/>
        <w:rPr>
          <w:sz w:val="20"/>
          <w:szCs w:val="20"/>
          <w:color w:val="auto"/>
        </w:rPr>
      </w:pPr>
    </w:p>
    <w:p>
      <w:pPr>
        <w:ind w:left="240" w:right="359" w:firstLine="340"/>
        <w:spacing w:after="0" w:line="283" w:lineRule="auto"/>
        <w:rPr>
          <w:sz w:val="20"/>
          <w:szCs w:val="20"/>
          <w:color w:val="auto"/>
        </w:rPr>
      </w:pPr>
      <w:r>
        <w:rPr>
          <w:rFonts w:ascii="Times New Roman" w:cs="Times New Roman" w:eastAsia="Times New Roman" w:hAnsi="Times New Roman"/>
          <w:sz w:val="14"/>
          <w:szCs w:val="14"/>
          <w:color w:val="auto"/>
        </w:rPr>
        <w:t>We are registered with the Trade Register of the Chamber of Commerce (</w:t>
      </w:r>
      <w:r>
        <w:rPr>
          <w:rFonts w:ascii="Times New Roman" w:cs="Times New Roman" w:eastAsia="Times New Roman" w:hAnsi="Times New Roman"/>
          <w:sz w:val="14"/>
          <w:szCs w:val="14"/>
          <w:i w:val="1"/>
          <w:iCs w:val="1"/>
          <w:color w:val="auto"/>
        </w:rPr>
        <w:t>Kamer van Koophandel</w:t>
      </w:r>
      <w:r>
        <w:rPr>
          <w:rFonts w:ascii="Times New Roman" w:cs="Times New Roman" w:eastAsia="Times New Roman" w:hAnsi="Times New Roman"/>
          <w:sz w:val="14"/>
          <w:szCs w:val="14"/>
          <w:color w:val="auto"/>
        </w:rPr>
        <w:t>) under number 64239411. Our corporate seat is in Leiden, the Netherlands, and our registered office is also in Leiden, the Netherlands.</w:t>
      </w:r>
    </w:p>
    <w:p>
      <w:pPr>
        <w:spacing w:after="0" w:line="123" w:lineRule="exact"/>
        <w:rPr>
          <w:sz w:val="20"/>
          <w:szCs w:val="20"/>
          <w:color w:val="auto"/>
        </w:rPr>
      </w:pPr>
    </w:p>
    <w:p>
      <w:pPr>
        <w:jc w:val="both"/>
        <w:ind w:left="240" w:right="299" w:firstLine="340"/>
        <w:spacing w:after="0" w:line="264" w:lineRule="auto"/>
        <w:rPr>
          <w:sz w:val="20"/>
          <w:szCs w:val="20"/>
          <w:color w:val="auto"/>
        </w:rPr>
      </w:pPr>
      <w:r>
        <w:rPr>
          <w:rFonts w:ascii="Times New Roman" w:cs="Times New Roman" w:eastAsia="Times New Roman" w:hAnsi="Times New Roman"/>
          <w:sz w:val="14"/>
          <w:szCs w:val="14"/>
          <w:color w:val="auto"/>
        </w:rPr>
        <w:t>The following description of our ordinary shares is a summary and does not purport to be complete. It is subject to and qualified in its entirety by reference to our Articles of Association, which are incorporated by reference as an exhibit to the Company’s Annual Report on Form 20-F filed with the SEC on April 7, 2025.</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 Ordinary Shares</w:t>
      </w:r>
    </w:p>
    <w:p>
      <w:pPr>
        <w:spacing w:after="0" w:line="89" w:lineRule="exact"/>
        <w:rPr>
          <w:sz w:val="20"/>
          <w:szCs w:val="20"/>
          <w:color w:val="auto"/>
        </w:rPr>
      </w:pPr>
    </w:p>
    <w:p>
      <w:pPr>
        <w:ind w:left="240" w:right="299" w:firstLine="340"/>
        <w:spacing w:after="0" w:line="266" w:lineRule="auto"/>
        <w:rPr>
          <w:sz w:val="20"/>
          <w:szCs w:val="20"/>
          <w:color w:val="auto"/>
        </w:rPr>
      </w:pPr>
      <w:r>
        <w:rPr>
          <w:rFonts w:ascii="Times New Roman" w:cs="Times New Roman" w:eastAsia="Times New Roman" w:hAnsi="Times New Roman"/>
          <w:sz w:val="14"/>
          <w:szCs w:val="14"/>
          <w:color w:val="auto"/>
        </w:rPr>
        <w:t>Our ordinary shares shall be in registered form (</w:t>
      </w:r>
      <w:r>
        <w:rPr>
          <w:rFonts w:ascii="Times New Roman" w:cs="Times New Roman" w:eastAsia="Times New Roman" w:hAnsi="Times New Roman"/>
          <w:sz w:val="14"/>
          <w:szCs w:val="14"/>
          <w:i w:val="1"/>
          <w:iCs w:val="1"/>
          <w:color w:val="auto"/>
        </w:rPr>
        <w:t>op naam</w:t>
      </w:r>
      <w:r>
        <w:rPr>
          <w:rFonts w:ascii="Times New Roman" w:cs="Times New Roman" w:eastAsia="Times New Roman" w:hAnsi="Times New Roman"/>
          <w:sz w:val="14"/>
          <w:szCs w:val="14"/>
          <w:color w:val="auto"/>
        </w:rPr>
        <w:t>). We may issue share certificates (</w:t>
      </w:r>
      <w:r>
        <w:rPr>
          <w:rFonts w:ascii="Times New Roman" w:cs="Times New Roman" w:eastAsia="Times New Roman" w:hAnsi="Times New Roman"/>
          <w:sz w:val="14"/>
          <w:szCs w:val="14"/>
          <w:i w:val="1"/>
          <w:iCs w:val="1"/>
          <w:color w:val="auto"/>
        </w:rPr>
        <w:t>aandeelbewijzen</w:t>
      </w:r>
      <w:r>
        <w:rPr>
          <w:rFonts w:ascii="Times New Roman" w:cs="Times New Roman" w:eastAsia="Times New Roman" w:hAnsi="Times New Roman"/>
          <w:sz w:val="14"/>
          <w:szCs w:val="14"/>
          <w:color w:val="auto"/>
        </w:rPr>
        <w:t>) for registered shares in such form as may be approved by our board of directors, or the Board. Our authorized share capital amounts to €14,100,000, divided into 117,500,000 ordinary shares, each with a nominal value of €0.12.</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Under Dutch law, our authorized share capital is the maximum capital that we may issue without amending our Articles of Association.</w:t>
      </w:r>
    </w:p>
    <w:p>
      <w:pPr>
        <w:spacing w:after="0" w:line="173" w:lineRule="exact"/>
        <w:rPr>
          <w:sz w:val="20"/>
          <w:szCs w:val="20"/>
          <w:color w:val="auto"/>
        </w:rPr>
      </w:pPr>
    </w:p>
    <w:p>
      <w:pPr>
        <w:ind w:left="240" w:right="259" w:firstLine="340"/>
        <w:spacing w:after="0" w:line="264" w:lineRule="auto"/>
        <w:rPr>
          <w:sz w:val="20"/>
          <w:szCs w:val="20"/>
          <w:color w:val="auto"/>
        </w:rPr>
      </w:pPr>
      <w:r>
        <w:rPr>
          <w:rFonts w:ascii="Times New Roman" w:cs="Times New Roman" w:eastAsia="Times New Roman" w:hAnsi="Times New Roman"/>
          <w:sz w:val="14"/>
          <w:szCs w:val="14"/>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summarizes the main rights of holders of our ordinary shares:</w:t>
      </w:r>
    </w:p>
    <w:p>
      <w:pPr>
        <w:spacing w:after="0" w:line="100" w:lineRule="exact"/>
        <w:rPr>
          <w:sz w:val="20"/>
          <w:szCs w:val="20"/>
          <w:color w:val="auto"/>
        </w:rPr>
      </w:pPr>
    </w:p>
    <w:p>
      <w:pPr>
        <w:ind w:left="1000" w:right="699" w:hanging="420"/>
        <w:spacing w:after="0" w:line="280"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ordinary shares is entitled to one vote per share on all matters to be voted on by shareholders generally, including the appointment of directors;</w:t>
      </w:r>
    </w:p>
    <w:p>
      <w:pPr>
        <w:spacing w:after="0" w:line="52"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cumulative voting rights;</w:t>
      </w:r>
    </w:p>
    <w:p>
      <w:pPr>
        <w:spacing w:after="0" w:line="99" w:lineRule="exact"/>
        <w:rPr>
          <w:rFonts w:ascii="Times New Roman" w:cs="Times New Roman" w:eastAsia="Times New Roman" w:hAnsi="Times New Roman"/>
          <w:sz w:val="14"/>
          <w:szCs w:val="14"/>
          <w:color w:val="auto"/>
        </w:rPr>
      </w:pPr>
    </w:p>
    <w:p>
      <w:pPr>
        <w:ind w:left="1000" w:right="339" w:hanging="420"/>
        <w:spacing w:after="0" w:line="280"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our ordinary shares are entitled to dividends and other distributions as may be declared from time to time by us out of funds legally available for that purpose, if any;</w:t>
      </w:r>
    </w:p>
    <w:p>
      <w:pPr>
        <w:spacing w:after="0" w:line="52" w:lineRule="exact"/>
        <w:rPr>
          <w:rFonts w:ascii="Times New Roman" w:cs="Times New Roman" w:eastAsia="Times New Roman" w:hAnsi="Times New Roman"/>
          <w:sz w:val="14"/>
          <w:szCs w:val="14"/>
          <w:color w:val="auto"/>
        </w:rPr>
      </w:pPr>
    </w:p>
    <w:p>
      <w:pPr>
        <w:ind w:left="1000" w:right="519" w:hanging="420"/>
        <w:spacing w:after="0" w:line="280"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our liquidation or dissolution, the holders of ordinary shares will be entitled to share ratably in the distribution of all of our assets remaining available for distribution after satisfaction of all our liabilities; and</w:t>
      </w:r>
    </w:p>
    <w:p>
      <w:pPr>
        <w:spacing w:after="0" w:line="52" w:lineRule="exact"/>
        <w:rPr>
          <w:rFonts w:ascii="Times New Roman" w:cs="Times New Roman" w:eastAsia="Times New Roman" w:hAnsi="Times New Roman"/>
          <w:sz w:val="14"/>
          <w:szCs w:val="14"/>
          <w:color w:val="auto"/>
        </w:rPr>
      </w:pPr>
    </w:p>
    <w:p>
      <w:pPr>
        <w:ind w:left="1000" w:right="379" w:hanging="420"/>
        <w:spacing w:after="0" w:line="264"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8" w:right="1440" w:bottom="1440" w:gutter="0" w:footer="0" w:header="0"/>
        </w:sectPr>
      </w:pPr>
    </w:p>
    <w:bookmarkStart w:id="33" w:name="page34"/>
    <w:bookmarkEnd w:id="33"/>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 Shareholders’ Register</w:t>
      </w:r>
    </w:p>
    <w:p>
      <w:pPr>
        <w:spacing w:after="0" w:line="91" w:lineRule="exact"/>
        <w:rPr>
          <w:sz w:val="20"/>
          <w:szCs w:val="20"/>
          <w:color w:val="auto"/>
        </w:rPr>
      </w:pPr>
    </w:p>
    <w:p>
      <w:pPr>
        <w:ind w:left="240" w:right="339" w:firstLine="340"/>
        <w:spacing w:after="0" w:line="259" w:lineRule="auto"/>
        <w:rPr>
          <w:sz w:val="20"/>
          <w:szCs w:val="20"/>
          <w:color w:val="auto"/>
        </w:rPr>
      </w:pPr>
      <w:r>
        <w:rPr>
          <w:rFonts w:ascii="Times New Roman" w:cs="Times New Roman" w:eastAsia="Times New Roman" w:hAnsi="Times New Roman"/>
          <w:sz w:val="14"/>
          <w:szCs w:val="14"/>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on registered shares belonging to another or a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such shares.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 Corporate Objectives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Pursuant to the Articles of Association, our corporate objectives are:</w:t>
      </w:r>
    </w:p>
    <w:p>
      <w:pPr>
        <w:spacing w:after="0" w:line="100" w:lineRule="exact"/>
        <w:rPr>
          <w:sz w:val="20"/>
          <w:szCs w:val="20"/>
          <w:color w:val="auto"/>
        </w:rPr>
      </w:pPr>
    </w:p>
    <w:p>
      <w:pPr>
        <w:ind w:left="1000" w:hanging="336"/>
        <w:spacing w:after="0"/>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discover, develop and commercialize treatments, including for hereditary angioedema;</w:t>
      </w:r>
    </w:p>
    <w:p>
      <w:pPr>
        <w:spacing w:after="0" w:line="99" w:lineRule="exact"/>
        <w:rPr>
          <w:rFonts w:ascii="Times New Roman" w:cs="Times New Roman" w:eastAsia="Times New Roman" w:hAnsi="Times New Roman"/>
          <w:sz w:val="14"/>
          <w:szCs w:val="14"/>
          <w:color w:val="auto"/>
        </w:rPr>
      </w:pPr>
    </w:p>
    <w:p>
      <w:pPr>
        <w:ind w:left="1000" w:right="479" w:hanging="336"/>
        <w:spacing w:after="0" w:line="264" w:lineRule="auto"/>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63" w:lineRule="exact"/>
        <w:rPr>
          <w:rFonts w:ascii="Times New Roman" w:cs="Times New Roman" w:eastAsia="Times New Roman" w:hAnsi="Times New Roman"/>
          <w:sz w:val="14"/>
          <w:szCs w:val="14"/>
          <w:color w:val="auto"/>
        </w:rPr>
      </w:pPr>
    </w:p>
    <w:p>
      <w:pPr>
        <w:ind w:left="1000" w:right="819" w:hanging="336"/>
        <w:spacing w:after="0" w:line="280" w:lineRule="auto"/>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incorporate, participate in, finance or hold any other interest in and to conduct the management or supervision of other entities, companies, partnerships and businesses;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acquire, to manage, to invest, to exploit, to encumber and to dispose of assets and liabilities;</w:t>
      </w:r>
    </w:p>
    <w:p>
      <w:pPr>
        <w:spacing w:after="0" w:line="99" w:lineRule="exact"/>
        <w:rPr>
          <w:rFonts w:ascii="Times New Roman" w:cs="Times New Roman" w:eastAsia="Times New Roman" w:hAnsi="Times New Roman"/>
          <w:sz w:val="14"/>
          <w:szCs w:val="14"/>
          <w:color w:val="auto"/>
        </w:rPr>
      </w:pPr>
    </w:p>
    <w:p>
      <w:pPr>
        <w:ind w:left="1000" w:right="299" w:hanging="336"/>
        <w:spacing w:after="0" w:line="280" w:lineRule="auto"/>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furnish guarantees, to provide security, to warrant performance in any other way and to assume liability, whether jointly and severally or otherwise, in respect of obligations of group companies or other parties; and</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do anything which, in the widest sense, is connected with or may be conducive to the objects described above.</w:t>
      </w:r>
    </w:p>
    <w:p>
      <w:pPr>
        <w:spacing w:after="0" w:line="254" w:lineRule="exact"/>
        <w:rPr>
          <w:rFonts w:ascii="Times New Roman" w:cs="Times New Roman" w:eastAsia="Times New Roman" w:hAnsi="Times New Roman"/>
          <w:sz w:val="14"/>
          <w:szCs w:val="14"/>
          <w:color w:val="auto"/>
        </w:rPr>
      </w:pPr>
    </w:p>
    <w:p>
      <w:pPr>
        <w:ind w:left="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 Amendment to our Articles of Association</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An amendment to our Articles of Association would require a resolution of the general meeting upon proposal by the Board.</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 Limitations on the Rights to Own Ordinary Shares</w:t>
      </w:r>
    </w:p>
    <w:p>
      <w:pPr>
        <w:spacing w:after="0" w:line="91" w:lineRule="exact"/>
        <w:rPr>
          <w:sz w:val="20"/>
          <w:szCs w:val="20"/>
          <w:color w:val="auto"/>
        </w:rPr>
      </w:pPr>
    </w:p>
    <w:p>
      <w:pPr>
        <w:ind w:left="240" w:right="579" w:firstLine="340"/>
        <w:spacing w:after="0" w:line="264" w:lineRule="auto"/>
        <w:rPr>
          <w:sz w:val="20"/>
          <w:szCs w:val="20"/>
          <w:color w:val="auto"/>
        </w:rPr>
      </w:pPr>
      <w:r>
        <w:rPr>
          <w:rFonts w:ascii="Times New Roman" w:cs="Times New Roman" w:eastAsia="Times New Roman" w:hAnsi="Times New Roman"/>
          <w:sz w:val="14"/>
          <w:szCs w:val="14"/>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 Limitation on Liability and Indemnification Matters</w:t>
      </w:r>
    </w:p>
    <w:p>
      <w:pPr>
        <w:spacing w:after="0" w:line="91" w:lineRule="exact"/>
        <w:rPr>
          <w:sz w:val="20"/>
          <w:szCs w:val="20"/>
          <w:color w:val="auto"/>
        </w:rPr>
      </w:pPr>
    </w:p>
    <w:p>
      <w:pPr>
        <w:ind w:left="240" w:right="339" w:firstLine="340"/>
        <w:spacing w:after="0" w:line="256" w:lineRule="auto"/>
        <w:rPr>
          <w:sz w:val="20"/>
          <w:szCs w:val="20"/>
          <w:color w:val="auto"/>
        </w:rPr>
      </w:pPr>
      <w:r>
        <w:rPr>
          <w:rFonts w:ascii="Times New Roman" w:cs="Times New Roman" w:eastAsia="Times New Roman" w:hAnsi="Times New Roman"/>
          <w:sz w:val="14"/>
          <w:szCs w:val="14"/>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Articles of Association shall be given to an indemnified person:</w:t>
      </w:r>
    </w:p>
    <w:p>
      <w:pPr>
        <w:spacing w:after="0" w:line="100" w:lineRule="exact"/>
        <w:rPr>
          <w:sz w:val="20"/>
          <w:szCs w:val="20"/>
          <w:color w:val="auto"/>
        </w:rPr>
      </w:pPr>
    </w:p>
    <w:p>
      <w:pPr>
        <w:ind w:left="1000" w:right="559" w:hanging="336"/>
        <w:spacing w:after="0" w:line="280"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competent court or arbitral tribunal has established, without having (or no longer having) the possibility for appeal, that the acts or omissions of such indemnified person that led to the financial</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8" w:right="1440" w:bottom="1440" w:gutter="0" w:footer="0" w:header="0"/>
        </w:sectPr>
      </w:pPr>
    </w:p>
    <w:bookmarkStart w:id="34" w:name="page35"/>
    <w:bookmarkEnd w:id="34"/>
    <w:p>
      <w:pPr>
        <w:ind w:left="1000" w:right="4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64" w:lineRule="exact"/>
        <w:rPr>
          <w:sz w:val="20"/>
          <w:szCs w:val="20"/>
          <w:color w:val="auto"/>
        </w:rPr>
      </w:pPr>
    </w:p>
    <w:p>
      <w:pPr>
        <w:ind w:left="1000" w:right="339" w:hanging="336"/>
        <w:spacing w:after="0" w:line="280" w:lineRule="auto"/>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2" w:lineRule="exact"/>
        <w:rPr>
          <w:rFonts w:ascii="Times New Roman" w:cs="Times New Roman" w:eastAsia="Times New Roman" w:hAnsi="Times New Roman"/>
          <w:sz w:val="14"/>
          <w:szCs w:val="14"/>
          <w:color w:val="auto"/>
        </w:rPr>
      </w:pPr>
    </w:p>
    <w:p>
      <w:pPr>
        <w:ind w:left="1000" w:right="299" w:hanging="336"/>
        <w:spacing w:after="0" w:line="259" w:lineRule="auto"/>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66" w:lineRule="exact"/>
        <w:rPr>
          <w:rFonts w:ascii="Times New Roman" w:cs="Times New Roman" w:eastAsia="Times New Roman" w:hAnsi="Times New Roman"/>
          <w:sz w:val="14"/>
          <w:szCs w:val="14"/>
          <w:color w:val="auto"/>
        </w:rPr>
      </w:pPr>
    </w:p>
    <w:p>
      <w:pPr>
        <w:ind w:left="1000" w:right="319" w:hanging="336"/>
        <w:spacing w:after="0" w:line="280" w:lineRule="auto"/>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financial losses, damages or expenses incurred in connection with a settlement of any proceedings effected without the Company’s prior consent.</w:t>
      </w:r>
    </w:p>
    <w:p>
      <w:pPr>
        <w:spacing w:after="0" w:line="125" w:lineRule="exact"/>
        <w:rPr>
          <w:sz w:val="20"/>
          <w:szCs w:val="20"/>
          <w:color w:val="auto"/>
        </w:rPr>
      </w:pPr>
    </w:p>
    <w:p>
      <w:pPr>
        <w:ind w:left="240" w:right="799" w:firstLine="340"/>
        <w:spacing w:after="0" w:line="280" w:lineRule="auto"/>
        <w:rPr>
          <w:sz w:val="20"/>
          <w:szCs w:val="20"/>
          <w:color w:val="auto"/>
        </w:rPr>
      </w:pPr>
      <w:r>
        <w:rPr>
          <w:rFonts w:ascii="Times New Roman" w:cs="Times New Roman" w:eastAsia="Times New Roman" w:hAnsi="Times New Roman"/>
          <w:sz w:val="14"/>
          <w:szCs w:val="14"/>
          <w:color w:val="auto"/>
        </w:rPr>
        <w:t>Under our Articles of Association, our Board may stipulate additional terms, conditions and restrictions in relation to the indemnification described above.</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 Shareholders’ Meetings and Consents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General Meeting</w:t>
      </w:r>
    </w:p>
    <w:p>
      <w:pPr>
        <w:spacing w:after="0" w:line="91" w:lineRule="exact"/>
        <w:rPr>
          <w:sz w:val="20"/>
          <w:szCs w:val="20"/>
          <w:color w:val="auto"/>
        </w:rPr>
      </w:pPr>
    </w:p>
    <w:p>
      <w:pPr>
        <w:ind w:left="240" w:right="299" w:firstLine="340"/>
        <w:spacing w:after="0" w:line="255" w:lineRule="auto"/>
        <w:rPr>
          <w:sz w:val="20"/>
          <w:szCs w:val="20"/>
          <w:color w:val="auto"/>
        </w:rPr>
      </w:pPr>
      <w:r>
        <w:rPr>
          <w:rFonts w:ascii="Times New Roman" w:cs="Times New Roman" w:eastAsia="Times New Roman" w:hAnsi="Times New Roman"/>
          <w:sz w:val="14"/>
          <w:szCs w:val="14"/>
          <w:color w:val="auto"/>
        </w:rPr>
        <w:t>General meetings may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has decreased to an amount equal to or lower than half of our paid-in and called-up share capital, in order to discuss the measures to be taken if so required.</w:t>
      </w:r>
    </w:p>
    <w:p>
      <w:pPr>
        <w:spacing w:after="0" w:line="143" w:lineRule="exact"/>
        <w:rPr>
          <w:sz w:val="20"/>
          <w:szCs w:val="20"/>
          <w:color w:val="auto"/>
        </w:rPr>
      </w:pPr>
    </w:p>
    <w:p>
      <w:pPr>
        <w:ind w:left="240" w:right="319" w:firstLine="340"/>
        <w:spacing w:after="0" w:line="254" w:lineRule="auto"/>
        <w:rPr>
          <w:sz w:val="20"/>
          <w:szCs w:val="20"/>
          <w:color w:val="auto"/>
        </w:rPr>
      </w:pPr>
      <w:r>
        <w:rPr>
          <w:rFonts w:ascii="Times New Roman" w:cs="Times New Roman" w:eastAsia="Times New Roman" w:hAnsi="Times New Roman"/>
          <w:sz w:val="14"/>
          <w:szCs w:val="14"/>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43" w:lineRule="exact"/>
        <w:rPr>
          <w:sz w:val="20"/>
          <w:szCs w:val="20"/>
          <w:color w:val="auto"/>
        </w:rPr>
      </w:pPr>
    </w:p>
    <w:p>
      <w:pPr>
        <w:ind w:left="240" w:right="319" w:firstLine="340"/>
        <w:spacing w:after="0" w:line="255" w:lineRule="auto"/>
        <w:rPr>
          <w:sz w:val="20"/>
          <w:szCs w:val="20"/>
          <w:color w:val="auto"/>
        </w:rPr>
      </w:pPr>
      <w:r>
        <w:rPr>
          <w:rFonts w:ascii="Times New Roman" w:cs="Times New Roman" w:eastAsia="Times New Roman" w:hAnsi="Times New Roman"/>
          <w:sz w:val="14"/>
          <w:szCs w:val="14"/>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43" w:lineRule="exact"/>
        <w:rPr>
          <w:sz w:val="20"/>
          <w:szCs w:val="20"/>
          <w:color w:val="auto"/>
        </w:rPr>
      </w:pPr>
    </w:p>
    <w:p>
      <w:pPr>
        <w:jc w:val="both"/>
        <w:ind w:left="240" w:right="459" w:firstLine="340"/>
        <w:spacing w:after="0" w:line="264" w:lineRule="auto"/>
        <w:rPr>
          <w:sz w:val="20"/>
          <w:szCs w:val="20"/>
          <w:color w:val="auto"/>
        </w:rPr>
      </w:pPr>
      <w:r>
        <w:rPr>
          <w:rFonts w:ascii="Times New Roman" w:cs="Times New Roman" w:eastAsia="Times New Roman" w:hAnsi="Times New Roman"/>
          <w:sz w:val="14"/>
          <w:szCs w:val="14"/>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35" w:name="page36"/>
    <w:bookmarkEnd w:id="35"/>
    <w:p>
      <w:pPr>
        <w:ind w:left="240" w:right="279" w:firstLine="340"/>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45" w:lineRule="exact"/>
        <w:rPr>
          <w:sz w:val="20"/>
          <w:szCs w:val="20"/>
          <w:color w:val="auto"/>
        </w:rPr>
      </w:pPr>
    </w:p>
    <w:p>
      <w:pPr>
        <w:ind w:left="240" w:right="279" w:firstLine="340"/>
        <w:spacing w:after="0" w:line="255" w:lineRule="auto"/>
        <w:rPr>
          <w:sz w:val="20"/>
          <w:szCs w:val="20"/>
          <w:color w:val="auto"/>
        </w:rPr>
      </w:pPr>
      <w:r>
        <w:rPr>
          <w:rFonts w:ascii="Times New Roman" w:cs="Times New Roman" w:eastAsia="Times New Roman" w:hAnsi="Times New Roman"/>
          <w:sz w:val="14"/>
          <w:szCs w:val="14"/>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43" w:lineRule="exact"/>
        <w:rPr>
          <w:sz w:val="20"/>
          <w:szCs w:val="20"/>
          <w:color w:val="auto"/>
        </w:rPr>
      </w:pPr>
    </w:p>
    <w:p>
      <w:pPr>
        <w:ind w:left="240" w:right="259" w:firstLine="340"/>
        <w:spacing w:after="0" w:line="253" w:lineRule="auto"/>
        <w:rPr>
          <w:sz w:val="20"/>
          <w:szCs w:val="20"/>
          <w:color w:val="auto"/>
        </w:rPr>
      </w:pPr>
      <w:r>
        <w:rPr>
          <w:rFonts w:ascii="Times New Roman" w:cs="Times New Roman" w:eastAsia="Times New Roman" w:hAnsi="Times New Roman"/>
          <w:sz w:val="14"/>
          <w:szCs w:val="14"/>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2" w:lineRule="exact"/>
        <w:rPr>
          <w:sz w:val="20"/>
          <w:szCs w:val="20"/>
          <w:color w:val="auto"/>
        </w:rPr>
      </w:pPr>
    </w:p>
    <w:p>
      <w:pPr>
        <w:ind w:left="1000" w:right="479" w:hanging="336"/>
        <w:spacing w:after="0" w:line="280" w:lineRule="auto"/>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2"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cannot reasonably believe that a continuation of the cooling-off period would contribute to careful policy-making; or</w:t>
      </w:r>
    </w:p>
    <w:p>
      <w:pPr>
        <w:spacing w:after="0" w:line="99" w:lineRule="exact"/>
        <w:rPr>
          <w:rFonts w:ascii="Times New Roman" w:cs="Times New Roman" w:eastAsia="Times New Roman" w:hAnsi="Times New Roman"/>
          <w:sz w:val="14"/>
          <w:szCs w:val="14"/>
          <w:color w:val="auto"/>
        </w:rPr>
      </w:pPr>
    </w:p>
    <w:p>
      <w:pPr>
        <w:jc w:val="both"/>
        <w:ind w:left="1000" w:right="299" w:hanging="336"/>
        <w:spacing w:after="0" w:line="264" w:lineRule="auto"/>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7" w:lineRule="exact"/>
        <w:rPr>
          <w:sz w:val="20"/>
          <w:szCs w:val="20"/>
          <w:color w:val="auto"/>
        </w:rPr>
      </w:pPr>
    </w:p>
    <w:p>
      <w:pPr>
        <w:ind w:left="240" w:right="299" w:firstLine="340"/>
        <w:spacing w:after="0" w:line="255" w:lineRule="auto"/>
        <w:rPr>
          <w:sz w:val="20"/>
          <w:szCs w:val="20"/>
          <w:color w:val="auto"/>
        </w:rPr>
      </w:pPr>
      <w:r>
        <w:rPr>
          <w:rFonts w:ascii="Times New Roman" w:cs="Times New Roman" w:eastAsia="Times New Roman" w:hAnsi="Times New Roman"/>
          <w:sz w:val="14"/>
          <w:szCs w:val="14"/>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36" w:name="page37"/>
    <w:bookmarkEnd w:id="36"/>
    <w:p>
      <w:pPr>
        <w:ind w:left="240" w:right="279" w:firstLine="340"/>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Quorum and voting requirements</w:t>
      </w:r>
    </w:p>
    <w:p>
      <w:pPr>
        <w:spacing w:after="0" w:line="91" w:lineRule="exact"/>
        <w:rPr>
          <w:sz w:val="20"/>
          <w:szCs w:val="20"/>
          <w:color w:val="auto"/>
        </w:rPr>
      </w:pPr>
    </w:p>
    <w:p>
      <w:pPr>
        <w:ind w:left="240" w:right="279" w:firstLine="340"/>
        <w:spacing w:after="0" w:line="253" w:lineRule="auto"/>
        <w:rPr>
          <w:sz w:val="20"/>
          <w:szCs w:val="20"/>
          <w:color w:val="auto"/>
        </w:rPr>
      </w:pPr>
      <w:r>
        <w:rPr>
          <w:rFonts w:ascii="Times New Roman" w:cs="Times New Roman" w:eastAsia="Times New Roman" w:hAnsi="Times New Roman"/>
          <w:sz w:val="14"/>
          <w:szCs w:val="14"/>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and the holders of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the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5" w:lineRule="exact"/>
        <w:rPr>
          <w:sz w:val="20"/>
          <w:szCs w:val="20"/>
          <w:color w:val="auto"/>
        </w:rPr>
      </w:pPr>
    </w:p>
    <w:p>
      <w:pPr>
        <w:ind w:left="240" w:right="299" w:firstLine="340"/>
        <w:spacing w:after="0" w:line="256" w:lineRule="auto"/>
        <w:rPr>
          <w:sz w:val="20"/>
          <w:szCs w:val="20"/>
          <w:color w:val="auto"/>
        </w:rPr>
      </w:pPr>
      <w:r>
        <w:rPr>
          <w:rFonts w:ascii="Times New Roman" w:cs="Times New Roman" w:eastAsia="Times New Roman" w:hAnsi="Times New Roman"/>
          <w:sz w:val="14"/>
          <w:szCs w:val="14"/>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H. Board</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Appointment of directors</w:t>
      </w:r>
    </w:p>
    <w:p>
      <w:pPr>
        <w:spacing w:after="0" w:line="91" w:lineRule="exact"/>
        <w:rPr>
          <w:sz w:val="20"/>
          <w:szCs w:val="20"/>
          <w:color w:val="auto"/>
        </w:rPr>
      </w:pPr>
    </w:p>
    <w:p>
      <w:pPr>
        <w:ind w:left="240" w:right="519" w:firstLine="340"/>
        <w:spacing w:after="0" w:line="259" w:lineRule="auto"/>
        <w:rPr>
          <w:sz w:val="20"/>
          <w:szCs w:val="20"/>
          <w:color w:val="auto"/>
        </w:rPr>
      </w:pPr>
      <w:r>
        <w:rPr>
          <w:rFonts w:ascii="Times New Roman" w:cs="Times New Roman" w:eastAsia="Times New Roman" w:hAnsi="Times New Roman"/>
          <w:sz w:val="14"/>
          <w:szCs w:val="14"/>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40" w:lineRule="exact"/>
        <w:rPr>
          <w:sz w:val="20"/>
          <w:szCs w:val="20"/>
          <w:color w:val="auto"/>
        </w:rPr>
      </w:pPr>
    </w:p>
    <w:p>
      <w:pPr>
        <w:jc w:val="both"/>
        <w:ind w:left="240" w:right="359" w:firstLine="340"/>
        <w:spacing w:after="0" w:line="264" w:lineRule="auto"/>
        <w:rPr>
          <w:sz w:val="20"/>
          <w:szCs w:val="20"/>
          <w:color w:val="auto"/>
        </w:rPr>
      </w:pPr>
      <w:r>
        <w:rPr>
          <w:rFonts w:ascii="Times New Roman" w:cs="Times New Roman" w:eastAsia="Times New Roman" w:hAnsi="Times New Roman"/>
          <w:sz w:val="14"/>
          <w:szCs w:val="14"/>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Duties and liabilities of directors</w:t>
      </w:r>
    </w:p>
    <w:p>
      <w:pPr>
        <w:spacing w:after="0" w:line="91" w:lineRule="exact"/>
        <w:rPr>
          <w:sz w:val="20"/>
          <w:szCs w:val="20"/>
          <w:color w:val="auto"/>
        </w:rPr>
      </w:pPr>
    </w:p>
    <w:p>
      <w:pPr>
        <w:ind w:left="240" w:right="259" w:firstLine="340"/>
        <w:spacing w:after="0" w:line="259" w:lineRule="auto"/>
        <w:rPr>
          <w:sz w:val="20"/>
          <w:szCs w:val="20"/>
          <w:color w:val="auto"/>
        </w:rPr>
      </w:pPr>
      <w:r>
        <w:rPr>
          <w:rFonts w:ascii="Times New Roman" w:cs="Times New Roman" w:eastAsia="Times New Roman" w:hAnsi="Times New Roman"/>
          <w:sz w:val="14"/>
          <w:szCs w:val="14"/>
          <w:color w:val="auto"/>
        </w:rPr>
        <w:t>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37" w:name="page38"/>
    <w:bookmarkEnd w:id="37"/>
    <w:p>
      <w:pPr>
        <w:ind w:left="240" w:right="299" w:firstLine="340"/>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43" w:lineRule="exact"/>
        <w:rPr>
          <w:sz w:val="20"/>
          <w:szCs w:val="20"/>
          <w:color w:val="auto"/>
        </w:rPr>
      </w:pPr>
    </w:p>
    <w:p>
      <w:pPr>
        <w:ind w:left="240" w:right="319" w:firstLine="340"/>
        <w:spacing w:after="0" w:line="280" w:lineRule="auto"/>
        <w:rPr>
          <w:sz w:val="20"/>
          <w:szCs w:val="20"/>
          <w:color w:val="auto"/>
        </w:rPr>
      </w:pPr>
      <w:r>
        <w:rPr>
          <w:rFonts w:ascii="Times New Roman" w:cs="Times New Roman" w:eastAsia="Times New Roman" w:hAnsi="Times New Roman"/>
          <w:sz w:val="14"/>
          <w:szCs w:val="14"/>
          <w:color w:val="auto"/>
        </w:rPr>
        <w:t>Our Board is entitled to represent our company. The power to represent our company also vests in our chief executive officer individually, as well as in any other two executive directors acting jointly.</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I. Dividends and Other Distributions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Amount available for distribution</w:t>
      </w:r>
    </w:p>
    <w:p>
      <w:pPr>
        <w:spacing w:after="0" w:line="89" w:lineRule="exact"/>
        <w:rPr>
          <w:sz w:val="20"/>
          <w:szCs w:val="20"/>
          <w:color w:val="auto"/>
        </w:rPr>
      </w:pPr>
    </w:p>
    <w:p>
      <w:pPr>
        <w:ind w:left="240" w:right="359" w:firstLine="340"/>
        <w:spacing w:after="0" w:line="260" w:lineRule="auto"/>
        <w:rPr>
          <w:sz w:val="20"/>
          <w:szCs w:val="20"/>
          <w:color w:val="auto"/>
        </w:rPr>
      </w:pPr>
      <w:r>
        <w:rPr>
          <w:rFonts w:ascii="Times New Roman" w:cs="Times New Roman" w:eastAsia="Times New Roman" w:hAnsi="Times New Roman"/>
          <w:sz w:val="14"/>
          <w:szCs w:val="14"/>
          <w:color w:val="auto"/>
        </w:rPr>
        <w:t>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39" w:lineRule="exact"/>
        <w:rPr>
          <w:sz w:val="20"/>
          <w:szCs w:val="20"/>
          <w:color w:val="auto"/>
        </w:rPr>
      </w:pPr>
    </w:p>
    <w:p>
      <w:pPr>
        <w:ind w:left="240" w:right="419" w:firstLine="340"/>
        <w:spacing w:after="0" w:line="264" w:lineRule="auto"/>
        <w:rPr>
          <w:sz w:val="20"/>
          <w:szCs w:val="20"/>
          <w:color w:val="auto"/>
        </w:rPr>
      </w:pPr>
      <w:r>
        <w:rPr>
          <w:rFonts w:ascii="Times New Roman" w:cs="Times New Roman" w:eastAsia="Times New Roman" w:hAnsi="Times New Roman"/>
          <w:sz w:val="14"/>
          <w:szCs w:val="14"/>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37" w:lineRule="exact"/>
        <w:rPr>
          <w:sz w:val="20"/>
          <w:szCs w:val="20"/>
          <w:color w:val="auto"/>
        </w:rPr>
      </w:pPr>
    </w:p>
    <w:p>
      <w:pPr>
        <w:ind w:left="240" w:right="299" w:firstLine="340"/>
        <w:spacing w:after="0" w:line="280" w:lineRule="auto"/>
        <w:rPr>
          <w:sz w:val="20"/>
          <w:szCs w:val="20"/>
          <w:color w:val="auto"/>
        </w:rPr>
      </w:pPr>
      <w:r>
        <w:rPr>
          <w:rFonts w:ascii="Times New Roman" w:cs="Times New Roman" w:eastAsia="Times New Roman" w:hAnsi="Times New Roman"/>
          <w:sz w:val="14"/>
          <w:szCs w:val="14"/>
          <w:color w:val="auto"/>
        </w:rPr>
        <w:t>Our Board is permitted, subject to certain requirements and applicable restrictions of Dutch law, to declare interim dividends without the approval of the general meeting.</w:t>
      </w:r>
    </w:p>
    <w:p>
      <w:pPr>
        <w:spacing w:after="0" w:line="125" w:lineRule="exact"/>
        <w:rPr>
          <w:sz w:val="20"/>
          <w:szCs w:val="20"/>
          <w:color w:val="auto"/>
        </w:rPr>
      </w:pPr>
    </w:p>
    <w:p>
      <w:pPr>
        <w:jc w:val="both"/>
        <w:ind w:left="240" w:right="259" w:firstLine="340"/>
        <w:spacing w:after="0" w:line="264" w:lineRule="auto"/>
        <w:rPr>
          <w:sz w:val="20"/>
          <w:szCs w:val="20"/>
          <w:color w:val="auto"/>
        </w:rPr>
      </w:pPr>
      <w:r>
        <w:rPr>
          <w:rFonts w:ascii="Times New Roman" w:cs="Times New Roman" w:eastAsia="Times New Roman" w:hAnsi="Times New Roman"/>
          <w:sz w:val="14"/>
          <w:szCs w:val="14"/>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Exchange controls</w:t>
      </w:r>
    </w:p>
    <w:p>
      <w:pPr>
        <w:spacing w:after="0" w:line="91" w:lineRule="exact"/>
        <w:rPr>
          <w:sz w:val="20"/>
          <w:szCs w:val="20"/>
          <w:color w:val="auto"/>
        </w:rPr>
      </w:pPr>
    </w:p>
    <w:p>
      <w:pPr>
        <w:ind w:left="240" w:right="279" w:firstLine="340"/>
        <w:spacing w:after="0" w:line="254" w:lineRule="auto"/>
        <w:rPr>
          <w:sz w:val="20"/>
          <w:szCs w:val="20"/>
          <w:color w:val="auto"/>
        </w:rPr>
      </w:pPr>
      <w:r>
        <w:rPr>
          <w:rFonts w:ascii="Times New Roman" w:cs="Times New Roman" w:eastAsia="Times New Roman" w:hAnsi="Times New Roman"/>
          <w:sz w:val="14"/>
          <w:szCs w:val="14"/>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Squeeze-out procedures</w:t>
      </w:r>
    </w:p>
    <w:p>
      <w:pPr>
        <w:spacing w:after="0" w:line="91" w:lineRule="exact"/>
        <w:rPr>
          <w:sz w:val="20"/>
          <w:szCs w:val="20"/>
          <w:color w:val="auto"/>
        </w:rPr>
      </w:pPr>
    </w:p>
    <w:p>
      <w:pPr>
        <w:ind w:left="240" w:right="319" w:firstLine="340"/>
        <w:spacing w:after="0" w:line="264" w:lineRule="auto"/>
        <w:rPr>
          <w:sz w:val="20"/>
          <w:szCs w:val="20"/>
          <w:color w:val="auto"/>
        </w:rPr>
      </w:pPr>
      <w:r>
        <w:rPr>
          <w:rFonts w:ascii="Times New Roman" w:cs="Times New Roman" w:eastAsia="Times New Roman" w:hAnsi="Times New Roman"/>
          <w:sz w:val="14"/>
          <w:szCs w:val="14"/>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38" w:name="page39"/>
    <w:bookmarkEnd w:id="38"/>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means of a writ of summons served upon each of the other shareholders in accordance with the provisions of the Dutch Code of Civil Procedure</w:t>
      </w:r>
    </w:p>
    <w:p>
      <w:pPr>
        <w:spacing w:after="0" w:line="21" w:lineRule="exact"/>
        <w:rPr>
          <w:sz w:val="20"/>
          <w:szCs w:val="20"/>
          <w:color w:val="auto"/>
        </w:rPr>
      </w:pPr>
    </w:p>
    <w:p>
      <w:pPr>
        <w:ind w:left="240" w:right="33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Wetboek van Burgerlijke Rechtsvordering</w:t>
      </w:r>
      <w:r>
        <w:rPr>
          <w:rFonts w:ascii="Times New Roman" w:cs="Times New Roman" w:eastAsia="Times New Roman" w:hAnsi="Times New Roman"/>
          <w:sz w:val="14"/>
          <w:szCs w:val="14"/>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J. Dissolution and Liquidation</w:t>
      </w:r>
    </w:p>
    <w:p>
      <w:pPr>
        <w:spacing w:after="0" w:line="91" w:lineRule="exact"/>
        <w:rPr>
          <w:sz w:val="20"/>
          <w:szCs w:val="20"/>
          <w:color w:val="auto"/>
        </w:rPr>
      </w:pPr>
    </w:p>
    <w:p>
      <w:pPr>
        <w:ind w:left="240" w:right="339" w:firstLine="340"/>
        <w:spacing w:after="0" w:line="259" w:lineRule="auto"/>
        <w:rPr>
          <w:sz w:val="20"/>
          <w:szCs w:val="20"/>
          <w:color w:val="auto"/>
        </w:rPr>
      </w:pPr>
      <w:r>
        <w:rPr>
          <w:rFonts w:ascii="Times New Roman" w:cs="Times New Roman" w:eastAsia="Times New Roman" w:hAnsi="Times New Roman"/>
          <w:sz w:val="14"/>
          <w:szCs w:val="14"/>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K. Dutch Financial Reporting Supervision Act</w:t>
      </w:r>
    </w:p>
    <w:p>
      <w:pPr>
        <w:spacing w:after="0" w:line="89" w:lineRule="exact"/>
        <w:rPr>
          <w:sz w:val="20"/>
          <w:szCs w:val="20"/>
          <w:color w:val="auto"/>
        </w:rPr>
      </w:pPr>
    </w:p>
    <w:p>
      <w:pPr>
        <w:ind w:left="240" w:right="379" w:firstLine="340"/>
        <w:spacing w:after="0" w:line="266" w:lineRule="auto"/>
        <w:rPr>
          <w:sz w:val="20"/>
          <w:szCs w:val="20"/>
          <w:color w:val="auto"/>
        </w:rPr>
      </w:pPr>
      <w:r>
        <w:rPr>
          <w:rFonts w:ascii="Times New Roman" w:cs="Times New Roman" w:eastAsia="Times New Roman" w:hAnsi="Times New Roman"/>
          <w:sz w:val="14"/>
          <w:szCs w:val="14"/>
          <w:color w:val="auto"/>
        </w:rPr>
        <w:t>On the basis of the Dutch Financial Reporting Supervision Act (</w:t>
      </w:r>
      <w:r>
        <w:rPr>
          <w:rFonts w:ascii="Times New Roman" w:cs="Times New Roman" w:eastAsia="Times New Roman" w:hAnsi="Times New Roman"/>
          <w:sz w:val="14"/>
          <w:szCs w:val="14"/>
          <w:i w:val="1"/>
          <w:iCs w:val="1"/>
          <w:color w:val="auto"/>
        </w:rPr>
        <w:t>Wet toezicht financiële verslaggeving</w:t>
      </w:r>
      <w:r>
        <w:rPr>
          <w:rFonts w:ascii="Times New Roman" w:cs="Times New Roman" w:eastAsia="Times New Roman" w:hAnsi="Times New Roman"/>
          <w:sz w:val="14"/>
          <w:szCs w:val="14"/>
          <w:color w:val="auto"/>
        </w:rPr>
        <w:t>), or the FRSA, the Dutch Authority for the Financial Markets (</w:t>
      </w:r>
      <w:r>
        <w:rPr>
          <w:rFonts w:ascii="Times New Roman" w:cs="Times New Roman" w:eastAsia="Times New Roman" w:hAnsi="Times New Roman"/>
          <w:sz w:val="14"/>
          <w:szCs w:val="14"/>
          <w:i w:val="1"/>
          <w:iCs w:val="1"/>
          <w:color w:val="auto"/>
        </w:rPr>
        <w:t>Stichting Autoriteit Financiële Markten</w:t>
      </w:r>
      <w:r>
        <w:rPr>
          <w:rFonts w:ascii="Times New Roman" w:cs="Times New Roman" w:eastAsia="Times New Roman" w:hAnsi="Times New Roman"/>
          <w:sz w:val="14"/>
          <w:szCs w:val="14"/>
          <w:color w:val="auto"/>
        </w:rPr>
        <w:t>), or AFM, supervises the application of financial reporting standards by Dutch companies whose securities are listed on a Dutch or foreign stock exchange.</w:t>
      </w:r>
    </w:p>
    <w:p>
      <w:pPr>
        <w:spacing w:after="0" w:line="135" w:lineRule="exact"/>
        <w:rPr>
          <w:sz w:val="20"/>
          <w:szCs w:val="20"/>
          <w:color w:val="auto"/>
        </w:rPr>
      </w:pPr>
    </w:p>
    <w:p>
      <w:pPr>
        <w:ind w:left="240" w:right="259" w:firstLine="340"/>
        <w:spacing w:after="0" w:line="280" w:lineRule="auto"/>
        <w:rPr>
          <w:sz w:val="20"/>
          <w:szCs w:val="20"/>
          <w:color w:val="auto"/>
        </w:rPr>
      </w:pPr>
      <w:r>
        <w:rPr>
          <w:rFonts w:ascii="Times New Roman" w:cs="Times New Roman" w:eastAsia="Times New Roman" w:hAnsi="Times New Roman"/>
          <w:sz w:val="13"/>
          <w:szCs w:val="13"/>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ind w:left="240" w:right="339" w:firstLine="6"/>
        <w:spacing w:after="0" w:line="251" w:lineRule="auto"/>
        <w:tabs>
          <w:tab w:leader="none" w:pos="44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 Comparison of Dutch Corporate Law and U.S. Corporate Law</w:t>
      </w:r>
    </w:p>
    <w:p>
      <w:pPr>
        <w:spacing w:after="0" w:line="91" w:lineRule="exact"/>
        <w:rPr>
          <w:sz w:val="20"/>
          <w:szCs w:val="20"/>
          <w:color w:val="auto"/>
        </w:rPr>
      </w:pPr>
    </w:p>
    <w:p>
      <w:pPr>
        <w:ind w:left="240" w:right="379" w:firstLine="340"/>
        <w:spacing w:after="0" w:line="259" w:lineRule="auto"/>
        <w:rPr>
          <w:sz w:val="20"/>
          <w:szCs w:val="20"/>
          <w:color w:val="auto"/>
        </w:rPr>
      </w:pPr>
      <w:r>
        <w:rPr>
          <w:rFonts w:ascii="Times New Roman" w:cs="Times New Roman" w:eastAsia="Times New Roman" w:hAnsi="Times New Roman"/>
          <w:sz w:val="14"/>
          <w:szCs w:val="14"/>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Corporate Governance</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Duties of Directors</w:t>
      </w:r>
    </w:p>
    <w:p>
      <w:pPr>
        <w:spacing w:after="0" w:line="91" w:lineRule="exact"/>
        <w:rPr>
          <w:sz w:val="20"/>
          <w:szCs w:val="20"/>
          <w:color w:val="auto"/>
        </w:rPr>
      </w:pPr>
    </w:p>
    <w:p>
      <w:pPr>
        <w:ind w:left="240" w:right="479" w:firstLine="340"/>
        <w:spacing w:after="0" w:line="255" w:lineRule="auto"/>
        <w:rPr>
          <w:sz w:val="20"/>
          <w:szCs w:val="20"/>
          <w:color w:val="auto"/>
        </w:rPr>
      </w:pPr>
      <w:r>
        <w:rPr>
          <w:rFonts w:ascii="Times New Roman" w:cs="Times New Roman" w:eastAsia="Times New Roman" w:hAnsi="Times New Roman"/>
          <w:sz w:val="14"/>
          <w:szCs w:val="14"/>
          <w:color w:val="auto"/>
        </w:rPr>
        <w:t>The Netherlands. We have a one-tier board structure consisting of a board of directors comprising one or more executive directors and one or more non-executive directors. Under Dutch law, our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39" w:name="page40"/>
    <w:bookmarkEnd w:id="39"/>
    <w:p>
      <w:pPr>
        <w:ind w:left="240" w:right="35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40" w:lineRule="exact"/>
        <w:rPr>
          <w:sz w:val="20"/>
          <w:szCs w:val="20"/>
          <w:color w:val="auto"/>
        </w:rPr>
      </w:pPr>
    </w:p>
    <w:p>
      <w:pPr>
        <w:ind w:left="240" w:right="299" w:firstLine="340"/>
        <w:spacing w:after="0" w:line="280" w:lineRule="auto"/>
        <w:rPr>
          <w:sz w:val="20"/>
          <w:szCs w:val="20"/>
          <w:color w:val="auto"/>
        </w:rPr>
      </w:pPr>
      <w:r>
        <w:rPr>
          <w:rFonts w:ascii="Times New Roman" w:cs="Times New Roman" w:eastAsia="Times New Roman" w:hAnsi="Times New Roman"/>
          <w:sz w:val="14"/>
          <w:szCs w:val="14"/>
          <w:color w:val="auto"/>
        </w:rPr>
        <w:t>Our Board is entitled to represent the Company. The power to represent our company also vests in our chief executive officer individually, as well as in any other two executive directors acting jointly.</w:t>
      </w:r>
    </w:p>
    <w:p>
      <w:pPr>
        <w:spacing w:after="0" w:line="125" w:lineRule="exact"/>
        <w:rPr>
          <w:sz w:val="20"/>
          <w:szCs w:val="20"/>
          <w:color w:val="auto"/>
        </w:rPr>
      </w:pPr>
    </w:p>
    <w:p>
      <w:pPr>
        <w:ind w:left="240" w:right="259" w:firstLine="340"/>
        <w:spacing w:after="0" w:line="264" w:lineRule="auto"/>
        <w:rPr>
          <w:sz w:val="20"/>
          <w:szCs w:val="20"/>
          <w:color w:val="auto"/>
        </w:rPr>
      </w:pPr>
      <w:r>
        <w:rPr>
          <w:rFonts w:ascii="Times New Roman" w:cs="Times New Roman" w:eastAsia="Times New Roman" w:hAnsi="Times New Roman"/>
          <w:sz w:val="14"/>
          <w:szCs w:val="14"/>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37" w:lineRule="exact"/>
        <w:rPr>
          <w:sz w:val="20"/>
          <w:szCs w:val="20"/>
          <w:color w:val="auto"/>
        </w:rPr>
      </w:pPr>
    </w:p>
    <w:p>
      <w:pPr>
        <w:ind w:left="240" w:right="339" w:firstLine="340"/>
        <w:spacing w:after="0" w:line="254" w:lineRule="auto"/>
        <w:rPr>
          <w:sz w:val="20"/>
          <w:szCs w:val="20"/>
          <w:color w:val="auto"/>
        </w:rPr>
      </w:pPr>
      <w:r>
        <w:rPr>
          <w:rFonts w:ascii="Times New Roman" w:cs="Times New Roman" w:eastAsia="Times New Roman" w:hAnsi="Times New Roman"/>
          <w:sz w:val="14"/>
          <w:szCs w:val="14"/>
          <w:color w:val="auto"/>
        </w:rPr>
        <w:t>Delaware.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Director terms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Netherlands. The DCGC provides the following best practice recommendations on the terms for tenure of our directors:</w:t>
      </w:r>
    </w:p>
    <w:p>
      <w:pPr>
        <w:spacing w:after="0" w:line="100" w:lineRule="exact"/>
        <w:rPr>
          <w:sz w:val="20"/>
          <w:szCs w:val="20"/>
          <w:color w:val="auto"/>
        </w:rPr>
      </w:pPr>
    </w:p>
    <w:p>
      <w:pPr>
        <w:ind w:left="1000" w:right="399" w:hanging="336"/>
        <w:spacing w:after="0" w:line="280" w:lineRule="auto"/>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directors should be appointed for a maximum period of four years, without limiting the number of consecutive terms executive directors may serve.</w:t>
      </w:r>
    </w:p>
    <w:p>
      <w:pPr>
        <w:spacing w:after="0" w:line="52" w:lineRule="exact"/>
        <w:rPr>
          <w:rFonts w:ascii="Times New Roman" w:cs="Times New Roman" w:eastAsia="Times New Roman" w:hAnsi="Times New Roman"/>
          <w:sz w:val="14"/>
          <w:szCs w:val="14"/>
          <w:color w:val="auto"/>
        </w:rPr>
      </w:pPr>
    </w:p>
    <w:p>
      <w:pPr>
        <w:ind w:left="1000" w:right="339" w:hanging="336"/>
        <w:spacing w:after="0" w:line="264" w:lineRule="auto"/>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37" w:lineRule="exact"/>
        <w:rPr>
          <w:sz w:val="20"/>
          <w:szCs w:val="20"/>
          <w:color w:val="auto"/>
        </w:rPr>
      </w:pPr>
    </w:p>
    <w:p>
      <w:pPr>
        <w:ind w:left="240" w:right="259" w:firstLine="340"/>
        <w:spacing w:after="0" w:line="256" w:lineRule="auto"/>
        <w:rPr>
          <w:sz w:val="20"/>
          <w:szCs w:val="20"/>
          <w:color w:val="auto"/>
        </w:rPr>
      </w:pPr>
      <w:r>
        <w:rPr>
          <w:rFonts w:ascii="Times New Roman" w:cs="Times New Roman" w:eastAsia="Times New Roman" w:hAnsi="Times New Roman"/>
          <w:sz w:val="14"/>
          <w:szCs w:val="14"/>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43" w:lineRule="exact"/>
        <w:rPr>
          <w:sz w:val="20"/>
          <w:szCs w:val="20"/>
          <w:color w:val="auto"/>
        </w:rPr>
      </w:pPr>
    </w:p>
    <w:p>
      <w:pPr>
        <w:ind w:left="240" w:right="299" w:firstLine="340"/>
        <w:spacing w:after="0" w:line="259" w:lineRule="auto"/>
        <w:rPr>
          <w:sz w:val="20"/>
          <w:szCs w:val="20"/>
          <w:color w:val="auto"/>
        </w:rPr>
      </w:pPr>
      <w:r>
        <w:rPr>
          <w:rFonts w:ascii="Times New Roman" w:cs="Times New Roman" w:eastAsia="Times New Roman" w:hAnsi="Times New Roman"/>
          <w:sz w:val="14"/>
          <w:szCs w:val="14"/>
          <w:color w:val="auto"/>
        </w:rPr>
        <w:t>Delaware.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Director vacancies</w:t>
      </w:r>
    </w:p>
    <w:p>
      <w:pPr>
        <w:spacing w:after="0" w:line="91" w:lineRule="exact"/>
        <w:rPr>
          <w:sz w:val="20"/>
          <w:szCs w:val="20"/>
          <w:color w:val="auto"/>
        </w:rPr>
      </w:pPr>
    </w:p>
    <w:p>
      <w:pPr>
        <w:ind w:left="240" w:right="319" w:firstLine="340"/>
        <w:spacing w:after="0" w:line="280" w:lineRule="auto"/>
        <w:rPr>
          <w:sz w:val="20"/>
          <w:szCs w:val="20"/>
          <w:color w:val="auto"/>
        </w:rPr>
      </w:pPr>
      <w:r>
        <w:rPr>
          <w:rFonts w:ascii="Times New Roman" w:cs="Times New Roman" w:eastAsia="Times New Roman" w:hAnsi="Times New Roman"/>
          <w:sz w:val="14"/>
          <w:szCs w:val="14"/>
          <w:color w:val="auto"/>
        </w:rPr>
        <w:t>The Netherlands. Our Board can temporarily fill vacancies in its midst caused by temporary absence or incapacity of directors without requiring a shareholder vote. If all of our directors are absent or incapacitated, our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40" w:name="page41"/>
    <w:bookmarkEnd w:id="40"/>
    <w:p>
      <w:pPr>
        <w:ind w:left="240" w:right="35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43" w:lineRule="exact"/>
        <w:rPr>
          <w:sz w:val="20"/>
          <w:szCs w:val="20"/>
          <w:color w:val="auto"/>
        </w:rPr>
      </w:pPr>
    </w:p>
    <w:p>
      <w:pPr>
        <w:ind w:left="240" w:right="359" w:firstLine="340"/>
        <w:spacing w:after="0" w:line="259" w:lineRule="auto"/>
        <w:rPr>
          <w:sz w:val="20"/>
          <w:szCs w:val="20"/>
          <w:color w:val="auto"/>
        </w:rPr>
      </w:pPr>
      <w:r>
        <w:rPr>
          <w:rFonts w:ascii="Times New Roman" w:cs="Times New Roman" w:eastAsia="Times New Roman" w:hAnsi="Times New Roman"/>
          <w:sz w:val="14"/>
          <w:szCs w:val="14"/>
          <w:color w:val="auto"/>
        </w:rPr>
        <w:t>Under Dutch law, directors are appointed and re-appointed by the general meeting. Under our Articles of Association, directors are appointed by the general meeting upon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40" w:lineRule="exact"/>
        <w:rPr>
          <w:sz w:val="20"/>
          <w:szCs w:val="20"/>
          <w:color w:val="auto"/>
        </w:rPr>
      </w:pPr>
    </w:p>
    <w:p>
      <w:pPr>
        <w:ind w:left="240" w:right="339" w:firstLine="340"/>
        <w:spacing w:after="0" w:line="280" w:lineRule="auto"/>
        <w:rPr>
          <w:sz w:val="20"/>
          <w:szCs w:val="20"/>
          <w:color w:val="auto"/>
        </w:rPr>
      </w:pPr>
      <w:r>
        <w:rPr>
          <w:rFonts w:ascii="Times New Roman" w:cs="Times New Roman" w:eastAsia="Times New Roman" w:hAnsi="Times New Roman"/>
          <w:sz w:val="13"/>
          <w:szCs w:val="13"/>
          <w:color w:val="auto"/>
        </w:rPr>
        <w:t>Delaware.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ind w:left="240" w:right="319" w:firstLine="6"/>
        <w:spacing w:after="0" w:line="257" w:lineRule="auto"/>
        <w:tabs>
          <w:tab w:leader="none" w:pos="44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Conflict-of-interest transactions</w:t>
      </w:r>
    </w:p>
    <w:p>
      <w:pPr>
        <w:spacing w:after="0" w:line="91" w:lineRule="exact"/>
        <w:rPr>
          <w:sz w:val="20"/>
          <w:szCs w:val="20"/>
          <w:color w:val="auto"/>
        </w:rPr>
      </w:pPr>
    </w:p>
    <w:p>
      <w:pPr>
        <w:ind w:left="240" w:right="359" w:firstLine="340"/>
        <w:spacing w:after="0" w:line="255" w:lineRule="auto"/>
        <w:rPr>
          <w:sz w:val="20"/>
          <w:szCs w:val="20"/>
          <w:color w:val="auto"/>
        </w:rPr>
      </w:pPr>
      <w:r>
        <w:rPr>
          <w:rFonts w:ascii="Times New Roman" w:cs="Times New Roman" w:eastAsia="Times New Roman" w:hAnsi="Times New Roman"/>
          <w:sz w:val="14"/>
          <w:szCs w:val="14"/>
          <w:color w:val="auto"/>
        </w:rPr>
        <w:t>The Netherlands.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DCGC provides the following best practice recommendations in relation to conflicts of interests in respect of directors:</w:t>
      </w:r>
    </w:p>
    <w:p>
      <w:pPr>
        <w:spacing w:after="0" w:line="100" w:lineRule="exact"/>
        <w:rPr>
          <w:sz w:val="20"/>
          <w:szCs w:val="20"/>
          <w:color w:val="auto"/>
        </w:rPr>
      </w:pPr>
    </w:p>
    <w:p>
      <w:pPr>
        <w:ind w:left="1000" w:right="399" w:hanging="336"/>
        <w:spacing w:after="0" w:line="256" w:lineRule="auto"/>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70"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should decide, outside the presence of the director concerned, whether there is a conflict of interest;</w:t>
      </w:r>
    </w:p>
    <w:p>
      <w:pPr>
        <w:spacing w:after="0" w:line="99" w:lineRule="exact"/>
        <w:rPr>
          <w:rFonts w:ascii="Times New Roman" w:cs="Times New Roman" w:eastAsia="Times New Roman" w:hAnsi="Times New Roman"/>
          <w:sz w:val="14"/>
          <w:szCs w:val="14"/>
          <w:color w:val="auto"/>
        </w:rPr>
      </w:pPr>
    </w:p>
    <w:p>
      <w:pPr>
        <w:ind w:left="1000" w:hanging="33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there are conflicts of interest with directors should be agreed on terms that are customary in the market; and</w:t>
      </w:r>
    </w:p>
    <w:p>
      <w:pPr>
        <w:spacing w:after="0" w:line="99" w:lineRule="exact"/>
        <w:rPr>
          <w:rFonts w:ascii="Times New Roman" w:cs="Times New Roman" w:eastAsia="Times New Roman" w:hAnsi="Times New Roman"/>
          <w:sz w:val="14"/>
          <w:szCs w:val="14"/>
          <w:color w:val="auto"/>
        </w:rPr>
      </w:pPr>
    </w:p>
    <w:p>
      <w:pPr>
        <w:ind w:left="1000" w:right="379" w:hanging="336"/>
        <w:spacing w:after="0" w:line="259" w:lineRule="auto"/>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41" w:name="page42"/>
    <w:bookmarkEnd w:id="41"/>
    <w:p>
      <w:pPr>
        <w:ind w:left="240" w:right="799" w:firstLine="340"/>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Delaware. Under the Delaware General Corporation Law transactions involving a Delaware corporation and an interested director of that corporation would not be voidable if:</w:t>
      </w:r>
    </w:p>
    <w:p>
      <w:pPr>
        <w:spacing w:after="0" w:line="52" w:lineRule="exact"/>
        <w:rPr>
          <w:sz w:val="20"/>
          <w:szCs w:val="20"/>
          <w:color w:val="auto"/>
        </w:rPr>
      </w:pPr>
    </w:p>
    <w:p>
      <w:pPr>
        <w:ind w:left="1000" w:right="479" w:hanging="336"/>
        <w:spacing w:after="0" w:line="280"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52" w:lineRule="exact"/>
        <w:rPr>
          <w:rFonts w:ascii="Times New Roman" w:cs="Times New Roman" w:eastAsia="Times New Roman" w:hAnsi="Times New Roman"/>
          <w:sz w:val="14"/>
          <w:szCs w:val="14"/>
          <w:color w:val="auto"/>
        </w:rPr>
      </w:pPr>
    </w:p>
    <w:p>
      <w:pPr>
        <w:ind w:left="1000" w:right="499" w:hanging="336"/>
        <w:spacing w:after="0" w:line="280"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are disclosed or known as to the director’s relationship or interest and the transaction is specifically approved in good faith by vote of the majority of shares entitled to vote thereon; or</w:t>
      </w:r>
    </w:p>
    <w:p>
      <w:pPr>
        <w:spacing w:after="0" w:line="52" w:lineRule="exact"/>
        <w:rPr>
          <w:rFonts w:ascii="Times New Roman" w:cs="Times New Roman" w:eastAsia="Times New Roman" w:hAnsi="Times New Roman"/>
          <w:sz w:val="14"/>
          <w:szCs w:val="14"/>
          <w:color w:val="auto"/>
        </w:rPr>
      </w:pPr>
    </w:p>
    <w:p>
      <w:pPr>
        <w:ind w:left="1000" w:right="459" w:hanging="336"/>
        <w:spacing w:after="0" w:line="280"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fair to the corporation at the time it is authorized by the board of directors, a committee of the board of directors or the stockholders.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Proxy voting by directors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The Netherlands. An absent director may issue a proxy for a specific board meeting but only to another director in writing or by electronic means.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Delaware. A director of a Delaware corporation may not issue a proxy representing the director’s voting rights as a director.</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Shareholders Rights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91" w:lineRule="exact"/>
        <w:rPr>
          <w:sz w:val="20"/>
          <w:szCs w:val="20"/>
          <w:color w:val="auto"/>
        </w:rPr>
      </w:pPr>
    </w:p>
    <w:p>
      <w:pPr>
        <w:ind w:left="240" w:right="259" w:firstLine="340"/>
        <w:spacing w:after="0" w:line="252" w:lineRule="auto"/>
        <w:rPr>
          <w:sz w:val="20"/>
          <w:szCs w:val="20"/>
          <w:color w:val="auto"/>
        </w:rPr>
      </w:pPr>
      <w:r>
        <w:rPr>
          <w:rFonts w:ascii="Times New Roman" w:cs="Times New Roman" w:eastAsia="Times New Roman" w:hAnsi="Times New Roman"/>
          <w:sz w:val="14"/>
          <w:szCs w:val="14"/>
          <w:color w:val="auto"/>
        </w:rPr>
        <w:t>The Netherlands.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and the holders of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the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8" w:lineRule="exact"/>
        <w:rPr>
          <w:sz w:val="20"/>
          <w:szCs w:val="20"/>
          <w:color w:val="auto"/>
        </w:rPr>
      </w:pPr>
    </w:p>
    <w:p>
      <w:pPr>
        <w:ind w:left="240" w:right="259" w:firstLine="340"/>
        <w:spacing w:after="0" w:line="254" w:lineRule="auto"/>
        <w:rPr>
          <w:sz w:val="20"/>
          <w:szCs w:val="20"/>
          <w:color w:val="auto"/>
        </w:rPr>
      </w:pPr>
      <w:r>
        <w:rPr>
          <w:rFonts w:ascii="Times New Roman" w:cs="Times New Roman" w:eastAsia="Times New Roman" w:hAnsi="Times New Roman"/>
          <w:sz w:val="14"/>
          <w:szCs w:val="14"/>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43" w:lineRule="exact"/>
        <w:rPr>
          <w:sz w:val="20"/>
          <w:szCs w:val="20"/>
          <w:color w:val="auto"/>
        </w:rPr>
      </w:pPr>
    </w:p>
    <w:p>
      <w:pPr>
        <w:ind w:left="240" w:right="339" w:firstLine="340"/>
        <w:spacing w:after="0" w:line="256" w:lineRule="auto"/>
        <w:rPr>
          <w:sz w:val="20"/>
          <w:szCs w:val="20"/>
          <w:color w:val="auto"/>
        </w:rPr>
      </w:pPr>
      <w:r>
        <w:rPr>
          <w:rFonts w:ascii="Times New Roman" w:cs="Times New Roman" w:eastAsia="Times New Roman" w:hAnsi="Times New Roman"/>
          <w:sz w:val="14"/>
          <w:szCs w:val="14"/>
          <w:color w:val="auto"/>
        </w:rPr>
        <w:t>Delaware.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42" w:name="page43"/>
    <w:bookmarkEnd w:id="42"/>
    <w:p>
      <w:pPr>
        <w:ind w:left="240" w:right="259" w:firstLine="340"/>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Shareholder proposals</w:t>
      </w:r>
    </w:p>
    <w:p>
      <w:pPr>
        <w:spacing w:after="0" w:line="91" w:lineRule="exact"/>
        <w:rPr>
          <w:sz w:val="20"/>
          <w:szCs w:val="20"/>
          <w:color w:val="auto"/>
        </w:rPr>
      </w:pPr>
    </w:p>
    <w:p>
      <w:pPr>
        <w:ind w:left="240" w:right="359" w:firstLine="340"/>
        <w:spacing w:after="0" w:line="254" w:lineRule="auto"/>
        <w:rPr>
          <w:sz w:val="20"/>
          <w:szCs w:val="20"/>
          <w:color w:val="auto"/>
        </w:rPr>
      </w:pPr>
      <w:r>
        <w:rPr>
          <w:rFonts w:ascii="Times New Roman" w:cs="Times New Roman" w:eastAsia="Times New Roman" w:hAnsi="Times New Roman"/>
          <w:sz w:val="14"/>
          <w:szCs w:val="14"/>
          <w:color w:val="auto"/>
        </w:rPr>
        <w:t>The Netherlands.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43" w:lineRule="exact"/>
        <w:rPr>
          <w:sz w:val="20"/>
          <w:szCs w:val="20"/>
          <w:color w:val="auto"/>
        </w:rPr>
      </w:pPr>
    </w:p>
    <w:p>
      <w:pPr>
        <w:ind w:left="240" w:right="339" w:firstLine="340"/>
        <w:spacing w:after="0" w:line="264" w:lineRule="auto"/>
        <w:rPr>
          <w:sz w:val="20"/>
          <w:szCs w:val="20"/>
          <w:color w:val="auto"/>
        </w:rPr>
      </w:pPr>
      <w:r>
        <w:rPr>
          <w:rFonts w:ascii="Times New Roman" w:cs="Times New Roman" w:eastAsia="Times New Roman" w:hAnsi="Times New Roman"/>
          <w:sz w:val="14"/>
          <w:szCs w:val="14"/>
          <w:color w:val="auto"/>
        </w:rPr>
        <w:t>The agenda for a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37" w:lineRule="exact"/>
        <w:rPr>
          <w:sz w:val="20"/>
          <w:szCs w:val="20"/>
          <w:color w:val="auto"/>
        </w:rPr>
      </w:pPr>
    </w:p>
    <w:p>
      <w:pPr>
        <w:ind w:left="240" w:right="299" w:firstLine="340"/>
        <w:spacing w:after="0" w:line="252" w:lineRule="auto"/>
        <w:rPr>
          <w:sz w:val="20"/>
          <w:szCs w:val="20"/>
          <w:color w:val="auto"/>
        </w:rPr>
      </w:pPr>
      <w:r>
        <w:rPr>
          <w:rFonts w:ascii="Times New Roman" w:cs="Times New Roman" w:eastAsia="Times New Roman" w:hAnsi="Times New Roman"/>
          <w:sz w:val="14"/>
          <w:szCs w:val="14"/>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48" w:lineRule="exact"/>
        <w:rPr>
          <w:sz w:val="20"/>
          <w:szCs w:val="20"/>
          <w:color w:val="auto"/>
        </w:rPr>
      </w:pPr>
    </w:p>
    <w:p>
      <w:pPr>
        <w:ind w:left="240" w:right="299" w:firstLine="340"/>
        <w:spacing w:after="0" w:line="255" w:lineRule="auto"/>
        <w:rPr>
          <w:sz w:val="20"/>
          <w:szCs w:val="20"/>
          <w:color w:val="auto"/>
        </w:rPr>
      </w:pPr>
      <w:r>
        <w:rPr>
          <w:rFonts w:ascii="Times New Roman" w:cs="Times New Roman" w:eastAsia="Times New Roman" w:hAnsi="Times New Roman"/>
          <w:sz w:val="14"/>
          <w:szCs w:val="14"/>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43" w:lineRule="exact"/>
        <w:rPr>
          <w:sz w:val="20"/>
          <w:szCs w:val="20"/>
          <w:color w:val="auto"/>
        </w:rPr>
      </w:pPr>
    </w:p>
    <w:p>
      <w:pPr>
        <w:jc w:val="both"/>
        <w:ind w:left="240" w:right="359" w:firstLine="340"/>
        <w:spacing w:after="0" w:line="259" w:lineRule="auto"/>
        <w:rPr>
          <w:sz w:val="20"/>
          <w:szCs w:val="20"/>
          <w:color w:val="auto"/>
        </w:rPr>
      </w:pPr>
      <w:r>
        <w:rPr>
          <w:rFonts w:ascii="Times New Roman" w:cs="Times New Roman" w:eastAsia="Times New Roman" w:hAnsi="Times New Roman"/>
          <w:sz w:val="14"/>
          <w:szCs w:val="14"/>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43" w:name="page44"/>
    <w:bookmarkEnd w:id="43"/>
    <w:p>
      <w:pPr>
        <w:ind w:left="240" w:right="29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cs="Times New Roman" w:eastAsia="Times New Roman" w:hAnsi="Times New Roman"/>
          <w:sz w:val="14"/>
          <w:szCs w:val="14"/>
          <w:i w:val="1"/>
          <w:iCs w:val="1"/>
          <w:color w:val="auto"/>
        </w:rPr>
        <w:t>Ondernemingskamer</w:t>
      </w:r>
      <w:r>
        <w:rPr>
          <w:rFonts w:ascii="Times New Roman" w:cs="Times New Roman" w:eastAsia="Times New Roman" w:hAnsi="Times New Roman"/>
          <w:sz w:val="14"/>
          <w:szCs w:val="14"/>
          <w:color w:val="auto"/>
        </w:rPr>
        <w:t>) for early termination of the cooling-off period. The Enterprise Chamber must rule in favor of the request if the shareholders can demonstrate that:</w:t>
      </w:r>
    </w:p>
    <w:p>
      <w:pPr>
        <w:spacing w:after="0" w:line="70" w:lineRule="exact"/>
        <w:rPr>
          <w:sz w:val="20"/>
          <w:szCs w:val="20"/>
          <w:color w:val="auto"/>
        </w:rPr>
      </w:pPr>
    </w:p>
    <w:p>
      <w:pPr>
        <w:ind w:left="1000" w:right="479" w:hanging="336"/>
        <w:spacing w:after="0" w:line="280"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2" w:lineRule="exact"/>
        <w:rPr>
          <w:rFonts w:ascii="Times New Roman" w:cs="Times New Roman" w:eastAsia="Times New Roman" w:hAnsi="Times New Roman"/>
          <w:sz w:val="14"/>
          <w:szCs w:val="14"/>
          <w:color w:val="auto"/>
        </w:rPr>
      </w:pPr>
    </w:p>
    <w:p>
      <w:pPr>
        <w:ind w:left="1000" w:right="259" w:hanging="336"/>
        <w:spacing w:after="0" w:line="259"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cannot reasonably believe that a continuation of the cooling-off period would contribute to careful policy-making; or 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40" w:lineRule="exact"/>
        <w:rPr>
          <w:sz w:val="20"/>
          <w:szCs w:val="20"/>
          <w:color w:val="auto"/>
        </w:rPr>
      </w:pPr>
    </w:p>
    <w:p>
      <w:pPr>
        <w:ind w:left="240" w:right="279" w:firstLine="340"/>
        <w:spacing w:after="0" w:line="256" w:lineRule="auto"/>
        <w:rPr>
          <w:sz w:val="20"/>
          <w:szCs w:val="20"/>
          <w:color w:val="auto"/>
        </w:rPr>
      </w:pPr>
      <w:r>
        <w:rPr>
          <w:rFonts w:ascii="Times New Roman" w:cs="Times New Roman" w:eastAsia="Times New Roman" w:hAnsi="Times New Roman"/>
          <w:sz w:val="14"/>
          <w:szCs w:val="14"/>
          <w:color w:val="auto"/>
        </w:rPr>
        <w:t>Delaware.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Action by written consent</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Netherlands. Under Dutch law, shareholders’ resolutions may be adopted in writing without holding a meeting of shareholders, provided that</w:t>
      </w:r>
    </w:p>
    <w:p>
      <w:pPr>
        <w:spacing w:after="0" w:line="21" w:lineRule="exact"/>
        <w:rPr>
          <w:sz w:val="20"/>
          <w:szCs w:val="20"/>
          <w:color w:val="auto"/>
        </w:rPr>
      </w:pPr>
    </w:p>
    <w:p>
      <w:pPr>
        <w:ind w:left="240" w:right="439" w:firstLine="6"/>
        <w:spacing w:after="0" w:line="251" w:lineRule="auto"/>
        <w:tabs>
          <w:tab w:leader="none" w:pos="40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46" w:lineRule="exact"/>
        <w:rPr>
          <w:sz w:val="20"/>
          <w:szCs w:val="20"/>
          <w:color w:val="auto"/>
        </w:rPr>
      </w:pPr>
    </w:p>
    <w:p>
      <w:pPr>
        <w:ind w:left="240" w:right="359" w:firstLine="340"/>
        <w:spacing w:after="0" w:line="280" w:lineRule="auto"/>
        <w:rPr>
          <w:sz w:val="20"/>
          <w:szCs w:val="20"/>
          <w:color w:val="auto"/>
        </w:rPr>
      </w:pPr>
      <w:r>
        <w:rPr>
          <w:rFonts w:ascii="Times New Roman" w:cs="Times New Roman" w:eastAsia="Times New Roman" w:hAnsi="Times New Roman"/>
          <w:sz w:val="14"/>
          <w:szCs w:val="14"/>
          <w:color w:val="auto"/>
        </w:rPr>
        <w:t>Delaware. Although permitted by Delaware law, publicly listed companies do not typically permit stockholders of a corporation to take action by written consent.</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Appraisal rights</w:t>
      </w:r>
    </w:p>
    <w:p>
      <w:pPr>
        <w:spacing w:after="0" w:line="91" w:lineRule="exact"/>
        <w:rPr>
          <w:sz w:val="20"/>
          <w:szCs w:val="20"/>
          <w:color w:val="auto"/>
        </w:rPr>
      </w:pPr>
    </w:p>
    <w:p>
      <w:pPr>
        <w:ind w:left="240" w:right="259" w:firstLine="340"/>
        <w:spacing w:after="0" w:line="255" w:lineRule="auto"/>
        <w:rPr>
          <w:sz w:val="20"/>
          <w:szCs w:val="20"/>
          <w:color w:val="auto"/>
        </w:rPr>
      </w:pPr>
      <w:r>
        <w:rPr>
          <w:rFonts w:ascii="Times New Roman" w:cs="Times New Roman" w:eastAsia="Times New Roman" w:hAnsi="Times New Roman"/>
          <w:sz w:val="14"/>
          <w:szCs w:val="14"/>
          <w:color w:val="auto"/>
        </w:rPr>
        <w:t>The Netherlands.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43" w:lineRule="exact"/>
        <w:rPr>
          <w:sz w:val="20"/>
          <w:szCs w:val="20"/>
          <w:color w:val="auto"/>
        </w:rPr>
      </w:pPr>
    </w:p>
    <w:p>
      <w:pPr>
        <w:ind w:left="240" w:right="699" w:firstLine="340"/>
        <w:spacing w:after="0" w:line="280" w:lineRule="auto"/>
        <w:rPr>
          <w:sz w:val="20"/>
          <w:szCs w:val="20"/>
          <w:color w:val="auto"/>
        </w:rPr>
      </w:pPr>
      <w:r>
        <w:rPr>
          <w:rFonts w:ascii="Times New Roman" w:cs="Times New Roman" w:eastAsia="Times New Roman" w:hAnsi="Times New Roman"/>
          <w:sz w:val="14"/>
          <w:szCs w:val="14"/>
          <w:color w:val="auto"/>
        </w:rPr>
        <w:t>Delaware. The Delaware General Corporation Law provides for stockholder appraisal rights, or the right to demand payment in cash of the judicially determined fair value of the stockholder’s shares, in connection with certain mergers and consolidations.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44" w:name="page45"/>
    <w:bookmarkEnd w:id="44"/>
    <w:p>
      <w:pPr>
        <w:ind w:left="24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Shareholder suits</w:t>
      </w:r>
    </w:p>
    <w:p>
      <w:pPr>
        <w:spacing w:after="0" w:line="91" w:lineRule="exact"/>
        <w:rPr>
          <w:sz w:val="20"/>
          <w:szCs w:val="20"/>
          <w:color w:val="auto"/>
        </w:rPr>
      </w:pPr>
    </w:p>
    <w:p>
      <w:pPr>
        <w:ind w:left="240" w:right="299" w:firstLine="340"/>
        <w:spacing w:after="0" w:line="272" w:lineRule="auto"/>
        <w:rPr>
          <w:sz w:val="20"/>
          <w:szCs w:val="20"/>
          <w:color w:val="auto"/>
        </w:rPr>
      </w:pPr>
      <w:r>
        <w:rPr>
          <w:rFonts w:ascii="Times New Roman" w:cs="Times New Roman" w:eastAsia="Times New Roman" w:hAnsi="Times New Roman"/>
          <w:sz w:val="13"/>
          <w:szCs w:val="13"/>
          <w:color w:val="auto"/>
        </w:rPr>
        <w:t>The Netherlands.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Articles of Association provide that the sole and exclusive forum for any complaint asserting a cause of action arising under the U.S.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Securities Act of 1933, as amended, to the fullest extent permitted by applicable law, shall be the U.S. federal district courts.</w:t>
      </w:r>
    </w:p>
    <w:p>
      <w:pPr>
        <w:spacing w:after="0" w:line="158" w:lineRule="exact"/>
        <w:rPr>
          <w:sz w:val="20"/>
          <w:szCs w:val="20"/>
          <w:color w:val="auto"/>
        </w:rPr>
      </w:pPr>
    </w:p>
    <w:p>
      <w:pPr>
        <w:ind w:left="240" w:right="279" w:firstLine="340"/>
        <w:spacing w:after="0" w:line="254" w:lineRule="auto"/>
        <w:rPr>
          <w:sz w:val="20"/>
          <w:szCs w:val="20"/>
          <w:color w:val="auto"/>
        </w:rPr>
      </w:pPr>
      <w:r>
        <w:rPr>
          <w:rFonts w:ascii="Times New Roman" w:cs="Times New Roman" w:eastAsia="Times New Roman" w:hAnsi="Times New Roman"/>
          <w:sz w:val="14"/>
          <w:szCs w:val="14"/>
          <w:color w:val="auto"/>
        </w:rPr>
        <w:t>Delaware.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Repurchase of shares</w:t>
      </w:r>
    </w:p>
    <w:p>
      <w:pPr>
        <w:spacing w:after="0" w:line="91" w:lineRule="exact"/>
        <w:rPr>
          <w:sz w:val="20"/>
          <w:szCs w:val="20"/>
          <w:color w:val="auto"/>
        </w:rPr>
      </w:pPr>
    </w:p>
    <w:p>
      <w:pPr>
        <w:ind w:left="240" w:right="299" w:firstLine="340"/>
        <w:spacing w:after="0" w:line="252" w:lineRule="auto"/>
        <w:rPr>
          <w:sz w:val="20"/>
          <w:szCs w:val="20"/>
          <w:color w:val="auto"/>
        </w:rPr>
      </w:pPr>
      <w:r>
        <w:rPr>
          <w:rFonts w:ascii="Times New Roman" w:cs="Times New Roman" w:eastAsia="Times New Roman" w:hAnsi="Times New Roman"/>
          <w:sz w:val="14"/>
          <w:szCs w:val="14"/>
          <w:color w:val="auto"/>
        </w:rPr>
        <w:t>The Netherlands.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148" w:lineRule="exact"/>
        <w:rPr>
          <w:sz w:val="20"/>
          <w:szCs w:val="20"/>
          <w:color w:val="auto"/>
        </w:rPr>
      </w:pPr>
    </w:p>
    <w:p>
      <w:pPr>
        <w:ind w:left="240" w:right="339" w:firstLine="340"/>
        <w:spacing w:after="0" w:line="264" w:lineRule="auto"/>
        <w:rPr>
          <w:sz w:val="20"/>
          <w:szCs w:val="20"/>
          <w:color w:val="auto"/>
        </w:rPr>
      </w:pPr>
      <w:r>
        <w:rPr>
          <w:rFonts w:ascii="Times New Roman" w:cs="Times New Roman" w:eastAsia="Times New Roman" w:hAnsi="Times New Roman"/>
          <w:sz w:val="14"/>
          <w:szCs w:val="14"/>
          <w:color w:val="auto"/>
        </w:rPr>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8" w:right="1440" w:bottom="1440" w:gutter="0" w:footer="0" w:header="0"/>
        </w:sectPr>
      </w:pPr>
    </w:p>
    <w:bookmarkStart w:id="45" w:name="page46"/>
    <w:bookmarkEnd w:id="45"/>
    <w:p>
      <w:pPr>
        <w:ind w:left="240" w:right="3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resolution of our Board. On June 28, 2024, our general meeting adopted a resolution pursuant to which our Board is authorized, for a period of 18 months following June 28, 2024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43" w:lineRule="exact"/>
        <w:rPr>
          <w:sz w:val="20"/>
          <w:szCs w:val="20"/>
          <w:color w:val="auto"/>
        </w:rPr>
      </w:pPr>
    </w:p>
    <w:p>
      <w:pPr>
        <w:ind w:left="240" w:right="319" w:firstLine="340"/>
        <w:spacing w:after="0" w:line="280" w:lineRule="auto"/>
        <w:rPr>
          <w:sz w:val="20"/>
          <w:szCs w:val="20"/>
          <w:color w:val="auto"/>
        </w:rPr>
      </w:pPr>
      <w:r>
        <w:rPr>
          <w:rFonts w:ascii="Times New Roman" w:cs="Times New Roman" w:eastAsia="Times New Roman" w:hAnsi="Times New Roman"/>
          <w:sz w:val="14"/>
          <w:szCs w:val="14"/>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125" w:lineRule="exact"/>
        <w:rPr>
          <w:sz w:val="20"/>
          <w:szCs w:val="20"/>
          <w:color w:val="auto"/>
        </w:rPr>
      </w:pPr>
    </w:p>
    <w:p>
      <w:pPr>
        <w:ind w:left="240" w:right="319" w:firstLine="340"/>
        <w:spacing w:after="0" w:line="256" w:lineRule="auto"/>
        <w:rPr>
          <w:sz w:val="20"/>
          <w:szCs w:val="20"/>
          <w:color w:val="auto"/>
        </w:rPr>
      </w:pPr>
      <w:r>
        <w:rPr>
          <w:rFonts w:ascii="Times New Roman" w:cs="Times New Roman" w:eastAsia="Times New Roman" w:hAnsi="Times New Roman"/>
          <w:sz w:val="14"/>
          <w:szCs w:val="14"/>
          <w:color w:val="auto"/>
        </w:rPr>
        <w:t>Delaware.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91" w:lineRule="exact"/>
        <w:rPr>
          <w:sz w:val="20"/>
          <w:szCs w:val="20"/>
          <w:color w:val="auto"/>
        </w:rPr>
      </w:pPr>
    </w:p>
    <w:p>
      <w:pPr>
        <w:ind w:left="240" w:right="439" w:firstLine="340"/>
        <w:spacing w:after="0" w:line="280" w:lineRule="auto"/>
        <w:rPr>
          <w:sz w:val="20"/>
          <w:szCs w:val="20"/>
          <w:color w:val="auto"/>
        </w:rPr>
      </w:pPr>
      <w:r>
        <w:rPr>
          <w:rFonts w:ascii="Times New Roman" w:cs="Times New Roman" w:eastAsia="Times New Roman" w:hAnsi="Times New Roman"/>
          <w:sz w:val="14"/>
          <w:szCs w:val="14"/>
          <w:color w:val="auto"/>
        </w:rPr>
        <w:t>The Netherlands. Under Dutch law, various protective measures are possible and permissible within the boundaries set by Dutch law and Dutch case law.</w:t>
      </w:r>
    </w:p>
    <w:p>
      <w:pPr>
        <w:spacing w:after="0" w:line="125" w:lineRule="exact"/>
        <w:rPr>
          <w:sz w:val="20"/>
          <w:szCs w:val="20"/>
          <w:color w:val="auto"/>
        </w:rPr>
      </w:pPr>
    </w:p>
    <w:p>
      <w:pPr>
        <w:ind w:left="240" w:right="539" w:firstLine="340"/>
        <w:spacing w:after="0" w:line="280" w:lineRule="auto"/>
        <w:rPr>
          <w:sz w:val="20"/>
          <w:szCs w:val="20"/>
          <w:color w:val="auto"/>
        </w:rPr>
      </w:pPr>
      <w:r>
        <w:rPr>
          <w:rFonts w:ascii="Times New Roman" w:cs="Times New Roman" w:eastAsia="Times New Roman" w:hAnsi="Times New Roman"/>
          <w:sz w:val="14"/>
          <w:szCs w:val="14"/>
          <w:color w:val="auto"/>
        </w:rPr>
        <w:t>In this respect, certain provisions of our Articles of Association may make it more difficult for a third-party to acquire control of us or effect a change in the composition of our Board. These include:</w:t>
      </w:r>
    </w:p>
    <w:p>
      <w:pPr>
        <w:spacing w:after="0" w:line="52" w:lineRule="exact"/>
        <w:rPr>
          <w:sz w:val="20"/>
          <w:szCs w:val="20"/>
          <w:color w:val="auto"/>
        </w:rPr>
      </w:pPr>
    </w:p>
    <w:p>
      <w:pPr>
        <w:ind w:left="1000" w:right="559" w:hanging="336"/>
        <w:spacing w:after="0" w:line="264"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3" w:lineRule="exact"/>
        <w:rPr>
          <w:rFonts w:ascii="Times New Roman" w:cs="Times New Roman" w:eastAsia="Times New Roman" w:hAnsi="Times New Roman"/>
          <w:sz w:val="14"/>
          <w:szCs w:val="14"/>
          <w:color w:val="auto"/>
        </w:rPr>
      </w:pPr>
    </w:p>
    <w:p>
      <w:pPr>
        <w:ind w:left="1000" w:right="379" w:hanging="336"/>
        <w:spacing w:after="0" w:line="264"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3" w:lineRule="exact"/>
        <w:rPr>
          <w:rFonts w:ascii="Times New Roman" w:cs="Times New Roman" w:eastAsia="Times New Roman" w:hAnsi="Times New Roman"/>
          <w:sz w:val="14"/>
          <w:szCs w:val="14"/>
          <w:color w:val="auto"/>
        </w:rPr>
      </w:pPr>
    </w:p>
    <w:p>
      <w:pPr>
        <w:ind w:left="1000" w:right="319" w:hanging="336"/>
        <w:spacing w:after="0" w:line="280"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which allows the most recent (former) chairman of our Board or our most recent (former) chief executive officer to be charged with our management if all of our directors are absent or incapacitated; and</w:t>
      </w:r>
    </w:p>
    <w:p>
      <w:pPr>
        <w:spacing w:after="0" w:line="52" w:lineRule="exact"/>
        <w:rPr>
          <w:rFonts w:ascii="Times New Roman" w:cs="Times New Roman" w:eastAsia="Times New Roman" w:hAnsi="Times New Roman"/>
          <w:sz w:val="14"/>
          <w:szCs w:val="14"/>
          <w:color w:val="auto"/>
        </w:rPr>
      </w:pPr>
    </w:p>
    <w:p>
      <w:pPr>
        <w:ind w:left="1000" w:right="639" w:hanging="336"/>
        <w:spacing w:after="0" w:line="280"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that certain matters, including an amendment of our Articles of Association, may only be resolved upon by our general meeting if proposed by our Board.</w:t>
      </w:r>
    </w:p>
    <w:p>
      <w:pPr>
        <w:spacing w:after="0" w:line="125" w:lineRule="exact"/>
        <w:rPr>
          <w:sz w:val="20"/>
          <w:szCs w:val="20"/>
          <w:color w:val="auto"/>
        </w:rPr>
      </w:pPr>
    </w:p>
    <w:p>
      <w:pPr>
        <w:ind w:left="240" w:right="259" w:firstLine="340"/>
        <w:spacing w:after="0" w:line="280" w:lineRule="auto"/>
        <w:rPr>
          <w:sz w:val="20"/>
          <w:szCs w:val="20"/>
          <w:color w:val="auto"/>
        </w:rPr>
      </w:pPr>
      <w:r>
        <w:rPr>
          <w:rFonts w:ascii="Times New Roman" w:cs="Times New Roman" w:eastAsia="Times New Roman" w:hAnsi="Times New Roman"/>
          <w:sz w:val="14"/>
          <w:szCs w:val="14"/>
          <w:color w:val="auto"/>
        </w:rPr>
        <w:t>Dutch law also allows for staggered multi-year terms of our directors, as a result of which only part of our directors may be subject to appointment or re-appointment in any given year.</w:t>
      </w:r>
    </w:p>
    <w:p>
      <w:pPr>
        <w:spacing w:after="0" w:line="125" w:lineRule="exact"/>
        <w:rPr>
          <w:sz w:val="20"/>
          <w:szCs w:val="20"/>
          <w:color w:val="auto"/>
        </w:rPr>
      </w:pPr>
    </w:p>
    <w:p>
      <w:pPr>
        <w:jc w:val="both"/>
        <w:ind w:left="240" w:right="259" w:firstLine="340"/>
        <w:spacing w:after="0" w:line="320" w:lineRule="auto"/>
        <w:rPr>
          <w:sz w:val="20"/>
          <w:szCs w:val="20"/>
          <w:color w:val="auto"/>
        </w:rPr>
      </w:pPr>
      <w:r>
        <w:rPr>
          <w:rFonts w:ascii="Times New Roman" w:cs="Times New Roman" w:eastAsia="Times New Roman" w:hAnsi="Times New Roman"/>
          <w:sz w:val="13"/>
          <w:szCs w:val="13"/>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02" w:lineRule="exact"/>
        <w:rPr>
          <w:sz w:val="20"/>
          <w:szCs w:val="20"/>
          <w:color w:val="auto"/>
        </w:rPr>
      </w:pPr>
    </w:p>
    <w:p>
      <w:pPr>
        <w:ind w:left="240" w:right="399" w:firstLine="340"/>
        <w:spacing w:after="0" w:line="264" w:lineRule="auto"/>
        <w:rPr>
          <w:sz w:val="20"/>
          <w:szCs w:val="20"/>
          <w:color w:val="auto"/>
        </w:rPr>
      </w:pPr>
      <w:r>
        <w:rPr>
          <w:rFonts w:ascii="Times New Roman" w:cs="Times New Roman" w:eastAsia="Times New Roman" w:hAnsi="Times New Roman"/>
          <w:sz w:val="14"/>
          <w:szCs w:val="14"/>
          <w:color w:val="auto"/>
        </w:rPr>
        <w:t>Delaware.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0" w:right="1440" w:bottom="1440" w:gutter="0" w:footer="0" w:header="0"/>
        </w:sectPr>
      </w:pPr>
    </w:p>
    <w:bookmarkStart w:id="46" w:name="page47"/>
    <w:bookmarkEnd w:id="46"/>
    <w:p>
      <w:pPr>
        <w:ind w:left="240" w:right="319" w:firstLine="340"/>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64" w:lineRule="exact"/>
        <w:rPr>
          <w:sz w:val="20"/>
          <w:szCs w:val="20"/>
          <w:color w:val="auto"/>
        </w:rPr>
      </w:pPr>
    </w:p>
    <w:p>
      <w:pPr>
        <w:ind w:left="1000" w:right="439" w:hanging="336"/>
        <w:spacing w:after="0" w:line="280" w:lineRule="auto"/>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of the corporation approved either the business combination or the transaction which resulted in the stockholder becoming an interested stockholder;</w:t>
      </w:r>
    </w:p>
    <w:p>
      <w:pPr>
        <w:spacing w:after="0" w:line="52" w:lineRule="exact"/>
        <w:rPr>
          <w:rFonts w:ascii="Times New Roman" w:cs="Times New Roman" w:eastAsia="Times New Roman" w:hAnsi="Times New Roman"/>
          <w:sz w:val="14"/>
          <w:szCs w:val="14"/>
          <w:color w:val="auto"/>
        </w:rPr>
      </w:pPr>
    </w:p>
    <w:p>
      <w:pPr>
        <w:ind w:left="1000" w:right="279" w:hanging="336"/>
        <w:spacing w:after="0" w:line="264" w:lineRule="auto"/>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3" w:lineRule="exact"/>
        <w:rPr>
          <w:rFonts w:ascii="Times New Roman" w:cs="Times New Roman" w:eastAsia="Times New Roman" w:hAnsi="Times New Roman"/>
          <w:sz w:val="14"/>
          <w:szCs w:val="14"/>
          <w:color w:val="auto"/>
        </w:rPr>
      </w:pPr>
    </w:p>
    <w:p>
      <w:pPr>
        <w:ind w:left="1000" w:right="399" w:hanging="336"/>
        <w:spacing w:after="0" w:line="280" w:lineRule="auto"/>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25" w:lineRule="exact"/>
        <w:rPr>
          <w:sz w:val="20"/>
          <w:szCs w:val="20"/>
          <w:color w:val="auto"/>
        </w:rPr>
      </w:pPr>
    </w:p>
    <w:p>
      <w:pPr>
        <w:ind w:left="240" w:right="299" w:firstLine="340"/>
        <w:spacing w:after="0" w:line="259" w:lineRule="auto"/>
        <w:rPr>
          <w:sz w:val="20"/>
          <w:szCs w:val="20"/>
          <w:color w:val="auto"/>
        </w:rPr>
      </w:pPr>
      <w:r>
        <w:rPr>
          <w:rFonts w:ascii="Times New Roman" w:cs="Times New Roman" w:eastAsia="Times New Roman" w:hAnsi="Times New Roman"/>
          <w:sz w:val="14"/>
          <w:szCs w:val="14"/>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Inspection of books and records</w:t>
      </w:r>
    </w:p>
    <w:p>
      <w:pPr>
        <w:spacing w:after="0" w:line="91" w:lineRule="exact"/>
        <w:rPr>
          <w:sz w:val="20"/>
          <w:szCs w:val="20"/>
          <w:color w:val="auto"/>
        </w:rPr>
      </w:pPr>
    </w:p>
    <w:p>
      <w:pPr>
        <w:ind w:left="240" w:right="619" w:firstLine="340"/>
        <w:spacing w:after="0" w:line="280" w:lineRule="auto"/>
        <w:rPr>
          <w:sz w:val="20"/>
          <w:szCs w:val="20"/>
          <w:color w:val="auto"/>
        </w:rPr>
      </w:pPr>
      <w:r>
        <w:rPr>
          <w:rFonts w:ascii="Times New Roman" w:cs="Times New Roman" w:eastAsia="Times New Roman" w:hAnsi="Times New Roman"/>
          <w:sz w:val="14"/>
          <w:szCs w:val="14"/>
          <w:color w:val="auto"/>
        </w:rPr>
        <w:t>The Netherlands. The Board must provide the general meeting all information that it requires, unless this would be contrary to an overriding interest of our Company. If the Board invokes such an overriding interest, it must give reasons.</w:t>
      </w:r>
    </w:p>
    <w:p>
      <w:pPr>
        <w:spacing w:after="0" w:line="125" w:lineRule="exact"/>
        <w:rPr>
          <w:sz w:val="20"/>
          <w:szCs w:val="20"/>
          <w:color w:val="auto"/>
        </w:rPr>
      </w:pPr>
    </w:p>
    <w:p>
      <w:pPr>
        <w:ind w:left="240" w:right="379" w:firstLine="340"/>
        <w:spacing w:after="0" w:line="280" w:lineRule="auto"/>
        <w:rPr>
          <w:sz w:val="20"/>
          <w:szCs w:val="20"/>
          <w:color w:val="auto"/>
        </w:rPr>
      </w:pPr>
      <w:r>
        <w:rPr>
          <w:rFonts w:ascii="Times New Roman" w:cs="Times New Roman" w:eastAsia="Times New Roman" w:hAnsi="Times New Roman"/>
          <w:sz w:val="14"/>
          <w:szCs w:val="14"/>
          <w:color w:val="auto"/>
        </w:rPr>
        <w:t>Delaware. Under the Delaware General Corporation Law, any stockholder may inspect for any proper purpose certain of the corporation’s books and records during the corporation’s usual hours of business.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Dismissal of Directors</w:t>
      </w:r>
    </w:p>
    <w:p>
      <w:pPr>
        <w:spacing w:after="0" w:line="91" w:lineRule="exact"/>
        <w:rPr>
          <w:sz w:val="20"/>
          <w:szCs w:val="20"/>
          <w:color w:val="auto"/>
        </w:rPr>
      </w:pPr>
    </w:p>
    <w:p>
      <w:pPr>
        <w:jc w:val="both"/>
        <w:ind w:left="240" w:right="319" w:firstLine="340"/>
        <w:spacing w:after="0" w:line="259" w:lineRule="auto"/>
        <w:rPr>
          <w:sz w:val="20"/>
          <w:szCs w:val="20"/>
          <w:color w:val="auto"/>
        </w:rPr>
      </w:pPr>
      <w:r>
        <w:rPr>
          <w:rFonts w:ascii="Times New Roman" w:cs="Times New Roman" w:eastAsia="Times New Roman" w:hAnsi="Times New Roman"/>
          <w:sz w:val="14"/>
          <w:szCs w:val="14"/>
          <w:color w:val="auto"/>
        </w:rPr>
        <w:t>The Netherlands.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40" w:lineRule="exact"/>
        <w:rPr>
          <w:sz w:val="20"/>
          <w:szCs w:val="20"/>
          <w:color w:val="auto"/>
        </w:rPr>
      </w:pPr>
    </w:p>
    <w:p>
      <w:pPr>
        <w:ind w:left="240" w:right="299" w:firstLine="340"/>
        <w:spacing w:after="0" w:line="255" w:lineRule="auto"/>
        <w:rPr>
          <w:sz w:val="20"/>
          <w:szCs w:val="20"/>
          <w:color w:val="auto"/>
        </w:rPr>
      </w:pPr>
      <w:r>
        <w:rPr>
          <w:rFonts w:ascii="Times New Roman" w:cs="Times New Roman" w:eastAsia="Times New Roman" w:hAnsi="Times New Roman"/>
          <w:sz w:val="14"/>
          <w:szCs w:val="14"/>
          <w:color w:val="auto"/>
        </w:rPr>
        <w:t>Delaware.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Issuance of Shares</w:t>
      </w:r>
    </w:p>
    <w:p>
      <w:pPr>
        <w:spacing w:after="0" w:line="91" w:lineRule="exact"/>
        <w:rPr>
          <w:sz w:val="20"/>
          <w:szCs w:val="20"/>
          <w:color w:val="auto"/>
        </w:rPr>
      </w:pPr>
    </w:p>
    <w:p>
      <w:pPr>
        <w:ind w:left="240" w:right="319" w:firstLine="340"/>
        <w:spacing w:after="0" w:line="264" w:lineRule="auto"/>
        <w:rPr>
          <w:sz w:val="20"/>
          <w:szCs w:val="20"/>
          <w:color w:val="auto"/>
        </w:rPr>
      </w:pPr>
      <w:r>
        <w:rPr>
          <w:rFonts w:ascii="Times New Roman" w:cs="Times New Roman" w:eastAsia="Times New Roman" w:hAnsi="Times New Roman"/>
          <w:sz w:val="14"/>
          <w:szCs w:val="14"/>
          <w:color w:val="auto"/>
        </w:rPr>
        <w:t>The Netherlands.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47" w:name="page48"/>
    <w:bookmarkEnd w:id="47"/>
    <w:p>
      <w:pPr>
        <w:ind w:left="240" w:right="399" w:firstLine="340"/>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On June 28, 2024, our general meeting adopted a resolution pursuant to which our Board is authorized, for a period of five years following June 28, 2024, to issue shares or grant rights to subscribe for shares up to our authorized share capital from time to time. We may not subscribe for our own shares on issue.</w:t>
      </w:r>
    </w:p>
    <w:p>
      <w:pPr>
        <w:spacing w:after="0" w:line="137" w:lineRule="exact"/>
        <w:rPr>
          <w:sz w:val="20"/>
          <w:szCs w:val="20"/>
          <w:color w:val="auto"/>
        </w:rPr>
      </w:pPr>
    </w:p>
    <w:p>
      <w:pPr>
        <w:ind w:left="240" w:right="779" w:firstLine="340"/>
        <w:spacing w:after="0" w:line="280" w:lineRule="auto"/>
        <w:rPr>
          <w:sz w:val="20"/>
          <w:szCs w:val="20"/>
          <w:color w:val="auto"/>
        </w:rPr>
      </w:pPr>
      <w:r>
        <w:rPr>
          <w:rFonts w:ascii="Times New Roman" w:cs="Times New Roman" w:eastAsia="Times New Roman" w:hAnsi="Times New Roman"/>
          <w:sz w:val="14"/>
          <w:szCs w:val="14"/>
          <w:color w:val="auto"/>
        </w:rPr>
        <w:t>Delaware.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Pre-emptive rights</w:t>
      </w:r>
    </w:p>
    <w:p>
      <w:pPr>
        <w:spacing w:after="0" w:line="91" w:lineRule="exact"/>
        <w:rPr>
          <w:sz w:val="20"/>
          <w:szCs w:val="20"/>
          <w:color w:val="auto"/>
        </w:rPr>
      </w:pPr>
    </w:p>
    <w:p>
      <w:pPr>
        <w:ind w:left="240" w:right="299" w:firstLine="340"/>
        <w:spacing w:after="0" w:line="256" w:lineRule="auto"/>
        <w:rPr>
          <w:sz w:val="20"/>
          <w:szCs w:val="20"/>
          <w:color w:val="auto"/>
        </w:rPr>
      </w:pPr>
      <w:r>
        <w:rPr>
          <w:rFonts w:ascii="Times New Roman" w:cs="Times New Roman" w:eastAsia="Times New Roman" w:hAnsi="Times New Roman"/>
          <w:sz w:val="14"/>
          <w:szCs w:val="14"/>
          <w:color w:val="auto"/>
        </w:rPr>
        <w:t>The Netherlands.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43" w:lineRule="exact"/>
        <w:rPr>
          <w:sz w:val="20"/>
          <w:szCs w:val="20"/>
          <w:color w:val="auto"/>
        </w:rPr>
      </w:pPr>
    </w:p>
    <w:p>
      <w:pPr>
        <w:ind w:left="240" w:right="299" w:firstLine="340"/>
        <w:spacing w:after="0" w:line="259" w:lineRule="auto"/>
        <w:rPr>
          <w:sz w:val="20"/>
          <w:szCs w:val="20"/>
          <w:color w:val="auto"/>
        </w:rPr>
      </w:pPr>
      <w:r>
        <w:rPr>
          <w:rFonts w:ascii="Times New Roman" w:cs="Times New Roman" w:eastAsia="Times New Roman" w:hAnsi="Times New Roman"/>
          <w:sz w:val="14"/>
          <w:szCs w:val="14"/>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40" w:lineRule="exact"/>
        <w:rPr>
          <w:sz w:val="20"/>
          <w:szCs w:val="20"/>
          <w:color w:val="auto"/>
        </w:rPr>
      </w:pPr>
    </w:p>
    <w:p>
      <w:pPr>
        <w:jc w:val="both"/>
        <w:ind w:left="240" w:right="459" w:firstLine="340"/>
        <w:spacing w:after="0" w:line="264" w:lineRule="auto"/>
        <w:rPr>
          <w:sz w:val="20"/>
          <w:szCs w:val="20"/>
          <w:color w:val="auto"/>
        </w:rPr>
      </w:pPr>
      <w:r>
        <w:rPr>
          <w:rFonts w:ascii="Times New Roman" w:cs="Times New Roman" w:eastAsia="Times New Roman" w:hAnsi="Times New Roman"/>
          <w:sz w:val="14"/>
          <w:szCs w:val="14"/>
          <w:color w:val="auto"/>
        </w:rPr>
        <w:t>On June 28, 2024, our general meeting authorized our Board, for a period of five years following June 28, 2024, to limit or exclude preemptive rights in relation to an issuance of shares or a grant of rights to subscribe for shares that the Board is authorized to resolve upon. See above under “— Issuance of Shares.”</w:t>
      </w:r>
    </w:p>
    <w:p>
      <w:pPr>
        <w:spacing w:after="0" w:line="137" w:lineRule="exact"/>
        <w:rPr>
          <w:sz w:val="20"/>
          <w:szCs w:val="20"/>
          <w:color w:val="auto"/>
        </w:rPr>
      </w:pPr>
    </w:p>
    <w:p>
      <w:pPr>
        <w:ind w:left="240" w:right="359" w:firstLine="340"/>
        <w:spacing w:after="0" w:line="280" w:lineRule="auto"/>
        <w:rPr>
          <w:sz w:val="20"/>
          <w:szCs w:val="20"/>
          <w:color w:val="auto"/>
        </w:rPr>
      </w:pPr>
      <w:r>
        <w:rPr>
          <w:rFonts w:ascii="Times New Roman" w:cs="Times New Roman" w:eastAsia="Times New Roman" w:hAnsi="Times New Roman"/>
          <w:sz w:val="14"/>
          <w:szCs w:val="14"/>
          <w:color w:val="auto"/>
        </w:rPr>
        <w:t>Delaware.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1" w:lineRule="exact"/>
        <w:rPr>
          <w:sz w:val="20"/>
          <w:szCs w:val="20"/>
          <w:color w:val="auto"/>
        </w:rPr>
      </w:pPr>
    </w:p>
    <w:p>
      <w:pPr>
        <w:ind w:left="240" w:right="259" w:firstLine="340"/>
        <w:spacing w:after="0" w:line="255" w:lineRule="auto"/>
        <w:rPr>
          <w:sz w:val="20"/>
          <w:szCs w:val="20"/>
          <w:color w:val="auto"/>
        </w:rPr>
      </w:pPr>
      <w:r>
        <w:rPr>
          <w:rFonts w:ascii="Times New Roman" w:cs="Times New Roman" w:eastAsia="Times New Roman" w:hAnsi="Times New Roman"/>
          <w:sz w:val="14"/>
          <w:szCs w:val="14"/>
          <w:color w:val="auto"/>
        </w:rPr>
        <w:t>The Netherlands. 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143" w:lineRule="exact"/>
        <w:rPr>
          <w:sz w:val="20"/>
          <w:szCs w:val="20"/>
          <w:color w:val="auto"/>
        </w:rPr>
      </w:pPr>
    </w:p>
    <w:p>
      <w:pPr>
        <w:ind w:left="240" w:right="279" w:firstLine="340"/>
        <w:spacing w:after="0" w:line="259" w:lineRule="auto"/>
        <w:rPr>
          <w:sz w:val="20"/>
          <w:szCs w:val="20"/>
          <w:color w:val="auto"/>
        </w:rPr>
      </w:pPr>
      <w:r>
        <w:rPr>
          <w:rFonts w:ascii="Times New Roman" w:cs="Times New Roman" w:eastAsia="Times New Roman" w:hAnsi="Times New Roman"/>
          <w:sz w:val="14"/>
          <w:szCs w:val="14"/>
          <w:color w:val="auto"/>
        </w:rPr>
        <w:t>Under our Articles of Association, our Board may decide that all or part of the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140" w:lineRule="exact"/>
        <w:rPr>
          <w:sz w:val="20"/>
          <w:szCs w:val="20"/>
          <w:color w:val="auto"/>
        </w:rPr>
      </w:pPr>
    </w:p>
    <w:p>
      <w:pPr>
        <w:jc w:val="both"/>
        <w:ind w:left="240" w:right="259" w:firstLine="340"/>
        <w:spacing w:after="0" w:line="264" w:lineRule="auto"/>
        <w:rPr>
          <w:sz w:val="20"/>
          <w:szCs w:val="20"/>
          <w:color w:val="auto"/>
        </w:rPr>
      </w:pPr>
      <w:r>
        <w:rPr>
          <w:rFonts w:ascii="Times New Roman" w:cs="Times New Roman" w:eastAsia="Times New Roman" w:hAnsi="Times New Roman"/>
          <w:sz w:val="14"/>
          <w:szCs w:val="14"/>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48" w:name="page49"/>
    <w:bookmarkEnd w:id="48"/>
    <w:p>
      <w:pPr>
        <w:ind w:left="240" w:right="399" w:firstLine="340"/>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Delaware.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Shareholder vote on Certain Reorganizations</w:t>
      </w:r>
    </w:p>
    <w:p>
      <w:pPr>
        <w:spacing w:after="0" w:line="91" w:lineRule="exact"/>
        <w:rPr>
          <w:sz w:val="20"/>
          <w:szCs w:val="20"/>
          <w:color w:val="auto"/>
        </w:rPr>
      </w:pPr>
    </w:p>
    <w:p>
      <w:pPr>
        <w:ind w:left="240" w:right="459" w:firstLine="340"/>
        <w:spacing w:after="0" w:line="280" w:lineRule="auto"/>
        <w:rPr>
          <w:sz w:val="20"/>
          <w:szCs w:val="20"/>
          <w:color w:val="auto"/>
        </w:rPr>
      </w:pPr>
      <w:r>
        <w:rPr>
          <w:rFonts w:ascii="Times New Roman" w:cs="Times New Roman" w:eastAsia="Times New Roman" w:hAnsi="Times New Roman"/>
          <w:sz w:val="14"/>
          <w:szCs w:val="14"/>
          <w:color w:val="auto"/>
        </w:rPr>
        <w:t>The Netherlands. Under Dutch law, the general meeting must approve resolutions of the Board relating to a significant change in the identity or the character of the Company or the business of the Company, which includes:</w:t>
      </w:r>
    </w:p>
    <w:p>
      <w:pPr>
        <w:spacing w:after="0" w:line="52" w:lineRule="exact"/>
        <w:rPr>
          <w:sz w:val="20"/>
          <w:szCs w:val="20"/>
          <w:color w:val="auto"/>
        </w:rPr>
      </w:pPr>
    </w:p>
    <w:p>
      <w:pPr>
        <w:ind w:left="1000" w:hanging="336"/>
        <w:spacing w:after="0"/>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of the business or virtually the entire business to a third-party;</w:t>
      </w:r>
    </w:p>
    <w:p>
      <w:pPr>
        <w:spacing w:after="0" w:line="99" w:lineRule="exact"/>
        <w:rPr>
          <w:rFonts w:ascii="Times New Roman" w:cs="Times New Roman" w:eastAsia="Times New Roman" w:hAnsi="Times New Roman"/>
          <w:sz w:val="14"/>
          <w:szCs w:val="14"/>
          <w:color w:val="auto"/>
        </w:rPr>
      </w:pPr>
    </w:p>
    <w:p>
      <w:pPr>
        <w:ind w:left="1000" w:right="359" w:hanging="336"/>
        <w:spacing w:after="0" w:line="264" w:lineRule="auto"/>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63" w:lineRule="exact"/>
        <w:rPr>
          <w:rFonts w:ascii="Times New Roman" w:cs="Times New Roman" w:eastAsia="Times New Roman" w:hAnsi="Times New Roman"/>
          <w:sz w:val="14"/>
          <w:szCs w:val="14"/>
          <w:color w:val="auto"/>
        </w:rPr>
      </w:pPr>
    </w:p>
    <w:p>
      <w:pPr>
        <w:ind w:left="1000" w:right="399" w:hanging="336"/>
        <w:spacing w:after="0" w:line="294" w:lineRule="auto"/>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19" w:lineRule="exact"/>
        <w:rPr>
          <w:sz w:val="20"/>
          <w:szCs w:val="20"/>
          <w:color w:val="auto"/>
        </w:rPr>
      </w:pPr>
    </w:p>
    <w:p>
      <w:pPr>
        <w:ind w:left="240" w:right="559" w:firstLine="340"/>
        <w:spacing w:after="0" w:line="280" w:lineRule="auto"/>
        <w:rPr>
          <w:sz w:val="20"/>
          <w:szCs w:val="20"/>
          <w:color w:val="auto"/>
        </w:rPr>
      </w:pPr>
      <w:r>
        <w:rPr>
          <w:rFonts w:ascii="Times New Roman" w:cs="Times New Roman" w:eastAsia="Times New Roman" w:hAnsi="Times New Roman"/>
          <w:sz w:val="14"/>
          <w:szCs w:val="14"/>
          <w:color w:val="auto"/>
        </w:rPr>
        <w:t>The absence of such approval shall result in the relevant resolution being null and void but shall not affect the powers of representation of the Board or of the executive directors.</w:t>
      </w:r>
    </w:p>
    <w:p>
      <w:pPr>
        <w:spacing w:after="0" w:line="125" w:lineRule="exact"/>
        <w:rPr>
          <w:sz w:val="20"/>
          <w:szCs w:val="20"/>
          <w:color w:val="auto"/>
        </w:rPr>
      </w:pPr>
    </w:p>
    <w:p>
      <w:pPr>
        <w:ind w:left="240" w:right="359" w:firstLine="340"/>
        <w:spacing w:after="0" w:line="259" w:lineRule="auto"/>
        <w:rPr>
          <w:sz w:val="20"/>
          <w:szCs w:val="20"/>
          <w:color w:val="auto"/>
        </w:rPr>
      </w:pPr>
      <w:r>
        <w:rPr>
          <w:rFonts w:ascii="Times New Roman" w:cs="Times New Roman" w:eastAsia="Times New Roman" w:hAnsi="Times New Roman"/>
          <w:sz w:val="14"/>
          <w:szCs w:val="14"/>
          <w:color w:val="auto"/>
        </w:rPr>
        <w:t>Delaware.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40" w:lineRule="exact"/>
        <w:rPr>
          <w:sz w:val="20"/>
          <w:szCs w:val="20"/>
          <w:color w:val="auto"/>
        </w:rPr>
      </w:pPr>
    </w:p>
    <w:p>
      <w:pPr>
        <w:ind w:left="240" w:right="299" w:firstLine="340"/>
        <w:spacing w:after="0" w:line="254" w:lineRule="auto"/>
        <w:rPr>
          <w:sz w:val="20"/>
          <w:szCs w:val="20"/>
          <w:color w:val="auto"/>
        </w:rPr>
      </w:pPr>
      <w:r>
        <w:rPr>
          <w:rFonts w:ascii="Times New Roman" w:cs="Times New Roman" w:eastAsia="Times New Roman" w:hAnsi="Times New Roman"/>
          <w:sz w:val="14"/>
          <w:szCs w:val="14"/>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Remuneration of Directors</w:t>
      </w:r>
    </w:p>
    <w:p>
      <w:pPr>
        <w:spacing w:after="0" w:line="91" w:lineRule="exact"/>
        <w:rPr>
          <w:sz w:val="20"/>
          <w:szCs w:val="20"/>
          <w:color w:val="auto"/>
        </w:rPr>
      </w:pPr>
    </w:p>
    <w:p>
      <w:pPr>
        <w:ind w:left="240" w:right="259" w:firstLine="340"/>
        <w:spacing w:after="0" w:line="255" w:lineRule="auto"/>
        <w:rPr>
          <w:sz w:val="20"/>
          <w:szCs w:val="20"/>
          <w:color w:val="auto"/>
        </w:rPr>
      </w:pPr>
      <w:r>
        <w:rPr>
          <w:rFonts w:ascii="Times New Roman" w:cs="Times New Roman" w:eastAsia="Times New Roman" w:hAnsi="Times New Roman"/>
          <w:sz w:val="14"/>
          <w:szCs w:val="14"/>
          <w:color w:val="auto"/>
        </w:rPr>
        <w:t>The Netherlands.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0" w:right="1440" w:bottom="1440" w:gutter="0" w:footer="0" w:header="0"/>
        </w:sectPr>
      </w:pPr>
    </w:p>
    <w:bookmarkStart w:id="49" w:name="page50"/>
    <w:bookmarkEnd w:id="49"/>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least the maximum number of shares or rights to subscribe for shares to be granted to our directors and the criteria for granting or amendment.</w:t>
      </w:r>
    </w:p>
    <w:p>
      <w:pPr>
        <w:spacing w:after="0" w:line="173" w:lineRule="exact"/>
        <w:rPr>
          <w:sz w:val="20"/>
          <w:szCs w:val="20"/>
          <w:color w:val="auto"/>
        </w:rPr>
      </w:pPr>
    </w:p>
    <w:p>
      <w:pPr>
        <w:jc w:val="both"/>
        <w:ind w:left="240" w:right="299" w:firstLine="340"/>
        <w:spacing w:after="0" w:line="264" w:lineRule="auto"/>
        <w:rPr>
          <w:sz w:val="20"/>
          <w:szCs w:val="20"/>
          <w:color w:val="auto"/>
        </w:rPr>
      </w:pPr>
      <w:r>
        <w:rPr>
          <w:rFonts w:ascii="Times New Roman" w:cs="Times New Roman" w:eastAsia="Times New Roman" w:hAnsi="Times New Roman"/>
          <w:sz w:val="14"/>
          <w:szCs w:val="14"/>
          <w:color w:val="auto"/>
        </w:rPr>
        <w:t>Delaware.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ENFORCEMENT OF JUDGMENTS</w:t>
      </w:r>
    </w:p>
    <w:p>
      <w:pPr>
        <w:spacing w:after="0" w:line="175" w:lineRule="exact"/>
        <w:rPr>
          <w:sz w:val="20"/>
          <w:szCs w:val="20"/>
          <w:color w:val="auto"/>
        </w:rPr>
      </w:pPr>
    </w:p>
    <w:p>
      <w:pPr>
        <w:ind w:left="240" w:right="339" w:firstLine="340"/>
        <w:spacing w:after="0" w:line="264" w:lineRule="auto"/>
        <w:rPr>
          <w:sz w:val="20"/>
          <w:szCs w:val="20"/>
          <w:color w:val="auto"/>
        </w:rPr>
      </w:pPr>
      <w:r>
        <w:rPr>
          <w:rFonts w:ascii="Times New Roman" w:cs="Times New Roman" w:eastAsia="Times New Roman" w:hAnsi="Times New Roman"/>
          <w:sz w:val="14"/>
          <w:szCs w:val="14"/>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4"/>
          <w:szCs w:val="14"/>
          <w:i w:val="1"/>
          <w:iCs w:val="1"/>
          <w:color w:val="auto"/>
        </w:rPr>
        <w:t>functionarissen</w:t>
      </w:r>
      <w:r>
        <w:rPr>
          <w:rFonts w:ascii="Times New Roman" w:cs="Times New Roman" w:eastAsia="Times New Roman" w:hAnsi="Times New Roman"/>
          <w:sz w:val="14"/>
          <w:szCs w:val="14"/>
          <w:color w:val="auto"/>
        </w:rPr>
        <w:t>) (including our directors and executive officers) are governed in certain respects by the laws of the Netherlands.</w:t>
      </w:r>
    </w:p>
    <w:p>
      <w:pPr>
        <w:spacing w:after="0" w:line="137" w:lineRule="exact"/>
        <w:rPr>
          <w:sz w:val="20"/>
          <w:szCs w:val="20"/>
          <w:color w:val="auto"/>
        </w:rPr>
      </w:pPr>
    </w:p>
    <w:p>
      <w:pPr>
        <w:jc w:val="both"/>
        <w:ind w:left="240" w:right="339" w:firstLine="340"/>
        <w:spacing w:after="0" w:line="259" w:lineRule="auto"/>
        <w:rPr>
          <w:sz w:val="20"/>
          <w:szCs w:val="20"/>
          <w:color w:val="auto"/>
        </w:rPr>
      </w:pPr>
      <w:r>
        <w:rPr>
          <w:rFonts w:ascii="Times New Roman" w:cs="Times New Roman" w:eastAsia="Times New Roman" w:hAnsi="Times New Roman"/>
          <w:sz w:val="14"/>
          <w:szCs w:val="14"/>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40" w:lineRule="exact"/>
        <w:rPr>
          <w:sz w:val="20"/>
          <w:szCs w:val="20"/>
          <w:color w:val="auto"/>
        </w:rPr>
      </w:pPr>
    </w:p>
    <w:p>
      <w:pPr>
        <w:ind w:left="240" w:right="259" w:firstLine="340"/>
        <w:spacing w:after="0" w:line="280" w:lineRule="auto"/>
        <w:rPr>
          <w:sz w:val="20"/>
          <w:szCs w:val="20"/>
          <w:color w:val="auto"/>
        </w:rPr>
      </w:pPr>
      <w:r>
        <w:rPr>
          <w:rFonts w:ascii="Times New Roman" w:cs="Times New Roman" w:eastAsia="Times New Roman" w:hAnsi="Times New Roman"/>
          <w:sz w:val="14"/>
          <w:szCs w:val="14"/>
          <w:color w:val="auto"/>
        </w:rPr>
        <w:t>Also, service of process against non-residents of the United States can in principle (absent, for example, a valid choice of domicile) not be effected in the United States.</w:t>
      </w:r>
    </w:p>
    <w:p>
      <w:pPr>
        <w:spacing w:after="0" w:line="125" w:lineRule="exact"/>
        <w:rPr>
          <w:sz w:val="20"/>
          <w:szCs w:val="20"/>
          <w:color w:val="auto"/>
        </w:rPr>
      </w:pPr>
    </w:p>
    <w:p>
      <w:pPr>
        <w:ind w:left="240" w:right="279" w:firstLine="340"/>
        <w:spacing w:after="0" w:line="251" w:lineRule="auto"/>
        <w:rPr>
          <w:sz w:val="20"/>
          <w:szCs w:val="20"/>
          <w:color w:val="auto"/>
        </w:rPr>
      </w:pPr>
      <w:r>
        <w:rPr>
          <w:rFonts w:ascii="Times New Roman" w:cs="Times New Roman" w:eastAsia="Times New Roman" w:hAnsi="Times New Roman"/>
          <w:sz w:val="14"/>
          <w:szCs w:val="14"/>
          <w:color w:val="auto"/>
        </w:rPr>
        <w:t>Furthermore, substantially all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4"/>
          <w:szCs w:val="14"/>
          <w:i w:val="1"/>
          <w:iCs w:val="1"/>
          <w:color w:val="auto"/>
        </w:rPr>
        <w:t>behoorlijke rechtspleging</w:t>
      </w:r>
      <w:r>
        <w:rPr>
          <w:rFonts w:ascii="Times New Roman" w:cs="Times New Roman" w:eastAsia="Times New Roman" w:hAnsi="Times New Roman"/>
          <w:sz w:val="14"/>
          <w:szCs w:val="14"/>
          <w:color w:val="auto"/>
        </w:rPr>
        <w:t>), (iii) binding effect of such United States judgment is not contrary to Dutch public order (</w:t>
      </w:r>
      <w:r>
        <w:rPr>
          <w:rFonts w:ascii="Times New Roman" w:cs="Times New Roman" w:eastAsia="Times New Roman" w:hAnsi="Times New Roman"/>
          <w:sz w:val="14"/>
          <w:szCs w:val="14"/>
          <w:i w:val="1"/>
          <w:iCs w:val="1"/>
          <w:color w:val="auto"/>
        </w:rPr>
        <w:t>openbare orde</w:t>
      </w:r>
      <w:r>
        <w:rPr>
          <w:rFonts w:ascii="Times New Roman" w:cs="Times New Roman" w:eastAsia="Times New Roman" w:hAnsi="Times New Roman"/>
          <w:sz w:val="14"/>
          <w:szCs w:val="14"/>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45" w:lineRule="exact"/>
        <w:rPr>
          <w:sz w:val="20"/>
          <w:szCs w:val="20"/>
          <w:color w:val="auto"/>
        </w:rPr>
      </w:pPr>
    </w:p>
    <w:p>
      <w:pPr>
        <w:ind w:left="240" w:right="499" w:firstLine="340"/>
        <w:spacing w:after="0" w:line="256" w:lineRule="auto"/>
        <w:rPr>
          <w:sz w:val="20"/>
          <w:szCs w:val="20"/>
          <w:color w:val="auto"/>
        </w:rPr>
      </w:pPr>
      <w:r>
        <w:rPr>
          <w:rFonts w:ascii="Times New Roman" w:cs="Times New Roman" w:eastAsia="Times New Roman" w:hAnsi="Times New Roman"/>
          <w:sz w:val="14"/>
          <w:szCs w:val="14"/>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8"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EXPENSES</w:t>
      </w:r>
    </w:p>
    <w:p>
      <w:pPr>
        <w:spacing w:after="0" w:line="175" w:lineRule="exact"/>
        <w:rPr>
          <w:sz w:val="20"/>
          <w:szCs w:val="20"/>
          <w:color w:val="auto"/>
        </w:rPr>
      </w:pPr>
    </w:p>
    <w:p>
      <w:pPr>
        <w:ind w:left="240" w:right="739" w:firstLine="340"/>
        <w:spacing w:after="0" w:line="280" w:lineRule="auto"/>
        <w:rPr>
          <w:sz w:val="20"/>
          <w:szCs w:val="20"/>
          <w:color w:val="auto"/>
        </w:rPr>
      </w:pPr>
      <w:r>
        <w:rPr>
          <w:rFonts w:ascii="Times New Roman" w:cs="Times New Roman" w:eastAsia="Times New Roman" w:hAnsi="Times New Roman"/>
          <w:sz w:val="14"/>
          <w:szCs w:val="14"/>
          <w:color w:val="auto"/>
        </w:rPr>
        <w:t>The following table sets forth the expenses expected to be incurred by us in connection with the offering of securities registered under this registration statement. All amounts are estimated except for the SEC registration fee.</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47"/>
        </w:trPr>
        <w:tc>
          <w:tcPr>
            <w:tcW w:w="34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Expenses</w:t>
            </w:r>
          </w:p>
        </w:tc>
        <w:tc>
          <w:tcPr>
            <w:tcW w:w="1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7"/>
              </w:rPr>
              <w:t>   21,543</w:t>
            </w:r>
          </w:p>
        </w:tc>
      </w:tr>
      <w:tr>
        <w:trPr>
          <w:trHeight w:val="16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6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6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69850</wp:posOffset>
            </wp:positionV>
            <wp:extent cx="5899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9915" cy="6350"/>
                    </a:xfrm>
                    <a:prstGeom prst="rect">
                      <a:avLst/>
                    </a:prstGeom>
                    <a:noFill/>
                  </pic:spPr>
                </pic:pic>
              </a:graphicData>
            </a:graphic>
          </wp:anchor>
        </w:drawing>
      </w:r>
    </w:p>
    <w:p>
      <w:pPr>
        <w:spacing w:after="0" w:line="107" w:lineRule="exact"/>
        <w:rPr>
          <w:sz w:val="20"/>
          <w:szCs w:val="20"/>
          <w:color w:val="auto"/>
        </w:rPr>
      </w:pPr>
    </w:p>
    <w:p>
      <w:pPr>
        <w:jc w:val="center"/>
        <w:ind w:left="4440" w:right="959" w:hanging="4194"/>
        <w:spacing w:after="0" w:line="451" w:lineRule="auto"/>
        <w:tabs>
          <w:tab w:leader="none" w:pos="58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48</w:t>
      </w:r>
    </w:p>
    <w:p>
      <w:pPr>
        <w:sectPr>
          <w:pgSz w:w="11900" w:h="16838" w:orient="portrait"/>
          <w:cols w:equalWidth="0" w:num="1">
            <w:col w:w="9019"/>
          </w:cols>
          <w:pgMar w:left="1440" w:top="238"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MATTERS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The validity of the Ordinary Shares and certain other matters of Dutch law will be passed upon for us by NautaDutilh N.V.</w:t>
      </w:r>
    </w:p>
    <w:p>
      <w:pPr>
        <w:spacing w:after="0" w:line="1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8"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EXPERTS</w:t>
      </w:r>
    </w:p>
    <w:p>
      <w:pPr>
        <w:spacing w:after="0" w:line="175" w:lineRule="exact"/>
        <w:rPr>
          <w:sz w:val="20"/>
          <w:szCs w:val="20"/>
          <w:color w:val="auto"/>
        </w:rPr>
      </w:pPr>
    </w:p>
    <w:p>
      <w:pPr>
        <w:ind w:left="240" w:right="319" w:firstLine="340"/>
        <w:spacing w:after="0" w:line="259"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2024 have been so incorporated in reliance on the report of PricewaterhouseCoopers Accountants N.V., an independent registered public accounting firm, given on the authority of said firm as experts in auditing and accounting.</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8"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INCORPORATION BY REFERENCE</w:t>
      </w:r>
    </w:p>
    <w:p>
      <w:pPr>
        <w:spacing w:after="0" w:line="175" w:lineRule="exact"/>
        <w:rPr>
          <w:sz w:val="20"/>
          <w:szCs w:val="20"/>
          <w:color w:val="auto"/>
        </w:rPr>
      </w:pPr>
    </w:p>
    <w:p>
      <w:pPr>
        <w:jc w:val="both"/>
        <w:ind w:left="240" w:right="339" w:firstLine="340"/>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incorporate by reference the following documents or information that we have filed with the SEC:</w:t>
      </w:r>
    </w:p>
    <w:p>
      <w:pPr>
        <w:spacing w:after="0" w:line="100" w:lineRule="exact"/>
        <w:rPr>
          <w:sz w:val="20"/>
          <w:szCs w:val="20"/>
          <w:color w:val="auto"/>
        </w:rPr>
      </w:pPr>
    </w:p>
    <w:p>
      <w:pPr>
        <w:ind w:left="1000" w:hanging="33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78">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April 7, 2025.</w:t>
      </w:r>
    </w:p>
    <w:p>
      <w:pPr>
        <w:spacing w:after="0" w:line="99" w:lineRule="exact"/>
        <w:rPr>
          <w:rFonts w:ascii="Times New Roman" w:cs="Times New Roman" w:eastAsia="Times New Roman" w:hAnsi="Times New Roman"/>
          <w:sz w:val="14"/>
          <w:szCs w:val="14"/>
          <w:color w:val="auto"/>
        </w:rPr>
      </w:pPr>
    </w:p>
    <w:p>
      <w:pPr>
        <w:ind w:left="1000" w:right="359" w:hanging="336"/>
        <w:spacing w:after="0" w:line="280" w:lineRule="auto"/>
        <w:tabs>
          <w:tab w:leader="none" w:pos="1000" w:val="left"/>
        </w:tabs>
        <w:numPr>
          <w:ilvl w:val="0"/>
          <w:numId w:val="37"/>
        </w:numPr>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auto"/>
          </w:rPr>
          <w:t xml:space="preserve">Our Current Reports on Form 6-K, filed on </w:t>
        </w:r>
        <w:r>
          <w:rPr>
            <w:rFonts w:ascii="Times New Roman" w:cs="Times New Roman" w:eastAsia="Times New Roman" w:hAnsi="Times New Roman"/>
            <w:sz w:val="14"/>
            <w:szCs w:val="14"/>
            <w:u w:val="single" w:color="auto"/>
            <w:color w:val="0000EE"/>
          </w:rPr>
          <w:t>January 13, 2025</w:t>
        </w:r>
        <w:r>
          <w:rPr>
            <w:rFonts w:ascii="Times New Roman" w:cs="Times New Roman" w:eastAsia="Times New Roman" w:hAnsi="Times New Roman"/>
            <w:sz w:val="14"/>
            <w:szCs w:val="14"/>
            <w:color w:val="auto"/>
          </w:rPr>
          <w:t xml:space="preserve"> (other than Exhibit 99.2), </w:t>
        </w:r>
        <w:r>
          <w:rPr>
            <w:rFonts w:ascii="Times New Roman" w:cs="Times New Roman" w:eastAsia="Times New Roman" w:hAnsi="Times New Roman"/>
            <w:sz w:val="14"/>
            <w:szCs w:val="14"/>
            <w:u w:val="single" w:color="auto"/>
            <w:color w:val="0000EE"/>
          </w:rPr>
          <w:t>May 13, 2025</w:t>
        </w:r>
        <w:r>
          <w:rPr>
            <w:rFonts w:ascii="Times New Roman" w:cs="Times New Roman" w:eastAsia="Times New Roman" w:hAnsi="Times New Roman"/>
            <w:sz w:val="14"/>
            <w:szCs w:val="14"/>
            <w:color w:val="auto"/>
          </w:rPr>
          <w:t xml:space="preserve"> (other than Exhibit 99.1), </w:t>
        </w:r>
        <w:r>
          <w:rPr>
            <w:rFonts w:ascii="Times New Roman" w:cs="Times New Roman" w:eastAsia="Times New Roman" w:hAnsi="Times New Roman"/>
            <w:sz w:val="14"/>
            <w:szCs w:val="14"/>
            <w:u w:val="single" w:color="auto"/>
            <w:color w:val="0000EE"/>
          </w:rPr>
          <w:t>June 10,</w:t>
        </w:r>
      </w:hyperlink>
      <w:r>
        <w:rPr>
          <w:rFonts w:ascii="Times New Roman" w:cs="Times New Roman" w:eastAsia="Times New Roman" w:hAnsi="Times New Roman"/>
          <w:sz w:val="14"/>
          <w:szCs w:val="14"/>
          <w:color w:val="auto"/>
        </w:rPr>
        <w:t xml:space="preserve"> </w:t>
      </w:r>
      <w:hyperlink r:id="rId79">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than Exhibit 99.4),</w:t>
        </w:r>
        <w:r>
          <w:rPr>
            <w:rFonts w:ascii="Times New Roman" w:cs="Times New Roman" w:eastAsia="Times New Roman" w:hAnsi="Times New Roman"/>
            <w:sz w:val="14"/>
            <w:szCs w:val="14"/>
            <w:color w:val="0000EE"/>
          </w:rPr>
          <w:t xml:space="preserve"> </w:t>
        </w:r>
      </w:hyperlink>
      <w:hyperlink r:id="rId80">
        <w:r>
          <w:rPr>
            <w:rFonts w:ascii="Times New Roman" w:cs="Times New Roman" w:eastAsia="Times New Roman" w:hAnsi="Times New Roman"/>
            <w:sz w:val="14"/>
            <w:szCs w:val="14"/>
            <w:u w:val="single" w:color="auto"/>
            <w:color w:val="0000EE"/>
          </w:rPr>
          <w:t>June 27, 2025</w:t>
        </w:r>
      </w:hyperlink>
      <w:hyperlink r:id="rId79">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81">
        <w:r>
          <w:rPr>
            <w:rFonts w:ascii="Times New Roman" w:cs="Times New Roman" w:eastAsia="Times New Roman" w:hAnsi="Times New Roman"/>
            <w:sz w:val="14"/>
            <w:szCs w:val="14"/>
            <w:u w:val="single" w:color="auto"/>
            <w:color w:val="0000EE"/>
          </w:rPr>
          <w:t>July 24, 2025</w:t>
        </w:r>
      </w:hyperlink>
      <w:hyperlink r:id="rId79">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82">
        <w:r>
          <w:rPr>
            <w:rFonts w:ascii="Times New Roman" w:cs="Times New Roman" w:eastAsia="Times New Roman" w:hAnsi="Times New Roman"/>
            <w:sz w:val="14"/>
            <w:szCs w:val="14"/>
            <w:u w:val="single" w:color="auto"/>
            <w:color w:val="0000EE"/>
          </w:rPr>
          <w:t xml:space="preserve">August 12, 2025 </w:t>
        </w:r>
      </w:hyperlink>
      <w:hyperlink r:id="rId79">
        <w:r>
          <w:rPr>
            <w:rFonts w:ascii="Times New Roman" w:cs="Times New Roman" w:eastAsia="Times New Roman" w:hAnsi="Times New Roman"/>
            <w:sz w:val="14"/>
            <w:szCs w:val="14"/>
            <w:color w:val="000000"/>
          </w:rPr>
          <w:t>(other than Exhibit 99.1) and</w:t>
        </w:r>
        <w:r>
          <w:rPr>
            <w:rFonts w:ascii="Times New Roman" w:cs="Times New Roman" w:eastAsia="Times New Roman" w:hAnsi="Times New Roman"/>
            <w:sz w:val="14"/>
            <w:szCs w:val="14"/>
            <w:color w:val="0000EE"/>
          </w:rPr>
          <w:t xml:space="preserve"> </w:t>
        </w:r>
      </w:hyperlink>
      <w:hyperlink r:id="rId83">
        <w:r>
          <w:rPr>
            <w:rFonts w:ascii="Times New Roman" w:cs="Times New Roman" w:eastAsia="Times New Roman" w:hAnsi="Times New Roman"/>
            <w:sz w:val="14"/>
            <w:szCs w:val="14"/>
            <w:u w:val="single" w:color="auto"/>
            <w:color w:val="0000EE"/>
          </w:rPr>
          <w:t>September 8, 2025</w:t>
        </w:r>
      </w:hyperlink>
      <w:hyperlink r:id="rId79">
        <w:r>
          <w:rPr>
            <w:rFonts w:ascii="Times New Roman" w:cs="Times New Roman" w:eastAsia="Times New Roman" w:hAnsi="Times New Roman"/>
            <w:sz w:val="14"/>
            <w:szCs w:val="14"/>
            <w:color w:val="000000"/>
          </w:rPr>
          <w:t>.</w:t>
        </w:r>
      </w:hyperlink>
    </w:p>
    <w:p>
      <w:pPr>
        <w:spacing w:after="0" w:line="52" w:lineRule="exact"/>
        <w:rPr>
          <w:rFonts w:ascii="Times New Roman" w:cs="Times New Roman" w:eastAsia="Times New Roman" w:hAnsi="Times New Roman"/>
          <w:sz w:val="14"/>
          <w:szCs w:val="14"/>
          <w:color w:val="0000EE"/>
        </w:rPr>
      </w:pPr>
    </w:p>
    <w:p>
      <w:pPr>
        <w:ind w:left="1000" w:right="539" w:hanging="336"/>
        <w:spacing w:after="0" w:line="264" w:lineRule="auto"/>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contained in our registration statement on Form 8-A filed with the SEC on </w:t>
      </w:r>
      <w:hyperlink r:id="rId84">
        <w:r>
          <w:rPr>
            <w:rFonts w:ascii="Times New Roman" w:cs="Times New Roman" w:eastAsia="Times New Roman" w:hAnsi="Times New Roman"/>
            <w:sz w:val="14"/>
            <w:szCs w:val="14"/>
            <w:u w:val="single" w:color="auto"/>
            <w:color w:val="0000EE"/>
          </w:rPr>
          <w:t>February 4, 2021</w:t>
        </w:r>
      </w:hyperlink>
      <w:r>
        <w:rPr>
          <w:rFonts w:ascii="Times New Roman" w:cs="Times New Roman" w:eastAsia="Times New Roman" w:hAnsi="Times New Roman"/>
          <w:sz w:val="14"/>
          <w:szCs w:val="14"/>
          <w:color w:val="auto"/>
        </w:rPr>
        <w:t xml:space="preserve">, as updated by the description of our ordinary shares filed as </w:t>
      </w:r>
      <w:hyperlink r:id="rId85">
        <w:r>
          <w:rPr>
            <w:rFonts w:ascii="Times New Roman" w:cs="Times New Roman" w:eastAsia="Times New Roman" w:hAnsi="Times New Roman"/>
            <w:sz w:val="14"/>
            <w:szCs w:val="14"/>
            <w:u w:val="single" w:color="auto"/>
            <w:color w:val="0000EE"/>
          </w:rPr>
          <w:t>Exhibit 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20-F for the fiscal year ended December 31, 2024.</w:t>
      </w:r>
    </w:p>
    <w:p>
      <w:pPr>
        <w:spacing w:after="0" w:line="137" w:lineRule="exact"/>
        <w:rPr>
          <w:rFonts w:ascii="Times New Roman" w:cs="Times New Roman" w:eastAsia="Times New Roman" w:hAnsi="Times New Roman"/>
          <w:sz w:val="14"/>
          <w:szCs w:val="14"/>
          <w:color w:val="auto"/>
        </w:rPr>
      </w:pPr>
    </w:p>
    <w:p>
      <w:pPr>
        <w:ind w:left="240" w:right="279" w:firstLine="340"/>
        <w:spacing w:after="0" w:line="259" w:lineRule="auto"/>
        <w:rPr>
          <w:sz w:val="20"/>
          <w:szCs w:val="20"/>
          <w:color w:val="auto"/>
        </w:rPr>
      </w:pPr>
      <w:r>
        <w:rPr>
          <w:rFonts w:ascii="Times New Roman" w:cs="Times New Roman" w:eastAsia="Times New Roman" w:hAnsi="Times New Roman"/>
          <w:sz w:val="14"/>
          <w:szCs w:val="14"/>
          <w:color w:val="auto"/>
        </w:rPr>
        <w:t>All annual reports we file with the SEC pursuant to the Exchange Act on Form 20-F on or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40" w:lineRule="exact"/>
        <w:rPr>
          <w:rFonts w:ascii="Times New Roman" w:cs="Times New Roman" w:eastAsia="Times New Roman" w:hAnsi="Times New Roman"/>
          <w:sz w:val="14"/>
          <w:szCs w:val="14"/>
          <w:color w:val="auto"/>
        </w:rPr>
      </w:pPr>
    </w:p>
    <w:p>
      <w:pPr>
        <w:jc w:val="both"/>
        <w:ind w:left="240" w:right="299" w:firstLine="340"/>
        <w:spacing w:after="0" w:line="294" w:lineRule="auto"/>
        <w:rPr>
          <w:sz w:val="20"/>
          <w:szCs w:val="20"/>
          <w:color w:val="auto"/>
        </w:rPr>
      </w:pPr>
      <w:r>
        <w:rPr>
          <w:rFonts w:ascii="Times New Roman" w:cs="Times New Roman" w:eastAsia="Times New Roman" w:hAnsi="Times New Roman"/>
          <w:sz w:val="13"/>
          <w:szCs w:val="13"/>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6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38"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PART 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INDEMNIFICATION OF OFFICERS AND DIRECTORS</w:t>
      </w:r>
    </w:p>
    <w:p>
      <w:pPr>
        <w:spacing w:after="0" w:line="158" w:lineRule="exact"/>
        <w:rPr>
          <w:sz w:val="20"/>
          <w:szCs w:val="20"/>
          <w:color w:val="auto"/>
        </w:rPr>
      </w:pPr>
    </w:p>
    <w:p>
      <w:pPr>
        <w:ind w:left="240" w:right="299" w:firstLine="340"/>
        <w:spacing w:after="0" w:line="256" w:lineRule="auto"/>
        <w:rPr>
          <w:sz w:val="20"/>
          <w:szCs w:val="20"/>
          <w:color w:val="auto"/>
        </w:rPr>
      </w:pPr>
      <w:r>
        <w:rPr>
          <w:rFonts w:ascii="Times New Roman" w:cs="Times New Roman" w:eastAsia="Times New Roman" w:hAnsi="Times New Roman"/>
          <w:sz w:val="14"/>
          <w:szCs w:val="14"/>
          <w:color w:val="auto"/>
        </w:rPr>
        <w:t>Under Dutch law, members of the Board may be liable for damages in the event of improper or negligent performance of their duties. They may be jointly and severally liable for damages to the Company and to third parties for infringement of the Articles of Association or of certain provisions of Dutch law. In certain circumstances, they may also incur additional specific civil and criminal liabilities. Members of the Board and senior management and certain other officers of the Company and certain subsidiaries are insured under an insurance policy against damages resulting from their conduct when acting in the capacities as such members or officers.</w:t>
      </w:r>
    </w:p>
    <w:p>
      <w:pPr>
        <w:spacing w:after="0" w:line="143" w:lineRule="exact"/>
        <w:rPr>
          <w:sz w:val="20"/>
          <w:szCs w:val="20"/>
          <w:color w:val="auto"/>
        </w:rPr>
      </w:pPr>
    </w:p>
    <w:p>
      <w:pPr>
        <w:ind w:left="240" w:right="279" w:firstLine="340"/>
        <w:spacing w:after="0" w:line="251" w:lineRule="auto"/>
        <w:rPr>
          <w:sz w:val="20"/>
          <w:szCs w:val="20"/>
          <w:color w:val="auto"/>
        </w:rPr>
      </w:pPr>
      <w:r>
        <w:rPr>
          <w:rFonts w:ascii="Times New Roman" w:cs="Times New Roman" w:eastAsia="Times New Roman" w:hAnsi="Times New Roman"/>
          <w:sz w:val="14"/>
          <w:szCs w:val="14"/>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documents are filed as part of this registration statement:</w:t>
      </w:r>
    </w:p>
    <w:p>
      <w:pPr>
        <w:spacing w:after="0" w:line="194" w:lineRule="exact"/>
        <w:rPr>
          <w:sz w:val="20"/>
          <w:szCs w:val="20"/>
          <w:color w:val="auto"/>
        </w:rPr>
      </w:pPr>
    </w:p>
    <w:p>
      <w:pPr>
        <w:ind w:left="940" w:right="299" w:hanging="694"/>
        <w:spacing w:after="0" w:line="280" w:lineRule="auto"/>
        <w:tabs>
          <w:tab w:leader="none" w:pos="321" w:val="left"/>
        </w:tabs>
        <w:numPr>
          <w:ilvl w:val="0"/>
          <w:numId w:val="3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w:t>
      </w:r>
      <w:hyperlink r:id="rId87">
        <w:r>
          <w:rPr>
            <w:rFonts w:ascii="Times New Roman" w:cs="Times New Roman" w:eastAsia="Times New Roman" w:hAnsi="Times New Roman"/>
            <w:sz w:val="14"/>
            <w:szCs w:val="14"/>
            <w:u w:val="single" w:color="auto"/>
            <w:color w:val="0000EE"/>
          </w:rPr>
          <w:t>Amended Articles of Association of Pharvaris N.V. (English Translation) (incorporated herein by reference to Exhibit 3.1 to the Company’s</w:t>
        </w:r>
      </w:hyperlink>
      <w:r>
        <w:rPr>
          <w:rFonts w:ascii="Times New Roman" w:cs="Times New Roman" w:eastAsia="Times New Roman" w:hAnsi="Times New Roman"/>
          <w:sz w:val="14"/>
          <w:szCs w:val="14"/>
          <w:u w:val="single" w:color="auto"/>
          <w:color w:val="0000EE"/>
        </w:rPr>
        <w:t xml:space="preserve"> </w:t>
      </w:r>
      <w:hyperlink r:id="rId87">
        <w:r>
          <w:rPr>
            <w:rFonts w:ascii="Times New Roman" w:cs="Times New Roman" w:eastAsia="Times New Roman" w:hAnsi="Times New Roman"/>
            <w:sz w:val="14"/>
            <w:szCs w:val="14"/>
            <w:u w:val="single" w:color="auto"/>
            <w:color w:val="0000EE"/>
          </w:rPr>
          <w:t>Current Report on Form 6-K filed with the SEC on March 6, 2024)</w:t>
        </w:r>
      </w:hyperlink>
    </w:p>
    <w:p>
      <w:pPr>
        <w:spacing w:after="0" w:line="41" w:lineRule="exact"/>
        <w:rPr>
          <w:rFonts w:ascii="Times New Roman" w:cs="Times New Roman" w:eastAsia="Times New Roman" w:hAnsi="Times New Roman"/>
          <w:sz w:val="14"/>
          <w:szCs w:val="14"/>
          <w:u w:val="single" w:color="auto"/>
          <w:color w:val="0000EE"/>
        </w:rPr>
      </w:pPr>
    </w:p>
    <w:p>
      <w:pPr>
        <w:ind w:left="940" w:right="419" w:hanging="694"/>
        <w:spacing w:after="0" w:line="280" w:lineRule="auto"/>
        <w:tabs>
          <w:tab w:leader="none" w:pos="321" w:val="left"/>
        </w:tabs>
        <w:numPr>
          <w:ilvl w:val="0"/>
          <w:numId w:val="3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4.2</w:t>
      </w:r>
      <w:hyperlink r:id="rId88">
        <w:r>
          <w:rPr>
            <w:rFonts w:ascii="Times New Roman" w:cs="Times New Roman" w:eastAsia="Times New Roman" w:hAnsi="Times New Roman"/>
            <w:sz w:val="14"/>
            <w:szCs w:val="14"/>
            <w:u w:val="single" w:color="auto"/>
            <w:color w:val="0000EE"/>
          </w:rPr>
          <w:t>Registration Rights Agreement by and between Pharvaris N.V. and General Atlantic PH B.V. (filed as Exhibit 99.1 to our Report on Form</w:t>
        </w:r>
      </w:hyperlink>
      <w:r>
        <w:rPr>
          <w:rFonts w:ascii="Times New Roman" w:cs="Times New Roman" w:eastAsia="Times New Roman" w:hAnsi="Times New Roman"/>
          <w:sz w:val="14"/>
          <w:szCs w:val="14"/>
          <w:u w:val="single" w:color="auto"/>
          <w:color w:val="0000EE"/>
        </w:rPr>
        <w:t xml:space="preserve"> </w:t>
      </w:r>
      <w:hyperlink r:id="rId88">
        <w:r>
          <w:rPr>
            <w:rFonts w:ascii="Times New Roman" w:cs="Times New Roman" w:eastAsia="Times New Roman" w:hAnsi="Times New Roman"/>
            <w:sz w:val="14"/>
            <w:szCs w:val="14"/>
            <w:u w:val="single" w:color="auto"/>
            <w:color w:val="0000EE"/>
          </w:rPr>
          <w:t>6-K furnished to the Securities and Exchange Commission on February 7, 2024 and incorporated herein by reference)</w:t>
        </w:r>
      </w:hyperlink>
    </w:p>
    <w:p>
      <w:pPr>
        <w:spacing w:after="0" w:line="41" w:lineRule="exact"/>
        <w:rPr>
          <w:rFonts w:ascii="Times New Roman" w:cs="Times New Roman" w:eastAsia="Times New Roman" w:hAnsi="Times New Roman"/>
          <w:sz w:val="14"/>
          <w:szCs w:val="14"/>
          <w:u w:val="single" w:color="auto"/>
          <w:color w:val="0000EE"/>
        </w:rPr>
      </w:pPr>
    </w:p>
    <w:p>
      <w:pPr>
        <w:ind w:left="940" w:right="419" w:hanging="694"/>
        <w:spacing w:after="0" w:line="280" w:lineRule="auto"/>
        <w:tabs>
          <w:tab w:leader="none" w:pos="321" w:val="left"/>
        </w:tabs>
        <w:numPr>
          <w:ilvl w:val="0"/>
          <w:numId w:val="3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4.3</w:t>
      </w:r>
      <w:hyperlink r:id="rId89">
        <w:r>
          <w:rPr>
            <w:rFonts w:ascii="Times New Roman" w:cs="Times New Roman" w:eastAsia="Times New Roman" w:hAnsi="Times New Roman"/>
            <w:sz w:val="14"/>
            <w:szCs w:val="14"/>
            <w:u w:val="single" w:color="auto"/>
            <w:color w:val="0000EE"/>
          </w:rPr>
          <w:t>Registration Rights Agreement by and between Pharvaris N.V. and General Atlantic PH B.V. (filed as Exhibit 99.1 to our Report on Form</w:t>
        </w:r>
      </w:hyperlink>
      <w:r>
        <w:rPr>
          <w:rFonts w:ascii="Times New Roman" w:cs="Times New Roman" w:eastAsia="Times New Roman" w:hAnsi="Times New Roman"/>
          <w:sz w:val="14"/>
          <w:szCs w:val="14"/>
          <w:u w:val="single" w:color="auto"/>
          <w:color w:val="0000EE"/>
        </w:rPr>
        <w:t xml:space="preserve"> </w:t>
      </w:r>
      <w:hyperlink r:id="rId89">
        <w:r>
          <w:rPr>
            <w:rFonts w:ascii="Times New Roman" w:cs="Times New Roman" w:eastAsia="Times New Roman" w:hAnsi="Times New Roman"/>
            <w:sz w:val="14"/>
            <w:szCs w:val="14"/>
            <w:u w:val="single" w:color="auto"/>
            <w:color w:val="0000EE"/>
          </w:rPr>
          <w:t>6-K furnished to the Securities and Exchange Commission on September 8, 2025 and incorporated herein by reference)</w:t>
        </w:r>
      </w:hyperlink>
    </w:p>
    <w:p>
      <w:pPr>
        <w:spacing w:after="0" w:line="41" w:lineRule="exact"/>
        <w:rPr>
          <w:rFonts w:ascii="Times New Roman" w:cs="Times New Roman" w:eastAsia="Times New Roman" w:hAnsi="Times New Roman"/>
          <w:sz w:val="14"/>
          <w:szCs w:val="14"/>
          <w:u w:val="single" w:color="auto"/>
          <w:color w:val="0000EE"/>
        </w:rPr>
      </w:pPr>
    </w:p>
    <w:p>
      <w:pPr>
        <w:ind w:left="320" w:hanging="74"/>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5.1*</w:t>
      </w:r>
      <w:r>
        <w:rPr>
          <w:rFonts w:ascii="Times New Roman" w:cs="Times New Roman" w:eastAsia="Times New Roman" w:hAnsi="Times New Roman"/>
          <w:sz w:val="13"/>
          <w:szCs w:val="13"/>
          <w:u w:val="single" w:color="auto"/>
          <w:color w:val="0000EE"/>
        </w:rPr>
        <w:t>Opinion of NautaDutilh N.V.</w:t>
      </w:r>
    </w:p>
    <w:p>
      <w:pPr>
        <w:spacing w:after="0" w:line="89" w:lineRule="exact"/>
        <w:rPr>
          <w:rFonts w:ascii="Times New Roman" w:cs="Times New Roman" w:eastAsia="Times New Roman" w:hAnsi="Times New Roman"/>
          <w:sz w:val="14"/>
          <w:szCs w:val="14"/>
          <w:color w:val="auto"/>
        </w:rPr>
      </w:pPr>
    </w:p>
    <w:p>
      <w:pPr>
        <w:ind w:left="320" w:hanging="74"/>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3"/>
          <w:szCs w:val="13"/>
          <w:u w:val="single" w:color="auto"/>
          <w:color w:val="0000EE"/>
        </w:rPr>
        <w:t>Consent of PricewaterhouseCoopers Accountants N.V.</w:t>
      </w:r>
    </w:p>
    <w:p>
      <w:pPr>
        <w:spacing w:after="0" w:line="89" w:lineRule="exact"/>
        <w:rPr>
          <w:rFonts w:ascii="Times New Roman" w:cs="Times New Roman" w:eastAsia="Times New Roman" w:hAnsi="Times New Roman"/>
          <w:sz w:val="14"/>
          <w:szCs w:val="14"/>
          <w:color w:val="auto"/>
        </w:rPr>
      </w:pPr>
    </w:p>
    <w:p>
      <w:pPr>
        <w:ind w:left="320" w:hanging="74"/>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13"/>
          <w:szCs w:val="13"/>
          <w:u w:val="single" w:color="auto"/>
          <w:color w:val="0000EE"/>
        </w:rPr>
        <w:t>Consent of NautaDutilh N.V. (included in Exhibit 5.1)</w:t>
      </w:r>
    </w:p>
    <w:p>
      <w:pPr>
        <w:spacing w:after="0" w:line="89" w:lineRule="exact"/>
        <w:rPr>
          <w:rFonts w:ascii="Times New Roman" w:cs="Times New Roman" w:eastAsia="Times New Roman" w:hAnsi="Times New Roman"/>
          <w:sz w:val="14"/>
          <w:szCs w:val="14"/>
          <w:color w:val="auto"/>
        </w:rPr>
      </w:pPr>
    </w:p>
    <w:p>
      <w:pPr>
        <w:ind w:left="320" w:hanging="74"/>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24.1*</w:t>
      </w:r>
      <w:r>
        <w:rPr>
          <w:rFonts w:ascii="Times New Roman" w:cs="Times New Roman" w:eastAsia="Times New Roman" w:hAnsi="Times New Roman"/>
          <w:sz w:val="13"/>
          <w:szCs w:val="13"/>
          <w:u w:val="single" w:color="auto"/>
          <w:color w:val="0000EE"/>
        </w:rPr>
        <w:t>Powers of Attorney (included on signature page to the registration statement)</w:t>
      </w:r>
    </w:p>
    <w:p>
      <w:pPr>
        <w:spacing w:after="0" w:line="89" w:lineRule="exact"/>
        <w:rPr>
          <w:rFonts w:ascii="Times New Roman" w:cs="Times New Roman" w:eastAsia="Times New Roman" w:hAnsi="Times New Roman"/>
          <w:sz w:val="14"/>
          <w:szCs w:val="14"/>
          <w:color w:val="auto"/>
        </w:rPr>
      </w:pPr>
    </w:p>
    <w:p>
      <w:pPr>
        <w:ind w:left="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 107*</w:t>
      </w:r>
      <w:r>
        <w:rPr>
          <w:rFonts w:ascii="Times New Roman" w:cs="Times New Roman" w:eastAsia="Times New Roman" w:hAnsi="Times New Roman"/>
          <w:sz w:val="13"/>
          <w:szCs w:val="13"/>
          <w:u w:val="single" w:color="auto"/>
          <w:color w:val="0000EE"/>
        </w:rPr>
        <w:t>Filing Fee Exhibit</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58991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89915" cy="6350"/>
                    </a:xfrm>
                    <a:prstGeom prst="rect">
                      <a:avLst/>
                    </a:prstGeom>
                    <a:noFill/>
                  </pic:spPr>
                </pic:pic>
              </a:graphicData>
            </a:graphic>
          </wp:anchor>
        </w:drawing>
      </w:r>
    </w:p>
    <w:p>
      <w:pPr>
        <w:spacing w:after="0" w:line="132" w:lineRule="exact"/>
        <w:rPr>
          <w:rFonts w:ascii="Times New Roman" w:cs="Times New Roman" w:eastAsia="Times New Roman" w:hAnsi="Times New Roman"/>
          <w:sz w:val="14"/>
          <w:szCs w:val="14"/>
          <w:color w:val="auto"/>
        </w:rPr>
      </w:pPr>
    </w:p>
    <w:p>
      <w:pPr>
        <w:ind w:left="580" w:hanging="334"/>
        <w:spacing w:after="0"/>
        <w:tabs>
          <w:tab w:leader="none" w:pos="5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8"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UNDERTAKINGS</w:t>
      </w:r>
    </w:p>
    <w:p>
      <w:pPr>
        <w:spacing w:after="0" w:line="175" w:lineRule="exact"/>
        <w:rPr>
          <w:sz w:val="20"/>
          <w:szCs w:val="20"/>
          <w:color w:val="auto"/>
        </w:rPr>
      </w:pPr>
    </w:p>
    <w:p>
      <w:pPr>
        <w:ind w:left="440" w:hanging="194"/>
        <w:spacing w:after="0"/>
        <w:tabs>
          <w:tab w:leader="none" w:pos="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2" w:lineRule="exact"/>
        <w:rPr>
          <w:rFonts w:ascii="Times New Roman" w:cs="Times New Roman" w:eastAsia="Times New Roman" w:hAnsi="Times New Roman"/>
          <w:sz w:val="14"/>
          <w:szCs w:val="14"/>
          <w:color w:val="auto"/>
        </w:rPr>
      </w:pPr>
    </w:p>
    <w:p>
      <w:pPr>
        <w:ind w:left="780" w:hanging="193"/>
        <w:spacing w:after="0"/>
        <w:tabs>
          <w:tab w:leader="none" w:pos="7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2" w:lineRule="exact"/>
        <w:rPr>
          <w:rFonts w:ascii="Times New Roman" w:cs="Times New Roman" w:eastAsia="Times New Roman" w:hAnsi="Times New Roman"/>
          <w:sz w:val="14"/>
          <w:szCs w:val="14"/>
          <w:color w:val="auto"/>
        </w:rPr>
      </w:pPr>
    </w:p>
    <w:p>
      <w:pPr>
        <w:ind w:left="1180" w:hanging="167"/>
        <w:spacing w:after="0"/>
        <w:tabs>
          <w:tab w:leader="none" w:pos="1180"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72" w:lineRule="exact"/>
        <w:rPr>
          <w:rFonts w:ascii="Times New Roman" w:cs="Times New Roman" w:eastAsia="Times New Roman" w:hAnsi="Times New Roman"/>
          <w:sz w:val="14"/>
          <w:szCs w:val="14"/>
          <w:color w:val="auto"/>
        </w:rPr>
      </w:pPr>
    </w:p>
    <w:p>
      <w:pPr>
        <w:ind w:left="240" w:right="279" w:firstLine="773"/>
        <w:spacing w:after="0" w:line="255" w:lineRule="auto"/>
        <w:tabs>
          <w:tab w:leader="none" w:pos="1211"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42" w:lineRule="exact"/>
        <w:rPr>
          <w:rFonts w:ascii="Times New Roman" w:cs="Times New Roman" w:eastAsia="Times New Roman" w:hAnsi="Times New Roman"/>
          <w:sz w:val="14"/>
          <w:szCs w:val="14"/>
          <w:color w:val="auto"/>
        </w:rPr>
      </w:pPr>
    </w:p>
    <w:p>
      <w:pPr>
        <w:ind w:left="240" w:right="479" w:firstLine="773"/>
        <w:spacing w:after="0" w:line="280" w:lineRule="auto"/>
        <w:tabs>
          <w:tab w:leader="none" w:pos="1250"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w:t>
      </w:r>
    </w:p>
    <w:p>
      <w:pPr>
        <w:spacing w:after="0" w:line="175" w:lineRule="exact"/>
        <w:rPr>
          <w:sz w:val="20"/>
          <w:szCs w:val="20"/>
          <w:color w:val="auto"/>
        </w:rPr>
      </w:pPr>
    </w:p>
    <w:p>
      <w:pPr>
        <w:ind w:left="240" w:right="459" w:firstLine="1113"/>
        <w:spacing w:after="0" w:line="259" w:lineRule="auto"/>
        <w:tabs>
          <w:tab w:leader="none" w:pos="1575"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9" w:lineRule="exact"/>
        <w:rPr>
          <w:rFonts w:ascii="Times New Roman" w:cs="Times New Roman" w:eastAsia="Times New Roman" w:hAnsi="Times New Roman"/>
          <w:sz w:val="14"/>
          <w:szCs w:val="14"/>
          <w:color w:val="auto"/>
        </w:rPr>
      </w:pPr>
    </w:p>
    <w:p>
      <w:pPr>
        <w:ind w:left="240" w:right="259" w:firstLine="347"/>
        <w:spacing w:after="0" w:line="264" w:lineRule="auto"/>
        <w:tabs>
          <w:tab w:leader="none" w:pos="77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4"/>
          <w:szCs w:val="14"/>
          <w:color w:val="auto"/>
        </w:rPr>
      </w:pPr>
    </w:p>
    <w:p>
      <w:pPr>
        <w:ind w:left="240" w:right="759" w:firstLine="347"/>
        <w:spacing w:after="0" w:line="280" w:lineRule="auto"/>
        <w:tabs>
          <w:tab w:leader="none" w:pos="77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5" w:lineRule="exact"/>
        <w:rPr>
          <w:rFonts w:ascii="Times New Roman" w:cs="Times New Roman" w:eastAsia="Times New Roman" w:hAnsi="Times New Roman"/>
          <w:sz w:val="14"/>
          <w:szCs w:val="14"/>
          <w:color w:val="auto"/>
        </w:rPr>
      </w:pPr>
    </w:p>
    <w:p>
      <w:pPr>
        <w:ind w:left="240" w:right="259" w:firstLine="347"/>
        <w:spacing w:after="0" w:line="253" w:lineRule="auto"/>
        <w:tabs>
          <w:tab w:leader="none" w:pos="77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45" w:lineRule="exact"/>
        <w:rPr>
          <w:rFonts w:ascii="Times New Roman" w:cs="Times New Roman" w:eastAsia="Times New Roman" w:hAnsi="Times New Roman"/>
          <w:sz w:val="14"/>
          <w:szCs w:val="14"/>
          <w:color w:val="auto"/>
        </w:rPr>
      </w:pPr>
    </w:p>
    <w:p>
      <w:pPr>
        <w:ind w:left="780" w:hanging="193"/>
        <w:spacing w:after="0"/>
        <w:tabs>
          <w:tab w:leader="none" w:pos="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2" w:lineRule="exact"/>
        <w:rPr>
          <w:rFonts w:ascii="Times New Roman" w:cs="Times New Roman" w:eastAsia="Times New Roman" w:hAnsi="Times New Roman"/>
          <w:sz w:val="14"/>
          <w:szCs w:val="14"/>
          <w:color w:val="auto"/>
        </w:rPr>
      </w:pPr>
    </w:p>
    <w:p>
      <w:pPr>
        <w:ind w:left="240" w:right="399" w:firstLine="1113"/>
        <w:spacing w:after="0" w:line="280" w:lineRule="auto"/>
        <w:tabs>
          <w:tab w:leader="none" w:pos="157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38" w:right="1440" w:bottom="1440" w:gutter="0" w:footer="0" w:header="0"/>
        </w:sectPr>
      </w:pPr>
    </w:p>
    <w:bookmarkStart w:id="57" w:name="page58"/>
    <w:bookmarkEnd w:id="57"/>
    <w:p>
      <w:pPr>
        <w:ind w:left="240" w:right="279" w:firstLine="1113"/>
        <w:spacing w:after="0" w:line="252" w:lineRule="auto"/>
        <w:tabs>
          <w:tab w:leader="none" w:pos="1567"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44" w:lineRule="exact"/>
        <w:rPr>
          <w:rFonts w:ascii="Times New Roman" w:cs="Times New Roman" w:eastAsia="Times New Roman" w:hAnsi="Times New Roman"/>
          <w:sz w:val="14"/>
          <w:szCs w:val="14"/>
          <w:color w:val="auto"/>
        </w:rPr>
      </w:pPr>
    </w:p>
    <w:p>
      <w:pPr>
        <w:ind w:left="240" w:right="299" w:firstLine="347"/>
        <w:spacing w:after="0" w:line="280" w:lineRule="auto"/>
        <w:tabs>
          <w:tab w:leader="none" w:pos="77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w:t>
      </w:r>
    </w:p>
    <w:p>
      <w:pPr>
        <w:spacing w:after="0" w:line="125" w:lineRule="exact"/>
        <w:rPr>
          <w:sz w:val="20"/>
          <w:szCs w:val="20"/>
          <w:color w:val="auto"/>
        </w:rPr>
      </w:pPr>
    </w:p>
    <w:p>
      <w:pPr>
        <w:ind w:left="240" w:right="359" w:firstLine="340"/>
        <w:spacing w:after="0" w:line="259"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 Any preliminary prospectus or prospectus of the undersigned registrant relating to the offering required to be filed pursuant to Rule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424;</w:t>
      </w:r>
    </w:p>
    <w:p>
      <w:pPr>
        <w:spacing w:after="0" w:line="158" w:lineRule="exact"/>
        <w:rPr>
          <w:sz w:val="20"/>
          <w:szCs w:val="20"/>
          <w:color w:val="auto"/>
        </w:rPr>
      </w:pPr>
    </w:p>
    <w:p>
      <w:pPr>
        <w:ind w:left="240" w:right="339" w:firstLine="773"/>
        <w:spacing w:after="0" w:line="280" w:lineRule="auto"/>
        <w:tabs>
          <w:tab w:leader="none" w:pos="121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5" w:lineRule="exact"/>
        <w:rPr>
          <w:rFonts w:ascii="Times New Roman" w:cs="Times New Roman" w:eastAsia="Times New Roman" w:hAnsi="Times New Roman"/>
          <w:sz w:val="14"/>
          <w:szCs w:val="14"/>
          <w:color w:val="auto"/>
        </w:rPr>
      </w:pPr>
    </w:p>
    <w:p>
      <w:pPr>
        <w:ind w:left="240" w:right="739" w:firstLine="773"/>
        <w:spacing w:after="0" w:line="280" w:lineRule="auto"/>
        <w:tabs>
          <w:tab w:leader="none" w:pos="125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5" w:lineRule="exact"/>
        <w:rPr>
          <w:rFonts w:ascii="Times New Roman" w:cs="Times New Roman" w:eastAsia="Times New Roman" w:hAnsi="Times New Roman"/>
          <w:sz w:val="14"/>
          <w:szCs w:val="14"/>
          <w:color w:val="auto"/>
        </w:rPr>
      </w:pPr>
    </w:p>
    <w:p>
      <w:pPr>
        <w:ind w:left="1240" w:hanging="227"/>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3" w:lineRule="exact"/>
        <w:rPr>
          <w:sz w:val="20"/>
          <w:szCs w:val="20"/>
          <w:color w:val="auto"/>
        </w:rPr>
      </w:pPr>
    </w:p>
    <w:p>
      <w:pPr>
        <w:ind w:left="240" w:right="419"/>
        <w:spacing w:after="0" w:line="256" w:lineRule="auto"/>
        <w:rPr>
          <w:sz w:val="20"/>
          <w:szCs w:val="20"/>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sz w:val="20"/>
          <w:szCs w:val="20"/>
          <w:color w:val="auto"/>
        </w:rPr>
      </w:pPr>
    </w:p>
    <w:p>
      <w:pPr>
        <w:ind w:left="240" w:right="299"/>
        <w:spacing w:after="0" w:line="25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40"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SIGNATURES</w:t>
      </w:r>
    </w:p>
    <w:p>
      <w:pPr>
        <w:spacing w:after="0" w:line="175" w:lineRule="exact"/>
        <w:rPr>
          <w:sz w:val="20"/>
          <w:szCs w:val="20"/>
          <w:color w:val="auto"/>
        </w:rPr>
      </w:pPr>
    </w:p>
    <w:p>
      <w:pPr>
        <w:ind w:left="240" w:right="399" w:firstLine="340"/>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Amsterdam, The Netherlands on September 23, 2025.</w:t>
      </w:r>
    </w:p>
    <w:p>
      <w:pPr>
        <w:spacing w:after="0" w:line="15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Pharvaris N.V.</w:t>
      </w:r>
    </w:p>
    <w:p>
      <w:pPr>
        <w:spacing w:after="0" w:line="175" w:lineRule="exact"/>
        <w:rPr>
          <w:sz w:val="20"/>
          <w:szCs w:val="20"/>
          <w:color w:val="auto"/>
        </w:rPr>
      </w:pPr>
    </w:p>
    <w:tbl>
      <w:tblPr>
        <w:tblLayout w:type="fixed"/>
        <w:tblInd w:w="5360" w:type="dxa"/>
        <w:tblCellMar>
          <w:top w:w="0" w:type="dxa"/>
          <w:left w:w="0" w:type="dxa"/>
          <w:bottom w:w="0" w:type="dxa"/>
          <w:right w:w="0" w:type="dxa"/>
        </w:tblCellMar>
      </w:tblP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Berndt Modig</w:t>
            </w:r>
          </w:p>
        </w:tc>
      </w:tr>
      <w:tr>
        <w:trPr>
          <w:trHeight w:val="143"/>
        </w:trPr>
        <w:tc>
          <w:tcPr>
            <w:tcW w:w="4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Berndt Modig</w:t>
            </w:r>
          </w:p>
        </w:tc>
      </w:tr>
      <w:tr>
        <w:trPr>
          <w:trHeight w:val="182"/>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2" w:lineRule="exact"/>
        <w:rPr>
          <w:sz w:val="20"/>
          <w:szCs w:val="20"/>
          <w:color w:val="auto"/>
        </w:rPr>
      </w:pPr>
    </w:p>
    <w:p>
      <w:pPr>
        <w:ind w:left="240" w:right="299" w:firstLine="340"/>
        <w:spacing w:after="0" w:line="253"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Berndt Modig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September 23, 2025 in the capacities indicated:</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4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0" w:type="dxa"/>
            <w:vAlign w:val="bottom"/>
          </w:tcPr>
          <w:p>
            <w:pPr>
              <w:spacing w:after="0"/>
              <w:rPr>
                <w:sz w:val="12"/>
                <w:szCs w:val="12"/>
                <w:color w:val="auto"/>
              </w:rPr>
            </w:pP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Berndt Modig</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Executive Officer</w:t>
            </w:r>
          </w:p>
        </w:tc>
      </w:tr>
      <w:tr>
        <w:trPr>
          <w:trHeight w:val="172"/>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Berndt Modig</w:t>
            </w:r>
          </w:p>
        </w:tc>
        <w:tc>
          <w:tcPr>
            <w:tcW w:w="160" w:type="dxa"/>
            <w:vAlign w:val="bottom"/>
          </w:tcPr>
          <w:p>
            <w:pPr>
              <w:spacing w:after="0"/>
              <w:rPr>
                <w:sz w:val="14"/>
                <w:szCs w:val="1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executive officer)</w:t>
            </w:r>
          </w:p>
        </w:tc>
      </w:tr>
      <w:tr>
        <w:trPr>
          <w:trHeight w:val="329"/>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Elisabeth Björk</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Elisabeth Björk</w:t>
            </w: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329"/>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Robert Glassman</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Robert Glassman</w:t>
            </w: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329"/>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David Meeker</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David Meeker</w:t>
            </w: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329"/>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Vivian Monges</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Vivian Monges</w:t>
            </w: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329"/>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Hans Schikan</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2"/>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Hans Schikan</w:t>
            </w:r>
          </w:p>
        </w:tc>
        <w:tc>
          <w:tcPr>
            <w:tcW w:w="160" w:type="dxa"/>
            <w:vAlign w:val="bottom"/>
          </w:tcPr>
          <w:p>
            <w:pPr>
              <w:spacing w:after="0"/>
              <w:rPr>
                <w:sz w:val="14"/>
                <w:szCs w:val="14"/>
                <w:color w:val="auto"/>
              </w:rPr>
            </w:pPr>
          </w:p>
        </w:tc>
        <w:tc>
          <w:tcPr>
            <w:tcW w:w="4920" w:type="dxa"/>
            <w:vAlign w:val="bottom"/>
          </w:tcPr>
          <w:p>
            <w:pPr>
              <w:spacing w:after="0"/>
              <w:rPr>
                <w:sz w:val="14"/>
                <w:szCs w:val="14"/>
                <w:color w:val="auto"/>
              </w:rPr>
            </w:pPr>
          </w:p>
        </w:tc>
      </w:tr>
      <w:tr>
        <w:trPr>
          <w:trHeight w:val="329"/>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David Nassif</w:t>
            </w:r>
          </w:p>
        </w:tc>
        <w:tc>
          <w:tcPr>
            <w:tcW w:w="16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Chief Financial Officer</w:t>
            </w:r>
          </w:p>
        </w:tc>
      </w:tr>
      <w:tr>
        <w:trPr>
          <w:trHeight w:val="132"/>
        </w:trPr>
        <w:tc>
          <w:tcPr>
            <w:tcW w:w="34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David Nassif</w:t>
            </w:r>
          </w:p>
        </w:tc>
        <w:tc>
          <w:tcPr>
            <w:tcW w:w="160" w:type="dxa"/>
            <w:vAlign w:val="bottom"/>
          </w:tcPr>
          <w:p>
            <w:pPr>
              <w:spacing w:after="0"/>
              <w:rPr>
                <w:sz w:val="11"/>
                <w:szCs w:val="11"/>
                <w:color w:val="auto"/>
              </w:rPr>
            </w:pPr>
          </w:p>
        </w:tc>
        <w:tc>
          <w:tcPr>
            <w:tcW w:w="49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Authorized Representative in the United States</w:t>
            </w:r>
          </w:p>
        </w:tc>
      </w:tr>
      <w:tr>
        <w:trPr>
          <w:trHeight w:val="182"/>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financial officer and principal accounting officer)</w:t>
            </w:r>
          </w:p>
        </w:tc>
      </w:tr>
      <w:tr>
        <w:trPr>
          <w:trHeight w:val="282"/>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II-4</w:t>
            </w:r>
          </w:p>
        </w:tc>
      </w:tr>
    </w:tbl>
    <w:p>
      <w:pPr>
        <w:sectPr>
          <w:pgSz w:w="11900" w:h="16838" w:orient="portrait"/>
          <w:cols w:equalWidth="0" w:num="1">
            <w:col w:w="9019"/>
          </w:cols>
          <w:pgMar w:left="1440" w:top="238" w:right="1440" w:bottom="1440" w:gutter="0" w:footer="0" w:header="0"/>
        </w:sectPr>
      </w:pPr>
    </w:p>
    <w:bookmarkStart w:id="59" w:name="page60"/>
    <w:bookmarkEnd w:id="59"/>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-92075</wp:posOffset>
            </wp:positionV>
            <wp:extent cx="927735" cy="132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927735" cy="132715"/>
                    </a:xfrm>
                    <a:prstGeom prst="rect">
                      <a:avLst/>
                    </a:prstGeom>
                    <a:noFill/>
                  </pic:spPr>
                </pic:pic>
              </a:graphicData>
            </a:graphic>
          </wp:anchor>
        </w:drawing>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P.O. Box 7113</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1007 JC Amsterdam</w:t>
      </w:r>
    </w:p>
    <w:p>
      <w:pPr>
        <w:ind w:left="240"/>
        <w:spacing w:after="0" w:line="183" w:lineRule="auto"/>
        <w:tabs>
          <w:tab w:leader="none" w:pos="5760" w:val="left"/>
        </w:tabs>
        <w:rPr>
          <w:sz w:val="20"/>
          <w:szCs w:val="20"/>
          <w:color w:val="auto"/>
        </w:rPr>
      </w:pPr>
      <w:r>
        <w:rPr>
          <w:rFonts w:ascii="Times New Roman" w:cs="Times New Roman" w:eastAsia="Times New Roman" w:hAnsi="Times New Roman"/>
          <w:sz w:val="20"/>
          <w:szCs w:val="20"/>
          <w:color w:val="auto"/>
          <w:vertAlign w:val="superscript"/>
        </w:rPr>
        <w:t>Beethovenstraat 400</w:t>
      </w:r>
      <w:r>
        <w:rPr>
          <w:sz w:val="20"/>
          <w:szCs w:val="20"/>
          <w:color w:val="auto"/>
        </w:rPr>
        <w:tab/>
      </w:r>
      <w:r>
        <w:rPr>
          <w:rFonts w:ascii="Times New Roman" w:cs="Times New Roman" w:eastAsia="Times New Roman" w:hAnsi="Times New Roman"/>
          <w:sz w:val="12"/>
          <w:szCs w:val="12"/>
          <w:color w:val="auto"/>
        </w:rPr>
        <w:t>Amsterdam, September 23, 2025.</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1082 PR Amsterdam</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 +31 20 71 71 000</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 +31 20 71 71 111</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 the Company:</w:t>
      </w:r>
    </w:p>
    <w:p>
      <w:pPr>
        <w:spacing w:after="0" w:line="89" w:lineRule="exact"/>
        <w:rPr>
          <w:sz w:val="20"/>
          <w:szCs w:val="20"/>
          <w:color w:val="auto"/>
        </w:rPr>
      </w:pPr>
    </w:p>
    <w:p>
      <w:pPr>
        <w:jc w:val="both"/>
        <w:ind w:left="240" w:right="399"/>
        <w:spacing w:after="0" w:line="264" w:lineRule="auto"/>
        <w:rPr>
          <w:sz w:val="20"/>
          <w:szCs w:val="20"/>
          <w:color w:val="auto"/>
        </w:rPr>
      </w:pPr>
      <w:r>
        <w:rPr>
          <w:rFonts w:ascii="Times New Roman" w:cs="Times New Roman" w:eastAsia="Times New Roman" w:hAnsi="Times New Roman"/>
          <w:sz w:val="14"/>
          <w:szCs w:val="14"/>
          <w:color w:val="auto"/>
        </w:rPr>
        <w:t>We have acted as legal counsel as to Dutch law to the Company in connection with the filing of the post-effective amendment no. 1 to the Registration Statement with the SEC. This opinion letter is rendered to you in order to be filed with the SEC as an exhibit to the post-effective amendment no. 1 to the Registration Statement.</w:t>
      </w:r>
    </w:p>
    <w:p>
      <w:pPr>
        <w:spacing w:after="0" w:line="137" w:lineRule="exact"/>
        <w:rPr>
          <w:sz w:val="20"/>
          <w:szCs w:val="20"/>
          <w:color w:val="auto"/>
        </w:rPr>
      </w:pPr>
    </w:p>
    <w:p>
      <w:pPr>
        <w:ind w:left="240" w:right="559"/>
        <w:spacing w:after="0" w:line="280" w:lineRule="auto"/>
        <w:rPr>
          <w:sz w:val="20"/>
          <w:szCs w:val="20"/>
          <w:color w:val="auto"/>
        </w:rPr>
      </w:pPr>
      <w:r>
        <w:rPr>
          <w:rFonts w:ascii="Times New Roman" w:cs="Times New Roman" w:eastAsia="Times New Roman" w:hAnsi="Times New Roman"/>
          <w:sz w:val="14"/>
          <w:szCs w:val="14"/>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25" w:lineRule="exact"/>
        <w:rPr>
          <w:sz w:val="20"/>
          <w:szCs w:val="20"/>
          <w:color w:val="auto"/>
        </w:rPr>
      </w:pPr>
    </w:p>
    <w:p>
      <w:pPr>
        <w:ind w:left="240" w:right="299"/>
        <w:spacing w:after="0" w:line="264" w:lineRule="auto"/>
        <w:rPr>
          <w:sz w:val="20"/>
          <w:szCs w:val="20"/>
          <w:color w:val="auto"/>
        </w:rPr>
      </w:pPr>
      <w:r>
        <w:rPr>
          <w:rFonts w:ascii="Times New Roman" w:cs="Times New Roman" w:eastAsia="Times New Roman" w:hAnsi="Times New Roman"/>
          <w:sz w:val="14"/>
          <w:szCs w:val="14"/>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37" w:lineRule="exact"/>
        <w:rPr>
          <w:sz w:val="20"/>
          <w:szCs w:val="20"/>
          <w:color w:val="auto"/>
        </w:rPr>
      </w:pPr>
    </w:p>
    <w:p>
      <w:pPr>
        <w:ind w:left="240" w:right="299"/>
        <w:spacing w:after="0" w:line="264" w:lineRule="auto"/>
        <w:rPr>
          <w:sz w:val="20"/>
          <w:szCs w:val="20"/>
          <w:color w:val="auto"/>
        </w:rPr>
      </w:pPr>
      <w:r>
        <w:rPr>
          <w:rFonts w:ascii="Times New Roman" w:cs="Times New Roman" w:eastAsia="Times New Roman" w:hAnsi="Times New Roman"/>
          <w:sz w:val="14"/>
          <w:szCs w:val="14"/>
          <w:color w:val="auto"/>
        </w:rPr>
        <w:t>In rendering the opinions expressed in this opinion letter, we have reviewed and relied upon a draft of the post-effective amendment no. 1 to the Registration Statement and pdf copies of the Corporate Documents, and we have assumed that the issuance of Warrant Shares was effected for bona fide commercial reasons. We have not investigated or verified any factual matter disclosed to us in the course of our review.</w:t>
      </w:r>
    </w:p>
    <w:p>
      <w:pPr>
        <w:spacing w:after="0" w:line="137" w:lineRule="exact"/>
        <w:rPr>
          <w:sz w:val="20"/>
          <w:szCs w:val="20"/>
          <w:color w:val="auto"/>
        </w:rPr>
      </w:pPr>
    </w:p>
    <w:p>
      <w:pPr>
        <w:ind w:left="240" w:right="279"/>
        <w:spacing w:after="0" w:line="255" w:lineRule="auto"/>
        <w:rPr>
          <w:sz w:val="20"/>
          <w:szCs w:val="20"/>
          <w:color w:val="auto"/>
        </w:rPr>
      </w:pPr>
      <w:r>
        <w:rPr>
          <w:rFonts w:ascii="Times New Roman" w:cs="Times New Roman" w:eastAsia="Times New Roman" w:hAnsi="Times New Roman"/>
          <w:sz w:val="14"/>
          <w:szCs w:val="14"/>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or the Corporate Documents subsequent to the date of this opinion letter.</w:t>
      </w:r>
    </w:p>
    <w:p>
      <w:pPr>
        <w:spacing w:after="0" w:line="143" w:lineRule="exact"/>
        <w:rPr>
          <w:sz w:val="20"/>
          <w:szCs w:val="20"/>
          <w:color w:val="auto"/>
        </w:rPr>
      </w:pPr>
    </w:p>
    <w:p>
      <w:pPr>
        <w:ind w:left="240" w:right="279"/>
        <w:spacing w:after="0" w:line="294" w:lineRule="auto"/>
        <w:rPr>
          <w:sz w:val="20"/>
          <w:szCs w:val="20"/>
          <w:color w:val="auto"/>
        </w:rPr>
      </w:pPr>
      <w:r>
        <w:rPr>
          <w:rFonts w:ascii="Times New Roman" w:cs="Times New Roman" w:eastAsia="Times New Roman" w:hAnsi="Times New Roman"/>
          <w:sz w:val="13"/>
          <w:szCs w:val="13"/>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ectPr>
          <w:pgSz w:w="11900" w:h="16838" w:orient="portrait"/>
          <w:cols w:equalWidth="0" w:num="1">
            <w:col w:w="9019"/>
          </w:cols>
          <w:pgMar w:left="1440" w:top="123"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3300730</wp:posOffset>
            </wp:positionH>
            <wp:positionV relativeFrom="page">
              <wp:posOffset>161925</wp:posOffset>
            </wp:positionV>
            <wp:extent cx="947420" cy="132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947420" cy="132715"/>
                    </a:xfrm>
                    <a:prstGeom prst="rect">
                      <a:avLst/>
                    </a:prstGeom>
                    <a:noFill/>
                  </pic:spPr>
                </pic:pic>
              </a:graphicData>
            </a:graphic>
          </wp:anchor>
        </w:drawing>
        <w:t>2</w:t>
      </w:r>
    </w:p>
    <w:p>
      <w:pPr>
        <w:spacing w:after="0" w:line="121" w:lineRule="exact"/>
        <w:rPr>
          <w:sz w:val="20"/>
          <w:szCs w:val="20"/>
          <w:color w:val="auto"/>
        </w:rPr>
      </w:pPr>
    </w:p>
    <w:p>
      <w:pPr>
        <w:ind w:left="240" w:right="299"/>
        <w:spacing w:after="0" w:line="255" w:lineRule="auto"/>
        <w:rPr>
          <w:sz w:val="20"/>
          <w:szCs w:val="20"/>
          <w:color w:val="auto"/>
        </w:rPr>
      </w:pPr>
      <w:r>
        <w:rPr>
          <w:rFonts w:ascii="Times New Roman" w:cs="Times New Roman" w:eastAsia="Times New Roman" w:hAnsi="Times New Roman"/>
          <w:sz w:val="14"/>
          <w:szCs w:val="14"/>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43" w:lineRule="exact"/>
        <w:rPr>
          <w:sz w:val="20"/>
          <w:szCs w:val="20"/>
          <w:color w:val="auto"/>
        </w:rPr>
      </w:pPr>
    </w:p>
    <w:p>
      <w:pPr>
        <w:jc w:val="both"/>
        <w:ind w:left="240" w:right="259"/>
        <w:spacing w:after="0" w:line="264" w:lineRule="auto"/>
        <w:rPr>
          <w:sz w:val="20"/>
          <w:szCs w:val="20"/>
          <w:color w:val="auto"/>
        </w:rPr>
      </w:pPr>
      <w:r>
        <w:rPr>
          <w:rFonts w:ascii="Times New Roman" w:cs="Times New Roman" w:eastAsia="Times New Roman" w:hAnsi="Times New Roman"/>
          <w:sz w:val="14"/>
          <w:szCs w:val="14"/>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purposes of this opinion letter, we have assumed that:</w:t>
      </w:r>
    </w:p>
    <w:p>
      <w:pPr>
        <w:spacing w:after="0" w:line="100" w:lineRule="exact"/>
        <w:rPr>
          <w:sz w:val="20"/>
          <w:szCs w:val="20"/>
          <w:color w:val="auto"/>
        </w:rPr>
      </w:pPr>
    </w:p>
    <w:p>
      <w:pPr>
        <w:ind w:left="580" w:right="799" w:hanging="334"/>
        <w:spacing w:after="0" w:line="280" w:lineRule="auto"/>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copy of a document conforms to the original, each original is authentic, and each signature is the genuine signature of the individual purported to have placed that signature;</w:t>
      </w:r>
    </w:p>
    <w:p>
      <w:pPr>
        <w:spacing w:after="0" w:line="52" w:lineRule="exact"/>
        <w:rPr>
          <w:rFonts w:ascii="Times New Roman" w:cs="Times New Roman" w:eastAsia="Times New Roman" w:hAnsi="Times New Roman"/>
          <w:sz w:val="14"/>
          <w:szCs w:val="14"/>
          <w:color w:val="auto"/>
        </w:rPr>
      </w:pPr>
    </w:p>
    <w:p>
      <w:pPr>
        <w:ind w:left="580" w:right="559" w:hanging="334"/>
        <w:spacing w:after="0" w:line="280" w:lineRule="auto"/>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52" w:lineRule="exact"/>
        <w:rPr>
          <w:rFonts w:ascii="Times New Roman" w:cs="Times New Roman" w:eastAsia="Times New Roman" w:hAnsi="Times New Roman"/>
          <w:sz w:val="14"/>
          <w:szCs w:val="14"/>
          <w:color w:val="auto"/>
        </w:rPr>
      </w:pPr>
    </w:p>
    <w:p>
      <w:pPr>
        <w:ind w:left="580" w:hanging="334"/>
        <w:spacing w:after="0"/>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post-effective amendment no. 1 to the Registration Statement has been or will be declared effective by the SEC in the form reviewed by us;</w:t>
      </w:r>
    </w:p>
    <w:p>
      <w:pPr>
        <w:spacing w:after="0" w:line="99" w:lineRule="exact"/>
        <w:rPr>
          <w:rFonts w:ascii="Times New Roman" w:cs="Times New Roman" w:eastAsia="Times New Roman" w:hAnsi="Times New Roman"/>
          <w:sz w:val="14"/>
          <w:szCs w:val="14"/>
          <w:color w:val="auto"/>
        </w:rPr>
      </w:pPr>
    </w:p>
    <w:p>
      <w:pPr>
        <w:ind w:left="580" w:right="339" w:hanging="334"/>
        <w:spacing w:after="0" w:line="256" w:lineRule="auto"/>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Moment, (i) Ordinary Shares were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70" w:lineRule="exact"/>
        <w:rPr>
          <w:rFonts w:ascii="Times New Roman" w:cs="Times New Roman" w:eastAsia="Times New Roman" w:hAnsi="Times New Roman"/>
          <w:sz w:val="14"/>
          <w:szCs w:val="14"/>
          <w:color w:val="auto"/>
        </w:rPr>
      </w:pPr>
    </w:p>
    <w:p>
      <w:pPr>
        <w:ind w:left="580" w:hanging="334"/>
        <w:spacing w:after="0"/>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Deed of Incorporation is a valid notarial deed;</w:t>
      </w:r>
    </w:p>
    <w:p>
      <w:pPr>
        <w:spacing w:after="0" w:line="99" w:lineRule="exact"/>
        <w:rPr>
          <w:rFonts w:ascii="Times New Roman" w:cs="Times New Roman" w:eastAsia="Times New Roman" w:hAnsi="Times New Roman"/>
          <w:sz w:val="14"/>
          <w:szCs w:val="14"/>
          <w:color w:val="auto"/>
        </w:rPr>
      </w:pPr>
    </w:p>
    <w:p>
      <w:pPr>
        <w:ind w:left="580" w:right="279" w:hanging="334"/>
        <w:spacing w:after="0" w:line="280" w:lineRule="auto"/>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Articles are the Articles of Association currently in force and as they were in force at the moment when the Warrants were granted and at the Relevant Moment;</w:t>
      </w:r>
    </w:p>
    <w:p>
      <w:pPr>
        <w:sectPr>
          <w:pgSz w:w="11900" w:h="16838" w:orient="portrait"/>
          <w:cols w:equalWidth="0" w:num="1">
            <w:col w:w="9019"/>
          </w:cols>
          <w:pgMar w:left="1440" w:top="626"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3300730</wp:posOffset>
            </wp:positionH>
            <wp:positionV relativeFrom="page">
              <wp:posOffset>161925</wp:posOffset>
            </wp:positionV>
            <wp:extent cx="947420" cy="132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947420" cy="132715"/>
                    </a:xfrm>
                    <a:prstGeom prst="rect">
                      <a:avLst/>
                    </a:prstGeom>
                    <a:noFill/>
                  </pic:spPr>
                </pic:pic>
              </a:graphicData>
            </a:graphic>
          </wp:anchor>
        </w:drawing>
        <w:t>3</w:t>
      </w:r>
    </w:p>
    <w:p>
      <w:pPr>
        <w:spacing w:after="0" w:line="119" w:lineRule="exact"/>
        <w:rPr>
          <w:sz w:val="20"/>
          <w:szCs w:val="20"/>
          <w:color w:val="auto"/>
        </w:rPr>
      </w:pPr>
    </w:p>
    <w:p>
      <w:pPr>
        <w:ind w:left="580" w:right="739" w:hanging="334"/>
        <w:spacing w:after="0" w:line="283" w:lineRule="auto"/>
        <w:tabs>
          <w:tab w:leader="none" w:pos="5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moment when the Warrants were granted and at the Relevant Moment, the authorised share capital (</w:t>
      </w:r>
      <w:r>
        <w:rPr>
          <w:rFonts w:ascii="Times New Roman" w:cs="Times New Roman" w:eastAsia="Times New Roman" w:hAnsi="Times New Roman"/>
          <w:sz w:val="14"/>
          <w:szCs w:val="14"/>
          <w:i w:val="1"/>
          <w:iCs w:val="1"/>
          <w:color w:val="auto"/>
        </w:rPr>
        <w:t>maatschappelijk kapitaal</w:t>
      </w:r>
      <w:r>
        <w:rPr>
          <w:rFonts w:ascii="Times New Roman" w:cs="Times New Roman" w:eastAsia="Times New Roman" w:hAnsi="Times New Roman"/>
          <w:sz w:val="14"/>
          <w:szCs w:val="14"/>
          <w:color w:val="auto"/>
        </w:rPr>
        <w:t>) of the Company allowed for the issuance of the Warrant Shares;</w:t>
      </w:r>
    </w:p>
    <w:p>
      <w:pPr>
        <w:spacing w:after="0" w:line="48" w:lineRule="exact"/>
        <w:rPr>
          <w:rFonts w:ascii="Times New Roman" w:cs="Times New Roman" w:eastAsia="Times New Roman" w:hAnsi="Times New Roman"/>
          <w:sz w:val="14"/>
          <w:szCs w:val="14"/>
          <w:color w:val="auto"/>
        </w:rPr>
      </w:pPr>
    </w:p>
    <w:p>
      <w:pPr>
        <w:ind w:left="580" w:hanging="334"/>
        <w:spacing w:after="0"/>
        <w:tabs>
          <w:tab w:leader="none" w:pos="5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Relevant Moment, the Company had not (i) been dissolved (</w:t>
      </w:r>
      <w:r>
        <w:rPr>
          <w:rFonts w:ascii="Times New Roman" w:cs="Times New Roman" w:eastAsia="Times New Roman" w:hAnsi="Times New Roman"/>
          <w:sz w:val="14"/>
          <w:szCs w:val="14"/>
          <w:i w:val="1"/>
          <w:iCs w:val="1"/>
          <w:color w:val="auto"/>
        </w:rPr>
        <w:t>ontbonden</w:t>
      </w:r>
      <w:r>
        <w:rPr>
          <w:rFonts w:ascii="Times New Roman" w:cs="Times New Roman" w:eastAsia="Times New Roman" w:hAnsi="Times New Roman"/>
          <w:sz w:val="14"/>
          <w:szCs w:val="14"/>
          <w:color w:val="auto"/>
        </w:rPr>
        <w:t>), (ii) ceased to exist pursuant to a merger (</w:t>
      </w:r>
      <w:r>
        <w:rPr>
          <w:rFonts w:ascii="Times New Roman" w:cs="Times New Roman" w:eastAsia="Times New Roman" w:hAnsi="Times New Roman"/>
          <w:sz w:val="14"/>
          <w:szCs w:val="14"/>
          <w:i w:val="1"/>
          <w:iCs w:val="1"/>
          <w:color w:val="auto"/>
        </w:rPr>
        <w:t>fusie</w:t>
      </w:r>
      <w:r>
        <w:rPr>
          <w:rFonts w:ascii="Times New Roman" w:cs="Times New Roman" w:eastAsia="Times New Roman" w:hAnsi="Times New Roman"/>
          <w:sz w:val="14"/>
          <w:szCs w:val="14"/>
          <w:color w:val="auto"/>
        </w:rPr>
        <w:t>) or a division</w:t>
      </w:r>
    </w:p>
    <w:p>
      <w:pPr>
        <w:spacing w:after="0" w:line="22" w:lineRule="exact"/>
        <w:rPr>
          <w:rFonts w:ascii="Times New Roman" w:cs="Times New Roman" w:eastAsia="Times New Roman" w:hAnsi="Times New Roman"/>
          <w:sz w:val="14"/>
          <w:szCs w:val="14"/>
          <w:color w:val="auto"/>
        </w:rPr>
      </w:pPr>
    </w:p>
    <w:p>
      <w:pPr>
        <w:ind w:left="580" w:right="33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splitsing</w:t>
      </w:r>
      <w:r>
        <w:rPr>
          <w:rFonts w:ascii="Times New Roman" w:cs="Times New Roman" w:eastAsia="Times New Roman" w:hAnsi="Times New Roman"/>
          <w:sz w:val="14"/>
          <w:szCs w:val="14"/>
          <w:color w:val="auto"/>
        </w:rPr>
        <w:t>), (iii) been converted (</w:t>
      </w:r>
      <w:r>
        <w:rPr>
          <w:rFonts w:ascii="Times New Roman" w:cs="Times New Roman" w:eastAsia="Times New Roman" w:hAnsi="Times New Roman"/>
          <w:sz w:val="14"/>
          <w:szCs w:val="14"/>
          <w:i w:val="1"/>
          <w:iCs w:val="1"/>
          <w:color w:val="auto"/>
        </w:rPr>
        <w:t>omgezet</w:t>
      </w:r>
      <w:r>
        <w:rPr>
          <w:rFonts w:ascii="Times New Roman" w:cs="Times New Roman" w:eastAsia="Times New Roman" w:hAnsi="Times New Roman"/>
          <w:sz w:val="14"/>
          <w:szCs w:val="14"/>
          <w:color w:val="auto"/>
        </w:rPr>
        <w:t>) into another legal form, either national or foreign, (iv) had its assets placed under administration (</w:t>
      </w:r>
      <w:r>
        <w:rPr>
          <w:rFonts w:ascii="Times New Roman" w:cs="Times New Roman" w:eastAsia="Times New Roman" w:hAnsi="Times New Roman"/>
          <w:sz w:val="14"/>
          <w:szCs w:val="14"/>
          <w:i w:val="1"/>
          <w:iCs w:val="1"/>
          <w:color w:val="auto"/>
        </w:rPr>
        <w:t>onder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bewind gesteld</w:t>
      </w:r>
      <w:r>
        <w:rPr>
          <w:rFonts w:ascii="Times New Roman" w:cs="Times New Roman" w:eastAsia="Times New Roman" w:hAnsi="Times New Roman"/>
          <w:sz w:val="14"/>
          <w:szCs w:val="14"/>
          <w:color w:val="auto"/>
        </w:rPr>
        <w:t>), (v) been declared bankrupt (</w:t>
      </w:r>
      <w:r>
        <w:rPr>
          <w:rFonts w:ascii="Times New Roman" w:cs="Times New Roman" w:eastAsia="Times New Roman" w:hAnsi="Times New Roman"/>
          <w:sz w:val="14"/>
          <w:szCs w:val="14"/>
          <w:i w:val="1"/>
          <w:iCs w:val="1"/>
          <w:color w:val="auto"/>
        </w:rPr>
        <w:t>failliet verklaard</w:t>
      </w:r>
      <w:r>
        <w:rPr>
          <w:rFonts w:ascii="Times New Roman" w:cs="Times New Roman" w:eastAsia="Times New Roman" w:hAnsi="Times New Roman"/>
          <w:sz w:val="14"/>
          <w:szCs w:val="14"/>
          <w:color w:val="auto"/>
        </w:rPr>
        <w:t>), (vi) been granted a suspension of payments (</w:t>
      </w:r>
      <w:r>
        <w:rPr>
          <w:rFonts w:ascii="Times New Roman" w:cs="Times New Roman" w:eastAsia="Times New Roman" w:hAnsi="Times New Roman"/>
          <w:sz w:val="14"/>
          <w:szCs w:val="14"/>
          <w:i w:val="1"/>
          <w:iCs w:val="1"/>
          <w:color w:val="auto"/>
        </w:rPr>
        <w:t>surseance van betaling verleend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(vii) started or become subject to statutory proceedings for the restructuring of its debts (</w:t>
      </w:r>
      <w:r>
        <w:rPr>
          <w:rFonts w:ascii="Times New Roman" w:cs="Times New Roman" w:eastAsia="Times New Roman" w:hAnsi="Times New Roman"/>
          <w:sz w:val="14"/>
          <w:szCs w:val="14"/>
          <w:i w:val="1"/>
          <w:iCs w:val="1"/>
          <w:color w:val="auto"/>
        </w:rPr>
        <w:t>akkoordprocedure</w:t>
      </w:r>
      <w:r>
        <w:rPr>
          <w:rFonts w:ascii="Times New Roman" w:cs="Times New Roman" w:eastAsia="Times New Roman" w:hAnsi="Times New Roman"/>
          <w:sz w:val="14"/>
          <w:szCs w:val="14"/>
          <w:color w:val="auto"/>
        </w:rPr>
        <w:t>) or (viii) been made subject to similar proceedings in any jurisdiction or otherwise been limited in its power to dispose of its assets;</w:t>
      </w:r>
    </w:p>
    <w:p>
      <w:pPr>
        <w:spacing w:after="0" w:line="73" w:lineRule="exact"/>
        <w:rPr>
          <w:rFonts w:ascii="Times New Roman" w:cs="Times New Roman" w:eastAsia="Times New Roman" w:hAnsi="Times New Roman"/>
          <w:sz w:val="14"/>
          <w:szCs w:val="14"/>
          <w:color w:val="auto"/>
        </w:rPr>
      </w:pPr>
    </w:p>
    <w:p>
      <w:pPr>
        <w:ind w:left="580" w:right="599" w:hanging="334"/>
        <w:spacing w:after="0" w:line="280" w:lineRule="auto"/>
        <w:tabs>
          <w:tab w:leader="none" w:pos="5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Shares have been issued, and any pre-emption rights in connection therewith have been excluded, pursuant to resolutions validly passed by the corporate body (</w:t>
      </w:r>
      <w:r>
        <w:rPr>
          <w:rFonts w:ascii="Times New Roman" w:cs="Times New Roman" w:eastAsia="Times New Roman" w:hAnsi="Times New Roman"/>
          <w:sz w:val="14"/>
          <w:szCs w:val="14"/>
          <w:i w:val="1"/>
          <w:iCs w:val="1"/>
          <w:color w:val="auto"/>
        </w:rPr>
        <w:t>orgaan</w:t>
      </w:r>
      <w:r>
        <w:rPr>
          <w:rFonts w:ascii="Times New Roman" w:cs="Times New Roman" w:eastAsia="Times New Roman" w:hAnsi="Times New Roman"/>
          <w:sz w:val="14"/>
          <w:szCs w:val="14"/>
          <w:color w:val="auto"/>
        </w:rPr>
        <w:t>) of the Company duly authorised to do so;</w:t>
      </w:r>
    </w:p>
    <w:p>
      <w:pPr>
        <w:spacing w:after="0" w:line="52" w:lineRule="exact"/>
        <w:rPr>
          <w:rFonts w:ascii="Times New Roman" w:cs="Times New Roman" w:eastAsia="Times New Roman" w:hAnsi="Times New Roman"/>
          <w:sz w:val="14"/>
          <w:szCs w:val="14"/>
          <w:color w:val="auto"/>
        </w:rPr>
      </w:pPr>
    </w:p>
    <w:p>
      <w:pPr>
        <w:ind w:left="580" w:right="499" w:hanging="334"/>
        <w:spacing w:after="0" w:line="294" w:lineRule="auto"/>
        <w:tabs>
          <w:tab w:leader="none" w:pos="5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exercise price of the Warrants, including any pre-funded portion thereof, is at least equal to the aggregate nominal value of the underlying Ordinary Shares, such aggregate exercise price has been satisfied in cash and has been received and accepted by the Company ultimately upon the issuance of the Warrant Shares and, where relevant, the Company has consented to payment in a currency other than Euro;</w:t>
      </w:r>
    </w:p>
    <w:p>
      <w:pPr>
        <w:spacing w:after="0" w:line="43" w:lineRule="exact"/>
        <w:rPr>
          <w:rFonts w:ascii="Times New Roman" w:cs="Times New Roman" w:eastAsia="Times New Roman" w:hAnsi="Times New Roman"/>
          <w:sz w:val="13"/>
          <w:szCs w:val="13"/>
          <w:color w:val="auto"/>
        </w:rPr>
      </w:pPr>
    </w:p>
    <w:p>
      <w:pPr>
        <w:ind w:left="580" w:right="619" w:hanging="334"/>
        <w:spacing w:after="0" w:line="266" w:lineRule="auto"/>
        <w:tabs>
          <w:tab w:leader="none" w:pos="5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(i) have been validly executed by the Company and granted as a right to subscribe for Ordinary Shares (</w:t>
      </w:r>
      <w:r>
        <w:rPr>
          <w:rFonts w:ascii="Times New Roman" w:cs="Times New Roman" w:eastAsia="Times New Roman" w:hAnsi="Times New Roman"/>
          <w:sz w:val="14"/>
          <w:szCs w:val="14"/>
          <w:i w:val="1"/>
          <w:iCs w:val="1"/>
          <w:color w:val="auto"/>
        </w:rPr>
        <w:t>recht tot het nemen van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aandelen</w:t>
      </w:r>
      <w:r>
        <w:rPr>
          <w:rFonts w:ascii="Times New Roman" w:cs="Times New Roman" w:eastAsia="Times New Roman" w:hAnsi="Times New Roman"/>
          <w:sz w:val="14"/>
          <w:szCs w:val="14"/>
          <w:color w:val="auto"/>
        </w:rPr>
        <w:t>), (ii) were in full force and effect upon being exercised and (iii) have been validly exercised in accordance with the terms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Warrants;</w:t>
      </w:r>
    </w:p>
    <w:p>
      <w:pPr>
        <w:spacing w:after="0" w:line="59" w:lineRule="exact"/>
        <w:rPr>
          <w:rFonts w:ascii="Times New Roman" w:cs="Times New Roman" w:eastAsia="Times New Roman" w:hAnsi="Times New Roman"/>
          <w:sz w:val="14"/>
          <w:szCs w:val="14"/>
          <w:color w:val="auto"/>
        </w:rPr>
      </w:pPr>
    </w:p>
    <w:p>
      <w:pPr>
        <w:ind w:left="580" w:right="359" w:hanging="334"/>
        <w:spacing w:after="0" w:line="283" w:lineRule="auto"/>
        <w:tabs>
          <w:tab w:leader="none" w:pos="5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Warrants nor any Warrant Shares have been or shall be offered to the public (</w:t>
      </w:r>
      <w:r>
        <w:rPr>
          <w:rFonts w:ascii="Times New Roman" w:cs="Times New Roman" w:eastAsia="Times New Roman" w:hAnsi="Times New Roman"/>
          <w:sz w:val="14"/>
          <w:szCs w:val="14"/>
          <w:i w:val="1"/>
          <w:iCs w:val="1"/>
          <w:color w:val="auto"/>
        </w:rPr>
        <w:t>aanbieden aan het publiek</w:t>
      </w:r>
      <w:r>
        <w:rPr>
          <w:rFonts w:ascii="Times New Roman" w:cs="Times New Roman" w:eastAsia="Times New Roman" w:hAnsi="Times New Roman"/>
          <w:sz w:val="14"/>
          <w:szCs w:val="14"/>
          <w:color w:val="auto"/>
        </w:rPr>
        <w:t>) in the Netherlands other than in conformity with the Prospectus Regulation, the PRIIPs Regulation and the rules promulgated thereunder.</w:t>
      </w:r>
    </w:p>
    <w:p>
      <w:pPr>
        <w:spacing w:after="0" w:line="123" w:lineRule="exact"/>
        <w:rPr>
          <w:sz w:val="20"/>
          <w:szCs w:val="20"/>
          <w:color w:val="auto"/>
        </w:rPr>
      </w:pPr>
    </w:p>
    <w:p>
      <w:pPr>
        <w:ind w:left="240" w:right="599"/>
        <w:spacing w:after="0" w:line="280" w:lineRule="auto"/>
        <w:rPr>
          <w:sz w:val="20"/>
          <w:szCs w:val="20"/>
          <w:color w:val="auto"/>
        </w:rPr>
      </w:pPr>
      <w:r>
        <w:rPr>
          <w:rFonts w:ascii="Times New Roman" w:cs="Times New Roman" w:eastAsia="Times New Roman" w:hAnsi="Times New Roman"/>
          <w:sz w:val="14"/>
          <w:szCs w:val="14"/>
          <w:color w:val="auto"/>
        </w:rPr>
        <w:t>Based upon and subject to the foregoing and subject to the qualifications set forth in this opinion letter and to any matters, documents or events not disclosed to us, we express the following opinions:</w:t>
      </w:r>
    </w:p>
    <w:p>
      <w:pPr>
        <w:sectPr>
          <w:pgSz w:w="11900" w:h="16838" w:orient="portrait"/>
          <w:cols w:equalWidth="0" w:num="1">
            <w:col w:w="9019"/>
          </w:cols>
          <w:pgMar w:left="1440" w:top="626"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3300730</wp:posOffset>
            </wp:positionH>
            <wp:positionV relativeFrom="page">
              <wp:posOffset>161925</wp:posOffset>
            </wp:positionV>
            <wp:extent cx="947420" cy="132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947420" cy="132715"/>
                    </a:xfrm>
                    <a:prstGeom prst="rect">
                      <a:avLst/>
                    </a:prstGeom>
                    <a:noFill/>
                  </pic:spPr>
                </pic:pic>
              </a:graphicData>
            </a:graphic>
          </wp:anchor>
        </w:drawing>
        <w:t>4</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Corporate Status</w:t>
      </w:r>
    </w:p>
    <w:p>
      <w:pPr>
        <w:spacing w:after="0" w:line="100" w:lineRule="exact"/>
        <w:rPr>
          <w:sz w:val="20"/>
          <w:szCs w:val="20"/>
          <w:color w:val="auto"/>
        </w:rPr>
      </w:pPr>
    </w:p>
    <w:p>
      <w:pPr>
        <w:ind w:left="580" w:right="719" w:hanging="334"/>
        <w:spacing w:after="0" w:line="283" w:lineRule="auto"/>
        <w:tabs>
          <w:tab w:leader="none" w:pos="5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been duly incorporated as a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xml:space="preserve"> and is validly existing as a </w:t>
      </w:r>
      <w:r>
        <w:rPr>
          <w:rFonts w:ascii="Times New Roman" w:cs="Times New Roman" w:eastAsia="Times New Roman" w:hAnsi="Times New Roman"/>
          <w:sz w:val="14"/>
          <w:szCs w:val="14"/>
          <w:i w:val="1"/>
          <w:iCs w:val="1"/>
          <w:color w:val="auto"/>
        </w:rPr>
        <w:t>naamloze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vennootschap</w:t>
      </w:r>
      <w:r>
        <w:rPr>
          <w:rFonts w:ascii="Times New Roman" w:cs="Times New Roman" w:eastAsia="Times New Roman" w:hAnsi="Times New Roman"/>
          <w:sz w:val="14"/>
          <w:szCs w:val="14"/>
          <w:color w:val="auto"/>
        </w:rPr>
        <w:t>.</w:t>
      </w:r>
    </w:p>
    <w:p>
      <w:pPr>
        <w:spacing w:after="0" w:line="204"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Warrant Shares</w:t>
      </w:r>
    </w:p>
    <w:p>
      <w:pPr>
        <w:spacing w:after="0" w:line="101" w:lineRule="exact"/>
        <w:rPr>
          <w:rFonts w:ascii="Times New Roman" w:cs="Times New Roman" w:eastAsia="Times New Roman" w:hAnsi="Times New Roman"/>
          <w:sz w:val="14"/>
          <w:szCs w:val="14"/>
          <w:color w:val="auto"/>
        </w:rPr>
      </w:pPr>
    </w:p>
    <w:p>
      <w:pPr>
        <w:ind w:left="580" w:hanging="334"/>
        <w:spacing w:after="0"/>
        <w:tabs>
          <w:tab w:leader="none" w:pos="5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Shares have been validly issued pursuant to the exercise of the Warrants and are fully paid and non-assessable.</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opinions expressed above are subject to the following qualifications:</w:t>
      </w:r>
    </w:p>
    <w:p>
      <w:pPr>
        <w:spacing w:after="0" w:line="98" w:lineRule="exact"/>
        <w:rPr>
          <w:sz w:val="20"/>
          <w:szCs w:val="20"/>
          <w:color w:val="auto"/>
        </w:rPr>
      </w:pPr>
    </w:p>
    <w:p>
      <w:pPr>
        <w:ind w:left="580" w:right="279" w:hanging="334"/>
        <w:spacing w:after="0" w:line="260" w:lineRule="auto"/>
        <w:tabs>
          <w:tab w:leader="none" w:pos="5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Opinion 1 must not be read to imply that the Company cannot be dissolved (</w:t>
      </w:r>
      <w:r>
        <w:rPr>
          <w:rFonts w:ascii="Times New Roman" w:cs="Times New Roman" w:eastAsia="Times New Roman" w:hAnsi="Times New Roman"/>
          <w:sz w:val="14"/>
          <w:szCs w:val="14"/>
          <w:i w:val="1"/>
          <w:iCs w:val="1"/>
          <w:color w:val="auto"/>
        </w:rPr>
        <w:t>ontbonden</w:t>
      </w:r>
      <w:r>
        <w:rPr>
          <w:rFonts w:ascii="Times New Roman" w:cs="Times New Roman" w:eastAsia="Times New Roman" w:hAnsi="Times New Roman"/>
          <w:sz w:val="14"/>
          <w:szCs w:val="14"/>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14"/>
          <w:szCs w:val="14"/>
          <w:i w:val="1"/>
          <w:iCs w:val="1"/>
          <w:color w:val="auto"/>
        </w:rPr>
        <w:t>belanghebbende</w:t>
      </w:r>
      <w:r>
        <w:rPr>
          <w:rFonts w:ascii="Times New Roman" w:cs="Times New Roman" w:eastAsia="Times New Roman" w:hAnsi="Times New Roman"/>
          <w:sz w:val="14"/>
          <w:szCs w:val="14"/>
          <w:color w:val="auto"/>
        </w:rPr>
        <w:t>) or the public prosecution office in certain circumstances, such as when there are certain defects in the incorporation of the company. Any such dissolution will not have retro-active effect.</w:t>
      </w:r>
    </w:p>
    <w:p>
      <w:pPr>
        <w:spacing w:after="0" w:line="66" w:lineRule="exact"/>
        <w:rPr>
          <w:rFonts w:ascii="Times New Roman" w:cs="Times New Roman" w:eastAsia="Times New Roman" w:hAnsi="Times New Roman"/>
          <w:sz w:val="14"/>
          <w:szCs w:val="14"/>
          <w:color w:val="auto"/>
        </w:rPr>
      </w:pPr>
    </w:p>
    <w:p>
      <w:pPr>
        <w:ind w:left="580" w:right="299" w:hanging="334"/>
        <w:spacing w:after="0" w:line="252" w:lineRule="auto"/>
        <w:tabs>
          <w:tab w:leader="none" w:pos="5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14"/>
          <w:szCs w:val="14"/>
          <w:i w:val="1"/>
          <w:iCs w:val="1"/>
          <w:color w:val="auto"/>
        </w:rPr>
        <w:t>curator</w:t>
      </w:r>
      <w:r>
        <w:rPr>
          <w:rFonts w:ascii="Times New Roman" w:cs="Times New Roman" w:eastAsia="Times New Roman" w:hAnsi="Times New Roman"/>
          <w:sz w:val="14"/>
          <w:szCs w:val="14"/>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4"/>
          <w:szCs w:val="14"/>
          <w:i w:val="1"/>
          <w:iCs w:val="1"/>
          <w:color w:val="auto"/>
        </w:rPr>
        <w:t>wist of zonder eigen onderzoek moest weten</w:t>
      </w:r>
      <w:r>
        <w:rPr>
          <w:rFonts w:ascii="Times New Roman" w:cs="Times New Roman" w:eastAsia="Times New Roman" w:hAnsi="Times New Roman"/>
          <w:sz w:val="14"/>
          <w:szCs w:val="14"/>
          <w:color w:val="auto"/>
        </w:rPr>
        <w:t>). The Dutch Supreme Court (</w:t>
      </w:r>
      <w:r>
        <w:rPr>
          <w:rFonts w:ascii="Times New Roman" w:cs="Times New Roman" w:eastAsia="Times New Roman" w:hAnsi="Times New Roman"/>
          <w:sz w:val="14"/>
          <w:szCs w:val="14"/>
          <w:i w:val="1"/>
          <w:iCs w:val="1"/>
          <w:color w:val="auto"/>
        </w:rPr>
        <w:t>Hoge Raad 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Nederlanden</w:t>
      </w:r>
      <w:r>
        <w:rPr>
          <w:rFonts w:ascii="Times New Roman" w:cs="Times New Roman" w:eastAsia="Times New Roman" w:hAnsi="Times New Roman"/>
          <w:sz w:val="14"/>
          <w:szCs w:val="14"/>
          <w:color w:val="auto"/>
        </w:rPr>
        <w:t>) has ruled that in determining whether the objects of a legal entity are transgressed, not only the description of the objects in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 entity’s articles of association (</w:t>
      </w:r>
      <w:r>
        <w:rPr>
          <w:rFonts w:ascii="Times New Roman" w:cs="Times New Roman" w:eastAsia="Times New Roman" w:hAnsi="Times New Roman"/>
          <w:sz w:val="14"/>
          <w:szCs w:val="14"/>
          <w:i w:val="1"/>
          <w:iCs w:val="1"/>
          <w:color w:val="auto"/>
        </w:rPr>
        <w:t>statuten</w:t>
      </w:r>
      <w:r>
        <w:rPr>
          <w:rFonts w:ascii="Times New Roman" w:cs="Times New Roman" w:eastAsia="Times New Roman" w:hAnsi="Times New Roman"/>
          <w:sz w:val="14"/>
          <w:szCs w:val="14"/>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issuing Warrant Shares, the Company would transgress the description of the objects contained in its Articles of Association. However, we cannot assess whether there are other relevant circumstances that must be taken into account, in particular whether the interests of the Company are served by issuing Warrant Shares since this is a matter of fact.</w:t>
      </w:r>
    </w:p>
    <w:p>
      <w:pPr>
        <w:sectPr>
          <w:pgSz w:w="11900" w:h="16838" w:orient="portrait"/>
          <w:cols w:equalWidth="0" w:num="1">
            <w:col w:w="9019"/>
          </w:cols>
          <w:pgMar w:left="1440" w:top="626"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3300730</wp:posOffset>
            </wp:positionH>
            <wp:positionV relativeFrom="page">
              <wp:posOffset>161925</wp:posOffset>
            </wp:positionV>
            <wp:extent cx="947420" cy="132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947420" cy="132715"/>
                    </a:xfrm>
                    <a:prstGeom prst="rect">
                      <a:avLst/>
                    </a:prstGeom>
                    <a:noFill/>
                  </pic:spPr>
                </pic:pic>
              </a:graphicData>
            </a:graphic>
          </wp:anchor>
        </w:drawing>
        <w:t>5</w:t>
      </w:r>
    </w:p>
    <w:p>
      <w:pPr>
        <w:spacing w:after="0" w:line="119" w:lineRule="exact"/>
        <w:rPr>
          <w:sz w:val="20"/>
          <w:szCs w:val="20"/>
          <w:color w:val="auto"/>
        </w:rPr>
      </w:pPr>
    </w:p>
    <w:p>
      <w:pPr>
        <w:ind w:left="580" w:right="379" w:hanging="334"/>
        <w:spacing w:after="0" w:line="255" w:lineRule="auto"/>
        <w:tabs>
          <w:tab w:leader="none" w:pos="5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2:98c DCC, a company such as the Company may grant loans (</w:t>
      </w:r>
      <w:r>
        <w:rPr>
          <w:rFonts w:ascii="Times New Roman" w:cs="Times New Roman" w:eastAsia="Times New Roman" w:hAnsi="Times New Roman"/>
          <w:sz w:val="14"/>
          <w:szCs w:val="14"/>
          <w:i w:val="1"/>
          <w:iCs w:val="1"/>
          <w:color w:val="auto"/>
        </w:rPr>
        <w:t>leningen verstrekken</w:t>
      </w:r>
      <w:r>
        <w:rPr>
          <w:rFonts w:ascii="Times New Roman" w:cs="Times New Roman" w:eastAsia="Times New Roman" w:hAnsi="Times New Roman"/>
          <w:sz w:val="14"/>
          <w:szCs w:val="14"/>
          <w:color w:val="auto"/>
        </w:rPr>
        <w:t>) only in accordance with the restrictions set out in Section 2:98c DCC, and may not provide security (</w:t>
      </w:r>
      <w:r>
        <w:rPr>
          <w:rFonts w:ascii="Times New Roman" w:cs="Times New Roman" w:eastAsia="Times New Roman" w:hAnsi="Times New Roman"/>
          <w:sz w:val="14"/>
          <w:szCs w:val="14"/>
          <w:i w:val="1"/>
          <w:iCs w:val="1"/>
          <w:color w:val="auto"/>
        </w:rPr>
        <w:t>zekerheid stellen</w:t>
      </w:r>
      <w:r>
        <w:rPr>
          <w:rFonts w:ascii="Times New Roman" w:cs="Times New Roman" w:eastAsia="Times New Roman" w:hAnsi="Times New Roman"/>
          <w:sz w:val="14"/>
          <w:szCs w:val="14"/>
          <w:color w:val="auto"/>
        </w:rPr>
        <w:t>), give a price guarantee (</w:t>
      </w:r>
      <w:r>
        <w:rPr>
          <w:rFonts w:ascii="Times New Roman" w:cs="Times New Roman" w:eastAsia="Times New Roman" w:hAnsi="Times New Roman"/>
          <w:sz w:val="14"/>
          <w:szCs w:val="14"/>
          <w:i w:val="1"/>
          <w:iCs w:val="1"/>
          <w:color w:val="auto"/>
        </w:rPr>
        <w:t>koersgarantie geven</w:t>
      </w:r>
      <w:r>
        <w:rPr>
          <w:rFonts w:ascii="Times New Roman" w:cs="Times New Roman" w:eastAsia="Times New Roman" w:hAnsi="Times New Roman"/>
          <w:sz w:val="14"/>
          <w:szCs w:val="14"/>
          <w:color w:val="auto"/>
        </w:rPr>
        <w:t>) or otherwise bind itself, whether jointly and severally or otherwise with or for third parties (</w:t>
      </w:r>
      <w:r>
        <w:rPr>
          <w:rFonts w:ascii="Times New Roman" w:cs="Times New Roman" w:eastAsia="Times New Roman" w:hAnsi="Times New Roman"/>
          <w:sz w:val="14"/>
          <w:szCs w:val="14"/>
          <w:i w:val="1"/>
          <w:iCs w:val="1"/>
          <w:color w:val="auto"/>
        </w:rPr>
        <w:t>zich op andere wijze sterk maken of zich hoofdelijk of anderszins naast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voor anderen verbinden</w:t>
      </w:r>
      <w:r>
        <w:rPr>
          <w:rFonts w:ascii="Times New Roman" w:cs="Times New Roman" w:eastAsia="Times New Roman" w:hAnsi="Times New Roman"/>
          <w:sz w:val="14"/>
          <w:szCs w:val="14"/>
          <w:color w:val="auto"/>
        </w:rPr>
        <w:t>) with a view to (</w:t>
      </w:r>
      <w:r>
        <w:rPr>
          <w:rFonts w:ascii="Times New Roman" w:cs="Times New Roman" w:eastAsia="Times New Roman" w:hAnsi="Times New Roman"/>
          <w:sz w:val="14"/>
          <w:szCs w:val="14"/>
          <w:i w:val="1"/>
          <w:iCs w:val="1"/>
          <w:color w:val="auto"/>
        </w:rPr>
        <w:t>met het oog op</w:t>
      </w:r>
      <w:r>
        <w:rPr>
          <w:rFonts w:ascii="Times New Roman" w:cs="Times New Roman" w:eastAsia="Times New Roman" w:hAnsi="Times New Roman"/>
          <w:sz w:val="14"/>
          <w:szCs w:val="14"/>
          <w:color w:val="auto"/>
        </w:rPr>
        <w:t>) the subscription or acquisition by third parties of shares in its share capital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depository receipts. This prohibition also applies to its subsidiaries (</w:t>
      </w:r>
      <w:r>
        <w:rPr>
          <w:rFonts w:ascii="Times New Roman" w:cs="Times New Roman" w:eastAsia="Times New Roman" w:hAnsi="Times New Roman"/>
          <w:sz w:val="14"/>
          <w:szCs w:val="14"/>
          <w:i w:val="1"/>
          <w:iCs w:val="1"/>
          <w:color w:val="auto"/>
        </w:rPr>
        <w:t>dochtervennootschappen</w:t>
      </w:r>
      <w:r>
        <w:rPr>
          <w:rFonts w:ascii="Times New Roman" w:cs="Times New Roman" w:eastAsia="Times New Roman" w:hAnsi="Times New Roman"/>
          <w:sz w:val="14"/>
          <w:szCs w:val="14"/>
          <w:color w:val="auto"/>
        </w:rPr>
        <w:t>). It is generally assumed that a transaction entered into in violation of Section 2:98c DCC is null and void (</w:t>
      </w:r>
      <w:r>
        <w:rPr>
          <w:rFonts w:ascii="Times New Roman" w:cs="Times New Roman" w:eastAsia="Times New Roman" w:hAnsi="Times New Roman"/>
          <w:sz w:val="14"/>
          <w:szCs w:val="14"/>
          <w:i w:val="1"/>
          <w:iCs w:val="1"/>
          <w:color w:val="auto"/>
        </w:rPr>
        <w:t>nietig</w:t>
      </w:r>
      <w:r>
        <w:rPr>
          <w:rFonts w:ascii="Times New Roman" w:cs="Times New Roman" w:eastAsia="Times New Roman" w:hAnsi="Times New Roman"/>
          <w:sz w:val="14"/>
          <w:szCs w:val="14"/>
          <w:color w:val="auto"/>
        </w:rPr>
        <w:t>).</w:t>
      </w:r>
    </w:p>
    <w:p>
      <w:pPr>
        <w:spacing w:after="0" w:line="71" w:lineRule="exact"/>
        <w:rPr>
          <w:rFonts w:ascii="Times New Roman" w:cs="Times New Roman" w:eastAsia="Times New Roman" w:hAnsi="Times New Roman"/>
          <w:sz w:val="14"/>
          <w:szCs w:val="14"/>
          <w:color w:val="auto"/>
        </w:rPr>
      </w:pPr>
    </w:p>
    <w:p>
      <w:pPr>
        <w:ind w:left="580" w:hanging="334"/>
        <w:spacing w:after="0"/>
        <w:tabs>
          <w:tab w:leader="none" w:pos="5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opinions expressed in this opinion letter may be limited or affected by:</w:t>
      </w:r>
    </w:p>
    <w:p>
      <w:pPr>
        <w:spacing w:after="0" w:line="99"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relating to Insolvency Proceedings or similar proceedings under a foreign law and other rules affecting creditors’ rights generally;</w:t>
      </w:r>
    </w:p>
    <w:p>
      <w:pPr>
        <w:spacing w:after="0" w:line="97" w:lineRule="exact"/>
        <w:rPr>
          <w:rFonts w:ascii="Times New Roman" w:cs="Times New Roman" w:eastAsia="Times New Roman" w:hAnsi="Times New Roman"/>
          <w:sz w:val="14"/>
          <w:szCs w:val="14"/>
          <w:color w:val="auto"/>
        </w:rPr>
      </w:pPr>
    </w:p>
    <w:p>
      <w:pPr>
        <w:ind w:left="1000" w:right="479" w:hanging="420"/>
        <w:spacing w:after="0" w:line="283" w:lineRule="auto"/>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fraudulent preference and fraudulent conveyance (</w:t>
      </w:r>
      <w:r>
        <w:rPr>
          <w:rFonts w:ascii="Times New Roman" w:cs="Times New Roman" w:eastAsia="Times New Roman" w:hAnsi="Times New Roman"/>
          <w:sz w:val="14"/>
          <w:szCs w:val="14"/>
          <w:i w:val="1"/>
          <w:iCs w:val="1"/>
          <w:color w:val="auto"/>
        </w:rPr>
        <w:t>Actio Pauliana</w:t>
      </w:r>
      <w:r>
        <w:rPr>
          <w:rFonts w:ascii="Times New Roman" w:cs="Times New Roman" w:eastAsia="Times New Roman" w:hAnsi="Times New Roman"/>
          <w:sz w:val="14"/>
          <w:szCs w:val="14"/>
          <w:color w:val="auto"/>
        </w:rPr>
        <w:t>) and similar rights available in other jurisdictions to insolvency practitioners and insolvency office holders in bankruptcy proceedings or creditors;</w:t>
      </w:r>
    </w:p>
    <w:p>
      <w:pPr>
        <w:spacing w:after="0" w:line="48"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based on tort (</w:t>
      </w:r>
      <w:r>
        <w:rPr>
          <w:rFonts w:ascii="Times New Roman" w:cs="Times New Roman" w:eastAsia="Times New Roman" w:hAnsi="Times New Roman"/>
          <w:sz w:val="14"/>
          <w:szCs w:val="14"/>
          <w:i w:val="1"/>
          <w:iCs w:val="1"/>
          <w:color w:val="auto"/>
        </w:rPr>
        <w:t>onrechtmatige daad</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1000" w:right="439" w:hanging="420"/>
        <w:spacing w:after="0" w:line="280" w:lineRule="auto"/>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or other legislation;</w:t>
      </w:r>
    </w:p>
    <w:p>
      <w:pPr>
        <w:spacing w:after="0" w:line="52"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Anti-Boycott Regulation, Anti Money Laundering Laws and related legislation;</w:t>
      </w:r>
    </w:p>
    <w:p>
      <w:pPr>
        <w:spacing w:after="0" w:line="99" w:lineRule="exact"/>
        <w:rPr>
          <w:rFonts w:ascii="Times New Roman" w:cs="Times New Roman" w:eastAsia="Times New Roman" w:hAnsi="Times New Roman"/>
          <w:sz w:val="14"/>
          <w:szCs w:val="14"/>
          <w:color w:val="auto"/>
        </w:rPr>
      </w:pPr>
    </w:p>
    <w:p>
      <w:pPr>
        <w:ind w:left="1000" w:right="759" w:hanging="420"/>
        <w:spacing w:after="0" w:line="280" w:lineRule="auto"/>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intervention, recovery or resolution measure by any regulatory or other authority or governmental body in relation to financial enterprises or their affiliated entities; and</w:t>
      </w:r>
    </w:p>
    <w:p>
      <w:pPr>
        <w:spacing w:after="0" w:line="50" w:lineRule="exact"/>
        <w:rPr>
          <w:rFonts w:ascii="Times New Roman" w:cs="Times New Roman" w:eastAsia="Times New Roman" w:hAnsi="Times New Roman"/>
          <w:sz w:val="14"/>
          <w:szCs w:val="14"/>
          <w:color w:val="auto"/>
        </w:rPr>
      </w:pPr>
    </w:p>
    <w:p>
      <w:pPr>
        <w:ind w:left="1000" w:right="319" w:hanging="420"/>
        <w:spacing w:after="0" w:line="260" w:lineRule="auto"/>
        <w:tabs>
          <w:tab w:leader="none" w:pos="100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of force majeure (</w:t>
      </w:r>
      <w:r>
        <w:rPr>
          <w:rFonts w:ascii="Times New Roman" w:cs="Times New Roman" w:eastAsia="Times New Roman" w:hAnsi="Times New Roman"/>
          <w:sz w:val="14"/>
          <w:szCs w:val="14"/>
          <w:i w:val="1"/>
          <w:iCs w:val="1"/>
          <w:color w:val="auto"/>
        </w:rPr>
        <w:t>niet toerekenbare tekortkoming</w:t>
      </w:r>
      <w:r>
        <w:rPr>
          <w:rFonts w:ascii="Times New Roman" w:cs="Times New Roman" w:eastAsia="Times New Roman" w:hAnsi="Times New Roman"/>
          <w:sz w:val="14"/>
          <w:szCs w:val="14"/>
          <w:color w:val="auto"/>
        </w:rPr>
        <w:t>), reasonableness and fairness (</w:t>
      </w:r>
      <w:r>
        <w:rPr>
          <w:rFonts w:ascii="Times New Roman" w:cs="Times New Roman" w:eastAsia="Times New Roman" w:hAnsi="Times New Roman"/>
          <w:sz w:val="14"/>
          <w:szCs w:val="14"/>
          <w:i w:val="1"/>
          <w:iCs w:val="1"/>
          <w:color w:val="auto"/>
        </w:rPr>
        <w:t>redelijkheid en billijkheid</w:t>
      </w:r>
      <w:r>
        <w:rPr>
          <w:rFonts w:ascii="Times New Roman" w:cs="Times New Roman" w:eastAsia="Times New Roman" w:hAnsi="Times New Roman"/>
          <w:sz w:val="14"/>
          <w:szCs w:val="14"/>
          <w:color w:val="auto"/>
        </w:rPr>
        <w:t>), suspension (</w:t>
      </w:r>
      <w:r>
        <w:rPr>
          <w:rFonts w:ascii="Times New Roman" w:cs="Times New Roman" w:eastAsia="Times New Roman" w:hAnsi="Times New Roman"/>
          <w:sz w:val="14"/>
          <w:szCs w:val="14"/>
          <w:i w:val="1"/>
          <w:iCs w:val="1"/>
          <w:color w:val="auto"/>
        </w:rPr>
        <w:t>opschorting</w:t>
      </w:r>
      <w:r>
        <w:rPr>
          <w:rFonts w:ascii="Times New Roman" w:cs="Times New Roman" w:eastAsia="Times New Roman" w:hAnsi="Times New Roman"/>
          <w:sz w:val="14"/>
          <w:szCs w:val="14"/>
          <w:color w:val="auto"/>
        </w:rPr>
        <w:t>), dissolution (</w:t>
      </w:r>
      <w:r>
        <w:rPr>
          <w:rFonts w:ascii="Times New Roman" w:cs="Times New Roman" w:eastAsia="Times New Roman" w:hAnsi="Times New Roman"/>
          <w:sz w:val="14"/>
          <w:szCs w:val="14"/>
          <w:i w:val="1"/>
          <w:iCs w:val="1"/>
          <w:color w:val="auto"/>
        </w:rPr>
        <w:t>ontbinding</w:t>
      </w:r>
      <w:r>
        <w:rPr>
          <w:rFonts w:ascii="Times New Roman" w:cs="Times New Roman" w:eastAsia="Times New Roman" w:hAnsi="Times New Roman"/>
          <w:sz w:val="14"/>
          <w:szCs w:val="14"/>
          <w:color w:val="auto"/>
        </w:rPr>
        <w:t>), unforeseen circumstances (</w:t>
      </w:r>
      <w:r>
        <w:rPr>
          <w:rFonts w:ascii="Times New Roman" w:cs="Times New Roman" w:eastAsia="Times New Roman" w:hAnsi="Times New Roman"/>
          <w:sz w:val="14"/>
          <w:szCs w:val="14"/>
          <w:i w:val="1"/>
          <w:iCs w:val="1"/>
          <w:color w:val="auto"/>
        </w:rPr>
        <w:t>onvoorziene omstandigheden</w:t>
      </w:r>
      <w:r>
        <w:rPr>
          <w:rFonts w:ascii="Times New Roman" w:cs="Times New Roman" w:eastAsia="Times New Roman" w:hAnsi="Times New Roman"/>
          <w:sz w:val="14"/>
          <w:szCs w:val="14"/>
          <w:color w:val="auto"/>
        </w:rPr>
        <w:t>) and vitiated consent (i.e., duress (</w:t>
      </w:r>
      <w:r>
        <w:rPr>
          <w:rFonts w:ascii="Times New Roman" w:cs="Times New Roman" w:eastAsia="Times New Roman" w:hAnsi="Times New Roman"/>
          <w:sz w:val="14"/>
          <w:szCs w:val="14"/>
          <w:i w:val="1"/>
          <w:iCs w:val="1"/>
          <w:color w:val="auto"/>
        </w:rPr>
        <w:t>bedreiging</w:t>
      </w:r>
      <w:r>
        <w:rPr>
          <w:rFonts w:ascii="Times New Roman" w:cs="Times New Roman" w:eastAsia="Times New Roman" w:hAnsi="Times New Roman"/>
          <w:sz w:val="14"/>
          <w:szCs w:val="14"/>
          <w:color w:val="auto"/>
        </w:rPr>
        <w:t>), fraud (</w:t>
      </w:r>
      <w:r>
        <w:rPr>
          <w:rFonts w:ascii="Times New Roman" w:cs="Times New Roman" w:eastAsia="Times New Roman" w:hAnsi="Times New Roman"/>
          <w:sz w:val="14"/>
          <w:szCs w:val="14"/>
          <w:i w:val="1"/>
          <w:iCs w:val="1"/>
          <w:color w:val="auto"/>
        </w:rPr>
        <w:t>bedrog</w:t>
      </w:r>
      <w:r>
        <w:rPr>
          <w:rFonts w:ascii="Times New Roman" w:cs="Times New Roman" w:eastAsia="Times New Roman" w:hAnsi="Times New Roman"/>
          <w:sz w:val="14"/>
          <w:szCs w:val="14"/>
          <w:color w:val="auto"/>
        </w:rPr>
        <w:t>), abuse of circumstances (</w:t>
      </w:r>
      <w:r>
        <w:rPr>
          <w:rFonts w:ascii="Times New Roman" w:cs="Times New Roman" w:eastAsia="Times New Roman" w:hAnsi="Times New Roman"/>
          <w:sz w:val="14"/>
          <w:szCs w:val="14"/>
          <w:i w:val="1"/>
          <w:iCs w:val="1"/>
          <w:color w:val="auto"/>
        </w:rPr>
        <w:t>misbruik van omstandigheden</w:t>
      </w:r>
      <w:r>
        <w:rPr>
          <w:rFonts w:ascii="Times New Roman" w:cs="Times New Roman" w:eastAsia="Times New Roman" w:hAnsi="Times New Roman"/>
          <w:sz w:val="14"/>
          <w:szCs w:val="14"/>
          <w:color w:val="auto"/>
        </w:rPr>
        <w:t>) and error (</w:t>
      </w:r>
      <w:r>
        <w:rPr>
          <w:rFonts w:ascii="Times New Roman" w:cs="Times New Roman" w:eastAsia="Times New Roman" w:hAnsi="Times New Roman"/>
          <w:sz w:val="14"/>
          <w:szCs w:val="14"/>
          <w:i w:val="1"/>
          <w:iCs w:val="1"/>
          <w:color w:val="auto"/>
        </w:rPr>
        <w:t>dwaling</w:t>
      </w:r>
      <w:r>
        <w:rPr>
          <w:rFonts w:ascii="Times New Roman" w:cs="Times New Roman" w:eastAsia="Times New Roman" w:hAnsi="Times New Roman"/>
          <w:sz w:val="14"/>
          <w:szCs w:val="14"/>
          <w:color w:val="auto"/>
        </w:rPr>
        <w:t>)) or a difference of intention (</w:t>
      </w:r>
      <w:r>
        <w:rPr>
          <w:rFonts w:ascii="Times New Roman" w:cs="Times New Roman" w:eastAsia="Times New Roman" w:hAnsi="Times New Roman"/>
          <w:sz w:val="14"/>
          <w:szCs w:val="14"/>
          <w:i w:val="1"/>
          <w:iCs w:val="1"/>
          <w:color w:val="auto"/>
        </w:rPr>
        <w:t>wil</w:t>
      </w:r>
      <w:r>
        <w:rPr>
          <w:rFonts w:ascii="Times New Roman" w:cs="Times New Roman" w:eastAsia="Times New Roman" w:hAnsi="Times New Roman"/>
          <w:sz w:val="14"/>
          <w:szCs w:val="14"/>
          <w:color w:val="auto"/>
        </w:rPr>
        <w:t>) and declaration (</w:t>
      </w:r>
      <w:r>
        <w:rPr>
          <w:rFonts w:ascii="Times New Roman" w:cs="Times New Roman" w:eastAsia="Times New Roman" w:hAnsi="Times New Roman"/>
          <w:sz w:val="14"/>
          <w:szCs w:val="14"/>
          <w:i w:val="1"/>
          <w:iCs w:val="1"/>
          <w:color w:val="auto"/>
        </w:rPr>
        <w:t>verklaring</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580" w:right="279" w:hanging="334"/>
        <w:spacing w:after="0" w:line="264" w:lineRule="auto"/>
        <w:tabs>
          <w:tab w:leader="none" w:pos="5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ectPr>
          <w:pgSz w:w="11900" w:h="16838" w:orient="portrait"/>
          <w:cols w:equalWidth="0" w:num="1">
            <w:col w:w="9019"/>
          </w:cols>
          <w:pgMar w:left="1440" w:top="626"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3300730</wp:posOffset>
            </wp:positionH>
            <wp:positionV relativeFrom="page">
              <wp:posOffset>161925</wp:posOffset>
            </wp:positionV>
            <wp:extent cx="947420" cy="132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947420" cy="132715"/>
                    </a:xfrm>
                    <a:prstGeom prst="rect">
                      <a:avLst/>
                    </a:prstGeom>
                    <a:noFill/>
                  </pic:spPr>
                </pic:pic>
              </a:graphicData>
            </a:graphic>
          </wp:anchor>
        </w:drawing>
        <w:t>6</w:t>
      </w:r>
    </w:p>
    <w:p>
      <w:pPr>
        <w:spacing w:after="0" w:line="121" w:lineRule="exact"/>
        <w:rPr>
          <w:sz w:val="20"/>
          <w:szCs w:val="20"/>
          <w:color w:val="auto"/>
        </w:rPr>
      </w:pPr>
    </w:p>
    <w:p>
      <w:pPr>
        <w:ind w:left="580" w:right="299" w:hanging="334"/>
        <w:spacing w:after="0" w:line="280" w:lineRule="auto"/>
        <w:tabs>
          <w:tab w:leader="none" w:pos="5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letter does not purport to express any opinion or view on the operational rules and procedures of any clearing or settlement system or agency.</w:t>
      </w:r>
    </w:p>
    <w:p>
      <w:pPr>
        <w:spacing w:after="0" w:line="125" w:lineRule="exact"/>
        <w:rPr>
          <w:sz w:val="20"/>
          <w:szCs w:val="20"/>
          <w:color w:val="auto"/>
        </w:rPr>
      </w:pPr>
    </w:p>
    <w:p>
      <w:pPr>
        <w:ind w:left="240" w:right="279"/>
        <w:spacing w:after="0" w:line="259" w:lineRule="auto"/>
        <w:rPr>
          <w:sz w:val="20"/>
          <w:szCs w:val="20"/>
          <w:color w:val="auto"/>
        </w:rPr>
      </w:pPr>
      <w:r>
        <w:rPr>
          <w:rFonts w:ascii="Times New Roman" w:cs="Times New Roman" w:eastAsia="Times New Roman" w:hAnsi="Times New Roman"/>
          <w:sz w:val="14"/>
          <w:szCs w:val="14"/>
          <w:color w:val="auto"/>
        </w:rPr>
        <w:t>We consent to the filing of this opinion letter as an exhibit to the post-effective amendment no. 1 to the Registration Statement and also consent to the reference to NautaDutilh in the post-effective amendment no. 1 to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Sincerely yours,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NautaDutilh N.V.</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NautaDutilh N.V.</w:t>
      </w:r>
    </w:p>
    <w:p>
      <w:pPr>
        <w:sectPr>
          <w:pgSz w:w="11900" w:h="16838" w:orient="portrait"/>
          <w:cols w:equalWidth="0" w:num="1">
            <w:col w:w="9019"/>
          </w:cols>
          <w:pgMar w:left="1440" w:top="626" w:right="1440" w:bottom="1440" w:gutter="0" w:footer="0" w:header="0"/>
        </w:sectPr>
      </w:pPr>
    </w:p>
    <w:bookmarkStart w:id="65" w:name="page66"/>
    <w:bookmarkEnd w:id="65"/>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LIST OF DEFINITIONS</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 Money Laundering Laws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Anti-Boycott Regulation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 of Association</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Code</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Commercial Register</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 Documents</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Current Articles</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DCC</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Deed of Conversion</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Deed of Incorporation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-410210</wp:posOffset>
            </wp:positionV>
            <wp:extent cx="72021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-337185</wp:posOffset>
            </wp:positionV>
            <wp:extent cx="947420" cy="132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947420" cy="13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9"/>
        <w:spacing w:after="0" w:line="264" w:lineRule="auto"/>
        <w:rPr>
          <w:sz w:val="20"/>
          <w:szCs w:val="20"/>
          <w:color w:val="auto"/>
        </w:rPr>
      </w:pPr>
      <w:r>
        <w:rPr>
          <w:rFonts w:ascii="Times New Roman" w:cs="Times New Roman" w:eastAsia="Times New Roman" w:hAnsi="Times New Roman"/>
          <w:sz w:val="14"/>
          <w:szCs w:val="14"/>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14"/>
          <w:szCs w:val="14"/>
          <w:i w:val="1"/>
          <w:iCs w:val="1"/>
          <w:color w:val="auto"/>
        </w:rPr>
        <w:t>Wet ter voorkoming van witwassen en financieren van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terrorisme</w:t>
      </w:r>
      <w:r>
        <w:rPr>
          <w:rFonts w:ascii="Times New Roman" w:cs="Times New Roman" w:eastAsia="Times New Roman" w:hAnsi="Times New Roman"/>
          <w:sz w:val="14"/>
          <w:szCs w:val="14"/>
          <w:color w:val="auto"/>
        </w:rPr>
        <w:t>) and the Dutch Criminal Code (</w:t>
      </w:r>
      <w:r>
        <w:rPr>
          <w:rFonts w:ascii="Times New Roman" w:cs="Times New Roman" w:eastAsia="Times New Roman" w:hAnsi="Times New Roman"/>
          <w:sz w:val="14"/>
          <w:szCs w:val="14"/>
          <w:i w:val="1"/>
          <w:iCs w:val="1"/>
          <w:color w:val="auto"/>
        </w:rPr>
        <w:t>Wetboek van Strafrecht</w:t>
      </w: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right="359"/>
        <w:spacing w:after="0" w:line="264" w:lineRule="auto"/>
        <w:rPr>
          <w:sz w:val="20"/>
          <w:szCs w:val="20"/>
          <w:color w:val="auto"/>
        </w:rPr>
      </w:pPr>
      <w:r>
        <w:rPr>
          <w:rFonts w:ascii="Times New Roman" w:cs="Times New Roman" w:eastAsia="Times New Roman" w:hAnsi="Times New Roman"/>
          <w:sz w:val="14"/>
          <w:szCs w:val="14"/>
          <w:color w:val="auto"/>
        </w:rPr>
        <w:t>The Council Regulation (EC) No 2271/96 of 22 November 1996 on protecting against the effects of the extra-territorial application of legislation adopted by a third country, and actions based thereon or resulting therefrom.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articles of association (</w:t>
      </w:r>
      <w:r>
        <w:rPr>
          <w:rFonts w:ascii="Times New Roman" w:cs="Times New Roman" w:eastAsia="Times New Roman" w:hAnsi="Times New Roman"/>
          <w:sz w:val="14"/>
          <w:szCs w:val="14"/>
          <w:i w:val="1"/>
          <w:iCs w:val="1"/>
          <w:color w:val="auto"/>
        </w:rPr>
        <w:t>statuten</w:t>
      </w:r>
      <w:r>
        <w:rPr>
          <w:rFonts w:ascii="Times New Roman" w:cs="Times New Roman" w:eastAsia="Times New Roman" w:hAnsi="Times New Roman"/>
          <w:sz w:val="14"/>
          <w:szCs w:val="14"/>
          <w:color w:val="auto"/>
        </w:rPr>
        <w:t>) as they read from time to time.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Dutch Bankruptcy Code (</w:t>
      </w:r>
      <w:r>
        <w:rPr>
          <w:rFonts w:ascii="Times New Roman" w:cs="Times New Roman" w:eastAsia="Times New Roman" w:hAnsi="Times New Roman"/>
          <w:sz w:val="14"/>
          <w:szCs w:val="14"/>
          <w:i w:val="1"/>
          <w:iCs w:val="1"/>
          <w:color w:val="auto"/>
        </w:rPr>
        <w:t>Faillissementswet</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Dutch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right="679"/>
        <w:spacing w:after="0" w:line="283" w:lineRule="auto"/>
        <w:rPr>
          <w:sz w:val="20"/>
          <w:szCs w:val="20"/>
          <w:color w:val="auto"/>
        </w:rPr>
      </w:pPr>
      <w:r>
        <w:rPr>
          <w:rFonts w:ascii="Times New Roman" w:cs="Times New Roman" w:eastAsia="Times New Roman" w:hAnsi="Times New Roman"/>
          <w:sz w:val="14"/>
          <w:szCs w:val="14"/>
          <w:color w:val="auto"/>
        </w:rPr>
        <w:t>Pharvaris N.V., a public company with limited liability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registered with the Commercial Register under number 64239411.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Deed of Incorporation, the Deed of Conversion and the Current Articles.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Articles of Association as contained in the deed of amendment dated 6 March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Dutch Civil Code (</w:t>
      </w:r>
      <w:r>
        <w:rPr>
          <w:rFonts w:ascii="Times New Roman" w:cs="Times New Roman" w:eastAsia="Times New Roman" w:hAnsi="Times New Roman"/>
          <w:sz w:val="14"/>
          <w:szCs w:val="14"/>
          <w:i w:val="1"/>
          <w:iCs w:val="1"/>
          <w:color w:val="auto"/>
        </w:rPr>
        <w:t>Burgerlijk Wetboek</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deed of conversion and amendment to the Articles of Association dated 5 February 2021.</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deed of incorporation (</w:t>
      </w:r>
      <w:r>
        <w:rPr>
          <w:rFonts w:ascii="Times New Roman" w:cs="Times New Roman" w:eastAsia="Times New Roman" w:hAnsi="Times New Roman"/>
          <w:sz w:val="14"/>
          <w:szCs w:val="14"/>
          <w:i w:val="1"/>
          <w:iCs w:val="1"/>
          <w:color w:val="auto"/>
        </w:rPr>
        <w:t>akte van oprichting</w:t>
      </w:r>
      <w:r>
        <w:rPr>
          <w:rFonts w:ascii="Times New Roman" w:cs="Times New Roman" w:eastAsia="Times New Roman" w:hAnsi="Times New Roman"/>
          <w:sz w:val="14"/>
          <w:szCs w:val="14"/>
          <w:color w:val="auto"/>
        </w:rPr>
        <w:t>) dated 30 September 2015.</w:t>
      </w:r>
    </w:p>
    <w:p>
      <w:pPr>
        <w:sectPr>
          <w:pgSz w:w="11900" w:h="16838" w:orient="portrait"/>
          <w:cols w:equalWidth="0" w:num="2">
            <w:col w:w="2160" w:space="560"/>
            <w:col w:w="6299"/>
          </w:cols>
          <w:pgMar w:left="1440" w:top="626"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3300730</wp:posOffset>
            </wp:positionH>
            <wp:positionV relativeFrom="page">
              <wp:posOffset>161925</wp:posOffset>
            </wp:positionV>
            <wp:extent cx="947420" cy="132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947420" cy="132715"/>
                    </a:xfrm>
                    <a:prstGeom prst="rect">
                      <a:avLst/>
                    </a:prstGeom>
                    <a:noFill/>
                  </pic:spPr>
                </pic:pic>
              </a:graphicData>
            </a:graphic>
          </wp:anchor>
        </w:drawing>
        <w:t>8</w:t>
      </w:r>
    </w:p>
    <w:p>
      <w:pPr>
        <w:sectPr>
          <w:pgSz w:w="11900" w:h="16838" w:orient="portrait"/>
          <w:cols w:equalWidth="0" w:num="1">
            <w:col w:w="9019"/>
          </w:cols>
          <w:pgMar w:left="1440" w:top="626" w:right="1440" w:bottom="1440" w:gutter="0" w:footer="0" w:header="0"/>
        </w:sectPr>
      </w:pP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eIDAS Regulation</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19"/>
        <w:spacing w:after="0" w:line="264" w:lineRule="auto"/>
        <w:rPr>
          <w:sz w:val="20"/>
          <w:szCs w:val="20"/>
          <w:color w:val="auto"/>
        </w:rPr>
      </w:pPr>
      <w:r>
        <w:rPr>
          <w:rFonts w:ascii="Times New Roman" w:cs="Times New Roman" w:eastAsia="Times New Roman" w:hAnsi="Times New Roman"/>
          <w:sz w:val="14"/>
          <w:szCs w:val="14"/>
          <w:color w:val="auto"/>
        </w:rPr>
        <w:t>Regulation (EU) No 910/2014 of the European Parliament and of the Council of 23 July 2014 on electronic identification and trust services for electronic transactions in the internal market and repealing Directive 1999/93/EC.</w:t>
      </w:r>
    </w:p>
    <w:p>
      <w:pPr>
        <w:spacing w:after="0" w:line="51" w:lineRule="exact"/>
        <w:rPr>
          <w:sz w:val="20"/>
          <w:szCs w:val="20"/>
          <w:color w:val="auto"/>
        </w:rPr>
      </w:pPr>
    </w:p>
    <w:p>
      <w:pPr>
        <w:sectPr>
          <w:pgSz w:w="11900" w:h="16838" w:orient="portrait"/>
          <w:cols w:equalWidth="0" w:num="2">
            <w:col w:w="2000" w:space="720"/>
            <w:col w:w="6299"/>
          </w:cols>
          <w:pgMar w:left="1440" w:top="626"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Insolvency Proceedings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right="319"/>
        <w:spacing w:after="0" w:line="256" w:lineRule="auto"/>
        <w:rPr>
          <w:sz w:val="20"/>
          <w:szCs w:val="20"/>
          <w:color w:val="auto"/>
        </w:rPr>
      </w:pPr>
      <w:r>
        <w:rPr>
          <w:rFonts w:ascii="Times New Roman" w:cs="Times New Roman" w:eastAsia="Times New Roman" w:hAnsi="Times New Roman"/>
          <w:sz w:val="14"/>
          <w:szCs w:val="14"/>
          <w:color w:val="auto"/>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 statutory proceedings for the restructuring of debts (</w:t>
      </w:r>
      <w:r>
        <w:rPr>
          <w:rFonts w:ascii="Times New Roman" w:cs="Times New Roman" w:eastAsia="Times New Roman" w:hAnsi="Times New Roman"/>
          <w:sz w:val="14"/>
          <w:szCs w:val="14"/>
          <w:i w:val="1"/>
          <w:iCs w:val="1"/>
          <w:color w:val="auto"/>
        </w:rPr>
        <w:t>akkoordprocedure</w:t>
      </w:r>
      <w:r>
        <w:rPr>
          <w:rFonts w:ascii="Times New Roman" w:cs="Times New Roman" w:eastAsia="Times New Roman" w:hAnsi="Times New Roman"/>
          <w:sz w:val="14"/>
          <w:szCs w:val="14"/>
          <w:color w:val="auto"/>
        </w:rPr>
        <w:t>) pursuant to the Bankruptcy Code.</w:t>
      </w:r>
    </w:p>
    <w:p>
      <w:pPr>
        <w:spacing w:after="0" w:line="58" w:lineRule="exact"/>
        <w:rPr>
          <w:sz w:val="20"/>
          <w:szCs w:val="20"/>
          <w:color w:val="auto"/>
        </w:rPr>
      </w:pPr>
    </w:p>
    <w:p>
      <w:pPr>
        <w:sectPr>
          <w:pgSz w:w="11900" w:h="16838" w:orient="portrait"/>
          <w:cols w:equalWidth="0" w:num="2">
            <w:col w:w="2000" w:space="720"/>
            <w:col w:w="6299"/>
          </w:cols>
          <w:pgMar w:left="1440" w:top="626"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NautaDutilh</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NautaDutilh N.V.</w:t>
      </w:r>
    </w:p>
    <w:p>
      <w:pPr>
        <w:spacing w:after="0" w:line="98" w:lineRule="exact"/>
        <w:rPr>
          <w:sz w:val="20"/>
          <w:szCs w:val="20"/>
          <w:color w:val="auto"/>
        </w:rPr>
      </w:pPr>
    </w:p>
    <w:p>
      <w:pPr>
        <w:sectPr>
          <w:pgSz w:w="11900" w:h="16838" w:orient="portrait"/>
          <w:cols w:equalWidth="0" w:num="2">
            <w:col w:w="2000" w:space="720"/>
            <w:col w:w="6299"/>
          </w:cols>
          <w:pgMar w:left="1440" w:top="626"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the Netherlands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European territory of the Kingdom of the Netherlands and “</w:t>
      </w:r>
      <w:r>
        <w:rPr>
          <w:rFonts w:ascii="Times New Roman" w:cs="Times New Roman" w:eastAsia="Times New Roman" w:hAnsi="Times New Roman"/>
          <w:sz w:val="13"/>
          <w:szCs w:val="13"/>
          <w:b w:val="1"/>
          <w:bCs w:val="1"/>
          <w:color w:val="auto"/>
        </w:rPr>
        <w:t>Dutch</w:t>
      </w:r>
      <w:r>
        <w:rPr>
          <w:rFonts w:ascii="Times New Roman" w:cs="Times New Roman" w:eastAsia="Times New Roman" w:hAnsi="Times New Roman"/>
          <w:sz w:val="13"/>
          <w:szCs w:val="13"/>
          <w:color w:val="auto"/>
        </w:rPr>
        <w:t>” is in or from the Netherlands.</w:t>
      </w:r>
    </w:p>
    <w:p>
      <w:pPr>
        <w:spacing w:after="0" w:line="100" w:lineRule="exact"/>
        <w:rPr>
          <w:sz w:val="20"/>
          <w:szCs w:val="20"/>
          <w:color w:val="auto"/>
        </w:rPr>
      </w:pPr>
    </w:p>
    <w:p>
      <w:pPr>
        <w:sectPr>
          <w:pgSz w:w="11900" w:h="16838" w:orient="portrait"/>
          <w:cols w:equalWidth="0" w:num="2">
            <w:col w:w="2000" w:space="720"/>
            <w:col w:w="6299"/>
          </w:cols>
          <w:pgMar w:left="1440" w:top="626"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Shares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Ordinary shares in the Company’s capital, with a nominal value of EUR 0.12 each.</w:t>
      </w:r>
    </w:p>
    <w:p>
      <w:pPr>
        <w:spacing w:after="0" w:line="99" w:lineRule="exact"/>
        <w:rPr>
          <w:sz w:val="20"/>
          <w:szCs w:val="20"/>
          <w:color w:val="auto"/>
        </w:rPr>
      </w:pPr>
    </w:p>
    <w:p>
      <w:pPr>
        <w:sectPr>
          <w:pgSz w:w="11900" w:h="16838" w:orient="portrait"/>
          <w:cols w:equalWidth="0" w:num="2">
            <w:col w:w="2000" w:space="720"/>
            <w:col w:w="6299"/>
          </w:cols>
          <w:pgMar w:left="1440" w:top="626"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PRIIPs Regulation</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right="479"/>
        <w:spacing w:after="0" w:line="280" w:lineRule="auto"/>
        <w:rPr>
          <w:sz w:val="20"/>
          <w:szCs w:val="20"/>
          <w:color w:val="auto"/>
        </w:rPr>
      </w:pPr>
      <w:r>
        <w:rPr>
          <w:rFonts w:ascii="Times New Roman" w:cs="Times New Roman" w:eastAsia="Times New Roman" w:hAnsi="Times New Roman"/>
          <w:sz w:val="14"/>
          <w:szCs w:val="14"/>
          <w:color w:val="auto"/>
        </w:rPr>
        <w:t>Regulation (EU) No 1286/2014 of the European Parliament and of the Council of 26 November 2014 on key information documents for packaged retail and insurance-based investment products (PRIIPs).</w:t>
      </w:r>
    </w:p>
    <w:p>
      <w:pPr>
        <w:spacing w:after="0" w:line="40" w:lineRule="exact"/>
        <w:rPr>
          <w:sz w:val="20"/>
          <w:szCs w:val="20"/>
          <w:color w:val="auto"/>
        </w:rPr>
      </w:pPr>
    </w:p>
    <w:p>
      <w:pPr>
        <w:sectPr>
          <w:pgSz w:w="11900" w:h="16838" w:orient="portrait"/>
          <w:cols w:equalWidth="0" w:num="2">
            <w:col w:w="2000" w:space="720"/>
            <w:col w:w="6299"/>
          </w:cols>
          <w:pgMar w:left="1440" w:top="626"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Prospectus Regulation</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ind w:right="499"/>
        <w:spacing w:after="0" w:line="264" w:lineRule="auto"/>
        <w:rPr>
          <w:sz w:val="20"/>
          <w:szCs w:val="20"/>
          <w:color w:val="auto"/>
        </w:rPr>
      </w:pPr>
      <w:r>
        <w:rPr>
          <w:rFonts w:ascii="Times New Roman" w:cs="Times New Roman" w:eastAsia="Times New Roman" w:hAnsi="Times New Roman"/>
          <w:sz w:val="14"/>
          <w:szCs w:val="14"/>
          <w:color w:val="auto"/>
        </w:rPr>
        <w:t>Regulation (EU) 2017/1129 of the European Parliament and of the Council of 14 June 2017 on the prospectus to be published when securities are offered to the public or admitted to trading on a regulated market, and repealing Directive 2003/71/EC.</w:t>
      </w:r>
    </w:p>
    <w:p>
      <w:pPr>
        <w:sectPr>
          <w:pgSz w:w="11900" w:h="16838" w:orient="portrait"/>
          <w:cols w:equalWidth="0" w:num="2">
            <w:col w:w="2000" w:space="720"/>
            <w:col w:w="6299"/>
          </w:cols>
          <w:pgMar w:left="1440" w:top="626" w:right="1440" w:bottom="1440" w:gutter="0" w:footer="0" w:header="0"/>
          <w:type w:val="continuous"/>
        </w:sectPr>
      </w:pPr>
    </w:p>
    <w:bookmarkStart w:id="67" w:name="page68"/>
    <w:bookmarkEnd w:id="67"/>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w:t>
      </w: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Moment</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left="174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-410210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-337185</wp:posOffset>
            </wp:positionV>
            <wp:extent cx="947420" cy="132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947420" cy="132715"/>
                    </a:xfrm>
                    <a:prstGeom prst="rect">
                      <a:avLst/>
                    </a:prstGeom>
                    <a:noFill/>
                  </pic:spPr>
                </pic:pic>
              </a:graphicData>
            </a:graphic>
          </wp:anchor>
        </w:drawing>
      </w:r>
    </w:p>
    <w:p>
      <w:pPr>
        <w:spacing w:after="0" w:line="101" w:lineRule="exact"/>
        <w:rPr>
          <w:sz w:val="20"/>
          <w:szCs w:val="20"/>
          <w:color w:val="auto"/>
        </w:rPr>
      </w:pPr>
    </w:p>
    <w:p>
      <w:pPr>
        <w:ind w:left="1" w:right="419"/>
        <w:spacing w:after="0" w:line="280" w:lineRule="auto"/>
        <w:rPr>
          <w:sz w:val="20"/>
          <w:szCs w:val="20"/>
          <w:color w:val="auto"/>
        </w:rPr>
      </w:pPr>
      <w:r>
        <w:rPr>
          <w:rFonts w:ascii="Times New Roman" w:cs="Times New Roman" w:eastAsia="Times New Roman" w:hAnsi="Times New Roman"/>
          <w:sz w:val="14"/>
          <w:szCs w:val="14"/>
          <w:color w:val="auto"/>
        </w:rPr>
        <w:t>The Company’s registration statement on Form F-3 filed or to be filed with the SEC in the form reviewed by us, including any post-effective amendments filed with the SEC.</w:t>
      </w:r>
    </w:p>
    <w:p>
      <w:pPr>
        <w:spacing w:after="0" w:line="4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Each moment when the Warrant Shares were issued pursuant to the exercise of the Warrants.</w:t>
      </w:r>
    </w:p>
    <w:p>
      <w:pPr>
        <w:spacing w:after="0" w:line="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The United States Securities and Exchange Commission.</w:t>
      </w:r>
    </w:p>
    <w:p>
      <w:pPr>
        <w:spacing w:after="0" w:line="89" w:lineRule="exact"/>
        <w:rPr>
          <w:sz w:val="20"/>
          <w:szCs w:val="20"/>
          <w:color w:val="auto"/>
        </w:rPr>
      </w:pPr>
    </w:p>
    <w:p>
      <w:pPr>
        <w:ind w:left="161" w:hanging="161"/>
        <w:spacing w:after="0"/>
        <w:tabs>
          <w:tab w:leader="none" w:pos="16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pre-funded warrant to purchase Ordinary Shares issued by the Company on July 24, 2025, in the</w:t>
      </w:r>
    </w:p>
    <w:p>
      <w:pPr>
        <w:spacing w:after="0" w:line="20" w:lineRule="exact"/>
        <w:rPr>
          <w:rFonts w:ascii="Times New Roman" w:cs="Times New Roman" w:eastAsia="Times New Roman" w:hAnsi="Times New Roman"/>
          <w:sz w:val="14"/>
          <w:szCs w:val="14"/>
          <w:color w:val="auto"/>
        </w:rPr>
      </w:pPr>
    </w:p>
    <w:p>
      <w:pPr>
        <w:ind w:left="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form attached as exhibit 4.1 to the Company’s report on Form 6-K filed with the SEC on July 24, 2025 and</w:t>
      </w:r>
    </w:p>
    <w:p>
      <w:pPr>
        <w:spacing w:after="0" w:line="17" w:lineRule="exact"/>
        <w:rPr>
          <w:rFonts w:ascii="Times New Roman" w:cs="Times New Roman" w:eastAsia="Times New Roman" w:hAnsi="Times New Roman"/>
          <w:sz w:val="14"/>
          <w:szCs w:val="14"/>
          <w:color w:val="auto"/>
        </w:rPr>
      </w:pPr>
    </w:p>
    <w:p>
      <w:pPr>
        <w:jc w:val="both"/>
        <w:ind w:left="1" w:right="299" w:hanging="1"/>
        <w:spacing w:after="0" w:line="296" w:lineRule="auto"/>
        <w:tabs>
          <w:tab w:leader="none" w:pos="20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pre-funded warrant to purchase Ordinary Shares issued by the Company on 8 December 2023 in the form attached as exhibit 4.1 to the Company’s report on Form 6-K filed with the SEC on 8 December 2023.</w:t>
      </w:r>
    </w:p>
    <w:p>
      <w:pPr>
        <w:spacing w:after="0" w:line="34" w:lineRule="exact"/>
        <w:rPr>
          <w:sz w:val="20"/>
          <w:szCs w:val="20"/>
          <w:color w:val="auto"/>
        </w:rPr>
      </w:pPr>
    </w:p>
    <w:p>
      <w:pPr>
        <w:ind w:left="1" w:right="679" w:hanging="1"/>
        <w:spacing w:after="0" w:line="280" w:lineRule="auto"/>
        <w:tabs>
          <w:tab w:leader="none" w:pos="16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 Ordinary Shares and (ii) 1,375,000 Ordinary Shares issued pursuant to the exercise of the Warrants and registered pursuant to the Registration Statement.</w:t>
      </w:r>
    </w:p>
    <w:p>
      <w:pPr>
        <w:sectPr>
          <w:pgSz w:w="11900" w:h="16838" w:orient="portrait"/>
          <w:cols w:equalWidth="0" w:num="2">
            <w:col w:w="1999" w:space="720"/>
            <w:col w:w="6300"/>
          </w:cols>
          <w:pgMar w:left="1440" w:top="626" w:right="1440" w:bottom="1440" w:gutter="0" w:footer="0" w:header="0"/>
        </w:sectPr>
      </w:pPr>
    </w:p>
    <w:bookmarkStart w:id="68" w:name="page69"/>
    <w:bookmarkEnd w:id="68"/>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3" w:lineRule="exact"/>
        <w:rPr>
          <w:sz w:val="20"/>
          <w:szCs w:val="20"/>
          <w:color w:val="auto"/>
        </w:rPr>
      </w:pPr>
    </w:p>
    <w:p>
      <w:pPr>
        <w:ind w:left="240" w:right="279"/>
        <w:spacing w:after="0" w:line="294" w:lineRule="auto"/>
        <w:rPr>
          <w:sz w:val="20"/>
          <w:szCs w:val="20"/>
          <w:color w:val="auto"/>
        </w:rPr>
      </w:pPr>
      <w:r>
        <w:rPr>
          <w:rFonts w:ascii="Times New Roman" w:cs="Times New Roman" w:eastAsia="Times New Roman" w:hAnsi="Times New Roman"/>
          <w:sz w:val="13"/>
          <w:szCs w:val="13"/>
          <w:color w:val="auto"/>
        </w:rPr>
        <w:t>We hereby consent to the incorporation by reference in this Registration Statement on Form F-3 of Pharvaris N.V. of our report dated April 7, 2025 relating to the financial statements and the effectiveness of internal control over financial reporting, which appears in Pharvaris N.V.’s Annual Report on Form 20-F for the year ended December 31, 2024. We also consent to the reference to us under the heading “Experts” in such Registration Statement.</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PricewaterhouseCoopers Accountants N.V.</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Amsterdam, The Netherlands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September 23, 2025</w:t>
      </w:r>
    </w:p>
    <w:p>
      <w:pPr>
        <w:sectPr>
          <w:pgSz w:w="11900" w:h="16838" w:orient="portrait"/>
          <w:cols w:equalWidth="0" w:num="1">
            <w:col w:w="9019"/>
          </w:cols>
          <w:pgMar w:left="1440" w:top="123" w:right="1440" w:bottom="1440" w:gutter="0" w:footer="0" w:header="0"/>
        </w:sectPr>
      </w:pPr>
    </w:p>
    <w:bookmarkStart w:id="69" w:name="page70"/>
    <w:bookmarkEnd w:id="69"/>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Pharvaris N.V.</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40" w:type="dxa"/>
            <w:vAlign w:val="bottom"/>
            <w:tcBorders>
              <w:bottom w:val="single" w:sz="8" w:color="auto"/>
            </w:tcBorders>
          </w:tcPr>
          <w:p>
            <w:pPr>
              <w:spacing w:after="0"/>
              <w:rPr>
                <w:sz w:val="23"/>
                <w:szCs w:val="23"/>
                <w:color w:val="auto"/>
              </w:rPr>
            </w:pPr>
          </w:p>
        </w:tc>
        <w:tc>
          <w:tcPr>
            <w:tcW w:w="51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7"/>
              <w:spacing w:after="0" w:line="188"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88" w:lineRule="exact"/>
              <w:rPr>
                <w:sz w:val="20"/>
                <w:szCs w:val="20"/>
                <w:color w:val="auto"/>
              </w:rPr>
            </w:pPr>
            <w:r>
              <w:rPr>
                <w:rFonts w:ascii="Arial" w:cs="Arial" w:eastAsia="Arial" w:hAnsi="Arial"/>
                <w:sz w:val="17"/>
                <w:szCs w:val="17"/>
                <w:b w:val="1"/>
                <w:bCs w:val="1"/>
                <w:color w:val="auto"/>
                <w:w w:val="98"/>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euro0.12</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8"/>
              </w:rPr>
              <w:t>Other</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$ 24.54</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$ 1,879.00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rPr>
              <w:t>12,270,000.00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per share</w:t>
            </w: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8"/>
              </w:rPr>
              <w:t>("Ordinary</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8"/>
              </w:rPr>
              <w:t>Other</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5,545,155</w:t>
            </w: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$ 24.025</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$ 19,664.00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133,222,349.00</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 w:type="dxa"/>
            <w:vAlign w:val="bottom"/>
            <w:tcBorders>
              <w:left w:val="single" w:sz="8" w:color="auto"/>
            </w:tcBorders>
          </w:tcPr>
          <w:p>
            <w:pPr>
              <w:spacing w:after="0"/>
              <w:rPr>
                <w:sz w:val="12"/>
                <w:szCs w:val="12"/>
                <w:color w:val="auto"/>
              </w:rPr>
            </w:pPr>
          </w:p>
        </w:tc>
        <w:tc>
          <w:tcPr>
            <w:tcW w:w="780" w:type="dxa"/>
            <w:vAlign w:val="bottom"/>
            <w:shd w:val="clear" w:color="auto" w:fill="E7E7E2"/>
          </w:tcPr>
          <w:p>
            <w:pPr>
              <w:spacing w:after="0" w:line="146" w:lineRule="exact"/>
              <w:rPr>
                <w:sz w:val="20"/>
                <w:szCs w:val="20"/>
                <w:color w:val="auto"/>
              </w:rPr>
            </w:pPr>
            <w:r>
              <w:rPr>
                <w:rFonts w:ascii="Arial" w:cs="Arial" w:eastAsia="Arial" w:hAnsi="Arial"/>
                <w:sz w:val="16"/>
                <w:szCs w:val="16"/>
                <w:color w:val="auto"/>
              </w:rPr>
              <w:t>Paid</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9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$ 21,543.00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145,492,349.00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$ 19,664.00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6"/>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$ 1,879.00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7" w:lineRule="exact"/>
        <w:rPr>
          <w:sz w:val="20"/>
          <w:szCs w:val="20"/>
          <w:color w:val="auto"/>
        </w:rPr>
      </w:pPr>
    </w:p>
    <w:p>
      <w:pPr>
        <w:ind w:left="220" w:right="100" w:hanging="185"/>
        <w:spacing w:after="0" w:line="228" w:lineRule="auto"/>
        <w:tabs>
          <w:tab w:leader="none" w:pos="220" w:val="left"/>
        </w:tabs>
        <w:numPr>
          <w:ilvl w:val="0"/>
          <w:numId w:val="54"/>
        </w:numPr>
        <w:rPr>
          <w:rFonts w:ascii="Arial" w:cs="Arial" w:eastAsia="Arial" w:hAnsi="Arial"/>
          <w:sz w:val="21"/>
          <w:szCs w:val="21"/>
          <w:color w:val="auto"/>
          <w:vertAlign w:val="superscript"/>
        </w:rPr>
      </w:pPr>
      <w:r>
        <w:rPr>
          <w:rFonts w:ascii="Arial" w:cs="Arial" w:eastAsia="Arial" w:hAnsi="Arial"/>
          <w:sz w:val="17"/>
          <w:szCs w:val="17"/>
          <w:color w:val="auto"/>
        </w:rPr>
        <w:t>Represents additional Ordinary Shares to be offered and sold by the selling securityholder or its permitted transferees (collectively, the "selling securityholders") consisting of 500,000 Ordinary Shares of Pharvaris N.V. (the "Company"). Pursuant to Rule 416 under the Securities Act of 1933, as amended, or the Securities Act, this registration statement shall also cover any additional shares of the registrant's securities that become issuable by reason of any stock splits, stock dividend or similar transaction. This estimate is made pursuant to Rule 457(c) of the Securities Act solely for purposes of calculating the registration fee. The price per share and aggregate offering price are based upon the average of the high and low prices of the Registrant's Ordinary Shares on September 18, 2025,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8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20" w:lineRule="exact"/>
        <w:rPr>
          <w:sz w:val="20"/>
          <w:szCs w:val="20"/>
          <w:color w:val="auto"/>
        </w:rPr>
      </w:pPr>
    </w:p>
    <w:p>
      <w:pPr>
        <w:ind w:left="220" w:right="620" w:hanging="185"/>
        <w:spacing w:after="0" w:line="224" w:lineRule="auto"/>
        <w:tabs>
          <w:tab w:leader="none" w:pos="220" w:val="left"/>
        </w:tabs>
        <w:numPr>
          <w:ilvl w:val="0"/>
          <w:numId w:val="55"/>
        </w:numPr>
        <w:rPr>
          <w:rFonts w:ascii="Arial" w:cs="Arial" w:eastAsia="Arial" w:hAnsi="Arial"/>
          <w:sz w:val="21"/>
          <w:szCs w:val="21"/>
          <w:color w:val="auto"/>
          <w:vertAlign w:val="superscript"/>
        </w:rPr>
      </w:pPr>
      <w:r>
        <w:rPr>
          <w:rFonts w:ascii="Arial" w:cs="Arial" w:eastAsia="Arial" w:hAnsi="Arial"/>
          <w:sz w:val="17"/>
          <w:szCs w:val="17"/>
          <w:color w:val="auto"/>
        </w:rPr>
        <w:t>Represents Ordinary Shares to be offered and sold by the selling securityholders consisting of 5,545,155 Ordinary Shares that were previously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8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540" w:type="dxa"/>
            <w:vAlign w:val="bottom"/>
            <w:gridSpan w:val="2"/>
            <w:shd w:val="clear" w:color="auto" w:fill="9ADAF6"/>
          </w:tcPr>
          <w:p>
            <w:pPr>
              <w:jc w:val="center"/>
              <w:spacing w:after="0" w:line="110" w:lineRule="exact"/>
              <w:rPr>
                <w:sz w:val="20"/>
                <w:szCs w:val="20"/>
                <w:color w:val="auto"/>
              </w:rPr>
            </w:pPr>
            <w:r>
              <w:rPr>
                <w:rFonts w:ascii="Arial" w:cs="Arial" w:eastAsia="Arial" w:hAnsi="Arial"/>
                <w:sz w:val="11"/>
                <w:szCs w:val="11"/>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620" w:type="dxa"/>
            <w:vAlign w:val="bottom"/>
            <w:gridSpan w:val="3"/>
            <w:shd w:val="clear" w:color="auto" w:fill="9ADAF6"/>
          </w:tcPr>
          <w:p>
            <w:pPr>
              <w:ind w:left="40"/>
              <w:spacing w:after="0" w:line="110"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300" w:type="dxa"/>
            <w:vAlign w:val="bottom"/>
            <w:shd w:val="clear" w:color="auto" w:fill="9ADAF6"/>
          </w:tcPr>
          <w:p>
            <w:pPr>
              <w:jc w:val="center"/>
              <w:ind w:right="177"/>
              <w:spacing w:after="0"/>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21"/>
                <w:szCs w:val="21"/>
                <w:color w:val="auto"/>
              </w:rPr>
            </w:pPr>
          </w:p>
        </w:tc>
        <w:tc>
          <w:tcPr>
            <w:tcW w:w="8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21"/>
                <w:szCs w:val="21"/>
                <w:color w:val="auto"/>
              </w:rPr>
            </w:pPr>
          </w:p>
        </w:tc>
        <w:tc>
          <w:tcPr>
            <w:tcW w:w="620" w:type="dxa"/>
            <w:vAlign w:val="bottom"/>
            <w:gridSpan w:val="3"/>
            <w:shd w:val="clear" w:color="auto" w:fill="9ADAF6"/>
          </w:tcPr>
          <w:p>
            <w:pPr>
              <w:jc w:val="right"/>
              <w:spacing w:after="0"/>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w w:val="96"/>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400"/>
              <w:spacing w:after="0" w:line="188"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198"/>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17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lowerRoman"/>
      <w:start w:val="2"/>
    </w:lvl>
  </w:abstractNum>
  <w:abstractNum w:abstractNumId="9">
    <w:nsid w:val="22221A70"/>
    <w:multiLevelType w:val="hybridMultilevel"/>
    <w:lvl w:ilvl="0">
      <w:lvlJc w:val="left"/>
      <w:lvlText w:val="(%1)"/>
      <w:numFmt w:val="lowerRoman"/>
      <w:start w:val="1"/>
    </w:lvl>
  </w:abstractNum>
  <w:abstractNum w:abstractNumId="10">
    <w:nsid w:val="4516DDE9"/>
    <w:multiLevelType w:val="hybridMultilevel"/>
    <w:lvl w:ilvl="0">
      <w:lvlJc w:val="left"/>
      <w:lvlText w:val="(%1)"/>
      <w:numFmt w:val="lowerRoman"/>
      <w:start w:val="3"/>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1)"/>
      <w:numFmt w:val="lowerRoman"/>
      <w:start w:val="6"/>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lowerRoman"/>
      <w:start w:val="1"/>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1)"/>
      <w:numFmt w:val="lowerRoman"/>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upperLetter"/>
      <w:start w:val="1"/>
    </w:lvl>
    <w:lvl w:ilvl="1">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lowerRoman"/>
      <w:start w:val="2"/>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2"/>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lowerRoman"/>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
      <w:numFmt w:val="bullet"/>
      <w:start w:val="1"/>
    </w:lvl>
    <w:lvl w:ilvl="1">
      <w:lvlJc w:val="left"/>
      <w:lvlText w:val=" "/>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7644A45C"/>
    <w:multiLevelType w:val="hybridMultilevel"/>
    <w:lvl w:ilvl="0">
      <w:lvlJc w:val="left"/>
      <w:lvlText w:val="%1"/>
      <w:numFmt w:val="decimal"/>
      <w:start w:val="1"/>
    </w:lvl>
    <w:lvl w:ilvl="1">
      <w:lvlJc w:val="left"/>
      <w:lvlText w:val="(%2)"/>
      <w:numFmt w:val="upperLetter"/>
      <w:start w:val="1"/>
    </w:lvl>
  </w:abstractNum>
  <w:abstractNum w:abstractNumId="41">
    <w:nsid w:val="32FFF902"/>
    <w:multiLevelType w:val="hybridMultilevel"/>
    <w:lvl w:ilvl="0">
      <w:lvlJc w:val="left"/>
      <w:lvlText w:val="(%1)"/>
      <w:numFmt w:val="decimal"/>
      <w:start w:val="2"/>
    </w:lvl>
    <w:lvl w:ilvl="1">
      <w:lvlJc w:val="left"/>
      <w:lvlText w:val="(%2)"/>
      <w:numFmt w:val="upperLetter"/>
      <w:start w:val="1"/>
    </w:lvl>
  </w:abstractNum>
  <w:abstractNum w:abstractNumId="42">
    <w:nsid w:val="684A481A"/>
    <w:multiLevelType w:val="hybridMultilevel"/>
    <w:lvl w:ilvl="0">
      <w:lvlJc w:val="left"/>
      <w:lvlText w:val="%1"/>
      <w:numFmt w:val="decimal"/>
      <w:start w:val="1"/>
    </w:lvl>
    <w:lvl w:ilvl="1">
      <w:lvlJc w:val="left"/>
      <w:lvlText w:val="(%2)"/>
      <w:numFmt w:val="upperLetter"/>
      <w:start w:val="2"/>
    </w:lvl>
  </w:abstractNum>
  <w:abstractNum w:abstractNumId="43">
    <w:nsid w:val="579478FE"/>
    <w:multiLevelType w:val="hybridMultilevel"/>
    <w:lvl w:ilvl="0">
      <w:lvlJc w:val="left"/>
      <w:lvlText w:val="(%1)"/>
      <w:numFmt w:val="decimal"/>
      <w:start w:val="6"/>
    </w:lvl>
    <w:lvl w:ilvl="1">
      <w:lvlJc w:val="left"/>
      <w:lvlText w:val="%2"/>
      <w:numFmt w:val="upperLetter"/>
      <w:start w:val="1"/>
    </w:lvl>
  </w:abstractNum>
  <w:abstractNum w:abstractNumId="44">
    <w:nsid w:val="749ABB43"/>
    <w:multiLevelType w:val="hybridMultilevel"/>
    <w:lvl w:ilvl="0">
      <w:lvlJc w:val="left"/>
      <w:lvlText w:val="(%1)"/>
      <w:numFmt w:val="lowerRoman"/>
      <w:start w:val="2"/>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7"/>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upperLetter"/>
      <w:start w:val="1"/>
    </w:lvl>
  </w:abstractNum>
  <w:abstractNum w:abstractNumId="49">
    <w:nsid w:val="12E685FB"/>
    <w:multiLevelType w:val="hybridMultilevel"/>
    <w:lvl w:ilvl="0">
      <w:lvlJc w:val="left"/>
      <w:lvlText w:val="%1."/>
      <w:numFmt w:val="upperLetter"/>
      <w:start w:val="3"/>
    </w:lvl>
    <w:lvl w:ilvl="1">
      <w:lvlJc w:val="left"/>
      <w:lvlText w:val="%2."/>
      <w:numFmt w:val="lowerLetter"/>
      <w:start w:val="1"/>
    </w:lvl>
  </w:abstractNum>
  <w:abstractNum w:abstractNumId="50">
    <w:nsid w:val="70C6A529"/>
    <w:multiLevelType w:val="hybridMultilevel"/>
    <w:lvl w:ilvl="0">
      <w:lvlJc w:val="left"/>
      <w:lvlText w:val="%1."/>
      <w:numFmt w:val="upperLetter"/>
      <w:start w:val="6"/>
    </w:lvl>
  </w:abstractNum>
  <w:abstractNum w:abstractNumId="51">
    <w:nsid w:val="520EEDD1"/>
    <w:multiLevelType w:val="hybridMultilevel"/>
    <w:lvl w:ilvl="0">
      <w:lvlJc w:val="left"/>
      <w:lvlText w:val="(%1)"/>
      <w:numFmt w:val="lowerRoman"/>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bullet"/>
      <w:start w:val="1"/>
    </w:lvl>
  </w:abstractNum>
  <w:abstractNum w:abstractNumId="54">
    <w:nsid w:val="23F9C13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jpeg"/><Relationship Id="rId95" Type="http://schemas.openxmlformats.org/officeDocument/2006/relationships/image" Target="media/image77.png"/><Relationship Id="rId96" Type="http://schemas.openxmlformats.org/officeDocument/2006/relationships/image" Target="media/image78.jpeg"/><Relationship Id="rId97" Type="http://schemas.openxmlformats.org/officeDocument/2006/relationships/image" Target="media/image79.png"/><Relationship Id="rId98" Type="http://schemas.openxmlformats.org/officeDocument/2006/relationships/image" Target="media/image80.jpeg"/><Relationship Id="rId99" Type="http://schemas.openxmlformats.org/officeDocument/2006/relationships/image" Target="media/image81.png"/><Relationship Id="rId100" Type="http://schemas.openxmlformats.org/officeDocument/2006/relationships/image" Target="media/image82.jpeg"/><Relationship Id="rId101" Type="http://schemas.openxmlformats.org/officeDocument/2006/relationships/image" Target="media/image83.png"/><Relationship Id="rId102" Type="http://schemas.openxmlformats.org/officeDocument/2006/relationships/image" Target="media/image84.jpeg"/><Relationship Id="rId103" Type="http://schemas.openxmlformats.org/officeDocument/2006/relationships/image" Target="media/image85.png"/><Relationship Id="rId104" Type="http://schemas.openxmlformats.org/officeDocument/2006/relationships/image" Target="media/image86.jpeg"/><Relationship Id="rId105" Type="http://schemas.openxmlformats.org/officeDocument/2006/relationships/image" Target="media/image87.png"/><Relationship Id="rId106" Type="http://schemas.openxmlformats.org/officeDocument/2006/relationships/image" Target="media/image88.jpeg"/><Relationship Id="rId107" Type="http://schemas.openxmlformats.org/officeDocument/2006/relationships/image" Target="media/image89.png"/><Relationship Id="rId108" Type="http://schemas.openxmlformats.org/officeDocument/2006/relationships/image" Target="media/image90.jpeg"/><Relationship Id="rId109" Type="http://schemas.openxmlformats.org/officeDocument/2006/relationships/image" Target="media/image91.png"/><Relationship Id="rId110" Type="http://schemas.openxmlformats.org/officeDocument/2006/relationships/image" Target="media/image92.jpeg"/><Relationship Id="rId111" Type="http://schemas.openxmlformats.org/officeDocument/2006/relationships/image" Target="media/image93.png"/><Relationship Id="rId112" Type="http://schemas.openxmlformats.org/officeDocument/2006/relationships/image" Target="media/image94.png"/><Relationship Id="rId78" Type="http://schemas.openxmlformats.org/officeDocument/2006/relationships/hyperlink" Target="http://www.sec.gov/ix?doc=/Archives/edgar/data/0001830487/000095017025051347/phvs-20241231.htm" TargetMode="External"/><Relationship Id="rId79" Type="http://schemas.openxmlformats.org/officeDocument/2006/relationships/hyperlink" Target="http://www.sec.gov/Archives/edgar/data/1830487/000095017025084094/6-k_agm_pr_announcement_.htm" TargetMode="External"/><Relationship Id="rId80" Type="http://schemas.openxmlformats.org/officeDocument/2006/relationships/hyperlink" Target="http://www.sec.gov/Archives/edgar/data/1830487/000095017025090887/annual_general_meeting_2.htm" TargetMode="External"/><Relationship Id="rId81" Type="http://schemas.openxmlformats.org/officeDocument/2006/relationships/hyperlink" Target="http://www.sec.gov/Archives/edgar/data/1830487/000119312525164426/d36725d6k.htm" TargetMode="External"/><Relationship Id="rId82" Type="http://schemas.openxmlformats.org/officeDocument/2006/relationships/hyperlink" Target="http://www.sec.gov/ix?doc=/Archives/edgar/data/0001830487/000095017025107316/phvs-20250630.htm" TargetMode="External"/><Relationship Id="rId83" Type="http://schemas.openxmlformats.org/officeDocument/2006/relationships/hyperlink" Target="http://www.sec.gov/Archives/edgar/data/1830487/000119312525198423/d19198d6k.htm" TargetMode="External"/><Relationship Id="rId84" Type="http://schemas.openxmlformats.org/officeDocument/2006/relationships/hyperlink" Target="http://www.sec.gov/Archives/edgar/data/1830487/000119312521028346/d91705d8a12b.htm" TargetMode="External"/><Relationship Id="rId85" Type="http://schemas.openxmlformats.org/officeDocument/2006/relationships/hyperlink" Target="http://www.sec.gov/Archives/edgar/data/1830487/000119312521140476/d51199dex21.htm" TargetMode="External"/><Relationship Id="rId87" Type="http://schemas.openxmlformats.org/officeDocument/2006/relationships/hyperlink" Target="http://www.sec.gov/Archives/edgar/data/1830487/000095017024027155/phvs-ex3_1.htm" TargetMode="External"/><Relationship Id="rId88" Type="http://schemas.openxmlformats.org/officeDocument/2006/relationships/hyperlink" Target="http://www.sec.gov/Archives/edgar/data/1830487/000095017024012166/phvs-ex99_1.htm" TargetMode="External"/><Relationship Id="rId89" Type="http://schemas.openxmlformats.org/officeDocument/2006/relationships/hyperlink" Target="http://www.sec.gov/Archives/edgar/data/1830487/000119312525198423/d1919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2025-09-23T16:14:16Z</dcterms:created>
  <dcterms:modified xsi:type="dcterms:W3CDTF">2025-09-23T16:14:16Z</dcterms:modified>
</cp:coreProperties>
</file>