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(Rule 13d-102)</w:t>
      </w:r>
    </w:p>
    <w:p>
      <w:pPr>
        <w:spacing w:after="0" w:line="178" w:lineRule="exact"/>
        <w:rPr>
          <w:sz w:val="24"/>
          <w:szCs w:val="24"/>
          <w:color w:val="auto"/>
        </w:rPr>
      </w:pPr>
    </w:p>
    <w:p>
      <w:pPr>
        <w:jc w:val="center"/>
        <w:ind w:left="500" w:right="2640"/>
        <w:spacing w:after="0" w:line="246" w:lineRule="auto"/>
        <w:rPr>
          <w:sz w:val="20"/>
          <w:szCs w:val="20"/>
          <w:color w:val="auto"/>
        </w:rPr>
      </w:pPr>
      <w:r>
        <w:rPr>
          <w:rFonts w:ascii="Times New Roman" w:cs="Times New Roman" w:eastAsia="Times New Roman" w:hAnsi="Times New Roman"/>
          <w:sz w:val="22"/>
          <w:szCs w:val="22"/>
          <w:b w:val="1"/>
          <w:bCs w:val="1"/>
          <w:color w:val="auto"/>
        </w:rPr>
        <w:t>Information to be Included in Statements Filed Pursuant to § 240.13d-1(b), (c) and (d) and Amendments Thereto Filed Pursuant to § 240.13d-2</w:t>
      </w:r>
    </w:p>
    <w:p>
      <w:pPr>
        <w:spacing w:after="0" w:line="16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PHARVARIS N.V.</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Ordinary Shares, €0.12</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 value per share</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N69605108</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January 18, 2024</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640" w:hanging="204"/>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84"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292" w:lineRule="exact"/>
        <w:rPr>
          <w:sz w:val="24"/>
          <w:szCs w:val="24"/>
          <w:color w:val="auto"/>
        </w:rPr>
      </w:pPr>
    </w:p>
    <w:p>
      <w:pPr>
        <w:ind w:left="420" w:hanging="432"/>
        <w:spacing w:after="0" w:line="282" w:lineRule="auto"/>
        <w:rPr>
          <w:sz w:val="24"/>
          <w:szCs w:val="24"/>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as amended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191770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p>
      <w:pPr>
        <w:spacing w:after="0"/>
        <w:tabs>
          <w:tab w:leader="none" w:pos="5560" w:val="left"/>
          <w:tab w:leader="none" w:pos="96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N69605108</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2 of 8 Pages</w:t>
      </w:r>
    </w:p>
    <w:p>
      <w:pPr>
        <w:spacing w:after="0" w:line="175" w:lineRule="exact"/>
        <w:rPr>
          <w:sz w:val="20"/>
          <w:szCs w:val="20"/>
          <w:color w:val="auto"/>
        </w:rPr>
      </w:pPr>
    </w:p>
    <w:p>
      <w:pPr>
        <w:ind w:left="620" w:hanging="377"/>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26580" cy="5220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Bain Capital Life Sciences Fund, L.P.</w:t>
      </w:r>
    </w:p>
    <w:p>
      <w:pPr>
        <w:spacing w:after="0" w:line="40" w:lineRule="exact"/>
        <w:rPr>
          <w:sz w:val="20"/>
          <w:szCs w:val="20"/>
          <w:color w:val="auto"/>
        </w:rPr>
      </w:pPr>
    </w:p>
    <w:p>
      <w:pPr>
        <w:ind w:left="620" w:hanging="377"/>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11"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96" w:lineRule="exact"/>
        <w:rPr>
          <w:sz w:val="20"/>
          <w:szCs w:val="20"/>
          <w:color w:val="auto"/>
        </w:rPr>
      </w:pPr>
    </w:p>
    <w:p>
      <w:pPr>
        <w:ind w:left="620" w:hanging="377"/>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0" w:lineRule="exact"/>
        <w:rPr>
          <w:sz w:val="20"/>
          <w:szCs w:val="20"/>
          <w:color w:val="auto"/>
        </w:rPr>
      </w:pPr>
    </w:p>
    <w:p>
      <w:pPr>
        <w:ind w:left="620" w:hanging="377"/>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40" w:lineRule="exact"/>
        <w:rPr>
          <w:sz w:val="20"/>
          <w:szCs w:val="20"/>
          <w:color w:val="auto"/>
        </w:rPr>
      </w:pPr>
    </w:p>
    <w:p>
      <w:pPr>
        <w:ind w:left="1600" w:hanging="403"/>
        <w:spacing w:after="0"/>
        <w:tabs>
          <w:tab w:leader="none" w:pos="1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48" w:lineRule="exact"/>
        <w:rPr>
          <w:sz w:val="20"/>
          <w:szCs w:val="20"/>
          <w:color w:val="auto"/>
        </w:rPr>
      </w:pPr>
    </w:p>
    <w:tbl>
      <w:tblPr>
        <w:tblLayout w:type="fixed"/>
        <w:tblInd w:w="160" w:type="dxa"/>
        <w:tblCellMar>
          <w:top w:w="0" w:type="dxa"/>
          <w:left w:w="0" w:type="dxa"/>
          <w:bottom w:w="0" w:type="dxa"/>
          <w:right w:w="0" w:type="dxa"/>
        </w:tblCellMar>
      </w:tblPr>
      <w:tr>
        <w:trPr>
          <w:trHeight w:val="25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4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0 Ordinary Shares</w:t>
            </w:r>
          </w:p>
        </w:tc>
        <w:tc>
          <w:tcPr>
            <w:tcW w:w="0" w:type="dxa"/>
            <w:vAlign w:val="bottom"/>
          </w:tcPr>
          <w:p>
            <w:pPr>
              <w:spacing w:after="0"/>
              <w:rPr>
                <w:sz w:val="1"/>
                <w:szCs w:val="1"/>
                <w:color w:val="auto"/>
              </w:rPr>
            </w:pPr>
          </w:p>
        </w:tc>
      </w:tr>
      <w:tr>
        <w:trPr>
          <w:trHeight w:val="2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60" w:type="dxa"/>
            <w:vAlign w:val="bottom"/>
          </w:tcPr>
          <w:p>
            <w:pPr>
              <w:spacing w:after="0"/>
              <w:rPr>
                <w:sz w:val="18"/>
                <w:szCs w:val="18"/>
                <w:color w:val="auto"/>
              </w:rPr>
            </w:pPr>
          </w:p>
        </w:tc>
        <w:tc>
          <w:tcPr>
            <w:tcW w:w="94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1,967,093 Ordinary Shares</w:t>
            </w: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46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6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60" w:type="dxa"/>
            <w:vAlign w:val="bottom"/>
          </w:tcPr>
          <w:p>
            <w:pPr>
              <w:spacing w:after="0"/>
              <w:rPr>
                <w:sz w:val="19"/>
                <w:szCs w:val="19"/>
                <w:color w:val="auto"/>
              </w:rPr>
            </w:pPr>
          </w:p>
        </w:tc>
        <w:tc>
          <w:tcPr>
            <w:tcW w:w="94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0 Ordinary Shares</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2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4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1,967,093 Ordinary Shares</w:t>
      </w:r>
    </w:p>
    <w:p>
      <w:pPr>
        <w:spacing w:after="0" w:line="40" w:lineRule="exact"/>
        <w:rPr>
          <w:sz w:val="20"/>
          <w:szCs w:val="20"/>
          <w:color w:val="auto"/>
        </w:rPr>
      </w:pPr>
    </w:p>
    <w:p>
      <w:pPr>
        <w:ind w:left="600" w:hanging="357"/>
        <w:spacing w:after="0"/>
        <w:tabs>
          <w:tab w:leader="none" w:pos="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1,967,093 Ordinary Shares</w:t>
      </w:r>
    </w:p>
    <w:p>
      <w:pPr>
        <w:spacing w:after="0" w:line="40" w:lineRule="exact"/>
        <w:rPr>
          <w:sz w:val="20"/>
          <w:szCs w:val="20"/>
          <w:color w:val="auto"/>
        </w:rPr>
      </w:pPr>
    </w:p>
    <w:p>
      <w:pPr>
        <w:ind w:left="620" w:hanging="467"/>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11"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20" w:hanging="467"/>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8"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3.8%</w:t>
      </w:r>
    </w:p>
    <w:p>
      <w:pPr>
        <w:spacing w:after="0" w:line="40" w:lineRule="exact"/>
        <w:rPr>
          <w:rFonts w:ascii="Times New Roman" w:cs="Times New Roman" w:eastAsia="Times New Roman" w:hAnsi="Times New Roman"/>
          <w:sz w:val="18"/>
          <w:szCs w:val="18"/>
          <w:color w:val="auto"/>
        </w:rPr>
      </w:pPr>
    </w:p>
    <w:p>
      <w:pPr>
        <w:ind w:left="600" w:hanging="447"/>
        <w:spacing w:after="0"/>
        <w:tabs>
          <w:tab w:leader="none" w:pos="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48"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w:t>
      </w:r>
    </w:p>
    <w:p>
      <w:pPr>
        <w:sectPr>
          <w:pgSz w:w="11900" w:h="16838" w:orient="portrait"/>
          <w:cols w:equalWidth="0" w:num="1">
            <w:col w:w="11020"/>
          </w:cols>
          <w:pgMar w:left="440" w:top="266" w:right="439" w:bottom="1440" w:gutter="0" w:footer="0" w:header="0"/>
        </w:sectPr>
      </w:pPr>
    </w:p>
    <w:bookmarkStart w:id="2" w:name="page3"/>
    <w:bookmarkEnd w:id="2"/>
    <w:p>
      <w:pPr>
        <w:spacing w:after="0"/>
        <w:tabs>
          <w:tab w:leader="none" w:pos="5560" w:val="left"/>
          <w:tab w:leader="none" w:pos="96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N69605108</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3 of 8 Pages</w:t>
      </w:r>
    </w:p>
    <w:p>
      <w:pPr>
        <w:spacing w:after="0" w:line="175" w:lineRule="exact"/>
        <w:rPr>
          <w:sz w:val="20"/>
          <w:szCs w:val="20"/>
          <w:color w:val="auto"/>
        </w:rPr>
      </w:pPr>
    </w:p>
    <w:p>
      <w:pPr>
        <w:ind w:left="620" w:hanging="377"/>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26580" cy="5220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BCIP Life Sciences Associates, LP</w:t>
      </w:r>
    </w:p>
    <w:p>
      <w:pPr>
        <w:spacing w:after="0" w:line="40" w:lineRule="exact"/>
        <w:rPr>
          <w:sz w:val="20"/>
          <w:szCs w:val="20"/>
          <w:color w:val="auto"/>
        </w:rPr>
      </w:pPr>
    </w:p>
    <w:p>
      <w:pPr>
        <w:ind w:left="620" w:hanging="377"/>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11"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96" w:lineRule="exact"/>
        <w:rPr>
          <w:sz w:val="20"/>
          <w:szCs w:val="20"/>
          <w:color w:val="auto"/>
        </w:rPr>
      </w:pPr>
    </w:p>
    <w:p>
      <w:pPr>
        <w:ind w:left="620" w:hanging="377"/>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0" w:lineRule="exact"/>
        <w:rPr>
          <w:sz w:val="20"/>
          <w:szCs w:val="20"/>
          <w:color w:val="auto"/>
        </w:rPr>
      </w:pPr>
    </w:p>
    <w:p>
      <w:pPr>
        <w:ind w:left="620" w:hanging="377"/>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9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7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0 Ordinary Shares</w:t>
            </w:r>
          </w:p>
        </w:tc>
        <w:tc>
          <w:tcPr>
            <w:tcW w:w="0" w:type="dxa"/>
            <w:vAlign w:val="bottom"/>
          </w:tcPr>
          <w:p>
            <w:pPr>
              <w:spacing w:after="0"/>
              <w:rPr>
                <w:sz w:val="1"/>
                <w:szCs w:val="1"/>
                <w:color w:val="auto"/>
              </w:rPr>
            </w:pPr>
          </w:p>
        </w:tc>
      </w:tr>
      <w:tr>
        <w:trPr>
          <w:trHeight w:val="2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60" w:type="dxa"/>
            <w:vAlign w:val="bottom"/>
          </w:tcPr>
          <w:p>
            <w:pPr>
              <w:spacing w:after="0"/>
              <w:rPr>
                <w:sz w:val="18"/>
                <w:szCs w:val="18"/>
                <w:color w:val="auto"/>
              </w:rPr>
            </w:pPr>
          </w:p>
        </w:tc>
        <w:tc>
          <w:tcPr>
            <w:tcW w:w="94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201,347 Ordinary Shares</w:t>
            </w: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46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6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60" w:type="dxa"/>
            <w:vAlign w:val="bottom"/>
          </w:tcPr>
          <w:p>
            <w:pPr>
              <w:spacing w:after="0"/>
              <w:rPr>
                <w:sz w:val="19"/>
                <w:szCs w:val="19"/>
                <w:color w:val="auto"/>
              </w:rPr>
            </w:pPr>
          </w:p>
        </w:tc>
        <w:tc>
          <w:tcPr>
            <w:tcW w:w="94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0 Ordinary Shares</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2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4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201,347 Ordinary Shares</w:t>
      </w:r>
    </w:p>
    <w:p>
      <w:pPr>
        <w:spacing w:after="0" w:line="40" w:lineRule="exact"/>
        <w:rPr>
          <w:sz w:val="20"/>
          <w:szCs w:val="20"/>
          <w:color w:val="auto"/>
        </w:rPr>
      </w:pPr>
    </w:p>
    <w:p>
      <w:pPr>
        <w:ind w:left="600" w:hanging="357"/>
        <w:spacing w:after="0"/>
        <w:tabs>
          <w:tab w:leader="none" w:pos="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201,347 Ordinary Shares</w:t>
      </w:r>
    </w:p>
    <w:p>
      <w:pPr>
        <w:spacing w:after="0" w:line="40" w:lineRule="exact"/>
        <w:rPr>
          <w:sz w:val="20"/>
          <w:szCs w:val="20"/>
          <w:color w:val="auto"/>
        </w:rPr>
      </w:pPr>
    </w:p>
    <w:p>
      <w:pPr>
        <w:ind w:left="620" w:hanging="467"/>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11"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20" w:hanging="467"/>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8"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0.4%</w:t>
      </w:r>
    </w:p>
    <w:p>
      <w:pPr>
        <w:spacing w:after="0" w:line="40" w:lineRule="exact"/>
        <w:rPr>
          <w:rFonts w:ascii="Times New Roman" w:cs="Times New Roman" w:eastAsia="Times New Roman" w:hAnsi="Times New Roman"/>
          <w:sz w:val="18"/>
          <w:szCs w:val="18"/>
          <w:color w:val="auto"/>
        </w:rPr>
      </w:pPr>
    </w:p>
    <w:p>
      <w:pPr>
        <w:ind w:left="600" w:hanging="447"/>
        <w:spacing w:after="0"/>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48"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w:t>
      </w:r>
    </w:p>
    <w:p>
      <w:pPr>
        <w:sectPr>
          <w:pgSz w:w="11900" w:h="16838" w:orient="portrait"/>
          <w:cols w:equalWidth="0" w:num="1">
            <w:col w:w="11020"/>
          </w:cols>
          <w:pgMar w:left="440" w:top="266" w:right="439" w:bottom="1440" w:gutter="0" w:footer="0" w:header="0"/>
        </w:sectPr>
      </w:pPr>
    </w:p>
    <w:bookmarkStart w:id="3" w:name="page4"/>
    <w:bookmarkEnd w:id="3"/>
    <w:p>
      <w:pPr>
        <w:spacing w:after="0"/>
        <w:tabs>
          <w:tab w:leader="none" w:pos="5560" w:val="left"/>
          <w:tab w:leader="none" w:pos="96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N69605108</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4 of 8 Pages</w:t>
      </w:r>
    </w:p>
    <w:p>
      <w:pPr>
        <w:spacing w:after="0" w:line="175" w:lineRule="exact"/>
        <w:rPr>
          <w:sz w:val="20"/>
          <w:szCs w:val="20"/>
          <w:color w:val="auto"/>
        </w:rPr>
      </w:pPr>
    </w:p>
    <w:p>
      <w:pPr>
        <w:ind w:left="620" w:hanging="377"/>
        <w:spacing w:after="0"/>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26580" cy="5220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Bain Capital Life Sciences Opportunities III, LP</w:t>
      </w:r>
    </w:p>
    <w:p>
      <w:pPr>
        <w:spacing w:after="0" w:line="40" w:lineRule="exact"/>
        <w:rPr>
          <w:sz w:val="20"/>
          <w:szCs w:val="20"/>
          <w:color w:val="auto"/>
        </w:rPr>
      </w:pPr>
    </w:p>
    <w:p>
      <w:pPr>
        <w:ind w:left="620" w:hanging="377"/>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11"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96" w:lineRule="exact"/>
        <w:rPr>
          <w:sz w:val="20"/>
          <w:szCs w:val="20"/>
          <w:color w:val="auto"/>
        </w:rPr>
      </w:pPr>
    </w:p>
    <w:p>
      <w:pPr>
        <w:ind w:left="620" w:hanging="377"/>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0" w:lineRule="exact"/>
        <w:rPr>
          <w:sz w:val="20"/>
          <w:szCs w:val="20"/>
          <w:color w:val="auto"/>
        </w:rPr>
      </w:pPr>
    </w:p>
    <w:p>
      <w:pPr>
        <w:ind w:left="620" w:hanging="377"/>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9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7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0 Ordinary Shares</w:t>
            </w:r>
          </w:p>
        </w:tc>
        <w:tc>
          <w:tcPr>
            <w:tcW w:w="0" w:type="dxa"/>
            <w:vAlign w:val="bottom"/>
          </w:tcPr>
          <w:p>
            <w:pPr>
              <w:spacing w:after="0"/>
              <w:rPr>
                <w:sz w:val="1"/>
                <w:szCs w:val="1"/>
                <w:color w:val="auto"/>
              </w:rPr>
            </w:pPr>
          </w:p>
        </w:tc>
      </w:tr>
      <w:tr>
        <w:trPr>
          <w:trHeight w:val="2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60" w:type="dxa"/>
            <w:vAlign w:val="bottom"/>
          </w:tcPr>
          <w:p>
            <w:pPr>
              <w:spacing w:after="0"/>
              <w:rPr>
                <w:sz w:val="18"/>
                <w:szCs w:val="18"/>
                <w:color w:val="auto"/>
              </w:rPr>
            </w:pPr>
          </w:p>
        </w:tc>
        <w:tc>
          <w:tcPr>
            <w:tcW w:w="94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1,182,217 Ordinary Shares</w:t>
            </w: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46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6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60" w:type="dxa"/>
            <w:vAlign w:val="bottom"/>
          </w:tcPr>
          <w:p>
            <w:pPr>
              <w:spacing w:after="0"/>
              <w:rPr>
                <w:sz w:val="19"/>
                <w:szCs w:val="19"/>
                <w:color w:val="auto"/>
              </w:rPr>
            </w:pPr>
          </w:p>
        </w:tc>
        <w:tc>
          <w:tcPr>
            <w:tcW w:w="94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0 Ordinary Shares</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2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4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1,182,217 Ordinary Shares</w:t>
      </w:r>
    </w:p>
    <w:p>
      <w:pPr>
        <w:spacing w:after="0" w:line="40" w:lineRule="exact"/>
        <w:rPr>
          <w:sz w:val="20"/>
          <w:szCs w:val="20"/>
          <w:color w:val="auto"/>
        </w:rPr>
      </w:pPr>
    </w:p>
    <w:p>
      <w:pPr>
        <w:ind w:left="600" w:hanging="357"/>
        <w:spacing w:after="0"/>
        <w:tabs>
          <w:tab w:leader="none" w:pos="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1,182,217 Ordinary Shares</w:t>
      </w:r>
    </w:p>
    <w:p>
      <w:pPr>
        <w:spacing w:after="0" w:line="40" w:lineRule="exact"/>
        <w:rPr>
          <w:sz w:val="20"/>
          <w:szCs w:val="20"/>
          <w:color w:val="auto"/>
        </w:rPr>
      </w:pPr>
    </w:p>
    <w:p>
      <w:pPr>
        <w:ind w:left="620" w:hanging="467"/>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11"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20" w:hanging="467"/>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8"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2.3%</w:t>
      </w:r>
    </w:p>
    <w:p>
      <w:pPr>
        <w:spacing w:after="0" w:line="40" w:lineRule="exact"/>
        <w:rPr>
          <w:rFonts w:ascii="Times New Roman" w:cs="Times New Roman" w:eastAsia="Times New Roman" w:hAnsi="Times New Roman"/>
          <w:sz w:val="18"/>
          <w:szCs w:val="18"/>
          <w:color w:val="auto"/>
        </w:rPr>
      </w:pPr>
    </w:p>
    <w:p>
      <w:pPr>
        <w:ind w:left="600" w:hanging="447"/>
        <w:spacing w:after="0"/>
        <w:tabs>
          <w:tab w:leader="none" w:pos="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48"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w:t>
      </w:r>
    </w:p>
    <w:p>
      <w:pPr>
        <w:sectPr>
          <w:pgSz w:w="11900" w:h="16838" w:orient="portrait"/>
          <w:cols w:equalWidth="0" w:num="1">
            <w:col w:w="11020"/>
          </w:cols>
          <w:pgMar w:left="440" w:top="266" w:right="439" w:bottom="1440" w:gutter="0" w:footer="0" w:header="0"/>
        </w:sectPr>
      </w:pPr>
    </w:p>
    <w:bookmarkStart w:id="4" w:name="page5"/>
    <w:bookmarkEnd w:id="4"/>
    <w:p>
      <w:pPr>
        <w:ind w:left="4"/>
        <w:spacing w:after="0"/>
        <w:tabs>
          <w:tab w:leader="none" w:pos="5564" w:val="left"/>
          <w:tab w:leader="none" w:pos="96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N69605108</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5 of 8 Pages</w:t>
      </w:r>
    </w:p>
    <w:p>
      <w:pPr>
        <w:spacing w:after="0" w:line="158"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name of the issuer to which this filing on Schedule 13G relates is Pharvaris N.V. (the “Issuer”).</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principal executive office of the Issuer is located at Emmy Noetherweg 2, 2333 BK Leiden, The Netherlands.</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color w:val="auto"/>
        </w:rPr>
        <w:t>Name of Person Filing</w:t>
      </w:r>
    </w:p>
    <w:p>
      <w:pPr>
        <w:spacing w:after="0" w:line="121" w:lineRule="exact"/>
        <w:rPr>
          <w:sz w:val="20"/>
          <w:szCs w:val="20"/>
          <w:color w:val="auto"/>
        </w:rPr>
      </w:pPr>
    </w:p>
    <w:p>
      <w:pPr>
        <w:ind w:left="4" w:right="300"/>
        <w:spacing w:after="0" w:line="266" w:lineRule="auto"/>
        <w:rPr>
          <w:sz w:val="20"/>
          <w:szCs w:val="20"/>
          <w:color w:val="auto"/>
        </w:rPr>
      </w:pPr>
      <w:r>
        <w:rPr>
          <w:rFonts w:ascii="Times New Roman" w:cs="Times New Roman" w:eastAsia="Times New Roman" w:hAnsi="Times New Roman"/>
          <w:sz w:val="18"/>
          <w:szCs w:val="18"/>
          <w:color w:val="auto"/>
        </w:rPr>
        <w:t>This Schedule 13G is being filed jointly by Bain Capital Life Sciences Fund, L.P., a Cayman Islands exempted limited partnership (“BCLS Fund I”), BCIP Life Sciences Associates, LP, a Delaware limited partnership (“BCIPLS”), and Bain Capital Life Sciences Opportunities III, LP, a Delaware limited partnership (“BCLS Fund III Opportunities” and, together with BCLS Fund I and BCIPLS, the “Reporting Persons”).</w:t>
      </w:r>
    </w:p>
    <w:p>
      <w:pPr>
        <w:spacing w:after="0" w:line="176" w:lineRule="exact"/>
        <w:rPr>
          <w:sz w:val="20"/>
          <w:szCs w:val="20"/>
          <w:color w:val="auto"/>
        </w:rPr>
      </w:pPr>
    </w:p>
    <w:p>
      <w:pPr>
        <w:ind w:left="4" w:right="140"/>
        <w:spacing w:after="0" w:line="256" w:lineRule="auto"/>
        <w:rPr>
          <w:sz w:val="20"/>
          <w:szCs w:val="20"/>
          <w:color w:val="auto"/>
        </w:rPr>
      </w:pPr>
      <w:r>
        <w:rPr>
          <w:rFonts w:ascii="Times New Roman" w:cs="Times New Roman" w:eastAsia="Times New Roman" w:hAnsi="Times New Roman"/>
          <w:sz w:val="18"/>
          <w:szCs w:val="18"/>
          <w:color w:val="auto"/>
        </w:rPr>
        <w:t>Bain Capital Life Sciences Investors, LLC, a Delaware limited liability company (“BCLSI”), is the general partner of Bain Capital Life Sciences Partners, LP, a Cayman Islands exempted limited partnership (“BCLSP”), which is the general partner of BCLS Fund I. BCLSI is also the manager of Bain Capital Life Sciences III General Partner, LLC, a Delaware limited liability company (“BCLS Fund III GP”), which is the general partner of Bain Capital Life Sciences Fund III, L.P., a Delaware limited partnership (“BCLS Fund III”), which is the sole member of Bain Capital Life Sciences Opportunities III GP, LLC, a Delaware limited liability company (“BCLS Fund III Opportunities GP”), which is the general partner of BCLS Fund III Opportunities.</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Boylston Coinvestors, LLC, a Delaware limited liability company (“Boylston” and, together with the Reporting Persons, BCLSI, BCLSP, BCLS Fund</w:t>
      </w:r>
    </w:p>
    <w:p>
      <w:pPr>
        <w:spacing w:after="0" w:line="27" w:lineRule="exact"/>
        <w:rPr>
          <w:sz w:val="20"/>
          <w:szCs w:val="20"/>
          <w:color w:val="auto"/>
        </w:rPr>
      </w:pPr>
    </w:p>
    <w:p>
      <w:pPr>
        <w:ind w:left="4" w:right="540" w:hanging="4"/>
        <w:spacing w:after="0" w:line="260" w:lineRule="auto"/>
        <w:tabs>
          <w:tab w:leader="none" w:pos="22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GP, BCLS Fund III and BCLS Fund III Opportunities GP, the “Bain Capital Life Sciences Entities”), is the general partner of BCIPLS. BCLSI governs the investment strategy and decision-making process with respect to investments held by BCIPLS.</w:t>
      </w:r>
    </w:p>
    <w:p>
      <w:pPr>
        <w:spacing w:after="0" w:line="1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a result, BCLSI may be deemed to share voting and dispositive power with respect to the securities held by the Reporting Persons.</w:t>
      </w:r>
    </w:p>
    <w:p>
      <w:pPr>
        <w:spacing w:after="0" w:line="225"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The Reporting Persons have entered into a Joint Filing Agreement, dated January 22, 2024, pursuant to which the Reporting Persons have agreed to file this Schedule 13G jointly in accordance with the provisions of Rule 13d-1(k)(1) promulgated under the Act.</w:t>
      </w:r>
    </w:p>
    <w:p>
      <w:pPr>
        <w:spacing w:after="0" w:line="306"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principal business address for each of the Bain Capital Life Sciences Entities is 200 Clarendon Street, Boston, Massachusetts 02116.</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color w:val="auto"/>
        </w:rPr>
        <w:t>Citizenship</w:t>
      </w:r>
    </w:p>
    <w:p>
      <w:pPr>
        <w:spacing w:after="0" w:line="121"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BCLS Fund I and BCLSP are each organized under the laws of the Cayman Islands. BCIPLS, BCLS Fund III Opportunities, BCLSI, BCLS Fund III GP, BCLS Fund III, BCLS Fund III Opportunities GP and Boylston are each organized under the laws of the State of Delaware.</w:t>
      </w:r>
    </w:p>
    <w:p>
      <w:pPr>
        <w:spacing w:after="0" w:line="306"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class of securities of the Issuer to which this Schedule 13G relates is Ordinary Shares, €0.12 par value per share (the “Ordinary Shares”).</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8"/>
          <w:szCs w:val="18"/>
          <w:b w:val="1"/>
          <w:bCs w:val="1"/>
          <w:color w:val="auto"/>
        </w:rPr>
        <w:t>CUSIP Number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CUSIP number of the Ordinary Shares is N69605108.</w:t>
      </w:r>
    </w:p>
    <w:p>
      <w:pPr>
        <w:sectPr>
          <w:pgSz w:w="11900" w:h="16838" w:orient="portrait"/>
          <w:cols w:equalWidth="0" w:num="1">
            <w:col w:w="11024"/>
          </w:cols>
          <w:pgMar w:left="436" w:top="266" w:right="43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7"/>
          <w:szCs w:val="17"/>
          <w:b w:val="1"/>
          <w:bCs w:val="1"/>
          <w:color w:val="auto"/>
        </w:rPr>
        <w:t>CUSIP No. N69605108</w:t>
      </w:r>
    </w:p>
    <w:p>
      <w:pPr>
        <w:spacing w:after="0" w:line="20" w:lineRule="exact"/>
        <w:rPr>
          <w:sz w:val="20"/>
          <w:szCs w:val="20"/>
          <w:color w:val="auto"/>
        </w:rPr>
      </w:pPr>
      <w:r>
        <w:rPr>
          <w:sz w:val="20"/>
          <w:szCs w:val="20"/>
          <w:color w:val="auto"/>
        </w:rPr>
        <w:br w:type="column"/>
      </w:r>
    </w:p>
    <w:p>
      <w:pPr>
        <w:jc w:val="center"/>
        <w:ind w:right="3080"/>
        <w:spacing w:after="0"/>
        <w:rPr>
          <w:sz w:val="20"/>
          <w:szCs w:val="20"/>
          <w:color w:val="auto"/>
        </w:rPr>
      </w:pPr>
      <w:r>
        <w:rPr>
          <w:rFonts w:ascii="Times New Roman" w:cs="Times New Roman" w:eastAsia="Times New Roman" w:hAnsi="Times New Roman"/>
          <w:sz w:val="17"/>
          <w:szCs w:val="17"/>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-203835</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Page 6 of 8 Pages</w:t>
      </w:r>
    </w:p>
    <w:p>
      <w:pPr>
        <w:spacing w:after="0" w:line="169" w:lineRule="exact"/>
        <w:rPr>
          <w:sz w:val="20"/>
          <w:szCs w:val="20"/>
          <w:color w:val="auto"/>
        </w:rPr>
      </w:pPr>
    </w:p>
    <w:p>
      <w:pPr>
        <w:sectPr>
          <w:pgSz w:w="11900" w:h="16838" w:orient="portrait"/>
          <w:cols w:equalWidth="0" w:num="3">
            <w:col w:w="4864" w:space="720"/>
            <w:col w:w="3400" w:space="720"/>
            <w:col w:w="1320"/>
          </w:cols>
          <w:pgMar w:left="436" w:top="266" w:right="439" w:bottom="1440" w:gutter="0" w:footer="0" w:header="0"/>
        </w:sectPr>
      </w:pPr>
    </w:p>
    <w:p>
      <w:pPr>
        <w:ind w:left="4"/>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 240.13d-1(b), or 240.13d-2(b) or (c), check whether the person filing is a</w:t>
      </w:r>
    </w:p>
    <w:p>
      <w:pPr>
        <w:spacing w:after="0" w:line="200" w:lineRule="exact"/>
        <w:rPr>
          <w:sz w:val="20"/>
          <w:szCs w:val="20"/>
          <w:color w:val="auto"/>
        </w:rPr>
      </w:pPr>
    </w:p>
    <w:p>
      <w:pPr>
        <w:sectPr>
          <w:pgSz w:w="11900" w:h="16838" w:orient="portrait"/>
          <w:cols w:equalWidth="0" w:num="2">
            <w:col w:w="504" w:space="580"/>
            <w:col w:w="9940"/>
          </w:cols>
          <w:pgMar w:left="436" w:top="266" w:right="439" w:bottom="1440" w:gutter="0" w:footer="0" w:header="0"/>
          <w:type w:val="continuous"/>
        </w:sectPr>
      </w:pPr>
    </w:p>
    <w:p>
      <w:pPr>
        <w:spacing w:after="0" w:line="15" w:lineRule="exact"/>
        <w:rPr>
          <w:sz w:val="20"/>
          <w:szCs w:val="20"/>
          <w:color w:val="auto"/>
        </w:rPr>
      </w:pPr>
    </w:p>
    <w:p>
      <w:pPr>
        <w:ind w:left="344" w:hanging="344"/>
        <w:spacing w:after="0" w:line="207" w:lineRule="exact"/>
        <w:tabs>
          <w:tab w:leader="none" w:pos="344" w:val="left"/>
        </w:tabs>
        <w:numPr>
          <w:ilvl w:val="0"/>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 240.13d-1(b)(1)(ii)(E);</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 240.13d-1(b)(1)(ii)(F);</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 240.13d-1(b)(1)(ii)(G);</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117" w:lineRule="exact"/>
        <w:rPr>
          <w:rFonts w:ascii="Times New Roman" w:cs="Times New Roman" w:eastAsia="Times New Roman" w:hAnsi="Times New Roman"/>
          <w:sz w:val="18"/>
          <w:szCs w:val="18"/>
          <w:color w:val="auto"/>
        </w:rPr>
      </w:pPr>
    </w:p>
    <w:p>
      <w:pPr>
        <w:ind w:left="664" w:right="540" w:hanging="664"/>
        <w:spacing w:after="0" w:line="245" w:lineRule="exact"/>
        <w:tabs>
          <w:tab w:leader="none" w:pos="340" w:val="left"/>
        </w:tabs>
        <w:numPr>
          <w:ilvl w:val="0"/>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(15 U.S.C. 80a-3);</w:t>
      </w:r>
    </w:p>
    <w:p>
      <w:pPr>
        <w:spacing w:after="0" w:line="50"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 240.13d-1(b)(1)(ii)(J);</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 240.13d-1(b)(1)(ii)(K).</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filing as a non-U.S. institution in accordance with § 240.13d-1(b)(1)(ii)(J), please specify the type of institution:</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 Amount beneficially owned:</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of the date hereof, (i) BCLS Fund I holds 1,967,093 Ordinary Shares, representing approximately 3.8% of the outstanding Ordinary Shares,</w:t>
      </w:r>
    </w:p>
    <w:p>
      <w:pPr>
        <w:spacing w:after="0" w:line="27" w:lineRule="exact"/>
        <w:rPr>
          <w:sz w:val="20"/>
          <w:szCs w:val="20"/>
          <w:color w:val="auto"/>
        </w:rPr>
      </w:pPr>
    </w:p>
    <w:p>
      <w:pPr>
        <w:ind w:left="4" w:right="1020" w:hanging="4"/>
        <w:spacing w:after="0" w:line="260" w:lineRule="auto"/>
        <w:tabs>
          <w:tab w:leader="none" w:pos="26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BCIPLS holds 201,347 Ordinary Shares, representing approximately 0.4% of the outstanding Ordinary Shares, and (iii) BCLS Fund III Opportunities holds 1,182,217 Ordinary Shares, representing approximately 2.3% of the outstanding Ordinary Shares.</w:t>
      </w:r>
    </w:p>
    <w:p>
      <w:pPr>
        <w:spacing w:after="0" w:line="181" w:lineRule="exact"/>
        <w:rPr>
          <w:sz w:val="20"/>
          <w:szCs w:val="20"/>
          <w:color w:val="auto"/>
        </w:rPr>
      </w:pPr>
    </w:p>
    <w:p>
      <w:pPr>
        <w:ind w:left="4" w:right="500"/>
        <w:spacing w:after="0" w:line="282" w:lineRule="auto"/>
        <w:rPr>
          <w:sz w:val="20"/>
          <w:szCs w:val="20"/>
          <w:color w:val="auto"/>
        </w:rPr>
      </w:pPr>
      <w:r>
        <w:rPr>
          <w:rFonts w:ascii="Times New Roman" w:cs="Times New Roman" w:eastAsia="Times New Roman" w:hAnsi="Times New Roman"/>
          <w:sz w:val="18"/>
          <w:szCs w:val="18"/>
          <w:color w:val="auto"/>
        </w:rPr>
        <w:t>As a result of the foregoing and the relationships described in Item 2(a), the Reporting Persons may be deemed to collectively beneficially own an aggregate of 3,350,657 Ordinary Shares, representing approximately 6.4% of the outstanding Ordinary Shares.</w:t>
      </w:r>
    </w:p>
    <w:p>
      <w:pPr>
        <w:spacing w:after="0" w:line="162" w:lineRule="exact"/>
        <w:rPr>
          <w:sz w:val="20"/>
          <w:szCs w:val="20"/>
          <w:color w:val="auto"/>
        </w:rPr>
      </w:pPr>
    </w:p>
    <w:p>
      <w:pPr>
        <w:jc w:val="both"/>
        <w:ind w:left="4" w:right="280"/>
        <w:spacing w:after="0" w:line="266" w:lineRule="auto"/>
        <w:rPr>
          <w:sz w:val="20"/>
          <w:szCs w:val="20"/>
          <w:color w:val="auto"/>
        </w:rPr>
      </w:pPr>
      <w:r>
        <w:rPr>
          <w:rFonts w:ascii="Times New Roman" w:cs="Times New Roman" w:eastAsia="Times New Roman" w:hAnsi="Times New Roman"/>
          <w:sz w:val="18"/>
          <w:szCs w:val="18"/>
          <w:color w:val="auto"/>
        </w:rPr>
        <w:t>The percentage of the outstanding Ordinary Shares held by the Reporting Persons is based on an aggregate of 52,108,675 Ordinary Shares issued and outstanding, as reported by the Issuer in its prospectus supplement filed with the Securities and Exchange Commission pursuant to Rule 424(b)(5) on December 7, 2023.</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 Percent of class: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Item 4(a) hereof.</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 Number of shares as to which the person has:</w:t>
      </w:r>
    </w:p>
    <w:p>
      <w:pPr>
        <w:spacing w:after="0" w:line="121" w:lineRule="exact"/>
        <w:rPr>
          <w:sz w:val="20"/>
          <w:szCs w:val="20"/>
          <w:color w:val="auto"/>
        </w:rPr>
      </w:pPr>
    </w:p>
    <w:p>
      <w:pPr>
        <w:ind w:left="4" w:right="7960" w:hanging="4"/>
        <w:spacing w:after="0" w:line="407" w:lineRule="auto"/>
        <w:tabs>
          <w:tab w:leader="none" w:pos="21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 Ordinary Shares</w:t>
      </w:r>
    </w:p>
    <w:p>
      <w:pPr>
        <w:sectPr>
          <w:pgSz w:w="11900" w:h="16838" w:orient="portrait"/>
          <w:cols w:equalWidth="0" w:num="1">
            <w:col w:w="11024"/>
          </w:cols>
          <w:pgMar w:left="436" w:top="266" w:right="439" w:bottom="1440" w:gutter="0" w:footer="0" w:header="0"/>
          <w:type w:val="continuous"/>
        </w:sectPr>
      </w:pPr>
    </w:p>
    <w:bookmarkStart w:id="6" w:name="page7"/>
    <w:bookmarkEnd w:id="6"/>
    <w:p>
      <w:pPr>
        <w:ind w:left="4"/>
        <w:spacing w:after="0"/>
        <w:rPr>
          <w:sz w:val="20"/>
          <w:szCs w:val="20"/>
          <w:color w:val="auto"/>
        </w:rPr>
      </w:pPr>
      <w:r>
        <w:rPr>
          <w:rFonts w:ascii="Times New Roman" w:cs="Times New Roman" w:eastAsia="Times New Roman" w:hAnsi="Times New Roman"/>
          <w:sz w:val="17"/>
          <w:szCs w:val="17"/>
          <w:b w:val="1"/>
          <w:bCs w:val="1"/>
          <w:color w:val="auto"/>
        </w:rPr>
        <w:t>CUSIP No. N69605108</w:t>
      </w:r>
    </w:p>
    <w:p>
      <w:pPr>
        <w:spacing w:after="0" w:line="20" w:lineRule="exact"/>
        <w:rPr>
          <w:sz w:val="20"/>
          <w:szCs w:val="20"/>
          <w:color w:val="auto"/>
        </w:rPr>
      </w:pPr>
      <w:r>
        <w:rPr>
          <w:sz w:val="20"/>
          <w:szCs w:val="20"/>
          <w:color w:val="auto"/>
        </w:rPr>
        <w:br w:type="column"/>
      </w:r>
    </w:p>
    <w:p>
      <w:pPr>
        <w:jc w:val="center"/>
        <w:ind w:right="3080"/>
        <w:spacing w:after="0"/>
        <w:rPr>
          <w:sz w:val="20"/>
          <w:szCs w:val="20"/>
          <w:color w:val="auto"/>
        </w:rPr>
      </w:pPr>
      <w:r>
        <w:rPr>
          <w:rFonts w:ascii="Times New Roman" w:cs="Times New Roman" w:eastAsia="Times New Roman" w:hAnsi="Times New Roman"/>
          <w:sz w:val="17"/>
          <w:szCs w:val="17"/>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-203835</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Page 7 of 8 Pages</w:t>
      </w:r>
    </w:p>
    <w:p>
      <w:pPr>
        <w:spacing w:after="0" w:line="173" w:lineRule="exact"/>
        <w:rPr>
          <w:sz w:val="20"/>
          <w:szCs w:val="20"/>
          <w:color w:val="auto"/>
        </w:rPr>
      </w:pPr>
    </w:p>
    <w:p>
      <w:pPr>
        <w:sectPr>
          <w:pgSz w:w="11900" w:h="16838" w:orient="portrait"/>
          <w:cols w:equalWidth="0" w:num="3">
            <w:col w:w="4864" w:space="720"/>
            <w:col w:w="3400" w:space="720"/>
            <w:col w:w="1320"/>
          </w:cols>
          <w:pgMar w:left="436" w:top="266" w:right="439" w:bottom="1440" w:gutter="0" w:footer="0" w:header="0"/>
        </w:sectPr>
      </w:pPr>
    </w:p>
    <w:p>
      <w:pPr>
        <w:ind w:left="4"/>
        <w:spacing w:after="0"/>
        <w:rPr>
          <w:sz w:val="20"/>
          <w:szCs w:val="20"/>
          <w:color w:val="auto"/>
        </w:rPr>
      </w:pPr>
      <w:r>
        <w:rPr>
          <w:rFonts w:ascii="Times New Roman" w:cs="Times New Roman" w:eastAsia="Times New Roman" w:hAnsi="Times New Roman"/>
          <w:sz w:val="18"/>
          <w:szCs w:val="18"/>
          <w:color w:val="auto"/>
        </w:rPr>
        <w:t>(ii) Shared power to vote or to direct the vote:</w:t>
      </w:r>
    </w:p>
    <w:p>
      <w:pPr>
        <w:spacing w:after="0" w:line="252" w:lineRule="exact"/>
        <w:rPr>
          <w:sz w:val="20"/>
          <w:szCs w:val="20"/>
          <w:color w:val="auto"/>
        </w:rPr>
      </w:pPr>
    </w:p>
    <w:p>
      <w:pPr>
        <w:ind w:left="4"/>
        <w:spacing w:after="0"/>
        <w:tabs>
          <w:tab w:leader="none" w:pos="3184" w:val="left"/>
        </w:tabs>
        <w:rPr>
          <w:sz w:val="20"/>
          <w:szCs w:val="20"/>
          <w:color w:val="auto"/>
        </w:rPr>
      </w:pPr>
      <w:r>
        <w:rPr>
          <w:rFonts w:ascii="Times New Roman" w:cs="Times New Roman" w:eastAsia="Times New Roman" w:hAnsi="Times New Roman"/>
          <w:sz w:val="18"/>
          <w:szCs w:val="18"/>
          <w:color w:val="auto"/>
        </w:rPr>
        <w:t>BCLS Fund I</w:t>
      </w:r>
      <w:r>
        <w:rPr>
          <w:sz w:val="20"/>
          <w:szCs w:val="20"/>
          <w:color w:val="auto"/>
        </w:rPr>
        <w:tab/>
      </w:r>
      <w:r>
        <w:rPr>
          <w:rFonts w:ascii="Times New Roman" w:cs="Times New Roman" w:eastAsia="Times New Roman" w:hAnsi="Times New Roman"/>
          <w:sz w:val="17"/>
          <w:szCs w:val="17"/>
          <w:color w:val="auto"/>
        </w:rPr>
        <w:t>1,967,093 Ordinary Shares</w:t>
      </w:r>
    </w:p>
    <w:p>
      <w:pPr>
        <w:spacing w:after="0" w:line="117" w:lineRule="exact"/>
        <w:rPr>
          <w:sz w:val="20"/>
          <w:szCs w:val="20"/>
          <w:color w:val="auto"/>
        </w:rPr>
      </w:pPr>
    </w:p>
    <w:p>
      <w:pPr>
        <w:ind w:left="4"/>
        <w:spacing w:after="0"/>
        <w:tabs>
          <w:tab w:leader="none" w:pos="3184" w:val="left"/>
        </w:tabs>
        <w:rPr>
          <w:sz w:val="20"/>
          <w:szCs w:val="20"/>
          <w:color w:val="auto"/>
        </w:rPr>
      </w:pPr>
      <w:r>
        <w:rPr>
          <w:rFonts w:ascii="Times New Roman" w:cs="Times New Roman" w:eastAsia="Times New Roman" w:hAnsi="Times New Roman"/>
          <w:sz w:val="18"/>
          <w:szCs w:val="18"/>
          <w:color w:val="auto"/>
        </w:rPr>
        <w:t>BCIPLS</w:t>
      </w:r>
      <w:r>
        <w:rPr>
          <w:sz w:val="20"/>
          <w:szCs w:val="20"/>
          <w:color w:val="auto"/>
        </w:rPr>
        <w:tab/>
      </w:r>
      <w:r>
        <w:rPr>
          <w:rFonts w:ascii="Times New Roman" w:cs="Times New Roman" w:eastAsia="Times New Roman" w:hAnsi="Times New Roman"/>
          <w:sz w:val="18"/>
          <w:szCs w:val="18"/>
          <w:color w:val="auto"/>
        </w:rPr>
        <w:t>201,347 Ordinary Shares</w:t>
      </w:r>
    </w:p>
    <w:p>
      <w:pPr>
        <w:spacing w:after="0" w:line="117" w:lineRule="exact"/>
        <w:rPr>
          <w:sz w:val="20"/>
          <w:szCs w:val="20"/>
          <w:color w:val="auto"/>
        </w:rPr>
      </w:pPr>
    </w:p>
    <w:p>
      <w:pPr>
        <w:ind w:left="4"/>
        <w:spacing w:after="0"/>
        <w:tabs>
          <w:tab w:leader="none" w:pos="3184" w:val="left"/>
        </w:tabs>
        <w:rPr>
          <w:sz w:val="20"/>
          <w:szCs w:val="20"/>
          <w:color w:val="auto"/>
        </w:rPr>
      </w:pPr>
      <w:r>
        <w:rPr>
          <w:rFonts w:ascii="Times New Roman" w:cs="Times New Roman" w:eastAsia="Times New Roman" w:hAnsi="Times New Roman"/>
          <w:sz w:val="18"/>
          <w:szCs w:val="18"/>
          <w:color w:val="auto"/>
        </w:rPr>
        <w:t>BCLS Fund III Opportunities</w:t>
      </w:r>
      <w:r>
        <w:rPr>
          <w:sz w:val="20"/>
          <w:szCs w:val="20"/>
          <w:color w:val="auto"/>
        </w:rPr>
        <w:tab/>
      </w:r>
      <w:r>
        <w:rPr>
          <w:rFonts w:ascii="Times New Roman" w:cs="Times New Roman" w:eastAsia="Times New Roman" w:hAnsi="Times New Roman"/>
          <w:sz w:val="17"/>
          <w:szCs w:val="17"/>
          <w:color w:val="auto"/>
        </w:rPr>
        <w:t>1,182,217 Ordinary Shares</w:t>
      </w:r>
    </w:p>
    <w:p>
      <w:pPr>
        <w:sectPr>
          <w:pgSz w:w="11900" w:h="16838" w:orient="portrait"/>
          <w:cols w:equalWidth="0" w:num="1">
            <w:col w:w="11024"/>
          </w:cols>
          <w:pgMar w:left="436" w:top="266" w:right="439" w:bottom="1440" w:gutter="0" w:footer="0" w:header="0"/>
          <w:type w:val="continuous"/>
        </w:sectPr>
      </w:pPr>
    </w:p>
    <w:p>
      <w:pPr>
        <w:spacing w:after="0" w:line="117" w:lineRule="exact"/>
        <w:rPr>
          <w:sz w:val="20"/>
          <w:szCs w:val="20"/>
          <w:color w:val="auto"/>
        </w:rPr>
      </w:pPr>
    </w:p>
    <w:p>
      <w:pPr>
        <w:ind w:left="4" w:right="6940" w:hanging="4"/>
        <w:spacing w:after="0" w:line="375" w:lineRule="auto"/>
        <w:tabs>
          <w:tab w:leader="none" w:pos="31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 Ordinary Shares</w:t>
      </w:r>
    </w:p>
    <w:p>
      <w:pPr>
        <w:spacing w:after="0" w:line="1"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117" w:lineRule="exact"/>
        <w:rPr>
          <w:sz w:val="20"/>
          <w:szCs w:val="20"/>
          <w:color w:val="auto"/>
        </w:rPr>
      </w:pPr>
    </w:p>
    <w:p>
      <w:pPr>
        <w:ind w:left="4"/>
        <w:spacing w:after="0"/>
        <w:tabs>
          <w:tab w:leader="none" w:pos="3184" w:val="left"/>
        </w:tabs>
        <w:rPr>
          <w:sz w:val="20"/>
          <w:szCs w:val="20"/>
          <w:color w:val="auto"/>
        </w:rPr>
      </w:pPr>
      <w:r>
        <w:rPr>
          <w:rFonts w:ascii="Times New Roman" w:cs="Times New Roman" w:eastAsia="Times New Roman" w:hAnsi="Times New Roman"/>
          <w:sz w:val="18"/>
          <w:szCs w:val="18"/>
          <w:color w:val="auto"/>
        </w:rPr>
        <w:t>BCLS Fund I</w:t>
      </w:r>
      <w:r>
        <w:rPr>
          <w:sz w:val="20"/>
          <w:szCs w:val="20"/>
          <w:color w:val="auto"/>
        </w:rPr>
        <w:tab/>
      </w:r>
      <w:r>
        <w:rPr>
          <w:rFonts w:ascii="Times New Roman" w:cs="Times New Roman" w:eastAsia="Times New Roman" w:hAnsi="Times New Roman"/>
          <w:sz w:val="17"/>
          <w:szCs w:val="17"/>
          <w:color w:val="auto"/>
        </w:rPr>
        <w:t>1,967,093 Ordinary Shares</w:t>
      </w:r>
    </w:p>
    <w:p>
      <w:pPr>
        <w:spacing w:after="0" w:line="117" w:lineRule="exact"/>
        <w:rPr>
          <w:sz w:val="20"/>
          <w:szCs w:val="20"/>
          <w:color w:val="auto"/>
        </w:rPr>
      </w:pPr>
    </w:p>
    <w:p>
      <w:pPr>
        <w:ind w:left="4"/>
        <w:spacing w:after="0"/>
        <w:tabs>
          <w:tab w:leader="none" w:pos="3184" w:val="left"/>
        </w:tabs>
        <w:rPr>
          <w:sz w:val="20"/>
          <w:szCs w:val="20"/>
          <w:color w:val="auto"/>
        </w:rPr>
      </w:pPr>
      <w:r>
        <w:rPr>
          <w:rFonts w:ascii="Times New Roman" w:cs="Times New Roman" w:eastAsia="Times New Roman" w:hAnsi="Times New Roman"/>
          <w:sz w:val="18"/>
          <w:szCs w:val="18"/>
          <w:color w:val="auto"/>
        </w:rPr>
        <w:t>BCIPLS</w:t>
      </w:r>
      <w:r>
        <w:rPr>
          <w:sz w:val="20"/>
          <w:szCs w:val="20"/>
          <w:color w:val="auto"/>
        </w:rPr>
        <w:tab/>
      </w:r>
      <w:r>
        <w:rPr>
          <w:rFonts w:ascii="Times New Roman" w:cs="Times New Roman" w:eastAsia="Times New Roman" w:hAnsi="Times New Roman"/>
          <w:sz w:val="18"/>
          <w:szCs w:val="18"/>
          <w:color w:val="auto"/>
        </w:rPr>
        <w:t>201,347 Ordinary Shares</w:t>
      </w:r>
    </w:p>
    <w:p>
      <w:pPr>
        <w:spacing w:after="0" w:line="117" w:lineRule="exact"/>
        <w:rPr>
          <w:sz w:val="20"/>
          <w:szCs w:val="20"/>
          <w:color w:val="auto"/>
        </w:rPr>
      </w:pPr>
    </w:p>
    <w:p>
      <w:pPr>
        <w:ind w:left="4"/>
        <w:spacing w:after="0"/>
        <w:tabs>
          <w:tab w:leader="none" w:pos="3184" w:val="left"/>
        </w:tabs>
        <w:rPr>
          <w:sz w:val="20"/>
          <w:szCs w:val="20"/>
          <w:color w:val="auto"/>
        </w:rPr>
      </w:pPr>
      <w:r>
        <w:rPr>
          <w:rFonts w:ascii="Times New Roman" w:cs="Times New Roman" w:eastAsia="Times New Roman" w:hAnsi="Times New Roman"/>
          <w:sz w:val="18"/>
          <w:szCs w:val="18"/>
          <w:color w:val="auto"/>
        </w:rPr>
        <w:t>BCLS Fund III Opportunities</w:t>
      </w:r>
      <w:r>
        <w:rPr>
          <w:sz w:val="20"/>
          <w:szCs w:val="20"/>
          <w:color w:val="auto"/>
        </w:rPr>
        <w:tab/>
      </w:r>
      <w:r>
        <w:rPr>
          <w:rFonts w:ascii="Times New Roman" w:cs="Times New Roman" w:eastAsia="Times New Roman" w:hAnsi="Times New Roman"/>
          <w:sz w:val="17"/>
          <w:szCs w:val="17"/>
          <w:color w:val="auto"/>
        </w:rPr>
        <w:t>1,182,217 Ordinary Shares</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Five Percent on Behalf of Another Person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1084" w:right="580" w:hanging="1092"/>
        <w:spacing w:after="0" w:line="286" w:lineRule="auto"/>
        <w:tabs>
          <w:tab w:leader="none" w:pos="1064"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5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Certifications</w:t>
      </w:r>
    </w:p>
    <w:p>
      <w:pPr>
        <w:spacing w:after="0" w:line="121" w:lineRule="exact"/>
        <w:rPr>
          <w:sz w:val="20"/>
          <w:szCs w:val="20"/>
          <w:color w:val="auto"/>
        </w:rPr>
      </w:pPr>
    </w:p>
    <w:p>
      <w:pPr>
        <w:ind w:left="4" w:right="100"/>
        <w:spacing w:after="0" w:line="28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024"/>
          </w:cols>
          <w:pgMar w:left="436" w:top="266" w:right="439" w:bottom="1440" w:gutter="0" w:footer="0" w:header="0"/>
          <w:type w:val="continuous"/>
        </w:sectPr>
      </w:pPr>
    </w:p>
    <w:bookmarkStart w:id="7" w:name="page8"/>
    <w:bookmarkEnd w:id="7"/>
    <w:p>
      <w:pPr>
        <w:spacing w:after="0"/>
        <w:tabs>
          <w:tab w:leader="none" w:pos="5560" w:val="left"/>
          <w:tab w:leader="none" w:pos="96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N69605108</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8 of 8 Pages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the undersigned certifies that the information in this statement is true, complete and correct.</w:t>
      </w:r>
    </w:p>
    <w:p>
      <w:pPr>
        <w:spacing w:after="0" w:line="185" w:lineRule="exact"/>
        <w:rPr>
          <w:sz w:val="20"/>
          <w:szCs w:val="20"/>
          <w:color w:val="auto"/>
        </w:rPr>
      </w:pPr>
    </w:p>
    <w:p>
      <w:pPr>
        <w:spacing w:after="0"/>
        <w:tabs>
          <w:tab w:leader="none" w:pos="5300" w:val="left"/>
        </w:tabs>
        <w:rPr>
          <w:sz w:val="20"/>
          <w:szCs w:val="20"/>
          <w:color w:val="auto"/>
        </w:rPr>
      </w:pPr>
      <w:r>
        <w:rPr>
          <w:rFonts w:ascii="Times New Roman" w:cs="Times New Roman" w:eastAsia="Times New Roman" w:hAnsi="Times New Roman"/>
          <w:sz w:val="18"/>
          <w:szCs w:val="18"/>
          <w:color w:val="auto"/>
        </w:rPr>
        <w:t>Dated: January 22, 2024</w:t>
      </w:r>
      <w:r>
        <w:rPr>
          <w:sz w:val="20"/>
          <w:szCs w:val="20"/>
          <w:color w:val="auto"/>
        </w:rPr>
        <w:tab/>
      </w:r>
      <w:r>
        <w:rPr>
          <w:rFonts w:ascii="Times New Roman" w:cs="Times New Roman" w:eastAsia="Times New Roman" w:hAnsi="Times New Roman"/>
          <w:sz w:val="17"/>
          <w:szCs w:val="17"/>
          <w:b w:val="1"/>
          <w:bCs w:val="1"/>
          <w:color w:val="auto"/>
        </w:rPr>
        <w:t>Bain Capital Life Sciences Fund, L.P.</w:t>
      </w:r>
    </w:p>
    <w:p>
      <w:pPr>
        <w:spacing w:after="0" w:line="229" w:lineRule="exact"/>
        <w:rPr>
          <w:sz w:val="20"/>
          <w:szCs w:val="20"/>
          <w:color w:val="auto"/>
        </w:rPr>
      </w:pPr>
    </w:p>
    <w:p>
      <w:pPr>
        <w:ind w:left="532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Bain Capital Life Sciences Partners, LP,</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5320"/>
        <w:spacing w:after="0"/>
        <w:tabs>
          <w:tab w:leader="none" w:pos="5720" w:val="left"/>
        </w:tabs>
        <w:rPr>
          <w:sz w:val="20"/>
          <w:szCs w:val="20"/>
          <w:color w:val="auto"/>
        </w:rPr>
      </w:pPr>
      <w:r>
        <w:rPr>
          <w:rFonts w:ascii="Times New Roman" w:cs="Times New Roman" w:eastAsia="Times New Roman" w:hAnsi="Times New Roman"/>
          <w:sz w:val="18"/>
          <w:szCs w:val="18"/>
          <w:color w:val="auto"/>
        </w:rPr>
        <w:t>By:</w:t>
        <w:tab/>
        <w:t>Bain Capital Life Sciences Investors, LLC,</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5320"/>
        <w:spacing w:after="0"/>
        <w:tabs>
          <w:tab w:leader="none" w:pos="5720" w:val="left"/>
        </w:tabs>
        <w:rPr>
          <w:sz w:val="20"/>
          <w:szCs w:val="20"/>
          <w:color w:val="auto"/>
        </w:rPr>
      </w:pPr>
      <w:r>
        <w:rPr>
          <w:rFonts w:ascii="Times New Roman" w:cs="Times New Roman" w:eastAsia="Times New Roman" w:hAnsi="Times New Roman"/>
          <w:sz w:val="18"/>
          <w:szCs w:val="18"/>
          <w:color w:val="auto"/>
        </w:rPr>
        <w:t>By:</w:t>
        <w:tab/>
        <w:t>/s/ Ricky Sun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17145</wp:posOffset>
            </wp:positionV>
            <wp:extent cx="34118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7" w:lineRule="exact"/>
        <w:rPr>
          <w:sz w:val="20"/>
          <w:szCs w:val="20"/>
          <w:color w:val="auto"/>
        </w:rPr>
      </w:pPr>
    </w:p>
    <w:p>
      <w:pPr>
        <w:ind w:left="5740"/>
        <w:spacing w:after="0"/>
        <w:tabs>
          <w:tab w:leader="none" w:pos="63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Ricky Sun</w:t>
      </w:r>
    </w:p>
    <w:p>
      <w:pPr>
        <w:spacing w:after="0" w:line="23" w:lineRule="exact"/>
        <w:rPr>
          <w:sz w:val="20"/>
          <w:szCs w:val="20"/>
          <w:color w:val="auto"/>
        </w:rPr>
      </w:pPr>
    </w:p>
    <w:p>
      <w:pPr>
        <w:ind w:left="5740"/>
        <w:spacing w:after="0"/>
        <w:tabs>
          <w:tab w:leader="none" w:pos="6380" w:val="left"/>
        </w:tabs>
        <w:rPr>
          <w:sz w:val="20"/>
          <w:szCs w:val="20"/>
          <w:color w:val="auto"/>
        </w:rPr>
      </w:pPr>
      <w:r>
        <w:rPr>
          <w:rFonts w:ascii="Times New Roman" w:cs="Times New Roman" w:eastAsia="Times New Roman" w:hAnsi="Times New Roman"/>
          <w:sz w:val="18"/>
          <w:szCs w:val="18"/>
          <w:color w:val="auto"/>
        </w:rPr>
        <w:t>Title:</w:t>
        <w:tab/>
        <w:t>Partner</w:t>
      </w:r>
    </w:p>
    <w:p>
      <w:pPr>
        <w:spacing w:after="0" w:line="20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BCIP Life Sciences Associates, LP</w:t>
      </w:r>
    </w:p>
    <w:p>
      <w:pPr>
        <w:spacing w:after="0" w:line="229" w:lineRule="exact"/>
        <w:rPr>
          <w:sz w:val="20"/>
          <w:szCs w:val="20"/>
          <w:color w:val="auto"/>
        </w:rPr>
      </w:pPr>
    </w:p>
    <w:p>
      <w:pPr>
        <w:ind w:left="5320"/>
        <w:spacing w:after="0"/>
        <w:tabs>
          <w:tab w:leader="none" w:pos="5720" w:val="left"/>
        </w:tabs>
        <w:rPr>
          <w:sz w:val="20"/>
          <w:szCs w:val="20"/>
          <w:color w:val="auto"/>
        </w:rPr>
      </w:pPr>
      <w:r>
        <w:rPr>
          <w:rFonts w:ascii="Times New Roman" w:cs="Times New Roman" w:eastAsia="Times New Roman" w:hAnsi="Times New Roman"/>
          <w:sz w:val="18"/>
          <w:szCs w:val="18"/>
          <w:color w:val="auto"/>
        </w:rPr>
        <w:t>By:</w:t>
        <w:tab/>
        <w:t>Boylston Coinvestors, LLC,</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5320"/>
        <w:spacing w:after="0"/>
        <w:tabs>
          <w:tab w:leader="none" w:pos="5720" w:val="left"/>
        </w:tabs>
        <w:rPr>
          <w:sz w:val="20"/>
          <w:szCs w:val="20"/>
          <w:color w:val="auto"/>
        </w:rPr>
      </w:pPr>
      <w:r>
        <w:rPr>
          <w:rFonts w:ascii="Times New Roman" w:cs="Times New Roman" w:eastAsia="Times New Roman" w:hAnsi="Times New Roman"/>
          <w:sz w:val="18"/>
          <w:szCs w:val="18"/>
          <w:color w:val="auto"/>
        </w:rPr>
        <w:t>By:</w:t>
        <w:tab/>
        <w:t>/s/ Ricky Sun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17145</wp:posOffset>
            </wp:positionV>
            <wp:extent cx="34118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7" w:lineRule="exact"/>
        <w:rPr>
          <w:sz w:val="20"/>
          <w:szCs w:val="20"/>
          <w:color w:val="auto"/>
        </w:rPr>
      </w:pPr>
    </w:p>
    <w:p>
      <w:pPr>
        <w:ind w:left="5740"/>
        <w:spacing w:after="0"/>
        <w:tabs>
          <w:tab w:leader="none" w:pos="63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Ricky Sun</w:t>
      </w:r>
    </w:p>
    <w:p>
      <w:pPr>
        <w:spacing w:after="0" w:line="23" w:lineRule="exact"/>
        <w:rPr>
          <w:sz w:val="20"/>
          <w:szCs w:val="20"/>
          <w:color w:val="auto"/>
        </w:rPr>
      </w:pPr>
    </w:p>
    <w:p>
      <w:pPr>
        <w:ind w:left="5740"/>
        <w:spacing w:after="0"/>
        <w:tabs>
          <w:tab w:leader="none" w:pos="6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Bain Capital Life Sciences Opportunities III, LP</w:t>
      </w:r>
    </w:p>
    <w:p>
      <w:pPr>
        <w:spacing w:after="0" w:line="229" w:lineRule="exact"/>
        <w:rPr>
          <w:sz w:val="20"/>
          <w:szCs w:val="20"/>
          <w:color w:val="auto"/>
        </w:rPr>
      </w:pPr>
    </w:p>
    <w:p>
      <w:pPr>
        <w:ind w:left="532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Bain Capital Life Sciences Opportunities III GP, LLC,</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Bain Capital Life Sciences Fund III, L.P.,</w:t>
      </w:r>
    </w:p>
    <w:p>
      <w:pPr>
        <w:spacing w:after="0" w:line="27" w:lineRule="exact"/>
        <w:rPr>
          <w:sz w:val="20"/>
          <w:szCs w:val="20"/>
          <w:color w:val="auto"/>
        </w:rPr>
      </w:pPr>
    </w:p>
    <w:p>
      <w:pPr>
        <w:ind w:left="532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its sole member</w:t>
      </w:r>
    </w:p>
    <w:p>
      <w:pPr>
        <w:spacing w:after="0" w:line="220" w:lineRule="exact"/>
        <w:rPr>
          <w:sz w:val="20"/>
          <w:szCs w:val="20"/>
          <w:color w:val="auto"/>
        </w:rPr>
      </w:pPr>
    </w:p>
    <w:p>
      <w:pPr>
        <w:ind w:left="532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Bain Capital Life Sciences III General Partner, LLC,</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5320"/>
        <w:spacing w:after="0"/>
        <w:tabs>
          <w:tab w:leader="none" w:pos="5720" w:val="left"/>
        </w:tabs>
        <w:rPr>
          <w:sz w:val="20"/>
          <w:szCs w:val="20"/>
          <w:color w:val="auto"/>
        </w:rPr>
      </w:pPr>
      <w:r>
        <w:rPr>
          <w:rFonts w:ascii="Times New Roman" w:cs="Times New Roman" w:eastAsia="Times New Roman" w:hAnsi="Times New Roman"/>
          <w:sz w:val="18"/>
          <w:szCs w:val="18"/>
          <w:color w:val="auto"/>
        </w:rPr>
        <w:t>By:</w:t>
        <w:tab/>
        <w:t>Bain Capital Life Sciences Investors, LLC,</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its manager</w:t>
      </w:r>
    </w:p>
    <w:p>
      <w:pPr>
        <w:spacing w:after="0" w:line="220" w:lineRule="exact"/>
        <w:rPr>
          <w:sz w:val="20"/>
          <w:szCs w:val="20"/>
          <w:color w:val="auto"/>
        </w:rPr>
      </w:pPr>
    </w:p>
    <w:p>
      <w:pPr>
        <w:ind w:left="5320"/>
        <w:spacing w:after="0"/>
        <w:tabs>
          <w:tab w:leader="none" w:pos="5720" w:val="left"/>
        </w:tabs>
        <w:rPr>
          <w:sz w:val="20"/>
          <w:szCs w:val="20"/>
          <w:color w:val="auto"/>
        </w:rPr>
      </w:pPr>
      <w:r>
        <w:rPr>
          <w:rFonts w:ascii="Times New Roman" w:cs="Times New Roman" w:eastAsia="Times New Roman" w:hAnsi="Times New Roman"/>
          <w:sz w:val="18"/>
          <w:szCs w:val="18"/>
          <w:color w:val="auto"/>
        </w:rPr>
        <w:t>By:</w:t>
        <w:tab/>
        <w:t>/s/ Ricky Sun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17145</wp:posOffset>
            </wp:positionV>
            <wp:extent cx="34118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7" w:lineRule="exact"/>
        <w:rPr>
          <w:sz w:val="20"/>
          <w:szCs w:val="20"/>
          <w:color w:val="auto"/>
        </w:rPr>
      </w:pPr>
    </w:p>
    <w:p>
      <w:pPr>
        <w:ind w:left="5740"/>
        <w:spacing w:after="0"/>
        <w:tabs>
          <w:tab w:leader="none" w:pos="63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Ricky Sun</w:t>
      </w:r>
    </w:p>
    <w:p>
      <w:pPr>
        <w:spacing w:after="0" w:line="23" w:lineRule="exact"/>
        <w:rPr>
          <w:sz w:val="20"/>
          <w:szCs w:val="20"/>
          <w:color w:val="auto"/>
        </w:rPr>
      </w:pPr>
    </w:p>
    <w:p>
      <w:pPr>
        <w:ind w:left="5740"/>
        <w:spacing w:after="0"/>
        <w:tabs>
          <w:tab w:leader="none" w:pos="6380" w:val="left"/>
        </w:tabs>
        <w:rPr>
          <w:sz w:val="20"/>
          <w:szCs w:val="20"/>
          <w:color w:val="auto"/>
        </w:rPr>
      </w:pPr>
      <w:r>
        <w:rPr>
          <w:rFonts w:ascii="Times New Roman" w:cs="Times New Roman" w:eastAsia="Times New Roman" w:hAnsi="Times New Roman"/>
          <w:sz w:val="18"/>
          <w:szCs w:val="18"/>
          <w:color w:val="auto"/>
        </w:rPr>
        <w:t>Title:</w:t>
        <w:tab/>
        <w:t>Partner</w:t>
      </w:r>
    </w:p>
    <w:p>
      <w:pPr>
        <w:sectPr>
          <w:pgSz w:w="11900" w:h="16838" w:orient="portrait"/>
          <w:cols w:equalWidth="0" w:num="1">
            <w:col w:w="11020"/>
          </w:cols>
          <w:pgMar w:left="440" w:top="266" w:right="4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REGARDING THE JOINT FILING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agree as follows:</w:t>
      </w:r>
    </w:p>
    <w:p>
      <w:pPr>
        <w:spacing w:after="0" w:line="117" w:lineRule="exact"/>
        <w:rPr>
          <w:sz w:val="20"/>
          <w:szCs w:val="20"/>
          <w:color w:val="auto"/>
        </w:rPr>
      </w:pPr>
    </w:p>
    <w:p>
      <w:pPr>
        <w:ind w:left="440" w:right="360" w:hanging="4"/>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them is individually eligible to use the Schedule 13G to which this Exhibit is attached, and such Schedule 13G is filed on behalf of each of them; and</w:t>
      </w:r>
    </w:p>
    <w:p>
      <w:pPr>
        <w:spacing w:after="0" w:line="53" w:lineRule="exact"/>
        <w:rPr>
          <w:rFonts w:ascii="Times New Roman" w:cs="Times New Roman" w:eastAsia="Times New Roman" w:hAnsi="Times New Roman"/>
          <w:sz w:val="18"/>
          <w:szCs w:val="18"/>
          <w:color w:val="auto"/>
        </w:rPr>
      </w:pPr>
    </w:p>
    <w:p>
      <w:pPr>
        <w:ind w:left="440" w:right="60" w:hanging="4"/>
        <w:spacing w:after="0" w:line="266" w:lineRule="auto"/>
        <w:tabs>
          <w:tab w:leader="none" w:pos="70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99" w:lineRule="exact"/>
        <w:rPr>
          <w:sz w:val="20"/>
          <w:szCs w:val="20"/>
          <w:color w:val="auto"/>
        </w:rPr>
      </w:pPr>
    </w:p>
    <w:p>
      <w:pPr>
        <w:spacing w:after="0"/>
        <w:tabs>
          <w:tab w:leader="none" w:pos="5300" w:val="left"/>
        </w:tabs>
        <w:rPr>
          <w:sz w:val="20"/>
          <w:szCs w:val="20"/>
          <w:color w:val="auto"/>
        </w:rPr>
      </w:pPr>
      <w:r>
        <w:rPr>
          <w:rFonts w:ascii="Times New Roman" w:cs="Times New Roman" w:eastAsia="Times New Roman" w:hAnsi="Times New Roman"/>
          <w:sz w:val="18"/>
          <w:szCs w:val="18"/>
          <w:color w:val="auto"/>
        </w:rPr>
        <w:t>Dated: January 22, 2024</w:t>
      </w:r>
      <w:r>
        <w:rPr>
          <w:sz w:val="20"/>
          <w:szCs w:val="20"/>
          <w:color w:val="auto"/>
        </w:rPr>
        <w:tab/>
      </w:r>
      <w:r>
        <w:rPr>
          <w:rFonts w:ascii="Times New Roman" w:cs="Times New Roman" w:eastAsia="Times New Roman" w:hAnsi="Times New Roman"/>
          <w:sz w:val="17"/>
          <w:szCs w:val="17"/>
          <w:b w:val="1"/>
          <w:bCs w:val="1"/>
          <w:color w:val="auto"/>
        </w:rPr>
        <w:t>Bain Capital Life Sciences Fund, L.P.</w:t>
      </w:r>
    </w:p>
    <w:p>
      <w:pPr>
        <w:spacing w:after="0" w:line="229" w:lineRule="exact"/>
        <w:rPr>
          <w:sz w:val="20"/>
          <w:szCs w:val="20"/>
          <w:color w:val="auto"/>
        </w:rPr>
      </w:pPr>
    </w:p>
    <w:p>
      <w:pPr>
        <w:ind w:left="532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Bain Capital Life Sciences Partners, LP,</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5320"/>
        <w:spacing w:after="0"/>
        <w:tabs>
          <w:tab w:leader="none" w:pos="5720" w:val="left"/>
        </w:tabs>
        <w:rPr>
          <w:sz w:val="20"/>
          <w:szCs w:val="20"/>
          <w:color w:val="auto"/>
        </w:rPr>
      </w:pPr>
      <w:r>
        <w:rPr>
          <w:rFonts w:ascii="Times New Roman" w:cs="Times New Roman" w:eastAsia="Times New Roman" w:hAnsi="Times New Roman"/>
          <w:sz w:val="18"/>
          <w:szCs w:val="18"/>
          <w:color w:val="auto"/>
        </w:rPr>
        <w:t>By:</w:t>
        <w:tab/>
        <w:t>Bain Capital Life Sciences Investors, LLC,</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5320"/>
        <w:spacing w:after="0"/>
        <w:tabs>
          <w:tab w:leader="none" w:pos="5720" w:val="left"/>
        </w:tabs>
        <w:rPr>
          <w:sz w:val="20"/>
          <w:szCs w:val="20"/>
          <w:color w:val="auto"/>
        </w:rPr>
      </w:pPr>
      <w:r>
        <w:rPr>
          <w:rFonts w:ascii="Times New Roman" w:cs="Times New Roman" w:eastAsia="Times New Roman" w:hAnsi="Times New Roman"/>
          <w:sz w:val="18"/>
          <w:szCs w:val="18"/>
          <w:color w:val="auto"/>
        </w:rPr>
        <w:t>By:</w:t>
        <w:tab/>
        <w:t>/s/ Ricky Sun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17145</wp:posOffset>
            </wp:positionV>
            <wp:extent cx="34118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7" w:lineRule="exact"/>
        <w:rPr>
          <w:sz w:val="20"/>
          <w:szCs w:val="20"/>
          <w:color w:val="auto"/>
        </w:rPr>
      </w:pPr>
    </w:p>
    <w:p>
      <w:pPr>
        <w:ind w:left="5740"/>
        <w:spacing w:after="0"/>
        <w:tabs>
          <w:tab w:leader="none" w:pos="63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Ricky Sun</w:t>
      </w:r>
    </w:p>
    <w:p>
      <w:pPr>
        <w:spacing w:after="0" w:line="23" w:lineRule="exact"/>
        <w:rPr>
          <w:sz w:val="20"/>
          <w:szCs w:val="20"/>
          <w:color w:val="auto"/>
        </w:rPr>
      </w:pPr>
    </w:p>
    <w:p>
      <w:pPr>
        <w:ind w:left="5740"/>
        <w:spacing w:after="0"/>
        <w:tabs>
          <w:tab w:leader="none" w:pos="6380" w:val="left"/>
        </w:tabs>
        <w:rPr>
          <w:sz w:val="20"/>
          <w:szCs w:val="20"/>
          <w:color w:val="auto"/>
        </w:rPr>
      </w:pPr>
      <w:r>
        <w:rPr>
          <w:rFonts w:ascii="Times New Roman" w:cs="Times New Roman" w:eastAsia="Times New Roman" w:hAnsi="Times New Roman"/>
          <w:sz w:val="18"/>
          <w:szCs w:val="18"/>
          <w:color w:val="auto"/>
        </w:rPr>
        <w:t>Title:</w:t>
        <w:tab/>
        <w:t>Partner</w:t>
      </w:r>
    </w:p>
    <w:p>
      <w:pPr>
        <w:spacing w:after="0" w:line="20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BCIP Life Sciences Associates, LP</w:t>
      </w:r>
    </w:p>
    <w:p>
      <w:pPr>
        <w:spacing w:after="0" w:line="229" w:lineRule="exact"/>
        <w:rPr>
          <w:sz w:val="20"/>
          <w:szCs w:val="20"/>
          <w:color w:val="auto"/>
        </w:rPr>
      </w:pPr>
    </w:p>
    <w:p>
      <w:pPr>
        <w:ind w:left="5320"/>
        <w:spacing w:after="0"/>
        <w:tabs>
          <w:tab w:leader="none" w:pos="5720" w:val="left"/>
        </w:tabs>
        <w:rPr>
          <w:sz w:val="20"/>
          <w:szCs w:val="20"/>
          <w:color w:val="auto"/>
        </w:rPr>
      </w:pPr>
      <w:r>
        <w:rPr>
          <w:rFonts w:ascii="Times New Roman" w:cs="Times New Roman" w:eastAsia="Times New Roman" w:hAnsi="Times New Roman"/>
          <w:sz w:val="18"/>
          <w:szCs w:val="18"/>
          <w:color w:val="auto"/>
        </w:rPr>
        <w:t>By:</w:t>
        <w:tab/>
        <w:t>Boylston Coinvestors, LLC,</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5320"/>
        <w:spacing w:after="0"/>
        <w:tabs>
          <w:tab w:leader="none" w:pos="5720" w:val="left"/>
        </w:tabs>
        <w:rPr>
          <w:sz w:val="20"/>
          <w:szCs w:val="20"/>
          <w:color w:val="auto"/>
        </w:rPr>
      </w:pPr>
      <w:r>
        <w:rPr>
          <w:rFonts w:ascii="Times New Roman" w:cs="Times New Roman" w:eastAsia="Times New Roman" w:hAnsi="Times New Roman"/>
          <w:sz w:val="18"/>
          <w:szCs w:val="18"/>
          <w:color w:val="auto"/>
        </w:rPr>
        <w:t>By:</w:t>
        <w:tab/>
        <w:t>/s/ Ricky Sun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17145</wp:posOffset>
            </wp:positionV>
            <wp:extent cx="34118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7" w:lineRule="exact"/>
        <w:rPr>
          <w:sz w:val="20"/>
          <w:szCs w:val="20"/>
          <w:color w:val="auto"/>
        </w:rPr>
      </w:pPr>
    </w:p>
    <w:p>
      <w:pPr>
        <w:ind w:left="5740"/>
        <w:spacing w:after="0"/>
        <w:tabs>
          <w:tab w:leader="none" w:pos="63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Ricky Sun</w:t>
      </w:r>
    </w:p>
    <w:p>
      <w:pPr>
        <w:spacing w:after="0" w:line="23" w:lineRule="exact"/>
        <w:rPr>
          <w:sz w:val="20"/>
          <w:szCs w:val="20"/>
          <w:color w:val="auto"/>
        </w:rPr>
      </w:pPr>
    </w:p>
    <w:p>
      <w:pPr>
        <w:ind w:left="5740"/>
        <w:spacing w:after="0"/>
        <w:tabs>
          <w:tab w:leader="none" w:pos="6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Bain Capital Life Sciences Opportunities III, LP</w:t>
      </w:r>
    </w:p>
    <w:p>
      <w:pPr>
        <w:spacing w:after="0" w:line="229" w:lineRule="exact"/>
        <w:rPr>
          <w:sz w:val="20"/>
          <w:szCs w:val="20"/>
          <w:color w:val="auto"/>
        </w:rPr>
      </w:pPr>
    </w:p>
    <w:p>
      <w:pPr>
        <w:ind w:left="532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Bain Capital Life Sciences Opportunities III GP, LLC,</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532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Bain Capital Life Sciences Fund III, L.P.,</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20" w:lineRule="exact"/>
        <w:rPr>
          <w:sz w:val="20"/>
          <w:szCs w:val="20"/>
          <w:color w:val="auto"/>
        </w:rPr>
      </w:pPr>
    </w:p>
    <w:p>
      <w:pPr>
        <w:ind w:left="532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Bain Capital Life Sciences III General Partner, LLC,</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5320"/>
        <w:spacing w:after="0"/>
        <w:tabs>
          <w:tab w:leader="none" w:pos="5720" w:val="left"/>
        </w:tabs>
        <w:rPr>
          <w:sz w:val="20"/>
          <w:szCs w:val="20"/>
          <w:color w:val="auto"/>
        </w:rPr>
      </w:pPr>
      <w:r>
        <w:rPr>
          <w:rFonts w:ascii="Times New Roman" w:cs="Times New Roman" w:eastAsia="Times New Roman" w:hAnsi="Times New Roman"/>
          <w:sz w:val="18"/>
          <w:szCs w:val="18"/>
          <w:color w:val="auto"/>
        </w:rPr>
        <w:t>By:</w:t>
        <w:tab/>
        <w:t>Bain Capital Life Sciences Investors, LLC,</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its manager</w:t>
      </w:r>
    </w:p>
    <w:p>
      <w:pPr>
        <w:spacing w:after="0" w:line="220" w:lineRule="exact"/>
        <w:rPr>
          <w:sz w:val="20"/>
          <w:szCs w:val="20"/>
          <w:color w:val="auto"/>
        </w:rPr>
      </w:pPr>
    </w:p>
    <w:p>
      <w:pPr>
        <w:ind w:left="5320"/>
        <w:spacing w:after="0"/>
        <w:tabs>
          <w:tab w:leader="none" w:pos="5720" w:val="left"/>
        </w:tabs>
        <w:rPr>
          <w:sz w:val="20"/>
          <w:szCs w:val="20"/>
          <w:color w:val="auto"/>
        </w:rPr>
      </w:pPr>
      <w:r>
        <w:rPr>
          <w:rFonts w:ascii="Times New Roman" w:cs="Times New Roman" w:eastAsia="Times New Roman" w:hAnsi="Times New Roman"/>
          <w:sz w:val="18"/>
          <w:szCs w:val="18"/>
          <w:color w:val="auto"/>
        </w:rPr>
        <w:t>By:</w:t>
        <w:tab/>
        <w:t>/s/ Ricky Sun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17145</wp:posOffset>
            </wp:positionV>
            <wp:extent cx="34118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7" w:lineRule="exact"/>
        <w:rPr>
          <w:sz w:val="20"/>
          <w:szCs w:val="20"/>
          <w:color w:val="auto"/>
        </w:rPr>
      </w:pPr>
    </w:p>
    <w:p>
      <w:pPr>
        <w:ind w:left="5740"/>
        <w:spacing w:after="0"/>
        <w:tabs>
          <w:tab w:leader="none" w:pos="63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Ricky Sun</w:t>
      </w:r>
    </w:p>
    <w:p>
      <w:pPr>
        <w:spacing w:after="0" w:line="23" w:lineRule="exact"/>
        <w:rPr>
          <w:sz w:val="20"/>
          <w:szCs w:val="20"/>
          <w:color w:val="auto"/>
        </w:rPr>
      </w:pPr>
    </w:p>
    <w:p>
      <w:pPr>
        <w:ind w:left="5740"/>
        <w:spacing w:after="0"/>
        <w:tabs>
          <w:tab w:leader="none" w:pos="6380" w:val="left"/>
        </w:tabs>
        <w:rPr>
          <w:sz w:val="20"/>
          <w:szCs w:val="20"/>
          <w:color w:val="auto"/>
        </w:rPr>
      </w:pPr>
      <w:r>
        <w:rPr>
          <w:rFonts w:ascii="Times New Roman" w:cs="Times New Roman" w:eastAsia="Times New Roman" w:hAnsi="Times New Roman"/>
          <w:sz w:val="18"/>
          <w:szCs w:val="18"/>
          <w:color w:val="auto"/>
        </w:rPr>
        <w:t>Title:</w:t>
        <w:tab/>
        <w:t>Partner</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bullet"/>
      <w:start w:val="1"/>
    </w:lvl>
  </w:abstractNum>
  <w:abstractNum w:abstractNumId="4">
    <w:nsid w:val="4E6AFB66"/>
    <w:multiLevelType w:val="hybridMultilevel"/>
    <w:lvl w:ilvl="0">
      <w:lvlJc w:val="left"/>
      <w:lvlText w:val="2"/>
      <w:numFmt w:val="bullet"/>
      <w:start w:val="1"/>
    </w:lvl>
  </w:abstractNum>
  <w:abstractNum w:abstractNumId="5">
    <w:nsid w:val="25E45D32"/>
    <w:multiLevelType w:val="hybridMultilevel"/>
    <w:lvl w:ilvl="0">
      <w:lvlJc w:val="left"/>
      <w:lvlText w:val="3"/>
      <w:numFmt w:val="bullet"/>
      <w:start w:val="1"/>
    </w:lvl>
  </w:abstractNum>
  <w:abstractNum w:abstractNumId="6">
    <w:nsid w:val="519B500D"/>
    <w:multiLevelType w:val="hybridMultilevel"/>
    <w:lvl w:ilvl="0">
      <w:lvlJc w:val="left"/>
      <w:lvlText w:val="4"/>
      <w:numFmt w:val="bullet"/>
      <w:start w:val="1"/>
    </w:lvl>
  </w:abstractNum>
  <w:abstractNum w:abstractNumId="7">
    <w:nsid w:val="431BD7B7"/>
    <w:multiLevelType w:val="hybridMultilevel"/>
    <w:lvl w:ilvl="0">
      <w:lvlJc w:val="left"/>
      <w:lvlText w:val="5"/>
      <w:numFmt w:val="bullet"/>
      <w:start w:val="1"/>
    </w:lvl>
  </w:abstractNum>
  <w:abstractNum w:abstractNumId="8">
    <w:nsid w:val="3F2DBA31"/>
    <w:multiLevelType w:val="hybridMultilevel"/>
    <w:lvl w:ilvl="0">
      <w:lvlJc w:val="left"/>
      <w:lvlText w:val="9"/>
      <w:numFmt w:val="bullet"/>
      <w:start w:val="1"/>
    </w:lvl>
  </w:abstractNum>
  <w:abstractNum w:abstractNumId="9">
    <w:nsid w:val="7C83E458"/>
    <w:multiLevelType w:val="hybridMultilevel"/>
    <w:lvl w:ilvl="0">
      <w:lvlJc w:val="left"/>
      <w:lvlText w:val="%1"/>
      <w:numFmt w:val="decimal"/>
      <w:start w:val="10"/>
    </w:lvl>
  </w:abstractNum>
  <w:abstractNum w:abstractNumId="10">
    <w:nsid w:val="257130A3"/>
    <w:multiLevelType w:val="hybridMultilevel"/>
    <w:lvl w:ilvl="0">
      <w:lvlJc w:val="left"/>
      <w:lvlText w:val="1"/>
      <w:numFmt w:val="bullet"/>
      <w:start w:val="1"/>
    </w:lvl>
  </w:abstractNum>
  <w:abstractNum w:abstractNumId="11">
    <w:nsid w:val="62BBD95A"/>
    <w:multiLevelType w:val="hybridMultilevel"/>
    <w:lvl w:ilvl="0">
      <w:lvlJc w:val="left"/>
      <w:lvlText w:val="2"/>
      <w:numFmt w:val="bullet"/>
      <w:start w:val="1"/>
    </w:lvl>
  </w:abstractNum>
  <w:abstractNum w:abstractNumId="12">
    <w:nsid w:val="436C6125"/>
    <w:multiLevelType w:val="hybridMultilevel"/>
    <w:lvl w:ilvl="0">
      <w:lvlJc w:val="left"/>
      <w:lvlText w:val="3"/>
      <w:numFmt w:val="bullet"/>
      <w:start w:val="1"/>
    </w:lvl>
  </w:abstractNum>
  <w:abstractNum w:abstractNumId="13">
    <w:nsid w:val="628C895D"/>
    <w:multiLevelType w:val="hybridMultilevel"/>
    <w:lvl w:ilvl="0">
      <w:lvlJc w:val="left"/>
      <w:lvlText w:val="4"/>
      <w:numFmt w:val="bullet"/>
      <w:start w:val="1"/>
    </w:lvl>
  </w:abstractNum>
  <w:abstractNum w:abstractNumId="14">
    <w:nsid w:val="333AB105"/>
    <w:multiLevelType w:val="hybridMultilevel"/>
    <w:lvl w:ilvl="0">
      <w:lvlJc w:val="left"/>
      <w:lvlText w:val="9"/>
      <w:numFmt w:val="bullet"/>
      <w:start w:val="1"/>
    </w:lvl>
  </w:abstractNum>
  <w:abstractNum w:abstractNumId="15">
    <w:nsid w:val="721DA317"/>
    <w:multiLevelType w:val="hybridMultilevel"/>
    <w:lvl w:ilvl="0">
      <w:lvlJc w:val="left"/>
      <w:lvlText w:val="%1"/>
      <w:numFmt w:val="decimal"/>
      <w:start w:val="10"/>
    </w:lvl>
  </w:abstractNum>
  <w:abstractNum w:abstractNumId="16">
    <w:nsid w:val="2443A858"/>
    <w:multiLevelType w:val="hybridMultilevel"/>
    <w:lvl w:ilvl="0">
      <w:lvlJc w:val="left"/>
      <w:lvlText w:val="1"/>
      <w:numFmt w:val="bullet"/>
      <w:start w:val="1"/>
    </w:lvl>
  </w:abstractNum>
  <w:abstractNum w:abstractNumId="17">
    <w:nsid w:val="2D1D5AE9"/>
    <w:multiLevelType w:val="hybridMultilevel"/>
    <w:lvl w:ilvl="0">
      <w:lvlJc w:val="left"/>
      <w:lvlText w:val="2"/>
      <w:numFmt w:val="bullet"/>
      <w:start w:val="1"/>
    </w:lvl>
  </w:abstractNum>
  <w:abstractNum w:abstractNumId="18">
    <w:nsid w:val="6763845E"/>
    <w:multiLevelType w:val="hybridMultilevel"/>
    <w:lvl w:ilvl="0">
      <w:lvlJc w:val="left"/>
      <w:lvlText w:val="3"/>
      <w:numFmt w:val="bullet"/>
      <w:start w:val="1"/>
    </w:lvl>
  </w:abstractNum>
  <w:abstractNum w:abstractNumId="19">
    <w:nsid w:val="75A2A8D4"/>
    <w:multiLevelType w:val="hybridMultilevel"/>
    <w:lvl w:ilvl="0">
      <w:lvlJc w:val="left"/>
      <w:lvlText w:val="4"/>
      <w:numFmt w:val="bullet"/>
      <w:start w:val="1"/>
    </w:lvl>
  </w:abstractNum>
  <w:abstractNum w:abstractNumId="20">
    <w:nsid w:val="8EDBDAB"/>
    <w:multiLevelType w:val="hybridMultilevel"/>
    <w:lvl w:ilvl="0">
      <w:lvlJc w:val="left"/>
      <w:lvlText w:val="9"/>
      <w:numFmt w:val="bullet"/>
      <w:start w:val="1"/>
    </w:lvl>
  </w:abstractNum>
  <w:abstractNum w:abstractNumId="21">
    <w:nsid w:val="79838CB2"/>
    <w:multiLevelType w:val="hybridMultilevel"/>
    <w:lvl w:ilvl="0">
      <w:lvlJc w:val="left"/>
      <w:lvlText w:val="%1"/>
      <w:numFmt w:val="decimal"/>
      <w:start w:val="10"/>
    </w:lvl>
  </w:abstractNum>
  <w:abstractNum w:abstractNumId="22">
    <w:nsid w:val="4353D0CD"/>
    <w:multiLevelType w:val="hybridMultilevel"/>
    <w:lvl w:ilvl="0">
      <w:lvlJc w:val="left"/>
      <w:lvlText w:val="%1"/>
      <w:numFmt w:val="upperLetter"/>
      <w:start w:val="61"/>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lowerRoman"/>
      <w:start w:val="2"/>
    </w:lvl>
  </w:abstractNum>
  <w:abstractNum w:abstractNumId="25">
    <w:nsid w:val="54E49EB4"/>
    <w:multiLevelType w:val="hybridMultilevel"/>
    <w:lvl w:ilvl="0">
      <w:lvlJc w:val="left"/>
      <w:lvlText w:val="(%1)"/>
      <w:numFmt w:val="lowerRoman"/>
      <w:start w:val="1"/>
    </w:lvl>
  </w:abstractNum>
  <w:abstractNum w:abstractNumId="26">
    <w:nsid w:val="71F32454"/>
    <w:multiLevelType w:val="hybridMultilevel"/>
    <w:lvl w:ilvl="0">
      <w:lvlJc w:val="left"/>
      <w:lvlText w:val="(%1)"/>
      <w:numFmt w:val="lowerRoman"/>
      <w:start w:val="3"/>
    </w:lvl>
  </w:abstractNum>
  <w:abstractNum w:abstractNumId="27">
    <w:nsid w:val="2CA8861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2024-01-22T15:40:05Z</dcterms:created>
  <dcterms:modified xsi:type="dcterms:W3CDTF">2024-01-22T15:40:05Z</dcterms:modified>
</cp:coreProperties>
</file>