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38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38190"/>
                    </a:xfrm>
                    <a:prstGeom prst="rect">
                      <a:avLst/>
                    </a:prstGeom>
                    <a:noFill/>
                  </pic:spPr>
                </pic:pic>
              </a:graphicData>
            </a:graphic>
          </wp:anchor>
        </w:drawing>
      </w:r>
    </w:p>
    <w:p>
      <w:pPr>
        <w:sectPr>
          <w:pgSz w:w="11900" w:h="16838" w:orient="portrait"/>
          <w:cols w:equalWidth="0" w:num="1">
            <w:col w:w="10940"/>
          </w:cols>
          <w:pgMar w:left="480" w:top="230" w:right="479" w:bottom="5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Bjork Elisabeth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00" w:type="dxa"/>
            <w:vAlign w:val="bottom"/>
            <w:tcBorders>
              <w:top w:val="single" w:sz="8" w:color="0000EE"/>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55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55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15,167</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03/03/2027</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03/03/2036</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16,500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03/12/2026</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03/12/2035</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04/11/2026</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04/11/2034</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14,000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04/06/2033</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21,000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04/01/2032</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01/01/2032</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14.39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-5,500 RSUs from an award granted March 3, 2026 of which 100% will vest March 3,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100% of the option vest on the 12-month anniversary.</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January 1, 2023 with the remaining shares vesting in 1/48 monthly installments thereafter.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Marnus Nel,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Elisabeth Bjork</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0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50"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3239770</wp:posOffset>
            </wp:positionH>
            <wp:positionV relativeFrom="paragraph">
              <wp:posOffset>364490</wp:posOffset>
            </wp:positionV>
            <wp:extent cx="1791335"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1335"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810406"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2026-03-18T13:25:13Z</dcterms:created>
  <dcterms:modified xsi:type="dcterms:W3CDTF">2026-03-18T13:25:13Z</dcterms:modified>
</cp:coreProperties>
</file>