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Taxation Update</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Pharvaris N.V. (the “Company”) is filing this Report on Form 6-K for the sole purpose of updating and supplementing its disclosure regarding material United States federal income tax and Dutch tax considerations of owning and disposing of ordinary shares of the Company. The updated disclosure, which is attached hereto as Exhibit 99.1 and incorporated herein by reference, updates and supplements the Company’s prior disclosures, including those discussed under the heading Item 10.E. “Taxation” in the Company’s Annual Report on Form 20-F for the year ended December 31, 2022 filed with the Securities and Exchange Commission on April 5, 2023. The information included in this Form 6-K (including Exhibit 99.1) is hereby incorporated by reference into the Company’s Registration Statement on Form F-3 (File No. 333- 263198) and the Company’s Registration Statement on Form S-8 (File No. 333-252897).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40" w:type="dxa"/>
            <w:vAlign w:val="bottom"/>
          </w:tcPr>
          <w:p>
            <w:pPr>
              <w:spacing w:after="0"/>
              <w:rPr>
                <w:sz w:val="21"/>
                <w:szCs w:val="21"/>
                <w:color w:val="auto"/>
              </w:rPr>
            </w:pPr>
          </w:p>
        </w:tc>
        <w:tc>
          <w:tcPr>
            <w:tcW w:w="7600" w:type="dxa"/>
            <w:vAlign w:val="bottom"/>
            <w:gridSpan w:val="2"/>
          </w:tcPr>
          <w:p>
            <w:pPr>
              <w:ind w:left="198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40" w:type="dxa"/>
            <w:vAlign w:val="bottom"/>
          </w:tcPr>
          <w:p>
            <w:pPr>
              <w:ind w:left="20"/>
              <w:spacing w:after="0"/>
              <w:rPr>
                <w:sz w:val="20"/>
                <w:szCs w:val="20"/>
                <w:color w:val="auto"/>
              </w:rPr>
            </w:pPr>
            <w:r>
              <w:rPr>
                <w:rFonts w:ascii="Arial" w:cs="Arial" w:eastAsia="Arial" w:hAnsi="Arial"/>
                <w:sz w:val="18"/>
                <w:szCs w:val="18"/>
                <w:color w:val="auto"/>
              </w:rPr>
              <w:t>Date: June 27, 2023</w:t>
            </w:r>
          </w:p>
        </w:tc>
        <w:tc>
          <w:tcPr>
            <w:tcW w:w="2920" w:type="dxa"/>
            <w:vAlign w:val="bottom"/>
          </w:tcPr>
          <w:p>
            <w:pPr>
              <w:ind w:left="19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0"/>
        </w:trPr>
        <w:tc>
          <w:tcPr>
            <w:tcW w:w="3640" w:type="dxa"/>
            <w:vAlign w:val="bottom"/>
          </w:tcPr>
          <w:p>
            <w:pPr>
              <w:spacing w:after="0"/>
              <w:rPr>
                <w:sz w:val="19"/>
                <w:szCs w:val="19"/>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640" w:type="dxa"/>
            <w:vAlign w:val="bottom"/>
          </w:tcPr>
          <w:p>
            <w:pPr>
              <w:spacing w:after="0"/>
              <w:rPr>
                <w:sz w:val="21"/>
                <w:szCs w:val="21"/>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3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b w:val="1"/>
          <w:bCs w:val="1"/>
          <w:color w:val="auto"/>
        </w:rPr>
        <w:t>EXHIB INDEX</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MATERIAL UNITED STATES FEDERAL INCOME TAX AND DUTCH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353695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-10160</wp:posOffset>
            </wp:positionV>
            <wp:extent cx="4672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2965" cy="8255"/>
                    </a:xfrm>
                    <a:prstGeom prst="rect">
                      <a:avLst/>
                    </a:prstGeom>
                    <a:noFill/>
                  </pic:spPr>
                </pic:pic>
              </a:graphicData>
            </a:graphic>
          </wp:anchor>
        </w:drawing>
      </w:r>
    </w:p>
    <w:p>
      <w:pPr>
        <w:sectPr>
          <w:pgSz w:w="11900" w:h="16838" w:orient="portrait"/>
          <w:cols w:equalWidth="0" w:num="1">
            <w:col w:w="10119"/>
          </w:cols>
          <w:pgMar w:left="340" w:top="12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MATERIAL UNITED STATES FEDERAL INCOME TAX AND DUTCH TAX CONSIDERATIONS</w:t>
      </w:r>
    </w:p>
    <w:p>
      <w:pPr>
        <w:spacing w:after="0" w:line="170" w:lineRule="exact"/>
        <w:rPr>
          <w:sz w:val="20"/>
          <w:szCs w:val="20"/>
          <w:color w:val="auto"/>
        </w:rPr>
      </w:pPr>
    </w:p>
    <w:p>
      <w:pPr>
        <w:ind w:right="80" w:firstLine="520"/>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60" w:lineRule="exact"/>
        <w:rPr>
          <w:sz w:val="20"/>
          <w:szCs w:val="20"/>
          <w:color w:val="auto"/>
        </w:rPr>
      </w:pPr>
    </w:p>
    <w:p>
      <w:pPr>
        <w:ind w:right="480" w:firstLine="520"/>
        <w:spacing w:after="0" w:line="277"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229" w:lineRule="exact"/>
        <w:rPr>
          <w:sz w:val="20"/>
          <w:szCs w:val="20"/>
          <w:color w:val="auto"/>
        </w:rPr>
      </w:pPr>
    </w:p>
    <w:p>
      <w:pPr>
        <w:ind w:right="80" w:firstLine="374"/>
        <w:spacing w:after="0" w:line="272" w:lineRule="auto"/>
        <w:rPr>
          <w:sz w:val="20"/>
          <w:szCs w:val="20"/>
          <w:color w:val="auto"/>
        </w:rPr>
      </w:pPr>
      <w:r>
        <w:rPr>
          <w:rFonts w:ascii="Arial" w:cs="Arial" w:eastAsia="Arial" w:hAnsi="Arial"/>
          <w:sz w:val="17"/>
          <w:szCs w:val="17"/>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77" w:lineRule="exact"/>
        <w:rPr>
          <w:sz w:val="20"/>
          <w:szCs w:val="20"/>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 or expatriated entities subject to Section 7874 of the Code;</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9" w:lineRule="exact"/>
        <w:rPr>
          <w:rFonts w:ascii="Arial" w:cs="Arial" w:eastAsia="Arial" w:hAnsi="Arial"/>
          <w:sz w:val="18"/>
          <w:szCs w:val="18"/>
          <w:color w:val="auto"/>
        </w:rPr>
      </w:pPr>
    </w:p>
    <w:p>
      <w:pPr>
        <w:ind w:left="760" w:right="340" w:hanging="378"/>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“individual retirement accounts” or “Roth IRAs” or other tax-deferred accounts;</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persons that acquire ordinary shares directly or indirectly in connection with the performance of services;</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w:t>
      </w:r>
    </w:p>
    <w:p>
      <w:pPr>
        <w:spacing w:after="0" w:line="9" w:lineRule="exact"/>
        <w:rPr>
          <w:rFonts w:ascii="Arial" w:cs="Arial" w:eastAsia="Arial" w:hAnsi="Arial"/>
          <w:sz w:val="18"/>
          <w:szCs w:val="18"/>
          <w:color w:val="auto"/>
        </w:rPr>
      </w:pPr>
    </w:p>
    <w:p>
      <w:pPr>
        <w:ind w:left="760" w:right="20" w:hanging="378"/>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 corporations and any investors therein, regulated investment companies, real estate investment trusts, real estate mortgage investment conduits; or</w:t>
      </w: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11"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87"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38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individual who is a citizen or resident in the US;</w:t>
      </w:r>
    </w:p>
    <w:p>
      <w:pPr>
        <w:spacing w:after="0" w:line="23" w:lineRule="exact"/>
        <w:rPr>
          <w:rFonts w:ascii="Arial" w:cs="Arial" w:eastAsia="Arial" w:hAnsi="Arial"/>
          <w:sz w:val="18"/>
          <w:szCs w:val="18"/>
          <w:color w:val="auto"/>
        </w:rPr>
      </w:pPr>
    </w:p>
    <w:p>
      <w:pPr>
        <w:ind w:left="760" w:right="520" w:hanging="378"/>
        <w:spacing w:after="0" w:line="250"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760" w:right="160" w:hanging="378"/>
        <w:spacing w:after="0" w:line="25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90" w:lineRule="exact"/>
        <w:rPr>
          <w:sz w:val="20"/>
          <w:szCs w:val="20"/>
          <w:color w:val="auto"/>
        </w:rPr>
      </w:pPr>
    </w:p>
    <w:p>
      <w:pPr>
        <w:ind w:right="280" w:firstLine="374"/>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United States Internal Revenue Code.</w:t>
      </w:r>
    </w:p>
    <w:p>
      <w:pPr>
        <w:spacing w:after="0" w:line="174"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6"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right="60" w:firstLine="374"/>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20" w:firstLine="374"/>
        <w:spacing w:after="0" w:line="285"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2021 and we do not expect to be a PFIC for our current taxable year or in the foreseeable future. In addition, we may, directly or indirectly, hold equity interests in other PFICs, or Lower-tier PFICs. Whether we or any of our subsidiaries will be a PFIC in 2022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2022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76"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w:t>
      </w:r>
    </w:p>
    <w:p>
      <w:pPr>
        <w:ind w:right="280" w:firstLine="8"/>
        <w:spacing w:after="0" w:line="260"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disposition of shares of a Lower-tier PFIC, in each case as if the U.S. Holder held such shares directly, even if the U.S. Holder has not received the proceeds of those distributions or dispositions.</w:t>
      </w:r>
    </w:p>
    <w:p>
      <w:pPr>
        <w:spacing w:after="0" w:line="18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1"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140"/>
        <w:spacing w:after="0" w:line="271" w:lineRule="auto"/>
        <w:rPr>
          <w:sz w:val="20"/>
          <w:szCs w:val="20"/>
          <w:color w:val="auto"/>
        </w:rPr>
      </w:pPr>
      <w:r>
        <w:rPr>
          <w:rFonts w:ascii="Arial" w:cs="Arial" w:eastAsia="Arial" w:hAnsi="Arial"/>
          <w:sz w:val="17"/>
          <w:szCs w:val="17"/>
          <w:color w:val="auto"/>
        </w:rPr>
        <w:t>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78"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69"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225"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0" w:lineRule="exact"/>
        <w:rPr>
          <w:sz w:val="20"/>
          <w:szCs w:val="20"/>
          <w:color w:val="auto"/>
        </w:rPr>
      </w:pPr>
    </w:p>
    <w:p>
      <w:pPr>
        <w:ind w:right="60" w:firstLine="374"/>
        <w:spacing w:after="0" w:line="258"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Reporting and Backup Withholding</w:t>
      </w:r>
    </w:p>
    <w:p>
      <w:pPr>
        <w:spacing w:after="0" w:line="211"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Dutch Tax Considerations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85" w:lineRule="exact"/>
        <w:rPr>
          <w:sz w:val="20"/>
          <w:szCs w:val="20"/>
          <w:color w:val="auto"/>
        </w:rPr>
      </w:pPr>
    </w:p>
    <w:p>
      <w:pPr>
        <w:ind w:right="40" w:firstLine="520"/>
        <w:spacing w:after="0" w:line="279" w:lineRule="auto"/>
        <w:rPr>
          <w:sz w:val="20"/>
          <w:szCs w:val="20"/>
          <w:color w:val="auto"/>
        </w:rPr>
      </w:pPr>
      <w:r>
        <w:rPr>
          <w:rFonts w:ascii="Arial" w:cs="Arial" w:eastAsia="Arial" w:hAnsi="Arial"/>
          <w:sz w:val="17"/>
          <w:szCs w:val="17"/>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44" w:lineRule="exact"/>
        <w:rPr>
          <w:sz w:val="20"/>
          <w:szCs w:val="20"/>
          <w:color w:val="auto"/>
        </w:rPr>
      </w:pPr>
    </w:p>
    <w:p>
      <w:pPr>
        <w:ind w:firstLine="520"/>
        <w:spacing w:after="0" w:line="279" w:lineRule="auto"/>
        <w:rPr>
          <w:sz w:val="20"/>
          <w:szCs w:val="20"/>
          <w:color w:val="auto"/>
        </w:rPr>
      </w:pPr>
      <w:r>
        <w:rPr>
          <w:rFonts w:ascii="Arial" w:cs="Arial" w:eastAsia="Arial" w:hAnsi="Arial"/>
          <w:sz w:val="17"/>
          <w:szCs w:val="17"/>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31" w:lineRule="exact"/>
        <w:rPr>
          <w:sz w:val="20"/>
          <w:szCs w:val="20"/>
          <w:color w:val="auto"/>
        </w:rPr>
      </w:pPr>
    </w:p>
    <w:p>
      <w:pPr>
        <w:ind w:right="160" w:firstLine="520"/>
        <w:spacing w:after="0" w:line="257" w:lineRule="auto"/>
        <w:rPr>
          <w:sz w:val="20"/>
          <w:szCs w:val="20"/>
          <w:color w:val="auto"/>
        </w:rPr>
      </w:pPr>
      <w:r>
        <w:rPr>
          <w:rFonts w:ascii="Arial" w:cs="Arial" w:eastAsia="Arial" w:hAnsi="Arial"/>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17" w:lineRule="exact"/>
        <w:rPr>
          <w:sz w:val="20"/>
          <w:szCs w:val="20"/>
          <w:color w:val="auto"/>
        </w:rPr>
      </w:pPr>
    </w:p>
    <w:p>
      <w:pPr>
        <w:ind w:left="1340" w:right="40" w:hanging="747"/>
        <w:spacing w:after="0" w:line="270" w:lineRule="auto"/>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holder of our ordinary shares if such holder has a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or deemed substantial interest (</w:t>
      </w:r>
      <w:r>
        <w:rPr>
          <w:rFonts w:ascii="Arial" w:cs="Arial" w:eastAsia="Arial" w:hAnsi="Arial"/>
          <w:sz w:val="17"/>
          <w:szCs w:val="17"/>
          <w:i w:val="1"/>
          <w:iCs w:val="1"/>
          <w:color w:val="auto"/>
        </w:rPr>
        <w:t>fictief</w:t>
      </w:r>
      <w:r>
        <w:rPr>
          <w:rFonts w:ascii="Arial" w:cs="Arial" w:eastAsia="Arial" w:hAnsi="Arial"/>
          <w:sz w:val="17"/>
          <w:szCs w:val="17"/>
          <w:color w:val="auto"/>
        </w:rPr>
        <w:t xml:space="preserve"> </w:t>
      </w:r>
      <w:r>
        <w:rPr>
          <w:rFonts w:ascii="Arial" w:cs="Arial" w:eastAsia="Arial" w:hAnsi="Arial"/>
          <w:sz w:val="17"/>
          <w:szCs w:val="17"/>
          <w:i w:val="1"/>
          <w:iCs w:val="1"/>
          <w:color w:val="auto"/>
        </w:rPr>
        <w:t>aanmerkelijk belang</w:t>
      </w:r>
      <w:r>
        <w:rPr>
          <w:rFonts w:ascii="Arial" w:cs="Arial" w:eastAsia="Arial" w:hAnsi="Arial"/>
          <w:sz w:val="17"/>
          <w:szCs w:val="17"/>
          <w:color w:val="auto"/>
        </w:rPr>
        <w:t>) in us under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Generally, a holder of securities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396" w:lineRule="exact"/>
        <w:rPr>
          <w:rFonts w:ascii="Arial" w:cs="Arial" w:eastAsia="Arial" w:hAnsi="Arial"/>
          <w:sz w:val="17"/>
          <w:szCs w:val="17"/>
          <w:color w:val="auto"/>
        </w:rPr>
      </w:pPr>
    </w:p>
    <w:p>
      <w:pPr>
        <w:ind w:left="1340" w:right="140" w:hanging="747"/>
        <w:spacing w:after="0" w:line="263"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holder of our ordinary shares, if the ordinary shares held by such holder qualify or qualified as a participation (</w:t>
      </w:r>
      <w:r>
        <w:rPr>
          <w:rFonts w:ascii="Arial" w:cs="Arial" w:eastAsia="Arial" w:hAnsi="Arial"/>
          <w:sz w:val="18"/>
          <w:szCs w:val="18"/>
          <w:i w:val="1"/>
          <w:iCs w:val="1"/>
          <w:color w:val="auto"/>
        </w:rPr>
        <w:t>deelneming</w:t>
      </w:r>
      <w:r>
        <w:rPr>
          <w:rFonts w:ascii="Arial" w:cs="Arial" w:eastAsia="Arial" w:hAnsi="Arial"/>
          <w:sz w:val="18"/>
          <w:szCs w:val="18"/>
          <w:color w:val="auto"/>
        </w:rPr>
        <w:t>) for purposes of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Generally, a holder’s shareholding of 5% or more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jc w:val="both"/>
        <w:ind w:left="1340" w:right="60"/>
        <w:spacing w:after="0" w:line="263" w:lineRule="auto"/>
        <w:rPr>
          <w:sz w:val="20"/>
          <w:szCs w:val="20"/>
          <w:color w:val="auto"/>
        </w:rPr>
      </w:pPr>
      <w:r>
        <w:rPr>
          <w:rFonts w:ascii="Arial" w:cs="Arial" w:eastAsia="Arial" w:hAnsi="Arial"/>
          <w:sz w:val="18"/>
          <w:szCs w:val="18"/>
          <w:color w:val="auto"/>
        </w:rPr>
        <w:t>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400" w:lineRule="exact"/>
        <w:rPr>
          <w:sz w:val="20"/>
          <w:szCs w:val="20"/>
          <w:color w:val="auto"/>
        </w:rPr>
      </w:pPr>
    </w:p>
    <w:p>
      <w:pPr>
        <w:ind w:left="1340" w:right="100" w:hanging="747"/>
        <w:spacing w:after="0" w:line="25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holder of our ordinary shares which is or who is entitled to the dividend withholding tax exemption (</w:t>
      </w:r>
      <w:r>
        <w:rPr>
          <w:rFonts w:ascii="Arial" w:cs="Arial" w:eastAsia="Arial" w:hAnsi="Arial"/>
          <w:sz w:val="18"/>
          <w:szCs w:val="18"/>
          <w:i w:val="1"/>
          <w:iCs w:val="1"/>
          <w:color w:val="auto"/>
        </w:rPr>
        <w:t>inhoudingsvrijstelling</w:t>
      </w:r>
      <w:r>
        <w:rPr>
          <w:rFonts w:ascii="Arial" w:cs="Arial" w:eastAsia="Arial" w:hAnsi="Arial"/>
          <w:sz w:val="18"/>
          <w:szCs w:val="18"/>
          <w:color w:val="auto"/>
        </w:rPr>
        <w:t>) with respect to any income (</w:t>
      </w:r>
      <w:r>
        <w:rPr>
          <w:rFonts w:ascii="Arial" w:cs="Arial" w:eastAsia="Arial" w:hAnsi="Arial"/>
          <w:sz w:val="18"/>
          <w:szCs w:val="18"/>
          <w:i w:val="1"/>
          <w:iCs w:val="1"/>
          <w:color w:val="auto"/>
        </w:rPr>
        <w:t>opbrengst</w:t>
      </w:r>
      <w:r>
        <w:rPr>
          <w:rFonts w:ascii="Arial" w:cs="Arial" w:eastAsia="Arial" w:hAnsi="Arial"/>
          <w:sz w:val="18"/>
          <w:szCs w:val="18"/>
          <w:color w:val="auto"/>
        </w:rPr>
        <w:t>) derived from the ordinary shares (as defined in Article 4 of the Dutch Dividend Withholding Tax Act 1965 (</w:t>
      </w:r>
      <w:r>
        <w:rPr>
          <w:rFonts w:ascii="Arial" w:cs="Arial" w:eastAsia="Arial" w:hAnsi="Arial"/>
          <w:sz w:val="18"/>
          <w:szCs w:val="18"/>
          <w:i w:val="1"/>
          <w:iCs w:val="1"/>
          <w:color w:val="auto"/>
        </w:rPr>
        <w:t>Wet op de dividendbelasting</w:t>
      </w:r>
      <w:r>
        <w:rPr>
          <w:rFonts w:ascii="Arial" w:cs="Arial" w:eastAsia="Arial" w:hAnsi="Arial"/>
          <w:sz w:val="18"/>
          <w:szCs w:val="18"/>
          <w:color w:val="auto"/>
        </w:rPr>
        <w:t>). Generally, a holder of our ordinary shares may be entitled or required to apply, subject to certain other requirements, the dividend withholding tax exemption if it is an entity and holds an interest of 5% or more in our nominal paid-up shares capital;</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40" w:hanging="747"/>
        <w:spacing w:after="0" w:line="273" w:lineRule="auto"/>
        <w:tabs>
          <w:tab w:leader="none" w:pos="1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pension funds, investment institutions (</w:t>
      </w:r>
      <w:r>
        <w:rPr>
          <w:rFonts w:ascii="Arial" w:cs="Arial" w:eastAsia="Arial" w:hAnsi="Arial"/>
          <w:sz w:val="17"/>
          <w:szCs w:val="17"/>
          <w:i w:val="1"/>
          <w:iCs w:val="1"/>
          <w:color w:val="auto"/>
        </w:rPr>
        <w:t>fiscale beleggingsinstellingen</w:t>
      </w:r>
      <w:r>
        <w:rPr>
          <w:rFonts w:ascii="Arial" w:cs="Arial" w:eastAsia="Arial" w:hAnsi="Arial"/>
          <w:sz w:val="17"/>
          <w:szCs w:val="17"/>
          <w:color w:val="auto"/>
        </w:rPr>
        <w:t>), tax exempt investment institutions (</w:t>
      </w:r>
      <w:r>
        <w:rPr>
          <w:rFonts w:ascii="Arial" w:cs="Arial" w:eastAsia="Arial" w:hAnsi="Arial"/>
          <w:sz w:val="17"/>
          <w:szCs w:val="17"/>
          <w:i w:val="1"/>
          <w:iCs w:val="1"/>
          <w:color w:val="auto"/>
        </w:rPr>
        <w:t>vrijgestelde</w:t>
      </w:r>
      <w:r>
        <w:rPr>
          <w:rFonts w:ascii="Arial" w:cs="Arial" w:eastAsia="Arial" w:hAnsi="Arial"/>
          <w:sz w:val="17"/>
          <w:szCs w:val="17"/>
          <w:color w:val="auto"/>
        </w:rPr>
        <w:t xml:space="preserve"> </w:t>
      </w:r>
      <w:r>
        <w:rPr>
          <w:rFonts w:ascii="Arial" w:cs="Arial" w:eastAsia="Arial" w:hAnsi="Arial"/>
          <w:sz w:val="17"/>
          <w:szCs w:val="17"/>
          <w:i w:val="1"/>
          <w:iCs w:val="1"/>
          <w:color w:val="auto"/>
        </w:rPr>
        <w:t>beleggingsinstellingen</w:t>
      </w:r>
      <w:r>
        <w:rPr>
          <w:rFonts w:ascii="Arial" w:cs="Arial" w:eastAsia="Arial" w:hAnsi="Arial"/>
          <w:sz w:val="17"/>
          <w:szCs w:val="17"/>
          <w:color w:val="auto"/>
        </w:rPr>
        <w:t>) (each as defined in the Dutch Corporate Income Tax Act 1969) and other entities that are, in whole or in part,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393" w:lineRule="exact"/>
        <w:rPr>
          <w:rFonts w:ascii="Arial" w:cs="Arial" w:eastAsia="Arial" w:hAnsi="Arial"/>
          <w:sz w:val="17"/>
          <w:szCs w:val="17"/>
          <w:color w:val="auto"/>
        </w:rPr>
      </w:pPr>
    </w:p>
    <w:p>
      <w:pPr>
        <w:jc w:val="both"/>
        <w:ind w:left="1340" w:hanging="747"/>
        <w:spacing w:after="0" w:line="263"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640" w:firstLine="520"/>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23" w:lineRule="exact"/>
        <w:rPr>
          <w:sz w:val="20"/>
          <w:szCs w:val="20"/>
          <w:color w:val="auto"/>
        </w:rPr>
      </w:pPr>
    </w:p>
    <w:p>
      <w:pPr>
        <w:ind w:left="760" w:right="460" w:hanging="378"/>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ind w:left="760" w:right="220" w:hanging="378"/>
        <w:spacing w:after="0" w:line="265"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7"/>
          <w:szCs w:val="17"/>
          <w:i w:val="1"/>
          <w:iCs w:val="1"/>
          <w:color w:val="auto"/>
        </w:rPr>
        <w:t>tijdelijke belegging</w:t>
      </w:r>
      <w:r>
        <w:rPr>
          <w:rFonts w:ascii="Arial" w:cs="Arial" w:eastAsia="Arial" w:hAnsi="Arial"/>
          <w:sz w:val="17"/>
          <w:szCs w:val="17"/>
          <w:color w:val="auto"/>
        </w:rPr>
        <w:t>) by us or one of our subsidiaries or other affiliated entities, in each case to the extent such proceeds exceed the average paid-in capital of those ordinary shares as recognized for Dutch dividend withholding tax purposes;</w:t>
      </w:r>
    </w:p>
    <w:p>
      <w:pPr>
        <w:ind w:left="760" w:right="340" w:hanging="378"/>
        <w:spacing w:after="0" w:line="265"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ind w:left="760" w:right="340" w:hanging="378"/>
        <w:spacing w:after="0" w:line="25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Dutch dividend withholding tax purposes,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52" w:lineRule="exact"/>
        <w:rPr>
          <w:sz w:val="20"/>
          <w:szCs w:val="20"/>
          <w:color w:val="auto"/>
        </w:rPr>
      </w:pPr>
    </w:p>
    <w:p>
      <w:pPr>
        <w:ind w:firstLine="520"/>
        <w:spacing w:after="0" w:line="293" w:lineRule="auto"/>
        <w:rPr>
          <w:sz w:val="20"/>
          <w:szCs w:val="20"/>
          <w:color w:val="auto"/>
        </w:rPr>
      </w:pPr>
      <w:r>
        <w:rPr>
          <w:rFonts w:ascii="Arial" w:cs="Arial" w:eastAsia="Arial" w:hAnsi="Arial"/>
          <w:sz w:val="16"/>
          <w:szCs w:val="16"/>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shares that are neither resident nor deemed to be resident of the Netherlands ("Non-Resident Holders") if the ordinary shares are attributable to a Dutch permanent establishment of such Non-Resident Holder.</w:t>
      </w:r>
    </w:p>
    <w:p>
      <w:pPr>
        <w:spacing w:after="0" w:line="143" w:lineRule="exact"/>
        <w:rPr>
          <w:sz w:val="20"/>
          <w:szCs w:val="20"/>
          <w:color w:val="auto"/>
        </w:rPr>
      </w:pPr>
    </w:p>
    <w:p>
      <w:pPr>
        <w:jc w:val="both"/>
        <w:ind w:right="40" w:firstLine="520"/>
        <w:spacing w:after="0" w:line="263" w:lineRule="auto"/>
        <w:rPr>
          <w:sz w:val="20"/>
          <w:szCs w:val="20"/>
          <w:color w:val="auto"/>
        </w:rPr>
      </w:pPr>
      <w:r>
        <w:rPr>
          <w:rFonts w:ascii="Arial" w:cs="Arial" w:eastAsia="Arial" w:hAnsi="Arial"/>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Dividend stripping</w:t>
      </w:r>
    </w:p>
    <w:p>
      <w:pPr>
        <w:spacing w:after="0" w:line="185" w:lineRule="exact"/>
        <w:rPr>
          <w:sz w:val="20"/>
          <w:szCs w:val="20"/>
          <w:color w:val="auto"/>
        </w:rPr>
      </w:pPr>
    </w:p>
    <w:p>
      <w:pPr>
        <w:ind w:right="40" w:firstLine="520"/>
        <w:spacing w:after="0" w:line="273" w:lineRule="auto"/>
        <w:rPr>
          <w:sz w:val="20"/>
          <w:szCs w:val="20"/>
          <w:color w:val="auto"/>
        </w:rPr>
      </w:pPr>
      <w:r>
        <w:rPr>
          <w:rFonts w:ascii="Arial" w:cs="Arial" w:eastAsia="Arial" w:hAnsi="Arial"/>
          <w:sz w:val="17"/>
          <w:szCs w:val="17"/>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7"/>
          <w:szCs w:val="17"/>
          <w:i w:val="1"/>
          <w:iCs w:val="1"/>
          <w:color w:val="auto"/>
        </w:rPr>
        <w:t>uiteindelijk gerechtigde</w:t>
      </w:r>
      <w:r>
        <w:rPr>
          <w:rFonts w:ascii="Arial" w:cs="Arial" w:eastAsia="Arial" w:hAnsi="Arial"/>
          <w:sz w:val="17"/>
          <w:szCs w:val="17"/>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5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Conditional withholding tax on dividends (as of January 1, 2024)</w:t>
      </w:r>
    </w:p>
    <w:p>
      <w:pPr>
        <w:spacing w:after="0" w:line="117" w:lineRule="exact"/>
        <w:rPr>
          <w:sz w:val="20"/>
          <w:szCs w:val="20"/>
          <w:color w:val="auto"/>
        </w:rPr>
      </w:pPr>
    </w:p>
    <w:p>
      <w:pPr>
        <w:ind w:right="540" w:firstLine="576"/>
        <w:spacing w:after="0" w:line="277" w:lineRule="auto"/>
        <w:rPr>
          <w:sz w:val="20"/>
          <w:szCs w:val="20"/>
          <w:color w:val="auto"/>
        </w:rPr>
      </w:pPr>
      <w:r>
        <w:rPr>
          <w:rFonts w:ascii="Arial" w:cs="Arial" w:eastAsia="Arial" w:hAnsi="Arial"/>
          <w:sz w:val="18"/>
          <w:szCs w:val="18"/>
          <w:color w:val="auto"/>
        </w:rPr>
        <w:t>As of January 1, 2024, a Dutch conditional withholding tax will be imposed on dividends distributed by us to entities related (</w:t>
      </w:r>
      <w:r>
        <w:rPr>
          <w:rFonts w:ascii="Arial" w:cs="Arial" w:eastAsia="Arial" w:hAnsi="Arial"/>
          <w:sz w:val="18"/>
          <w:szCs w:val="18"/>
          <w:i w:val="1"/>
          <w:iCs w:val="1"/>
          <w:color w:val="auto"/>
        </w:rPr>
        <w:t>gelieerd</w:t>
      </w:r>
      <w:r>
        <w:rPr>
          <w:rFonts w:ascii="Arial" w:cs="Arial" w:eastAsia="Arial" w:hAnsi="Arial"/>
          <w:sz w:val="18"/>
          <w:szCs w:val="18"/>
          <w:color w:val="auto"/>
        </w:rPr>
        <w:t xml:space="preserve">) to us (within the meaning of the Dutch Withholding Tax Act 2021; </w:t>
      </w:r>
      <w:r>
        <w:rPr>
          <w:rFonts w:ascii="Arial" w:cs="Arial" w:eastAsia="Arial" w:hAnsi="Arial"/>
          <w:sz w:val="18"/>
          <w:szCs w:val="18"/>
          <w:i w:val="1"/>
          <w:iCs w:val="1"/>
          <w:color w:val="auto"/>
        </w:rPr>
        <w:t>Wet bronbelasting 2021</w:t>
      </w:r>
      <w:r>
        <w:rPr>
          <w:rFonts w:ascii="Arial" w:cs="Arial" w:eastAsia="Arial" w:hAnsi="Arial"/>
          <w:sz w:val="18"/>
          <w:szCs w:val="18"/>
          <w:color w:val="auto"/>
        </w:rPr>
        <w:t>), if such related entity:</w:t>
      </w:r>
    </w:p>
    <w:p>
      <w:pPr>
        <w:spacing w:after="0" w:line="62" w:lineRule="exact"/>
        <w:rPr>
          <w:sz w:val="20"/>
          <w:szCs w:val="20"/>
          <w:color w:val="auto"/>
        </w:rPr>
      </w:pPr>
    </w:p>
    <w:p>
      <w:pPr>
        <w:ind w:left="1340" w:right="300" w:hanging="747"/>
        <w:spacing w:after="0" w:line="263"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considered to be resident (gevestigd) in a jurisdiction that is listed in the yearly updated Dutch Regulation on low-taxing states and non-cooperative jurisdictions for tax purposes (</w:t>
      </w:r>
      <w:r>
        <w:rPr>
          <w:rFonts w:ascii="Arial" w:cs="Arial" w:eastAsia="Arial" w:hAnsi="Arial"/>
          <w:sz w:val="18"/>
          <w:szCs w:val="18"/>
          <w:i w:val="1"/>
          <w:iCs w:val="1"/>
          <w:color w:val="auto"/>
        </w:rPr>
        <w:t>Regeling laagbelastende staten en niet-coöperatieve rechtsgebieden voor</w:t>
      </w:r>
      <w:r>
        <w:rPr>
          <w:rFonts w:ascii="Arial" w:cs="Arial" w:eastAsia="Arial" w:hAnsi="Arial"/>
          <w:sz w:val="18"/>
          <w:szCs w:val="18"/>
          <w:color w:val="auto"/>
        </w:rPr>
        <w:t xml:space="preserve"> </w:t>
      </w:r>
      <w:r>
        <w:rPr>
          <w:rFonts w:ascii="Arial" w:cs="Arial" w:eastAsia="Arial" w:hAnsi="Arial"/>
          <w:sz w:val="18"/>
          <w:szCs w:val="18"/>
          <w:i w:val="1"/>
          <w:iCs w:val="1"/>
          <w:color w:val="auto"/>
        </w:rPr>
        <w:t>belastingdoeleinden</w:t>
      </w:r>
      <w:r>
        <w:rPr>
          <w:rFonts w:ascii="Arial" w:cs="Arial" w:eastAsia="Arial" w:hAnsi="Arial"/>
          <w:sz w:val="18"/>
          <w:szCs w:val="18"/>
          <w:color w:val="auto"/>
        </w:rPr>
        <w:t>) (a "Listed Jurisdiction"); or</w:t>
      </w:r>
    </w:p>
    <w:p>
      <w:pPr>
        <w:spacing w:after="0" w:line="75" w:lineRule="exact"/>
        <w:rPr>
          <w:rFonts w:ascii="Arial" w:cs="Arial" w:eastAsia="Arial" w:hAnsi="Arial"/>
          <w:sz w:val="18"/>
          <w:szCs w:val="18"/>
          <w:color w:val="auto"/>
        </w:rPr>
      </w:pPr>
    </w:p>
    <w:p>
      <w:pPr>
        <w:ind w:left="1340" w:hanging="74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has a permanent establishment located in a Listed Jurisdiction to which the ordinary shares are attributable; or</w:t>
      </w:r>
    </w:p>
    <w:p>
      <w:pPr>
        <w:spacing w:after="0" w:line="117" w:lineRule="exact"/>
        <w:rPr>
          <w:rFonts w:ascii="Arial" w:cs="Arial" w:eastAsia="Arial" w:hAnsi="Arial"/>
          <w:sz w:val="18"/>
          <w:szCs w:val="18"/>
          <w:color w:val="auto"/>
        </w:rPr>
      </w:pPr>
    </w:p>
    <w:p>
      <w:pPr>
        <w:ind w:left="1340" w:hanging="74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62" w:lineRule="exact"/>
        <w:rPr>
          <w:rFonts w:ascii="Arial" w:cs="Arial" w:eastAsia="Arial" w:hAnsi="Arial"/>
          <w:sz w:val="18"/>
          <w:szCs w:val="18"/>
          <w:color w:val="auto"/>
        </w:rPr>
      </w:pPr>
    </w:p>
    <w:p>
      <w:pPr>
        <w:ind w:left="1340" w:right="80" w:hanging="74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62" w:lineRule="exact"/>
        <w:rPr>
          <w:rFonts w:ascii="Arial" w:cs="Arial" w:eastAsia="Arial" w:hAnsi="Arial"/>
          <w:sz w:val="18"/>
          <w:szCs w:val="18"/>
          <w:color w:val="auto"/>
        </w:rPr>
      </w:pPr>
    </w:p>
    <w:p>
      <w:pPr>
        <w:ind w:left="1340" w:hanging="74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not resident in any jurisdiction (also a hybrid mismatch); or</w:t>
      </w:r>
    </w:p>
    <w:p>
      <w:pPr>
        <w:spacing w:after="0" w:line="117" w:lineRule="exact"/>
        <w:rPr>
          <w:rFonts w:ascii="Arial" w:cs="Arial" w:eastAsia="Arial" w:hAnsi="Arial"/>
          <w:sz w:val="18"/>
          <w:szCs w:val="18"/>
          <w:color w:val="auto"/>
        </w:rPr>
      </w:pPr>
    </w:p>
    <w:p>
      <w:pPr>
        <w:ind w:left="1340" w:right="140" w:hanging="747"/>
        <w:spacing w:after="0" w:line="279" w:lineRule="auto"/>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7"/>
          <w:szCs w:val="17"/>
          <w:i w:val="1"/>
          <w:iCs w:val="1"/>
          <w:color w:val="auto"/>
        </w:rPr>
        <w:t>gelieerd</w:t>
      </w:r>
      <w:r>
        <w:rPr>
          <w:rFonts w:ascii="Arial" w:cs="Arial" w:eastAsia="Arial" w:hAnsi="Arial"/>
          <w:sz w:val="17"/>
          <w:szCs w:val="17"/>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within the meaning of the Dutch Withholding Tax Act 2021.</w:t>
      </w:r>
    </w:p>
    <w:p>
      <w:pPr>
        <w:spacing w:after="0" w:line="117" w:lineRule="exact"/>
        <w:rPr>
          <w:sz w:val="20"/>
          <w:szCs w:val="20"/>
          <w:color w:val="auto"/>
        </w:rPr>
      </w:pPr>
    </w:p>
    <w:p>
      <w:pPr>
        <w:ind w:right="200" w:firstLine="576"/>
        <w:spacing w:after="0" w:line="275" w:lineRule="auto"/>
        <w:rPr>
          <w:sz w:val="20"/>
          <w:szCs w:val="20"/>
          <w:color w:val="auto"/>
        </w:rPr>
      </w:pPr>
      <w:r>
        <w:rPr>
          <w:rFonts w:ascii="Arial" w:cs="Arial" w:eastAsia="Arial" w:hAnsi="Arial"/>
          <w:sz w:val="17"/>
          <w:szCs w:val="17"/>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36"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Dutch Resident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2" w:name="page13"/>
    <w:bookmarkEnd w:id="12"/>
    <w:p>
      <w:pPr>
        <w:ind w:right="180" w:firstLine="520"/>
        <w:spacing w:after="0" w:line="286" w:lineRule="auto"/>
        <w:rPr>
          <w:sz w:val="20"/>
          <w:szCs w:val="20"/>
          <w:color w:val="auto"/>
        </w:rPr>
      </w:pPr>
      <w:r>
        <w:rPr>
          <w:rFonts w:ascii="Arial" w:cs="Arial" w:eastAsia="Arial" w:hAnsi="Arial"/>
          <w:sz w:val="17"/>
          <w:szCs w:val="17"/>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2023).</w:t>
      </w:r>
    </w:p>
    <w:p>
      <w:pPr>
        <w:spacing w:after="0" w:line="138"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Dutch Resident Individuals</w:t>
      </w:r>
    </w:p>
    <w:p>
      <w:pPr>
        <w:spacing w:after="0" w:line="185" w:lineRule="exact"/>
        <w:rPr>
          <w:sz w:val="20"/>
          <w:szCs w:val="20"/>
          <w:color w:val="auto"/>
        </w:rPr>
      </w:pPr>
    </w:p>
    <w:p>
      <w:pPr>
        <w:jc w:val="both"/>
        <w:ind w:right="360" w:firstLine="520"/>
        <w:spacing w:after="0" w:line="263" w:lineRule="auto"/>
        <w:rPr>
          <w:sz w:val="20"/>
          <w:szCs w:val="20"/>
          <w:color w:val="auto"/>
        </w:rPr>
      </w:pPr>
      <w:r>
        <w:rPr>
          <w:rFonts w:ascii="Arial" w:cs="Arial" w:eastAsia="Arial" w:hAnsi="Arial"/>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2023), if:</w:t>
      </w:r>
    </w:p>
    <w:p>
      <w:pPr>
        <w:spacing w:after="0" w:line="76" w:lineRule="exact"/>
        <w:rPr>
          <w:sz w:val="20"/>
          <w:szCs w:val="20"/>
          <w:color w:val="auto"/>
        </w:rPr>
      </w:pPr>
    </w:p>
    <w:p>
      <w:pPr>
        <w:ind w:left="1340" w:hanging="373"/>
        <w:spacing w:after="0" w:line="263"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ordinary shares are attributable to an enterprise from which the holder of ordinary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75" w:lineRule="exact"/>
        <w:rPr>
          <w:rFonts w:ascii="Arial" w:cs="Arial" w:eastAsia="Arial" w:hAnsi="Arial"/>
          <w:sz w:val="18"/>
          <w:szCs w:val="18"/>
          <w:color w:val="auto"/>
        </w:rPr>
      </w:pPr>
    </w:p>
    <w:p>
      <w:pPr>
        <w:ind w:left="1340" w:right="120" w:hanging="373"/>
        <w:spacing w:after="0" w:line="263"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otherwise derives benefits from the ordinary shares that are taxable as benefits from miscellaneous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Taxation of savings and investments</w:t>
      </w:r>
    </w:p>
    <w:p>
      <w:pPr>
        <w:spacing w:after="0" w:line="198" w:lineRule="exact"/>
        <w:rPr>
          <w:sz w:val="20"/>
          <w:szCs w:val="20"/>
          <w:color w:val="auto"/>
        </w:rPr>
      </w:pPr>
    </w:p>
    <w:p>
      <w:pPr>
        <w:ind w:right="40" w:firstLine="520"/>
        <w:spacing w:after="0" w:line="275" w:lineRule="auto"/>
        <w:rPr>
          <w:sz w:val="20"/>
          <w:szCs w:val="20"/>
          <w:color w:val="auto"/>
        </w:rPr>
      </w:pPr>
      <w:r>
        <w:rPr>
          <w:rFonts w:ascii="Arial" w:cs="Arial" w:eastAsia="Arial" w:hAnsi="Arial"/>
          <w:sz w:val="17"/>
          <w:szCs w:val="17"/>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7"/>
          <w:szCs w:val="17"/>
          <w:i w:val="1"/>
          <w:iCs w:val="1"/>
          <w:color w:val="auto"/>
        </w:rPr>
        <w:t>inkomen uit sparen en beleggen</w:t>
      </w:r>
      <w:r>
        <w:rPr>
          <w:rFonts w:ascii="Arial" w:cs="Arial" w:eastAsia="Arial" w:hAnsi="Arial"/>
          <w:sz w:val="17"/>
          <w:szCs w:val="17"/>
          <w:color w:val="auto"/>
        </w:rPr>
        <w:t>). Taxation only occurs insofar the Dutch Resident Individual's net investment assets for the year exceed a statutory threshold (</w:t>
      </w:r>
      <w:r>
        <w:rPr>
          <w:rFonts w:ascii="Arial" w:cs="Arial" w:eastAsia="Arial" w:hAnsi="Arial"/>
          <w:sz w:val="17"/>
          <w:szCs w:val="17"/>
          <w:i w:val="1"/>
          <w:iCs w:val="1"/>
          <w:color w:val="auto"/>
        </w:rPr>
        <w:t>heffingvrij vermogen</w:t>
      </w:r>
      <w:r>
        <w:rPr>
          <w:rFonts w:ascii="Arial" w:cs="Arial" w:eastAsia="Arial" w:hAnsi="Arial"/>
          <w:sz w:val="17"/>
          <w:szCs w:val="17"/>
          <w:color w:val="auto"/>
        </w:rPr>
        <w:t xml:space="preserve">). The net investment assets for the year are the fair market value of the investment assets less the fair market value of the liabilities on January 1 of the relevant calendar year (reference date; </w:t>
      </w:r>
      <w:r>
        <w:rPr>
          <w:rFonts w:ascii="Arial" w:cs="Arial" w:eastAsia="Arial" w:hAnsi="Arial"/>
          <w:sz w:val="17"/>
          <w:szCs w:val="17"/>
          <w:i w:val="1"/>
          <w:iCs w:val="1"/>
          <w:color w:val="auto"/>
        </w:rPr>
        <w:t>peildatum</w:t>
      </w:r>
      <w:r>
        <w:rPr>
          <w:rFonts w:ascii="Arial" w:cs="Arial" w:eastAsia="Arial" w:hAnsi="Arial"/>
          <w:sz w:val="17"/>
          <w:szCs w:val="17"/>
          <w:color w:val="auto"/>
        </w:rPr>
        <w:t>). Actual income or capital gains realized in respect of the ordinary shares are as such not subject to Dutch income tax.</w:t>
      </w:r>
    </w:p>
    <w:p>
      <w:pPr>
        <w:spacing w:after="0" w:line="136" w:lineRule="exact"/>
        <w:rPr>
          <w:sz w:val="20"/>
          <w:szCs w:val="20"/>
          <w:color w:val="auto"/>
        </w:rPr>
      </w:pPr>
    </w:p>
    <w:p>
      <w:pPr>
        <w:ind w:right="20" w:firstLine="520"/>
        <w:spacing w:after="0" w:line="257" w:lineRule="auto"/>
        <w:rPr>
          <w:sz w:val="20"/>
          <w:szCs w:val="20"/>
          <w:color w:val="auto"/>
        </w:rPr>
      </w:pPr>
      <w:r>
        <w:rPr>
          <w:rFonts w:ascii="Arial" w:cs="Arial" w:eastAsia="Arial" w:hAnsi="Arial"/>
          <w:sz w:val="18"/>
          <w:szCs w:val="18"/>
          <w:color w:val="auto"/>
        </w:rPr>
        <w:t>The Dutch Resident Individual's assets and liabilities taxed under this regime, including the ordinary shares, are allocated over the following three categories: (a) bank savings (</w:t>
      </w:r>
      <w:r>
        <w:rPr>
          <w:rFonts w:ascii="Arial" w:cs="Arial" w:eastAsia="Arial" w:hAnsi="Arial"/>
          <w:sz w:val="18"/>
          <w:szCs w:val="18"/>
          <w:i w:val="1"/>
          <w:iCs w:val="1"/>
          <w:color w:val="auto"/>
        </w:rPr>
        <w:t>banktegoeden</w:t>
      </w:r>
      <w:r>
        <w:rPr>
          <w:rFonts w:ascii="Arial" w:cs="Arial" w:eastAsia="Arial" w:hAnsi="Arial"/>
          <w:sz w:val="18"/>
          <w:szCs w:val="18"/>
          <w:color w:val="auto"/>
        </w:rPr>
        <w:t>), (b) other investments (</w:t>
      </w:r>
      <w:r>
        <w:rPr>
          <w:rFonts w:ascii="Arial" w:cs="Arial" w:eastAsia="Arial" w:hAnsi="Arial"/>
          <w:sz w:val="18"/>
          <w:szCs w:val="18"/>
          <w:i w:val="1"/>
          <w:iCs w:val="1"/>
          <w:color w:val="auto"/>
        </w:rPr>
        <w:t>overige bezittingen</w:t>
      </w:r>
      <w:r>
        <w:rPr>
          <w:rFonts w:ascii="Arial" w:cs="Arial" w:eastAsia="Arial" w:hAnsi="Arial"/>
          <w:sz w:val="18"/>
          <w:szCs w:val="18"/>
          <w:color w:val="auto"/>
        </w:rPr>
        <w:t>), including the ordinary shares, and (c) liabilities (</w:t>
      </w:r>
      <w:r>
        <w:rPr>
          <w:rFonts w:ascii="Arial" w:cs="Arial" w:eastAsia="Arial" w:hAnsi="Arial"/>
          <w:sz w:val="18"/>
          <w:szCs w:val="18"/>
          <w:i w:val="1"/>
          <w:iCs w:val="1"/>
          <w:color w:val="auto"/>
        </w:rPr>
        <w:t>schulden</w:t>
      </w:r>
      <w:r>
        <w:rPr>
          <w:rFonts w:ascii="Arial" w:cs="Arial" w:eastAsia="Arial" w:hAnsi="Arial"/>
          <w:sz w:val="18"/>
          <w:szCs w:val="18"/>
          <w:color w:val="auto"/>
        </w:rPr>
        <w:t>). The taxable benefit for the year (</w:t>
      </w:r>
      <w:r>
        <w:rPr>
          <w:rFonts w:ascii="Arial" w:cs="Arial" w:eastAsia="Arial" w:hAnsi="Arial"/>
          <w:sz w:val="18"/>
          <w:szCs w:val="18"/>
          <w:i w:val="1"/>
          <w:iCs w:val="1"/>
          <w:color w:val="auto"/>
        </w:rPr>
        <w:t>voordeel uit sparen en beleggen</w:t>
      </w:r>
      <w:r>
        <w:rPr>
          <w:rFonts w:ascii="Arial" w:cs="Arial" w:eastAsia="Arial" w:hAnsi="Arial"/>
          <w:sz w:val="18"/>
          <w:szCs w:val="18"/>
          <w:color w:val="auto"/>
        </w:rPr>
        <w:t>) is equal to the product of (x) the total deemed return divided by the sum of bank savings, other investments and liabilities and (b) the sum of bank savings, other investments and liabilities minus the statutory threshold, and is taxed at a flat rate of 32% (rate for 2023).</w:t>
      </w:r>
    </w:p>
    <w:p>
      <w:pPr>
        <w:spacing w:after="0" w:line="147" w:lineRule="exact"/>
        <w:rPr>
          <w:sz w:val="20"/>
          <w:szCs w:val="20"/>
          <w:color w:val="auto"/>
        </w:rPr>
      </w:pPr>
    </w:p>
    <w:p>
      <w:pPr>
        <w:ind w:right="80" w:firstLine="520"/>
        <w:spacing w:after="0" w:line="259" w:lineRule="auto"/>
        <w:rPr>
          <w:sz w:val="20"/>
          <w:szCs w:val="20"/>
          <w:color w:val="auto"/>
        </w:rPr>
      </w:pPr>
      <w:r>
        <w:rPr>
          <w:rFonts w:ascii="Arial" w:cs="Arial" w:eastAsia="Arial" w:hAnsi="Arial"/>
          <w:sz w:val="18"/>
          <w:szCs w:val="18"/>
          <w:color w:val="auto"/>
        </w:rPr>
        <w:t>The deemed return applicable to other investments, including the ordinary shares, is set at 6.17% for the calendar year 2023. Transactions in the three-month period before and after 1 January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6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Non-residents of the Netherlands</w:t>
      </w:r>
    </w:p>
    <w:p>
      <w:pPr>
        <w:spacing w:after="0" w:line="185" w:lineRule="exact"/>
        <w:rPr>
          <w:sz w:val="20"/>
          <w:szCs w:val="20"/>
          <w:color w:val="auto"/>
        </w:rPr>
      </w:pPr>
    </w:p>
    <w:p>
      <w:pPr>
        <w:ind w:right="40" w:firstLine="520"/>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84" w:lineRule="exact"/>
        <w:rPr>
          <w:sz w:val="20"/>
          <w:szCs w:val="20"/>
          <w:color w:val="auto"/>
        </w:rPr>
      </w:pPr>
    </w:p>
    <w:p>
      <w:pPr>
        <w:ind w:left="1140" w:right="240" w:hanging="758"/>
        <w:spacing w:after="0" w:line="259"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86" w:lineRule="exact"/>
        <w:rPr>
          <w:rFonts w:ascii="Arial" w:cs="Arial" w:eastAsia="Arial" w:hAnsi="Arial"/>
          <w:sz w:val="16"/>
          <w:szCs w:val="16"/>
          <w:color w:val="auto"/>
        </w:rPr>
      </w:pPr>
    </w:p>
    <w:p>
      <w:pPr>
        <w:ind w:left="1140" w:right="200" w:hanging="758"/>
        <w:spacing w:after="0" w:line="263"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ind w:left="120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Residents of the Netherlands</w:t>
      </w:r>
    </w:p>
    <w:p>
      <w:pPr>
        <w:spacing w:after="0" w:line="185" w:lineRule="exact"/>
        <w:rPr>
          <w:sz w:val="20"/>
          <w:szCs w:val="20"/>
          <w:color w:val="auto"/>
        </w:rPr>
      </w:pPr>
    </w:p>
    <w:p>
      <w:pPr>
        <w:ind w:right="40" w:firstLine="520"/>
        <w:spacing w:after="0" w:line="277" w:lineRule="auto"/>
        <w:rPr>
          <w:sz w:val="20"/>
          <w:szCs w:val="20"/>
          <w:color w:val="auto"/>
        </w:rPr>
      </w:pPr>
      <w:r>
        <w:rPr>
          <w:rFonts w:ascii="Arial" w:cs="Arial" w:eastAsia="Arial" w:hAnsi="Arial"/>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8"/>
          <w:szCs w:val="18"/>
          <w:i w:val="1"/>
          <w:iCs w:val="1"/>
          <w:color w:val="auto"/>
        </w:rPr>
        <w:t>’</w:t>
      </w:r>
      <w:r>
        <w:rPr>
          <w:rFonts w:ascii="Arial" w:cs="Arial" w:eastAsia="Arial" w:hAnsi="Arial"/>
          <w:sz w:val="18"/>
          <w:szCs w:val="18"/>
          <w:color w:val="auto"/>
        </w:rPr>
        <w:t>s death.</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Non-residents of the Netherlands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346" w:lineRule="exact"/>
        <w:rPr>
          <w:sz w:val="20"/>
          <w:szCs w:val="20"/>
          <w:color w:val="auto"/>
        </w:rPr>
      </w:pPr>
    </w:p>
    <w:p>
      <w:pPr>
        <w:ind w:left="1140" w:right="100" w:hanging="758"/>
        <w:spacing w:after="0" w:line="263"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83" w:lineRule="exact"/>
        <w:rPr>
          <w:rFonts w:ascii="Arial" w:cs="Arial" w:eastAsia="Arial" w:hAnsi="Arial"/>
          <w:sz w:val="16"/>
          <w:szCs w:val="16"/>
          <w:color w:val="auto"/>
        </w:rPr>
      </w:pPr>
    </w:p>
    <w:p>
      <w:pPr>
        <w:ind w:left="1140" w:right="420" w:hanging="758"/>
        <w:spacing w:after="0" w:line="277"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170" w:lineRule="exact"/>
        <w:rPr>
          <w:rFonts w:ascii="Arial" w:cs="Arial" w:eastAsia="Arial" w:hAnsi="Arial"/>
          <w:sz w:val="16"/>
          <w:szCs w:val="16"/>
          <w:color w:val="auto"/>
        </w:rPr>
      </w:pPr>
    </w:p>
    <w:p>
      <w:pPr>
        <w:ind w:left="1140" w:right="280" w:hanging="758"/>
        <w:spacing w:after="0" w:line="277"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30" w:lineRule="exact"/>
        <w:rPr>
          <w:sz w:val="20"/>
          <w:szCs w:val="20"/>
          <w:color w:val="auto"/>
        </w:rPr>
      </w:pPr>
    </w:p>
    <w:p>
      <w:pPr>
        <w:ind w:right="60" w:firstLine="520"/>
        <w:spacing w:after="0" w:line="257" w:lineRule="auto"/>
        <w:rPr>
          <w:sz w:val="20"/>
          <w:szCs w:val="20"/>
          <w:color w:val="auto"/>
        </w:rPr>
      </w:pPr>
      <w:r>
        <w:rPr>
          <w:rFonts w:ascii="Arial" w:cs="Arial" w:eastAsia="Arial" w:hAnsi="Arial"/>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85" w:lineRule="exact"/>
        <w:rPr>
          <w:sz w:val="20"/>
          <w:szCs w:val="20"/>
          <w:color w:val="auto"/>
        </w:rPr>
      </w:pPr>
    </w:p>
    <w:p>
      <w:pPr>
        <w:ind w:right="100" w:firstLine="520"/>
        <w:spacing w:after="0" w:line="277" w:lineRule="auto"/>
        <w:rPr>
          <w:sz w:val="20"/>
          <w:szCs w:val="20"/>
          <w:color w:val="auto"/>
        </w:rPr>
      </w:pPr>
      <w:r>
        <w:rPr>
          <w:rFonts w:ascii="Arial" w:cs="Arial" w:eastAsia="Arial" w:hAnsi="Arial"/>
          <w:sz w:val="18"/>
          <w:szCs w:val="18"/>
          <w:color w:val="auto"/>
        </w:rPr>
        <w:t>No Dutch value added tax will be payable by a holder of our ordinary shares in respect of any payment in consideration for the holding or disposal of our ordinary shares.</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98" w:lineRule="exact"/>
        <w:rPr>
          <w:sz w:val="20"/>
          <w:szCs w:val="20"/>
          <w:color w:val="auto"/>
        </w:rPr>
      </w:pPr>
    </w:p>
    <w:p>
      <w:pPr>
        <w:ind w:firstLine="520"/>
        <w:spacing w:after="0" w:line="277" w:lineRule="auto"/>
        <w:rPr>
          <w:sz w:val="20"/>
          <w:szCs w:val="20"/>
          <w:color w:val="auto"/>
        </w:rPr>
      </w:pPr>
      <w:r>
        <w:rPr>
          <w:rFonts w:ascii="Arial" w:cs="Arial" w:eastAsia="Arial" w:hAnsi="Arial"/>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5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lowerRoman"/>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2023-06-27T05:54:21Z</dcterms:created>
  <dcterms:modified xsi:type="dcterms:W3CDTF">2023-06-27T05:54:21Z</dcterms:modified>
</cp:coreProperties>
</file>