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141605</wp:posOffset>
            </wp:positionV>
            <wp:extent cx="332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173355</wp:posOffset>
            </wp:positionV>
            <wp:extent cx="3326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156845</wp:posOffset>
            </wp:positionV>
            <wp:extent cx="332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Pharvaris N.V.</w:t>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163195</wp:posOffset>
            </wp:positionV>
            <wp:extent cx="3326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ind w:left="5080"/>
        <w:spacing w:after="0"/>
        <w:rPr>
          <w:sz w:val="20"/>
          <w:szCs w:val="20"/>
          <w:color w:val="auto"/>
        </w:rPr>
      </w:pPr>
      <w:r>
        <w:rPr>
          <w:rFonts w:ascii="Arial" w:cs="Arial" w:eastAsia="Arial" w:hAnsi="Arial"/>
          <w:sz w:val="14"/>
          <w:szCs w:val="14"/>
          <w:b w:val="1"/>
          <w:bCs w:val="1"/>
          <w:color w:val="auto"/>
        </w:rPr>
        <w:t>2333 BK Leiden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The Netherlands</w:t>
      </w: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6" w:lineRule="exact"/>
        <w:rPr>
          <w:sz w:val="24"/>
          <w:szCs w:val="24"/>
          <w:color w:val="auto"/>
        </w:rPr>
      </w:pPr>
    </w:p>
    <w:p>
      <w:pPr>
        <w:ind w:right="520"/>
        <w:spacing w:after="0" w:line="246" w:lineRule="auto"/>
        <w:rPr>
          <w:sz w:val="20"/>
          <w:szCs w:val="20"/>
          <w:color w:val="auto"/>
        </w:rPr>
      </w:pPr>
      <w:r>
        <w:rPr>
          <w:rFonts w:ascii="Times New Roman" w:cs="Times New Roman" w:eastAsia="Times New Roman" w:hAnsi="Times New Roman"/>
          <w:sz w:val="18"/>
          <w:szCs w:val="18"/>
          <w:color w:val="auto"/>
        </w:rPr>
        <w:t>Note: Regulation S-T Rule 101(b)(1) only permits the submission in paper of a Form 6-K if submitted solely to provide an attached annual report to security holders.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1323975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April 7, 2025, Pharvaris N.V. (the “Company”) reported its financial results for the fourth quarter and fiscal year ended December 31, 2024. A copy of the press release is attached hereto as Exhibit 99.1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1391285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4"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11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7"/>
          <w:szCs w:val="17"/>
          <w:u w:val="single" w:color="auto"/>
          <w:color w:val="0000FF"/>
        </w:rPr>
        <w:t>Press Release, dated 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1153795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580" w:type="dxa"/>
            <w:vAlign w:val="bottom"/>
          </w:tcPr>
          <w:p>
            <w:pPr>
              <w:spacing w:after="0"/>
              <w:rPr>
                <w:sz w:val="21"/>
                <w:szCs w:val="21"/>
                <w:color w:val="auto"/>
              </w:rPr>
            </w:pPr>
          </w:p>
        </w:tc>
        <w:tc>
          <w:tcPr>
            <w:tcW w:w="7660" w:type="dxa"/>
            <w:vAlign w:val="bottom"/>
            <w:gridSpan w:val="2"/>
          </w:tcPr>
          <w:p>
            <w:pPr>
              <w:ind w:left="2080"/>
              <w:spacing w:after="0"/>
              <w:rPr>
                <w:sz w:val="20"/>
                <w:szCs w:val="20"/>
                <w:color w:val="auto"/>
              </w:rPr>
            </w:pPr>
            <w:r>
              <w:rPr>
                <w:rFonts w:ascii="Arial" w:cs="Arial" w:eastAsia="Arial" w:hAnsi="Arial"/>
                <w:sz w:val="18"/>
                <w:szCs w:val="18"/>
                <w:b w:val="1"/>
                <w:bCs w:val="1"/>
                <w:color w:val="auto"/>
              </w:rPr>
              <w:t>PHARVARIS N.V.</w:t>
            </w:r>
          </w:p>
        </w:tc>
      </w:tr>
      <w:tr>
        <w:trPr>
          <w:trHeight w:val="387"/>
        </w:trPr>
        <w:tc>
          <w:tcPr>
            <w:tcW w:w="3580" w:type="dxa"/>
            <w:vAlign w:val="bottom"/>
          </w:tcPr>
          <w:p>
            <w:pPr>
              <w:ind w:left="20"/>
              <w:spacing w:after="0"/>
              <w:rPr>
                <w:sz w:val="20"/>
                <w:szCs w:val="20"/>
                <w:color w:val="auto"/>
              </w:rPr>
            </w:pPr>
            <w:r>
              <w:rPr>
                <w:rFonts w:ascii="Arial" w:cs="Arial" w:eastAsia="Arial" w:hAnsi="Arial"/>
                <w:sz w:val="18"/>
                <w:szCs w:val="18"/>
                <w:color w:val="auto"/>
              </w:rPr>
              <w:t>Date: April 7, 2025</w:t>
            </w:r>
          </w:p>
        </w:tc>
        <w:tc>
          <w:tcPr>
            <w:tcW w:w="2780" w:type="dxa"/>
            <w:vAlign w:val="bottom"/>
          </w:tcPr>
          <w:p>
            <w:pPr>
              <w:ind w:left="208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184"/>
        </w:trPr>
        <w:tc>
          <w:tcPr>
            <w:tcW w:w="3580" w:type="dxa"/>
            <w:vAlign w:val="bottom"/>
          </w:tcPr>
          <w:p>
            <w:pPr>
              <w:spacing w:after="0"/>
              <w:rPr>
                <w:sz w:val="15"/>
                <w:szCs w:val="15"/>
                <w:color w:val="auto"/>
              </w:rPr>
            </w:pPr>
          </w:p>
        </w:tc>
        <w:tc>
          <w:tcPr>
            <w:tcW w:w="2780" w:type="dxa"/>
            <w:vAlign w:val="bottom"/>
          </w:tcPr>
          <w:p>
            <w:pPr>
              <w:ind w:left="2080"/>
              <w:spacing w:after="0" w:line="183"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83" w:lineRule="exact"/>
              <w:rPr>
                <w:sz w:val="20"/>
                <w:szCs w:val="20"/>
                <w:color w:val="auto"/>
              </w:rPr>
            </w:pPr>
            <w:r>
              <w:rPr>
                <w:rFonts w:ascii="Arial" w:cs="Arial" w:eastAsia="Arial" w:hAnsi="Arial"/>
                <w:sz w:val="18"/>
                <w:szCs w:val="18"/>
                <w:color w:val="auto"/>
              </w:rPr>
              <w:t>Berndt Modig</w:t>
            </w:r>
          </w:p>
        </w:tc>
      </w:tr>
      <w:tr>
        <w:trPr>
          <w:trHeight w:val="239"/>
        </w:trPr>
        <w:tc>
          <w:tcPr>
            <w:tcW w:w="3580" w:type="dxa"/>
            <w:vAlign w:val="bottom"/>
          </w:tcPr>
          <w:p>
            <w:pPr>
              <w:spacing w:after="0"/>
              <w:rPr>
                <w:sz w:val="20"/>
                <w:szCs w:val="20"/>
                <w:color w:val="auto"/>
              </w:rPr>
            </w:pPr>
          </w:p>
        </w:tc>
        <w:tc>
          <w:tcPr>
            <w:tcW w:w="2780" w:type="dxa"/>
            <w:vAlign w:val="bottom"/>
          </w:tcPr>
          <w:p>
            <w:pPr>
              <w:ind w:left="2080"/>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609"/>
        </w:trPr>
        <w:tc>
          <w:tcPr>
            <w:tcW w:w="3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left="103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5222875</wp:posOffset>
            </wp:positionH>
            <wp:positionV relativeFrom="page">
              <wp:posOffset>500380</wp:posOffset>
            </wp:positionV>
            <wp:extent cx="211709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17090" cy="308610"/>
                    </a:xfrm>
                    <a:prstGeom prst="rect">
                      <a:avLst/>
                    </a:prstGeom>
                    <a:noFill/>
                  </pic:spPr>
                </pic:pic>
              </a:graphicData>
            </a:graphic>
          </wp:anchor>
        </w:drawing>
        <w:t>Exhibit 99.1</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b w:val="1"/>
          <w:bCs w:val="1"/>
          <w:color w:val="auto"/>
        </w:rPr>
        <w:t>Pharvaris Reports Fourth Quarter and Full Year 2024 Financial Results and Provides Business Update</w:t>
      </w:r>
    </w:p>
    <w:p>
      <w:pPr>
        <w:spacing w:after="0" w:line="9" w:lineRule="exact"/>
        <w:rPr>
          <w:sz w:val="20"/>
          <w:szCs w:val="20"/>
          <w:color w:val="auto"/>
        </w:rPr>
      </w:pPr>
    </w:p>
    <w:p>
      <w:pPr>
        <w:ind w:left="760" w:right="36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enrollment achieved in RAPIDe-3, a pivotal Phase 3 study of deucrictibant for the on-demand treatment of HAE attacks, strengthening confidence in clinical timelines</w:t>
      </w:r>
    </w:p>
    <w:p>
      <w:pPr>
        <w:ind w:left="760" w:right="66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Enrollment underway in CHAPTER-3, a pivotal Phase 3 study of deucrictibant for prophylaxis of HAE attacks; topline data expected in 2H2026</w:t>
      </w: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Orphan medicinal product designation granted to deucrictibant in Europe for the treatment of bradykinin-mediated angioedema</w:t>
      </w:r>
    </w:p>
    <w:p>
      <w:pPr>
        <w:ind w:left="760" w:right="80" w:hanging="378"/>
        <w:spacing w:after="0" w:line="239" w:lineRule="auto"/>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presented at recent congresses reinforces the value of deucrictibant by highlighting its ability to maintain a reduced attack rate in long-term prophylaxis, and potential to rapidly and completely treat HAE attacks, including in participants experiencing upper-airway attacks</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Strong financial position with cash and cash equivalents of €281 million as of December 31, 2024</w:t>
      </w:r>
    </w:p>
    <w:p>
      <w:pPr>
        <w:spacing w:after="0" w:line="20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ZUG, Switzerland, April 7, 2025 -- Pharvaris (Nasdaq: PHVS), a late-stage biopharmaceutical company developing novel, oral bradykinin B2 receptor antagonists to help address unmet needs of those living with bradykinin-mediated diseases such as hereditary angioedema (HAE) and acquired angioedema due to C1 inhibitor deficiency (AAE-C1INH), today announced financial results for the fourth quarter and full year ended December 31, 2024, and provided a business update.</w:t>
      </w:r>
    </w:p>
    <w:p>
      <w:pPr>
        <w:spacing w:after="0" w:line="180"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"Pharvaris is focused on the development of deucrictibant to address unmet needs for people living with bradykinin-mediated angioedema; our priority remains generating robust clinical data to support this goal. We are pleased to have met our aggressive enrollment timelines for RAPIDe-3; we believe this was driven by high engagement from the HAE community, reinforcing the excitement about the clinical data and the potential impact of deucrictibant for those with bradykinin-mediated angioedema,” said Berndt Modig, Chief Executive Officer of Pharvaris. “To our knowledge, deucrictibant is the only orally-administered bradykinin B2 receptor antagonist in development for both the prophylactic and on-demand treatment of bradykinin-mediated angioedema. Consistent with the U.S. Food and Drug Administration, the European Commission’s granting of orphan designation to deucrictibant reiterates its potential to address unmet medical needs in HAE, as well as other bradykinin-mediated angioedema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Recent Business Updates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Development Pipeline</w:t>
      </w:r>
    </w:p>
    <w:p>
      <w:pPr>
        <w:ind w:left="760" w:right="10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Target enrollment achieved in RAPIDe-3 (NCT06343779). </w:t>
      </w:r>
      <w:r>
        <w:rPr>
          <w:rFonts w:ascii="Times New Roman" w:cs="Times New Roman" w:eastAsia="Times New Roman" w:hAnsi="Times New Roman"/>
          <w:sz w:val="20"/>
          <w:szCs w:val="20"/>
          <w:color w:val="auto"/>
        </w:rPr>
        <w:t>RAPIDe-3, a pivotal global Phase 3 study evaluating deucrictibant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immediate-release capsule (20 mg) for the on-demand treatment of HAE attacks in adults and adolescents (12 years and older), has reached its target enrollment and continues to assess HAE attacks in approximately 120 participants.</w:t>
      </w:r>
    </w:p>
    <w:p>
      <w:pPr>
        <w:spacing w:after="0" w:line="1" w:lineRule="exact"/>
        <w:rPr>
          <w:rFonts w:ascii="Times New Roman" w:cs="Times New Roman" w:eastAsia="Times New Roman" w:hAnsi="Times New Roman"/>
          <w:sz w:val="20"/>
          <w:szCs w:val="20"/>
          <w:color w:val="auto"/>
        </w:rPr>
      </w:pPr>
    </w:p>
    <w:p>
      <w:pPr>
        <w:ind w:left="760" w:hanging="378"/>
        <w:spacing w:after="0" w:line="244"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Enrollment in CHAPTER-3 (NCT06669754) progressing as planned. </w:t>
      </w:r>
      <w:r>
        <w:rPr>
          <w:rFonts w:ascii="Times New Roman" w:cs="Times New Roman" w:eastAsia="Times New Roman" w:hAnsi="Times New Roman"/>
          <w:sz w:val="20"/>
          <w:szCs w:val="20"/>
          <w:color w:val="auto"/>
        </w:rPr>
        <w:t>CHAPTER-3 is a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extended-release tablet (40 mg/day), which is the intended commercial dosage, or placebo, once daily for 24 weeks. Pharvaris anticipates announcing topline data of CHAPTER-3 in the second half of 2026.</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Open-label extensions of deucrictibant in both prophylaxis (CHAPTER-4, NCT06679881) and on-demand (RAPIDe-2, NCT05396105) are ongoing. </w:t>
      </w:r>
      <w:r>
        <w:rPr>
          <w:rFonts w:ascii="Times New Roman" w:cs="Times New Roman" w:eastAsia="Times New Roman" w:hAnsi="Times New Roman"/>
          <w:sz w:val="20"/>
          <w:szCs w:val="20"/>
          <w:color w:val="auto"/>
        </w:rPr>
        <w:t>Participants who have completed the randomized clinical trials for the prophylactic or on-demand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treatment of HAE attacks with deucrictibant are eligible to continue deucrictibant therapy through open-label extension studies. The intention of the studies is to evaluate the long-term safety and efficacy of deucrictibant for the prevention or treatment of HAE attacks.</w:t>
      </w:r>
    </w:p>
    <w:p>
      <w:pPr>
        <w:spacing w:after="0" w:line="2" w:lineRule="exact"/>
        <w:rPr>
          <w:rFonts w:ascii="Times New Roman" w:cs="Times New Roman" w:eastAsia="Times New Roman" w:hAnsi="Times New Roman"/>
          <w:sz w:val="20"/>
          <w:szCs w:val="20"/>
          <w:color w:val="auto"/>
        </w:rPr>
      </w:pPr>
    </w:p>
    <w:p>
      <w:pPr>
        <w:ind w:left="760" w:right="2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Data presentations at recent congresses highlight long-term clinical data of deucrictibant. </w:t>
      </w:r>
      <w:r>
        <w:rPr>
          <w:rFonts w:ascii="Times New Roman" w:cs="Times New Roman" w:eastAsia="Times New Roman" w:hAnsi="Times New Roman"/>
          <w:sz w:val="20"/>
          <w:szCs w:val="20"/>
          <w:color w:val="auto"/>
        </w:rPr>
        <w:t>Recent presentations at the Western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Society of Allergy, Asthma &amp; Immunology (WSAAI) 2025 Annual Meeting, the 2025 American Academy of Allergy, Asthma &amp; Immunology (AAAAI) and World Allergy Organization (WAO) Joint Congress, and the 2025 HAE International (HAEi) Regional Conference APAC, support Pharvaris’ deucrictibant product strategy. Long-term extension data from the open-label extension (OLE) part of CHAPTER-1 study showed that deucrictibant maintained the reduced monthly HAE attack rate for at least a year and a half, and the median proportion of days with symptoms during the OLE was further reduced to zero days. The ongoing RAPIDe-2 extension study includes efficacy data from seven upper airway, including laryngeal, attacks, in which the median time to onset of symptom relief was 0.9 hours (N=7).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w:t>
      </w:r>
    </w:p>
    <w:p>
      <w:pPr>
        <w:spacing w:after="0" w:line="26" w:lineRule="exact"/>
        <w:rPr>
          <w:sz w:val="20"/>
          <w:szCs w:val="20"/>
          <w:color w:val="auto"/>
        </w:rPr>
      </w:pPr>
    </w:p>
    <w:p>
      <w:pPr>
        <w:ind w:left="760" w:right="60" w:hanging="378"/>
        <w:spacing w:after="0" w:line="246" w:lineRule="auto"/>
        <w:tabs>
          <w:tab w:leader="none" w:pos="7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Orphan designation granted to deucrictibant for the treatment of bradykinin-mediated angioedema. </w:t>
      </w:r>
      <w:r>
        <w:rPr>
          <w:rFonts w:ascii="Times New Roman" w:cs="Times New Roman" w:eastAsia="Times New Roman" w:hAnsi="Times New Roman"/>
          <w:sz w:val="20"/>
          <w:szCs w:val="20"/>
          <w:color w:val="auto"/>
        </w:rPr>
        <w:t>On March 28, 2025,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European Commission (EC) granted orphan designation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6" w:name="page7"/>
    <w:bookmarkEnd w:id="6"/>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deucrictibant for the treatment of bradykinin-mediated angioedema in the European Union. The U.S. Food and Drug Administration (FDA) previously granted orphan drug designation to deucrictibant for the treatment of bradykinin-mediated angioedema in March 2022.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Upcoming Investor Events</w:t>
      </w:r>
    </w:p>
    <w:p>
      <w:pPr>
        <w:spacing w:after="0" w:line="26" w:lineRule="exact"/>
        <w:rPr>
          <w:sz w:val="20"/>
          <w:szCs w:val="20"/>
          <w:color w:val="auto"/>
        </w:rPr>
      </w:pPr>
    </w:p>
    <w:p>
      <w:pPr>
        <w:ind w:left="760" w:right="3660" w:hanging="378"/>
        <w:spacing w:after="0" w:line="23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The Citizens JMP Life Sciences Conference, </w:t>
      </w:r>
      <w:r>
        <w:rPr>
          <w:rFonts w:ascii="Times New Roman" w:cs="Times New Roman" w:eastAsia="Times New Roman" w:hAnsi="Times New Roman"/>
          <w:sz w:val="20"/>
          <w:szCs w:val="20"/>
          <w:color w:val="auto"/>
        </w:rPr>
        <w:t>New York, New York, May 7-8, 2025</w:t>
      </w:r>
      <w:r>
        <w:rPr>
          <w:rFonts w:ascii="Times New Roman" w:cs="Times New Roman" w:eastAsia="Times New Roman" w:hAnsi="Times New Roman"/>
          <w:sz w:val="20"/>
          <w:szCs w:val="20"/>
          <w:b w:val="1"/>
          <w:bCs w:val="1"/>
          <w:color w:val="auto"/>
        </w:rPr>
        <w:t xml:space="preserve"> Format: </w:t>
      </w:r>
      <w:r>
        <w:rPr>
          <w:rFonts w:ascii="Times New Roman" w:cs="Times New Roman" w:eastAsia="Times New Roman" w:hAnsi="Times New Roman"/>
          <w:sz w:val="20"/>
          <w:szCs w:val="20"/>
          <w:color w:val="auto"/>
        </w:rPr>
        <w:t>Fireside Chat</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Thursday, May 8, 12:30 p.m. ET</w:t>
      </w:r>
    </w:p>
    <w:p>
      <w:pPr>
        <w:ind w:left="760" w:right="3300" w:hanging="378"/>
        <w:spacing w:after="0" w:line="239" w:lineRule="auto"/>
        <w:tabs>
          <w:tab w:leader="none" w:pos="7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Bank of America Global Healthcare Conference</w:t>
      </w:r>
      <w:r>
        <w:rPr>
          <w:rFonts w:ascii="Times New Roman" w:cs="Times New Roman" w:eastAsia="Times New Roman" w:hAnsi="Times New Roman"/>
          <w:sz w:val="20"/>
          <w:szCs w:val="20"/>
          <w:color w:val="auto"/>
        </w:rPr>
        <w:t>, Las Vegas, Nevada, May 13-15, 2025</w:t>
      </w:r>
      <w:r>
        <w:rPr>
          <w:rFonts w:ascii="Times New Roman" w:cs="Times New Roman" w:eastAsia="Times New Roman" w:hAnsi="Times New Roman"/>
          <w:sz w:val="20"/>
          <w:szCs w:val="20"/>
          <w:b w:val="1"/>
          <w:bCs w:val="1"/>
          <w:color w:val="auto"/>
        </w:rPr>
        <w:t xml:space="preserve"> Format: </w:t>
      </w:r>
      <w:r>
        <w:rPr>
          <w:rFonts w:ascii="Times New Roman" w:cs="Times New Roman" w:eastAsia="Times New Roman" w:hAnsi="Times New Roman"/>
          <w:sz w:val="20"/>
          <w:szCs w:val="20"/>
          <w:color w:val="auto"/>
        </w:rPr>
        <w:t>Company Presentation</w:t>
      </w: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Date, time: </w:t>
      </w:r>
      <w:r>
        <w:rPr>
          <w:rFonts w:ascii="Times New Roman" w:cs="Times New Roman" w:eastAsia="Times New Roman" w:hAnsi="Times New Roman"/>
          <w:sz w:val="20"/>
          <w:szCs w:val="20"/>
          <w:color w:val="auto"/>
        </w:rPr>
        <w:t>8:40-8:55 a.m. PT (11:40-11:55 a.m. ET)</w:t>
      </w:r>
    </w:p>
    <w:p>
      <w:pPr>
        <w:spacing w:after="0" w:line="221"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Live audio webcasts will be available on the Investors section of the Pharvaris website at: https://ir.pharvaris.com/news-events/events-presentations. The audio replays will be available on Pharvaris’ website for 30 days following the events.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and Full Year 2024 Financial Results</w:t>
      </w:r>
    </w:p>
    <w:p>
      <w:pPr>
        <w:ind w:left="760" w:right="80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Liquidity Position. </w:t>
      </w:r>
      <w:r>
        <w:rPr>
          <w:rFonts w:ascii="Times New Roman" w:cs="Times New Roman" w:eastAsia="Times New Roman" w:hAnsi="Times New Roman"/>
          <w:sz w:val="20"/>
          <w:szCs w:val="20"/>
          <w:color w:val="auto"/>
        </w:rPr>
        <w:t>Cash and cash equivalents were €281 million as of December 31, 2024, compared to €391 million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December 31, 2023.</w:t>
      </w:r>
    </w:p>
    <w:p>
      <w:pPr>
        <w:ind w:left="760" w:right="12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were €31.2 million for the fourth quarter and €98.6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2024, compared to €18.6 million for the fourth quarter and €65.6 million for the full year of 2023.</w:t>
      </w:r>
    </w:p>
    <w:p>
      <w:pPr>
        <w:ind w:left="760" w:right="20" w:hanging="378"/>
        <w:spacing w:after="0" w:line="239"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were €13.9 million for the fourth quarter and €47.1 million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full year of 2024, compared to €8.6 million for the fourth quarter and €31.3 million for the full year of 2023.</w:t>
      </w:r>
    </w:p>
    <w:p>
      <w:pPr>
        <w:ind w:left="760" w:right="120" w:hanging="378"/>
        <w:spacing w:after="0" w:line="24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Loss for the year. </w:t>
      </w:r>
      <w:r>
        <w:rPr>
          <w:rFonts w:ascii="Times New Roman" w:cs="Times New Roman" w:eastAsia="Times New Roman" w:hAnsi="Times New Roman"/>
          <w:sz w:val="20"/>
          <w:szCs w:val="20"/>
          <w:color w:val="auto"/>
        </w:rPr>
        <w:t>Loss for the fourth quarter of 2024 was €34.8 million, resulting in basic and diluted loss per share of €0.64.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full year of 2024, loss was €134.2 million, resulting in basic and diluted loss per share of €2.48 per share. This compares to €32.7 million, or basic and diluted loss per share of €0.95, for the fourth quarter of 2023 and €100.9 million, or basic and diluted loss per share of €2.63, for the full year of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on International Financial Reporting Standards (IFRS)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Pharvaris is a Foreign Private Issuer and prepares and reports consolidated financial statements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 w:name="page8"/>
    <w:bookmarkEnd w:id="7"/>
    <w:p>
      <w:pPr>
        <w:ind w:right="100"/>
        <w:spacing w:after="0" w:line="269" w:lineRule="auto"/>
        <w:rPr>
          <w:sz w:val="20"/>
          <w:szCs w:val="20"/>
          <w:color w:val="auto"/>
        </w:rPr>
      </w:pPr>
      <w:r>
        <w:rPr>
          <w:rFonts w:ascii="Times New Roman" w:cs="Times New Roman" w:eastAsia="Times New Roman" w:hAnsi="Times New Roman"/>
          <w:sz w:val="20"/>
          <w:szCs w:val="20"/>
          <w:color w:val="auto"/>
        </w:rPr>
        <w:t>financial information in accordance with IFRS as issued by the International Accounting Standards Board. Pharvaris maintains its books and records in the Euro currency.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Deucrictibant</w:t>
      </w:r>
    </w:p>
    <w:p>
      <w:pPr>
        <w:spacing w:after="0" w:line="2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Deucrictibant is a novel, potent, oral small-molecule bradykinin B2 receptor antagonist currently in clinical development. By inhibiting bradykinin signaling through the bradykinin B2 receptor, deucrictibant is being investigated for its potential to prevent the occurrence of bradykinin-mediated angioedema attacks and to treat the manifestations of attacks if/when they occur. Based on its chemical properties,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by the U.S. Food and Drug Administration and orphan designation by the European Commission.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Pharvaris</w:t>
      </w:r>
    </w:p>
    <w:p>
      <w:pPr>
        <w:spacing w:after="0" w:line="26"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20"/>
          <w:szCs w:val="20"/>
          <w:color w:val="auto"/>
        </w:rPr>
        <w:t>Pharvaris is a late-stage biopharmaceutical company developing novel, oral bradykinin B2 receptor antagonists to potentially address all types of bradykinin-mediated angioedema. Pharvaris intends to provide injectable-like efficacy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0"/>
          <w:szCs w:val="20"/>
          <w:color w:val="auto"/>
        </w:rPr>
        <w:t xml:space="preserve"> and placebo-like tolerability with the convenience of an oral therapy to prevent and treat bradykinin-mediated angioedema attacks. With positive data in both Phase 2 prophylaxis and on-demand studies in HAE, Pharvaris is currently evaluating the efficacy and safety of deucrictibant in a pivotal Phase 3 study for the prevention of HAE attacks (CHAPTER-3) and a pivotal Phase 3 study for the on-demand treatment of HAE attacks (RAPIDe-3). For more information, visit https://pharvaris.com/.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876935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9"/>
          <w:szCs w:val="19"/>
          <w:color w:val="auto"/>
        </w:rPr>
        <w:t>following: uncertainty in the outcome of our interactions with regulatory authorities, including the FDA; the expected timing, progress, or success of our clinical development programs, especially for deucrictibant immediate-release capsules and deucrictibant extended-release tablets, which are in late-stage global clinical trials; our ability to replicate the efficacy and safety demonstrated in the RAPIDe-1, RAPIDe-2, and CHAPTER-1 Phase 2 and Phase 3 studies in ongoing and future nonclinical studies and clinical trials; risks arising from epidemic diseases, , which may adversely impact our business, nonclinical studies, and clinical trials; our ability to potentially use deucrictibant for alternative purposes, for example to treat C1-INH deficiency (AAE-C1INH);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successfully remediate the material weaknesses in our internal control over financial reporting and to maintain an effective system of internal control over financial reporting; changes and uncertainty in general market, political and economic conditions, including as a result of inflation and the current conflict between Russia and Ukraine and the Hamas attack against Israel and the ensuing war;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 w:name="page10"/>
    <w:bookmarkEnd w:id="9"/>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Maggie Beller</w:t>
      </w:r>
    </w:p>
    <w:p>
      <w:pPr>
        <w:ind w:right="4619"/>
        <w:spacing w:after="0" w:line="246" w:lineRule="auto"/>
        <w:rPr>
          <w:sz w:val="20"/>
          <w:szCs w:val="20"/>
          <w:color w:val="auto"/>
        </w:rPr>
      </w:pPr>
      <w:r>
        <w:rPr>
          <w:rFonts w:ascii="Times New Roman" w:cs="Times New Roman" w:eastAsia="Times New Roman" w:hAnsi="Times New Roman"/>
          <w:sz w:val="20"/>
          <w:szCs w:val="20"/>
          <w:color w:val="auto"/>
        </w:rPr>
        <w:t xml:space="preserve">Executive Director, Head of Corporate and Investor Communications </w:t>
      </w:r>
      <w:r>
        <w:rPr>
          <w:rFonts w:ascii="Times New Roman" w:cs="Times New Roman" w:eastAsia="Times New Roman" w:hAnsi="Times New Roman"/>
          <w:sz w:val="20"/>
          <w:szCs w:val="20"/>
          <w:color w:val="467886"/>
        </w:rPr>
        <w:t>maggie.beller@pharvaris.com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2025-04-07T05:53:02Z</dcterms:created>
  <dcterms:modified xsi:type="dcterms:W3CDTF">2025-04-07T05:53:02Z</dcterms:modified>
</cp:coreProperties>
</file>